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4C71" w14:textId="4BBED7AA" w:rsidR="00A8722E" w:rsidRPr="0059333C" w:rsidRDefault="00A8722E" w:rsidP="00A8722E">
      <w:pPr>
        <w:spacing w:before="1200"/>
        <w:jc w:val="center"/>
        <w:rPr>
          <w:rFonts w:cstheme="minorHAnsi"/>
          <w:b/>
          <w:color w:val="0070C0"/>
          <w:sz w:val="40"/>
          <w:szCs w:val="40"/>
        </w:rPr>
      </w:pPr>
      <w:r>
        <w:rPr>
          <w:rFonts w:cstheme="minorHAnsi"/>
          <w:b/>
          <w:color w:val="0070C0"/>
          <w:sz w:val="40"/>
          <w:szCs w:val="40"/>
        </w:rPr>
        <w:t>Comprehensive and Progressive Agreement for Trans-Pacific Partnership (CPTPP)</w:t>
      </w:r>
    </w:p>
    <w:p w14:paraId="67F17A8B" w14:textId="77777777" w:rsidR="006D6F75" w:rsidRPr="00D87753" w:rsidRDefault="006D6F75" w:rsidP="00D87753">
      <w:pPr>
        <w:pStyle w:val="Subtitle"/>
        <w:jc w:val="center"/>
        <w:rPr>
          <w:b/>
          <w:color w:val="0070C0"/>
        </w:rPr>
      </w:pPr>
      <w:r w:rsidRPr="00D87753">
        <w:rPr>
          <w:b/>
          <w:color w:val="0070C0"/>
          <w:sz w:val="40"/>
          <w:szCs w:val="40"/>
        </w:rPr>
        <w:t>Post-Implementation Review</w:t>
      </w:r>
    </w:p>
    <w:p w14:paraId="35F7122B" w14:textId="77777777" w:rsidR="006D6F75" w:rsidRPr="006D6F75" w:rsidRDefault="006D6F75" w:rsidP="00D87753">
      <w:pPr>
        <w:pStyle w:val="Title"/>
        <w:jc w:val="center"/>
        <w:rPr>
          <w:rFonts w:cstheme="minorHAnsi"/>
          <w:b/>
          <w:sz w:val="24"/>
          <w:szCs w:val="24"/>
        </w:rPr>
      </w:pPr>
    </w:p>
    <w:p w14:paraId="6280D622" w14:textId="77777777" w:rsidR="006D6F75" w:rsidRPr="006D6F75" w:rsidRDefault="006D6F75" w:rsidP="00D87753">
      <w:pPr>
        <w:pStyle w:val="Title"/>
        <w:jc w:val="center"/>
        <w:rPr>
          <w:rFonts w:cstheme="minorHAnsi"/>
          <w:b/>
          <w:sz w:val="24"/>
          <w:szCs w:val="24"/>
        </w:rPr>
      </w:pPr>
    </w:p>
    <w:p w14:paraId="03A3C061" w14:textId="056D802E" w:rsidR="006D6F75" w:rsidRPr="00EC0AFA" w:rsidRDefault="003932C6" w:rsidP="00C7287C">
      <w:pPr>
        <w:pStyle w:val="Subtitle"/>
        <w:jc w:val="center"/>
        <w:rPr>
          <w:b/>
          <w:color w:val="0070C0"/>
          <w:sz w:val="24"/>
          <w:szCs w:val="24"/>
        </w:rPr>
      </w:pPr>
      <w:r>
        <w:rPr>
          <w:b/>
          <w:color w:val="0070C0"/>
          <w:sz w:val="24"/>
          <w:szCs w:val="24"/>
        </w:rPr>
        <w:t>January 2025</w:t>
      </w:r>
    </w:p>
    <w:p w14:paraId="3C17FD8A" w14:textId="77777777" w:rsidR="00D87753" w:rsidRDefault="00D87753" w:rsidP="00D87753">
      <w:pPr>
        <w:pStyle w:val="Subtitle"/>
        <w:jc w:val="center"/>
        <w:rPr>
          <w:b/>
          <w:color w:val="0070C0"/>
        </w:rPr>
      </w:pPr>
    </w:p>
    <w:p w14:paraId="7F6668BA" w14:textId="77777777" w:rsidR="00D87753" w:rsidRDefault="00D87753" w:rsidP="00D87753">
      <w:pPr>
        <w:pStyle w:val="Subtitle"/>
        <w:jc w:val="center"/>
        <w:rPr>
          <w:b/>
          <w:color w:val="0070C0"/>
        </w:rPr>
      </w:pPr>
    </w:p>
    <w:p w14:paraId="16CCA05C" w14:textId="77777777" w:rsidR="006D6F75" w:rsidRPr="00EC0AFA" w:rsidRDefault="006D6F75" w:rsidP="00D87753">
      <w:pPr>
        <w:pStyle w:val="Subtitle"/>
        <w:jc w:val="center"/>
        <w:rPr>
          <w:b/>
          <w:color w:val="0070C0"/>
          <w:sz w:val="24"/>
          <w:szCs w:val="24"/>
        </w:rPr>
      </w:pPr>
      <w:r w:rsidRPr="00EC0AFA">
        <w:rPr>
          <w:b/>
          <w:color w:val="0070C0"/>
          <w:sz w:val="24"/>
          <w:szCs w:val="24"/>
        </w:rPr>
        <w:t>CONTENTS</w:t>
      </w:r>
    </w:p>
    <w:p w14:paraId="6E0B29FF" w14:textId="12F613A4" w:rsidR="00AD4094" w:rsidRPr="00AD4094" w:rsidRDefault="006D6F75">
      <w:pPr>
        <w:pStyle w:val="TOC1"/>
        <w:tabs>
          <w:tab w:val="right" w:leader="dot" w:pos="8302"/>
        </w:tabs>
        <w:rPr>
          <w:rFonts w:asciiTheme="majorHAnsi" w:eastAsiaTheme="minorEastAsia" w:hAnsiTheme="majorHAnsi" w:cstheme="majorHAnsi"/>
          <w:b/>
          <w:bCs w:val="0"/>
          <w:noProof/>
          <w:sz w:val="22"/>
          <w:szCs w:val="22"/>
          <w:lang w:eastAsia="en-AU"/>
        </w:rPr>
      </w:pPr>
      <w:r w:rsidRPr="00440793">
        <w:rPr>
          <w:rFonts w:asciiTheme="majorHAnsi" w:hAnsiTheme="majorHAnsi" w:cstheme="majorHAnsi"/>
          <w:b/>
          <w:color w:val="FF0000"/>
          <w:szCs w:val="24"/>
        </w:rPr>
        <w:fldChar w:fldCharType="begin"/>
      </w:r>
      <w:r w:rsidRPr="00440793">
        <w:rPr>
          <w:rFonts w:asciiTheme="majorHAnsi" w:hAnsiTheme="majorHAnsi" w:cstheme="majorHAnsi"/>
          <w:b/>
          <w:color w:val="FF0000"/>
          <w:szCs w:val="24"/>
        </w:rPr>
        <w:instrText xml:space="preserve"> TOC \o "1-1" \h \z \u </w:instrText>
      </w:r>
      <w:r w:rsidRPr="00440793">
        <w:rPr>
          <w:rFonts w:asciiTheme="majorHAnsi" w:hAnsiTheme="majorHAnsi" w:cstheme="majorHAnsi"/>
          <w:b/>
          <w:color w:val="FF0000"/>
          <w:szCs w:val="24"/>
        </w:rPr>
        <w:fldChar w:fldCharType="separate"/>
      </w:r>
      <w:hyperlink w:anchor="_Toc189499366" w:history="1">
        <w:r w:rsidR="00AD4094" w:rsidRPr="00AD4094">
          <w:rPr>
            <w:rStyle w:val="Hyperlink"/>
            <w:rFonts w:asciiTheme="majorHAnsi" w:hAnsiTheme="majorHAnsi" w:cstheme="majorHAnsi"/>
            <w:b/>
            <w:bCs w:val="0"/>
            <w:noProof/>
          </w:rPr>
          <w:t>EXECUTIVE SUMMARY</w:t>
        </w:r>
        <w:r w:rsidR="00AD4094" w:rsidRPr="00AD4094">
          <w:rPr>
            <w:rFonts w:asciiTheme="majorHAnsi" w:hAnsiTheme="majorHAnsi" w:cstheme="majorHAnsi"/>
            <w:b/>
            <w:bCs w:val="0"/>
            <w:noProof/>
            <w:webHidden/>
          </w:rPr>
          <w:tab/>
        </w:r>
        <w:r w:rsidR="00AD4094" w:rsidRPr="00AD4094">
          <w:rPr>
            <w:rFonts w:asciiTheme="majorHAnsi" w:hAnsiTheme="majorHAnsi" w:cstheme="majorHAnsi"/>
            <w:b/>
            <w:bCs w:val="0"/>
            <w:noProof/>
            <w:webHidden/>
          </w:rPr>
          <w:fldChar w:fldCharType="begin"/>
        </w:r>
        <w:r w:rsidR="00AD4094" w:rsidRPr="00AD4094">
          <w:rPr>
            <w:rFonts w:asciiTheme="majorHAnsi" w:hAnsiTheme="majorHAnsi" w:cstheme="majorHAnsi"/>
            <w:b/>
            <w:bCs w:val="0"/>
            <w:noProof/>
            <w:webHidden/>
          </w:rPr>
          <w:instrText xml:space="preserve"> PAGEREF _Toc189499366 \h </w:instrText>
        </w:r>
        <w:r w:rsidR="00AD4094" w:rsidRPr="00AD4094">
          <w:rPr>
            <w:rFonts w:asciiTheme="majorHAnsi" w:hAnsiTheme="majorHAnsi" w:cstheme="majorHAnsi"/>
            <w:b/>
            <w:bCs w:val="0"/>
            <w:noProof/>
            <w:webHidden/>
          </w:rPr>
        </w:r>
        <w:r w:rsidR="00AD4094" w:rsidRPr="00AD4094">
          <w:rPr>
            <w:rFonts w:asciiTheme="majorHAnsi" w:hAnsiTheme="majorHAnsi" w:cstheme="majorHAnsi"/>
            <w:b/>
            <w:bCs w:val="0"/>
            <w:noProof/>
            <w:webHidden/>
          </w:rPr>
          <w:fldChar w:fldCharType="separate"/>
        </w:r>
        <w:r w:rsidR="00FA12FC">
          <w:rPr>
            <w:rFonts w:asciiTheme="majorHAnsi" w:hAnsiTheme="majorHAnsi" w:cstheme="majorHAnsi"/>
            <w:b/>
            <w:bCs w:val="0"/>
            <w:noProof/>
            <w:webHidden/>
          </w:rPr>
          <w:t>1</w:t>
        </w:r>
        <w:r w:rsidR="00AD4094" w:rsidRPr="00AD4094">
          <w:rPr>
            <w:rFonts w:asciiTheme="majorHAnsi" w:hAnsiTheme="majorHAnsi" w:cstheme="majorHAnsi"/>
            <w:b/>
            <w:bCs w:val="0"/>
            <w:noProof/>
            <w:webHidden/>
          </w:rPr>
          <w:fldChar w:fldCharType="end"/>
        </w:r>
      </w:hyperlink>
    </w:p>
    <w:p w14:paraId="3D57207C" w14:textId="3377AC18" w:rsidR="00AD4094" w:rsidRPr="00AD4094" w:rsidRDefault="00AD4094">
      <w:pPr>
        <w:pStyle w:val="TOC1"/>
        <w:tabs>
          <w:tab w:val="right" w:leader="dot" w:pos="8302"/>
        </w:tabs>
        <w:rPr>
          <w:rFonts w:asciiTheme="majorHAnsi" w:eastAsiaTheme="minorEastAsia" w:hAnsiTheme="majorHAnsi" w:cstheme="majorHAnsi"/>
          <w:b/>
          <w:bCs w:val="0"/>
          <w:noProof/>
          <w:sz w:val="22"/>
          <w:szCs w:val="22"/>
          <w:lang w:eastAsia="en-AU"/>
        </w:rPr>
      </w:pPr>
      <w:hyperlink w:anchor="_Toc189499367" w:history="1">
        <w:r w:rsidRPr="00AD4094">
          <w:rPr>
            <w:rStyle w:val="Hyperlink"/>
            <w:rFonts w:asciiTheme="majorHAnsi" w:hAnsiTheme="majorHAnsi" w:cstheme="majorHAnsi"/>
            <w:b/>
            <w:bCs w:val="0"/>
            <w:noProof/>
          </w:rPr>
          <w:t>INTRODUCTION</w:t>
        </w:r>
        <w:r w:rsidRPr="00AD4094">
          <w:rPr>
            <w:rFonts w:asciiTheme="majorHAnsi" w:hAnsiTheme="majorHAnsi" w:cstheme="majorHAnsi"/>
            <w:b/>
            <w:bCs w:val="0"/>
            <w:noProof/>
            <w:webHidden/>
          </w:rPr>
          <w:tab/>
        </w:r>
        <w:r w:rsidRPr="00AD4094">
          <w:rPr>
            <w:rFonts w:asciiTheme="majorHAnsi" w:hAnsiTheme="majorHAnsi" w:cstheme="majorHAnsi"/>
            <w:b/>
            <w:bCs w:val="0"/>
            <w:noProof/>
            <w:webHidden/>
          </w:rPr>
          <w:fldChar w:fldCharType="begin"/>
        </w:r>
        <w:r w:rsidRPr="00AD4094">
          <w:rPr>
            <w:rFonts w:asciiTheme="majorHAnsi" w:hAnsiTheme="majorHAnsi" w:cstheme="majorHAnsi"/>
            <w:b/>
            <w:bCs w:val="0"/>
            <w:noProof/>
            <w:webHidden/>
          </w:rPr>
          <w:instrText xml:space="preserve"> PAGEREF _Toc189499367 \h </w:instrText>
        </w:r>
        <w:r w:rsidRPr="00AD4094">
          <w:rPr>
            <w:rFonts w:asciiTheme="majorHAnsi" w:hAnsiTheme="majorHAnsi" w:cstheme="majorHAnsi"/>
            <w:b/>
            <w:bCs w:val="0"/>
            <w:noProof/>
            <w:webHidden/>
          </w:rPr>
        </w:r>
        <w:r w:rsidRPr="00AD4094">
          <w:rPr>
            <w:rFonts w:asciiTheme="majorHAnsi" w:hAnsiTheme="majorHAnsi" w:cstheme="majorHAnsi"/>
            <w:b/>
            <w:bCs w:val="0"/>
            <w:noProof/>
            <w:webHidden/>
          </w:rPr>
          <w:fldChar w:fldCharType="separate"/>
        </w:r>
        <w:r w:rsidR="00FA12FC">
          <w:rPr>
            <w:rFonts w:asciiTheme="majorHAnsi" w:hAnsiTheme="majorHAnsi" w:cstheme="majorHAnsi"/>
            <w:b/>
            <w:bCs w:val="0"/>
            <w:noProof/>
            <w:webHidden/>
          </w:rPr>
          <w:t>3</w:t>
        </w:r>
        <w:r w:rsidRPr="00AD4094">
          <w:rPr>
            <w:rFonts w:asciiTheme="majorHAnsi" w:hAnsiTheme="majorHAnsi" w:cstheme="majorHAnsi"/>
            <w:b/>
            <w:bCs w:val="0"/>
            <w:noProof/>
            <w:webHidden/>
          </w:rPr>
          <w:fldChar w:fldCharType="end"/>
        </w:r>
      </w:hyperlink>
    </w:p>
    <w:p w14:paraId="528610D5" w14:textId="783612E7" w:rsidR="00AD4094" w:rsidRPr="00AD4094" w:rsidRDefault="00AD4094">
      <w:pPr>
        <w:pStyle w:val="TOC1"/>
        <w:tabs>
          <w:tab w:val="right" w:leader="dot" w:pos="8302"/>
        </w:tabs>
        <w:rPr>
          <w:rFonts w:asciiTheme="majorHAnsi" w:eastAsiaTheme="minorEastAsia" w:hAnsiTheme="majorHAnsi" w:cstheme="majorHAnsi"/>
          <w:b/>
          <w:bCs w:val="0"/>
          <w:noProof/>
          <w:sz w:val="22"/>
          <w:szCs w:val="22"/>
          <w:lang w:eastAsia="en-AU"/>
        </w:rPr>
      </w:pPr>
      <w:hyperlink w:anchor="_Toc189499368" w:history="1">
        <w:r w:rsidRPr="00AD4094">
          <w:rPr>
            <w:rStyle w:val="Hyperlink"/>
            <w:rFonts w:asciiTheme="majorHAnsi" w:hAnsiTheme="majorHAnsi" w:cstheme="majorHAnsi"/>
            <w:b/>
            <w:bCs w:val="0"/>
            <w:noProof/>
          </w:rPr>
          <w:t>QUESTION 1: WHAT WAS CPTPP MEANT TO RESOLVE?</w:t>
        </w:r>
        <w:r w:rsidRPr="00AD4094">
          <w:rPr>
            <w:rFonts w:asciiTheme="majorHAnsi" w:hAnsiTheme="majorHAnsi" w:cstheme="majorHAnsi"/>
            <w:b/>
            <w:bCs w:val="0"/>
            <w:noProof/>
            <w:webHidden/>
          </w:rPr>
          <w:tab/>
        </w:r>
        <w:r w:rsidRPr="00AD4094">
          <w:rPr>
            <w:rFonts w:asciiTheme="majorHAnsi" w:hAnsiTheme="majorHAnsi" w:cstheme="majorHAnsi"/>
            <w:b/>
            <w:bCs w:val="0"/>
            <w:noProof/>
            <w:webHidden/>
          </w:rPr>
          <w:fldChar w:fldCharType="begin"/>
        </w:r>
        <w:r w:rsidRPr="00AD4094">
          <w:rPr>
            <w:rFonts w:asciiTheme="majorHAnsi" w:hAnsiTheme="majorHAnsi" w:cstheme="majorHAnsi"/>
            <w:b/>
            <w:bCs w:val="0"/>
            <w:noProof/>
            <w:webHidden/>
          </w:rPr>
          <w:instrText xml:space="preserve"> PAGEREF _Toc189499368 \h </w:instrText>
        </w:r>
        <w:r w:rsidRPr="00AD4094">
          <w:rPr>
            <w:rFonts w:asciiTheme="majorHAnsi" w:hAnsiTheme="majorHAnsi" w:cstheme="majorHAnsi"/>
            <w:b/>
            <w:bCs w:val="0"/>
            <w:noProof/>
            <w:webHidden/>
          </w:rPr>
        </w:r>
        <w:r w:rsidRPr="00AD4094">
          <w:rPr>
            <w:rFonts w:asciiTheme="majorHAnsi" w:hAnsiTheme="majorHAnsi" w:cstheme="majorHAnsi"/>
            <w:b/>
            <w:bCs w:val="0"/>
            <w:noProof/>
            <w:webHidden/>
          </w:rPr>
          <w:fldChar w:fldCharType="separate"/>
        </w:r>
        <w:r w:rsidR="00FA12FC">
          <w:rPr>
            <w:rFonts w:asciiTheme="majorHAnsi" w:hAnsiTheme="majorHAnsi" w:cstheme="majorHAnsi"/>
            <w:b/>
            <w:bCs w:val="0"/>
            <w:noProof/>
            <w:webHidden/>
          </w:rPr>
          <w:t>8</w:t>
        </w:r>
        <w:r w:rsidRPr="00AD4094">
          <w:rPr>
            <w:rFonts w:asciiTheme="majorHAnsi" w:hAnsiTheme="majorHAnsi" w:cstheme="majorHAnsi"/>
            <w:b/>
            <w:bCs w:val="0"/>
            <w:noProof/>
            <w:webHidden/>
          </w:rPr>
          <w:fldChar w:fldCharType="end"/>
        </w:r>
      </w:hyperlink>
    </w:p>
    <w:p w14:paraId="7C40A8C5" w14:textId="470630CD" w:rsidR="00AD4094" w:rsidRPr="00AD4094" w:rsidRDefault="00AD4094">
      <w:pPr>
        <w:pStyle w:val="TOC1"/>
        <w:tabs>
          <w:tab w:val="right" w:leader="dot" w:pos="8302"/>
        </w:tabs>
        <w:rPr>
          <w:rFonts w:asciiTheme="majorHAnsi" w:eastAsiaTheme="minorEastAsia" w:hAnsiTheme="majorHAnsi" w:cstheme="majorHAnsi"/>
          <w:b/>
          <w:bCs w:val="0"/>
          <w:noProof/>
          <w:sz w:val="22"/>
          <w:szCs w:val="22"/>
          <w:lang w:eastAsia="en-AU"/>
        </w:rPr>
      </w:pPr>
      <w:hyperlink w:anchor="_Toc189499369" w:history="1">
        <w:r w:rsidRPr="00AD4094">
          <w:rPr>
            <w:rStyle w:val="Hyperlink"/>
            <w:rFonts w:asciiTheme="majorHAnsi" w:hAnsiTheme="majorHAnsi" w:cstheme="majorHAnsi"/>
            <w:b/>
            <w:bCs w:val="0"/>
            <w:noProof/>
          </w:rPr>
          <w:t>QUESTION 2: WHY WAS GOVERNMENT ACTION NEEDED?</w:t>
        </w:r>
        <w:r w:rsidRPr="00AD4094">
          <w:rPr>
            <w:rFonts w:asciiTheme="majorHAnsi" w:hAnsiTheme="majorHAnsi" w:cstheme="majorHAnsi"/>
            <w:b/>
            <w:bCs w:val="0"/>
            <w:noProof/>
            <w:webHidden/>
          </w:rPr>
          <w:tab/>
        </w:r>
        <w:r w:rsidRPr="00AD4094">
          <w:rPr>
            <w:rFonts w:asciiTheme="majorHAnsi" w:hAnsiTheme="majorHAnsi" w:cstheme="majorHAnsi"/>
            <w:b/>
            <w:bCs w:val="0"/>
            <w:noProof/>
            <w:webHidden/>
          </w:rPr>
          <w:fldChar w:fldCharType="begin"/>
        </w:r>
        <w:r w:rsidRPr="00AD4094">
          <w:rPr>
            <w:rFonts w:asciiTheme="majorHAnsi" w:hAnsiTheme="majorHAnsi" w:cstheme="majorHAnsi"/>
            <w:b/>
            <w:bCs w:val="0"/>
            <w:noProof/>
            <w:webHidden/>
          </w:rPr>
          <w:instrText xml:space="preserve"> PAGEREF _Toc189499369 \h </w:instrText>
        </w:r>
        <w:r w:rsidRPr="00AD4094">
          <w:rPr>
            <w:rFonts w:asciiTheme="majorHAnsi" w:hAnsiTheme="majorHAnsi" w:cstheme="majorHAnsi"/>
            <w:b/>
            <w:bCs w:val="0"/>
            <w:noProof/>
            <w:webHidden/>
          </w:rPr>
        </w:r>
        <w:r w:rsidRPr="00AD4094">
          <w:rPr>
            <w:rFonts w:asciiTheme="majorHAnsi" w:hAnsiTheme="majorHAnsi" w:cstheme="majorHAnsi"/>
            <w:b/>
            <w:bCs w:val="0"/>
            <w:noProof/>
            <w:webHidden/>
          </w:rPr>
          <w:fldChar w:fldCharType="separate"/>
        </w:r>
        <w:r w:rsidR="00FA12FC">
          <w:rPr>
            <w:rFonts w:asciiTheme="majorHAnsi" w:hAnsiTheme="majorHAnsi" w:cstheme="majorHAnsi"/>
            <w:b/>
            <w:bCs w:val="0"/>
            <w:noProof/>
            <w:webHidden/>
          </w:rPr>
          <w:t>11</w:t>
        </w:r>
        <w:r w:rsidRPr="00AD4094">
          <w:rPr>
            <w:rFonts w:asciiTheme="majorHAnsi" w:hAnsiTheme="majorHAnsi" w:cstheme="majorHAnsi"/>
            <w:b/>
            <w:bCs w:val="0"/>
            <w:noProof/>
            <w:webHidden/>
          </w:rPr>
          <w:fldChar w:fldCharType="end"/>
        </w:r>
      </w:hyperlink>
    </w:p>
    <w:p w14:paraId="57979543" w14:textId="17492436" w:rsidR="00AD4094" w:rsidRPr="00AD4094" w:rsidRDefault="00AD4094">
      <w:pPr>
        <w:pStyle w:val="TOC1"/>
        <w:tabs>
          <w:tab w:val="right" w:leader="dot" w:pos="8302"/>
        </w:tabs>
        <w:rPr>
          <w:rFonts w:asciiTheme="majorHAnsi" w:eastAsiaTheme="minorEastAsia" w:hAnsiTheme="majorHAnsi" w:cstheme="majorHAnsi"/>
          <w:b/>
          <w:bCs w:val="0"/>
          <w:noProof/>
          <w:sz w:val="22"/>
          <w:szCs w:val="22"/>
          <w:lang w:eastAsia="en-AU"/>
        </w:rPr>
      </w:pPr>
      <w:hyperlink w:anchor="_Toc189499370" w:history="1">
        <w:r w:rsidRPr="00AD4094">
          <w:rPr>
            <w:rStyle w:val="Hyperlink"/>
            <w:rFonts w:asciiTheme="majorHAnsi" w:hAnsiTheme="majorHAnsi" w:cstheme="majorHAnsi"/>
            <w:b/>
            <w:bCs w:val="0"/>
            <w:noProof/>
          </w:rPr>
          <w:t>QUESTION 3: WHAT POLICY OPTIONS WERE CONSIDERED?</w:t>
        </w:r>
        <w:r w:rsidRPr="00AD4094">
          <w:rPr>
            <w:rFonts w:asciiTheme="majorHAnsi" w:hAnsiTheme="majorHAnsi" w:cstheme="majorHAnsi"/>
            <w:b/>
            <w:bCs w:val="0"/>
            <w:noProof/>
            <w:webHidden/>
          </w:rPr>
          <w:tab/>
        </w:r>
        <w:r w:rsidRPr="00AD4094">
          <w:rPr>
            <w:rFonts w:asciiTheme="majorHAnsi" w:hAnsiTheme="majorHAnsi" w:cstheme="majorHAnsi"/>
            <w:b/>
            <w:bCs w:val="0"/>
            <w:noProof/>
            <w:webHidden/>
          </w:rPr>
          <w:fldChar w:fldCharType="begin"/>
        </w:r>
        <w:r w:rsidRPr="00AD4094">
          <w:rPr>
            <w:rFonts w:asciiTheme="majorHAnsi" w:hAnsiTheme="majorHAnsi" w:cstheme="majorHAnsi"/>
            <w:b/>
            <w:bCs w:val="0"/>
            <w:noProof/>
            <w:webHidden/>
          </w:rPr>
          <w:instrText xml:space="preserve"> PAGEREF _Toc189499370 \h </w:instrText>
        </w:r>
        <w:r w:rsidRPr="00AD4094">
          <w:rPr>
            <w:rFonts w:asciiTheme="majorHAnsi" w:hAnsiTheme="majorHAnsi" w:cstheme="majorHAnsi"/>
            <w:b/>
            <w:bCs w:val="0"/>
            <w:noProof/>
            <w:webHidden/>
          </w:rPr>
        </w:r>
        <w:r w:rsidRPr="00AD4094">
          <w:rPr>
            <w:rFonts w:asciiTheme="majorHAnsi" w:hAnsiTheme="majorHAnsi" w:cstheme="majorHAnsi"/>
            <w:b/>
            <w:bCs w:val="0"/>
            <w:noProof/>
            <w:webHidden/>
          </w:rPr>
          <w:fldChar w:fldCharType="separate"/>
        </w:r>
        <w:r w:rsidR="00FA12FC">
          <w:rPr>
            <w:rFonts w:asciiTheme="majorHAnsi" w:hAnsiTheme="majorHAnsi" w:cstheme="majorHAnsi"/>
            <w:b/>
            <w:bCs w:val="0"/>
            <w:noProof/>
            <w:webHidden/>
          </w:rPr>
          <w:t>14</w:t>
        </w:r>
        <w:r w:rsidRPr="00AD4094">
          <w:rPr>
            <w:rFonts w:asciiTheme="majorHAnsi" w:hAnsiTheme="majorHAnsi" w:cstheme="majorHAnsi"/>
            <w:b/>
            <w:bCs w:val="0"/>
            <w:noProof/>
            <w:webHidden/>
          </w:rPr>
          <w:fldChar w:fldCharType="end"/>
        </w:r>
      </w:hyperlink>
    </w:p>
    <w:p w14:paraId="6D460361" w14:textId="2D11BE43" w:rsidR="00AD4094" w:rsidRPr="00AD4094" w:rsidRDefault="00AD4094">
      <w:pPr>
        <w:pStyle w:val="TOC1"/>
        <w:tabs>
          <w:tab w:val="right" w:leader="dot" w:pos="8302"/>
        </w:tabs>
        <w:rPr>
          <w:rFonts w:asciiTheme="majorHAnsi" w:eastAsiaTheme="minorEastAsia" w:hAnsiTheme="majorHAnsi" w:cstheme="majorHAnsi"/>
          <w:b/>
          <w:bCs w:val="0"/>
          <w:noProof/>
          <w:sz w:val="22"/>
          <w:szCs w:val="22"/>
          <w:lang w:eastAsia="en-AU"/>
        </w:rPr>
      </w:pPr>
      <w:hyperlink w:anchor="_Toc189499371" w:history="1">
        <w:r w:rsidRPr="00AD4094">
          <w:rPr>
            <w:rStyle w:val="Hyperlink"/>
            <w:rFonts w:asciiTheme="majorHAnsi" w:hAnsiTheme="majorHAnsi" w:cstheme="majorHAnsi"/>
            <w:b/>
            <w:bCs w:val="0"/>
            <w:noProof/>
          </w:rPr>
          <w:t>QUESTION 4: WHAT WERE THE IMPACTS OF CPTPP?</w:t>
        </w:r>
        <w:r w:rsidRPr="00AD4094">
          <w:rPr>
            <w:rFonts w:asciiTheme="majorHAnsi" w:hAnsiTheme="majorHAnsi" w:cstheme="majorHAnsi"/>
            <w:b/>
            <w:bCs w:val="0"/>
            <w:noProof/>
            <w:webHidden/>
          </w:rPr>
          <w:tab/>
        </w:r>
        <w:r w:rsidRPr="00AD4094">
          <w:rPr>
            <w:rFonts w:asciiTheme="majorHAnsi" w:hAnsiTheme="majorHAnsi" w:cstheme="majorHAnsi"/>
            <w:b/>
            <w:bCs w:val="0"/>
            <w:noProof/>
            <w:webHidden/>
          </w:rPr>
          <w:fldChar w:fldCharType="begin"/>
        </w:r>
        <w:r w:rsidRPr="00AD4094">
          <w:rPr>
            <w:rFonts w:asciiTheme="majorHAnsi" w:hAnsiTheme="majorHAnsi" w:cstheme="majorHAnsi"/>
            <w:b/>
            <w:bCs w:val="0"/>
            <w:noProof/>
            <w:webHidden/>
          </w:rPr>
          <w:instrText xml:space="preserve"> PAGEREF _Toc189499371 \h </w:instrText>
        </w:r>
        <w:r w:rsidRPr="00AD4094">
          <w:rPr>
            <w:rFonts w:asciiTheme="majorHAnsi" w:hAnsiTheme="majorHAnsi" w:cstheme="majorHAnsi"/>
            <w:b/>
            <w:bCs w:val="0"/>
            <w:noProof/>
            <w:webHidden/>
          </w:rPr>
        </w:r>
        <w:r w:rsidRPr="00AD4094">
          <w:rPr>
            <w:rFonts w:asciiTheme="majorHAnsi" w:hAnsiTheme="majorHAnsi" w:cstheme="majorHAnsi"/>
            <w:b/>
            <w:bCs w:val="0"/>
            <w:noProof/>
            <w:webHidden/>
          </w:rPr>
          <w:fldChar w:fldCharType="separate"/>
        </w:r>
        <w:r w:rsidR="00FA12FC">
          <w:rPr>
            <w:rFonts w:asciiTheme="majorHAnsi" w:hAnsiTheme="majorHAnsi" w:cstheme="majorHAnsi"/>
            <w:b/>
            <w:bCs w:val="0"/>
            <w:noProof/>
            <w:webHidden/>
          </w:rPr>
          <w:t>16</w:t>
        </w:r>
        <w:r w:rsidRPr="00AD4094">
          <w:rPr>
            <w:rFonts w:asciiTheme="majorHAnsi" w:hAnsiTheme="majorHAnsi" w:cstheme="majorHAnsi"/>
            <w:b/>
            <w:bCs w:val="0"/>
            <w:noProof/>
            <w:webHidden/>
          </w:rPr>
          <w:fldChar w:fldCharType="end"/>
        </w:r>
      </w:hyperlink>
    </w:p>
    <w:p w14:paraId="31FC8A7D" w14:textId="131DDEAB" w:rsidR="00AD4094" w:rsidRPr="00AD4094" w:rsidRDefault="00AD4094">
      <w:pPr>
        <w:pStyle w:val="TOC1"/>
        <w:tabs>
          <w:tab w:val="right" w:leader="dot" w:pos="8302"/>
        </w:tabs>
        <w:rPr>
          <w:rFonts w:asciiTheme="majorHAnsi" w:eastAsiaTheme="minorEastAsia" w:hAnsiTheme="majorHAnsi" w:cstheme="majorHAnsi"/>
          <w:b/>
          <w:bCs w:val="0"/>
          <w:noProof/>
          <w:sz w:val="22"/>
          <w:szCs w:val="22"/>
          <w:lang w:eastAsia="en-AU"/>
        </w:rPr>
      </w:pPr>
      <w:hyperlink w:anchor="_Toc189499372" w:history="1">
        <w:r w:rsidRPr="00AD4094">
          <w:rPr>
            <w:rStyle w:val="Hyperlink"/>
            <w:rFonts w:asciiTheme="majorHAnsi" w:hAnsiTheme="majorHAnsi" w:cstheme="majorHAnsi"/>
            <w:b/>
            <w:bCs w:val="0"/>
            <w:noProof/>
          </w:rPr>
          <w:t>QUESTION 5: WHICH STAKEHOLDERS HAVE BEEN CONSULTED?</w:t>
        </w:r>
        <w:r w:rsidRPr="00AD4094">
          <w:rPr>
            <w:rFonts w:asciiTheme="majorHAnsi" w:hAnsiTheme="majorHAnsi" w:cstheme="majorHAnsi"/>
            <w:b/>
            <w:bCs w:val="0"/>
            <w:noProof/>
            <w:webHidden/>
          </w:rPr>
          <w:tab/>
        </w:r>
        <w:r w:rsidRPr="00AD4094">
          <w:rPr>
            <w:rFonts w:asciiTheme="majorHAnsi" w:hAnsiTheme="majorHAnsi" w:cstheme="majorHAnsi"/>
            <w:b/>
            <w:bCs w:val="0"/>
            <w:noProof/>
            <w:webHidden/>
          </w:rPr>
          <w:fldChar w:fldCharType="begin"/>
        </w:r>
        <w:r w:rsidRPr="00AD4094">
          <w:rPr>
            <w:rFonts w:asciiTheme="majorHAnsi" w:hAnsiTheme="majorHAnsi" w:cstheme="majorHAnsi"/>
            <w:b/>
            <w:bCs w:val="0"/>
            <w:noProof/>
            <w:webHidden/>
          </w:rPr>
          <w:instrText xml:space="preserve"> PAGEREF _Toc189499372 \h </w:instrText>
        </w:r>
        <w:r w:rsidRPr="00AD4094">
          <w:rPr>
            <w:rFonts w:asciiTheme="majorHAnsi" w:hAnsiTheme="majorHAnsi" w:cstheme="majorHAnsi"/>
            <w:b/>
            <w:bCs w:val="0"/>
            <w:noProof/>
            <w:webHidden/>
          </w:rPr>
        </w:r>
        <w:r w:rsidRPr="00AD4094">
          <w:rPr>
            <w:rFonts w:asciiTheme="majorHAnsi" w:hAnsiTheme="majorHAnsi" w:cstheme="majorHAnsi"/>
            <w:b/>
            <w:bCs w:val="0"/>
            <w:noProof/>
            <w:webHidden/>
          </w:rPr>
          <w:fldChar w:fldCharType="separate"/>
        </w:r>
        <w:r w:rsidR="00FA12FC">
          <w:rPr>
            <w:rFonts w:asciiTheme="majorHAnsi" w:hAnsiTheme="majorHAnsi" w:cstheme="majorHAnsi"/>
            <w:b/>
            <w:bCs w:val="0"/>
            <w:noProof/>
            <w:webHidden/>
          </w:rPr>
          <w:t>53</w:t>
        </w:r>
        <w:r w:rsidRPr="00AD4094">
          <w:rPr>
            <w:rFonts w:asciiTheme="majorHAnsi" w:hAnsiTheme="majorHAnsi" w:cstheme="majorHAnsi"/>
            <w:b/>
            <w:bCs w:val="0"/>
            <w:noProof/>
            <w:webHidden/>
          </w:rPr>
          <w:fldChar w:fldCharType="end"/>
        </w:r>
      </w:hyperlink>
    </w:p>
    <w:p w14:paraId="4059A6C4" w14:textId="587F027B" w:rsidR="00AD4094" w:rsidRPr="00AD4094" w:rsidRDefault="00AD4094">
      <w:pPr>
        <w:pStyle w:val="TOC1"/>
        <w:tabs>
          <w:tab w:val="right" w:leader="dot" w:pos="8302"/>
        </w:tabs>
        <w:rPr>
          <w:rFonts w:asciiTheme="majorHAnsi" w:eastAsiaTheme="minorEastAsia" w:hAnsiTheme="majorHAnsi" w:cstheme="majorHAnsi"/>
          <w:b/>
          <w:bCs w:val="0"/>
          <w:noProof/>
          <w:sz w:val="22"/>
          <w:szCs w:val="22"/>
          <w:lang w:eastAsia="en-AU"/>
        </w:rPr>
      </w:pPr>
      <w:hyperlink w:anchor="_Toc189499373" w:history="1">
        <w:r w:rsidRPr="00AD4094">
          <w:rPr>
            <w:rStyle w:val="Hyperlink"/>
            <w:rFonts w:asciiTheme="majorHAnsi" w:hAnsiTheme="majorHAnsi" w:cstheme="majorHAnsi"/>
            <w:b/>
            <w:bCs w:val="0"/>
            <w:noProof/>
          </w:rPr>
          <w:t>QUESTION 6: HAS CPTPP DELIVERED A NET BENEFIT?</w:t>
        </w:r>
        <w:r w:rsidRPr="00AD4094">
          <w:rPr>
            <w:rFonts w:asciiTheme="majorHAnsi" w:hAnsiTheme="majorHAnsi" w:cstheme="majorHAnsi"/>
            <w:b/>
            <w:bCs w:val="0"/>
            <w:noProof/>
            <w:webHidden/>
          </w:rPr>
          <w:tab/>
        </w:r>
        <w:r w:rsidRPr="00AD4094">
          <w:rPr>
            <w:rFonts w:asciiTheme="majorHAnsi" w:hAnsiTheme="majorHAnsi" w:cstheme="majorHAnsi"/>
            <w:b/>
            <w:bCs w:val="0"/>
            <w:noProof/>
            <w:webHidden/>
          </w:rPr>
          <w:fldChar w:fldCharType="begin"/>
        </w:r>
        <w:r w:rsidRPr="00AD4094">
          <w:rPr>
            <w:rFonts w:asciiTheme="majorHAnsi" w:hAnsiTheme="majorHAnsi" w:cstheme="majorHAnsi"/>
            <w:b/>
            <w:bCs w:val="0"/>
            <w:noProof/>
            <w:webHidden/>
          </w:rPr>
          <w:instrText xml:space="preserve"> PAGEREF _Toc189499373 \h </w:instrText>
        </w:r>
        <w:r w:rsidRPr="00AD4094">
          <w:rPr>
            <w:rFonts w:asciiTheme="majorHAnsi" w:hAnsiTheme="majorHAnsi" w:cstheme="majorHAnsi"/>
            <w:b/>
            <w:bCs w:val="0"/>
            <w:noProof/>
            <w:webHidden/>
          </w:rPr>
        </w:r>
        <w:r w:rsidRPr="00AD4094">
          <w:rPr>
            <w:rFonts w:asciiTheme="majorHAnsi" w:hAnsiTheme="majorHAnsi" w:cstheme="majorHAnsi"/>
            <w:b/>
            <w:bCs w:val="0"/>
            <w:noProof/>
            <w:webHidden/>
          </w:rPr>
          <w:fldChar w:fldCharType="separate"/>
        </w:r>
        <w:r w:rsidR="00FA12FC">
          <w:rPr>
            <w:rFonts w:asciiTheme="majorHAnsi" w:hAnsiTheme="majorHAnsi" w:cstheme="majorHAnsi"/>
            <w:b/>
            <w:bCs w:val="0"/>
            <w:noProof/>
            <w:webHidden/>
          </w:rPr>
          <w:t>55</w:t>
        </w:r>
        <w:r w:rsidRPr="00AD4094">
          <w:rPr>
            <w:rFonts w:asciiTheme="majorHAnsi" w:hAnsiTheme="majorHAnsi" w:cstheme="majorHAnsi"/>
            <w:b/>
            <w:bCs w:val="0"/>
            <w:noProof/>
            <w:webHidden/>
          </w:rPr>
          <w:fldChar w:fldCharType="end"/>
        </w:r>
      </w:hyperlink>
    </w:p>
    <w:p w14:paraId="4A5F8060" w14:textId="57412D48" w:rsidR="00AD4094" w:rsidRPr="00AD4094" w:rsidRDefault="00AD4094">
      <w:pPr>
        <w:pStyle w:val="TOC1"/>
        <w:tabs>
          <w:tab w:val="right" w:leader="dot" w:pos="8302"/>
        </w:tabs>
        <w:rPr>
          <w:rFonts w:asciiTheme="majorHAnsi" w:eastAsiaTheme="minorEastAsia" w:hAnsiTheme="majorHAnsi" w:cstheme="majorHAnsi"/>
          <w:b/>
          <w:bCs w:val="0"/>
          <w:noProof/>
          <w:sz w:val="22"/>
          <w:szCs w:val="22"/>
          <w:lang w:eastAsia="en-AU"/>
        </w:rPr>
      </w:pPr>
      <w:hyperlink w:anchor="_Toc189499374" w:history="1">
        <w:r w:rsidRPr="00AD4094">
          <w:rPr>
            <w:rStyle w:val="Hyperlink"/>
            <w:rFonts w:asciiTheme="majorHAnsi" w:hAnsiTheme="majorHAnsi" w:cstheme="majorHAnsi"/>
            <w:b/>
            <w:bCs w:val="0"/>
            <w:noProof/>
          </w:rPr>
          <w:t>QUESTION 7: HOW HAS CPTPP BEEN IMPLEMENTED AND EVALUATED?</w:t>
        </w:r>
        <w:r w:rsidRPr="00AD4094">
          <w:rPr>
            <w:rFonts w:asciiTheme="majorHAnsi" w:hAnsiTheme="majorHAnsi" w:cstheme="majorHAnsi"/>
            <w:b/>
            <w:bCs w:val="0"/>
            <w:noProof/>
            <w:webHidden/>
          </w:rPr>
          <w:tab/>
        </w:r>
        <w:r w:rsidRPr="00AD4094">
          <w:rPr>
            <w:rFonts w:asciiTheme="majorHAnsi" w:hAnsiTheme="majorHAnsi" w:cstheme="majorHAnsi"/>
            <w:b/>
            <w:bCs w:val="0"/>
            <w:noProof/>
            <w:webHidden/>
          </w:rPr>
          <w:fldChar w:fldCharType="begin"/>
        </w:r>
        <w:r w:rsidRPr="00AD4094">
          <w:rPr>
            <w:rFonts w:asciiTheme="majorHAnsi" w:hAnsiTheme="majorHAnsi" w:cstheme="majorHAnsi"/>
            <w:b/>
            <w:bCs w:val="0"/>
            <w:noProof/>
            <w:webHidden/>
          </w:rPr>
          <w:instrText xml:space="preserve"> PAGEREF _Toc189499374 \h </w:instrText>
        </w:r>
        <w:r w:rsidRPr="00AD4094">
          <w:rPr>
            <w:rFonts w:asciiTheme="majorHAnsi" w:hAnsiTheme="majorHAnsi" w:cstheme="majorHAnsi"/>
            <w:b/>
            <w:bCs w:val="0"/>
            <w:noProof/>
            <w:webHidden/>
          </w:rPr>
        </w:r>
        <w:r w:rsidRPr="00AD4094">
          <w:rPr>
            <w:rFonts w:asciiTheme="majorHAnsi" w:hAnsiTheme="majorHAnsi" w:cstheme="majorHAnsi"/>
            <w:b/>
            <w:bCs w:val="0"/>
            <w:noProof/>
            <w:webHidden/>
          </w:rPr>
          <w:fldChar w:fldCharType="separate"/>
        </w:r>
        <w:r w:rsidR="00FA12FC">
          <w:rPr>
            <w:rFonts w:asciiTheme="majorHAnsi" w:hAnsiTheme="majorHAnsi" w:cstheme="majorHAnsi"/>
            <w:b/>
            <w:bCs w:val="0"/>
            <w:noProof/>
            <w:webHidden/>
          </w:rPr>
          <w:t>57</w:t>
        </w:r>
        <w:r w:rsidRPr="00AD4094">
          <w:rPr>
            <w:rFonts w:asciiTheme="majorHAnsi" w:hAnsiTheme="majorHAnsi" w:cstheme="majorHAnsi"/>
            <w:b/>
            <w:bCs w:val="0"/>
            <w:noProof/>
            <w:webHidden/>
          </w:rPr>
          <w:fldChar w:fldCharType="end"/>
        </w:r>
      </w:hyperlink>
    </w:p>
    <w:p w14:paraId="4CCCAE2D" w14:textId="2C93A3F1" w:rsidR="00AD4094" w:rsidRDefault="00AD4094">
      <w:pPr>
        <w:pStyle w:val="TOC1"/>
        <w:tabs>
          <w:tab w:val="right" w:leader="dot" w:pos="8302"/>
        </w:tabs>
        <w:rPr>
          <w:rFonts w:asciiTheme="minorHAnsi" w:eastAsiaTheme="minorEastAsia" w:hAnsiTheme="minorHAnsi" w:cstheme="minorBidi"/>
          <w:bCs w:val="0"/>
          <w:noProof/>
          <w:sz w:val="22"/>
          <w:szCs w:val="22"/>
          <w:lang w:eastAsia="en-AU"/>
        </w:rPr>
      </w:pPr>
      <w:hyperlink w:anchor="_Toc189499375" w:history="1">
        <w:r w:rsidRPr="00AD4094">
          <w:rPr>
            <w:rStyle w:val="Hyperlink"/>
            <w:rFonts w:asciiTheme="majorHAnsi" w:hAnsiTheme="majorHAnsi" w:cstheme="majorHAnsi"/>
            <w:b/>
            <w:bCs w:val="0"/>
            <w:noProof/>
          </w:rPr>
          <w:t>ATTACHMENT A: REGULATORY BURDEN ESTIMATE</w:t>
        </w:r>
        <w:r w:rsidRPr="00AD4094">
          <w:rPr>
            <w:rFonts w:asciiTheme="majorHAnsi" w:hAnsiTheme="majorHAnsi" w:cstheme="majorHAnsi"/>
            <w:b/>
            <w:bCs w:val="0"/>
            <w:noProof/>
            <w:webHidden/>
          </w:rPr>
          <w:tab/>
        </w:r>
        <w:r w:rsidRPr="00AD4094">
          <w:rPr>
            <w:rFonts w:asciiTheme="majorHAnsi" w:hAnsiTheme="majorHAnsi" w:cstheme="majorHAnsi"/>
            <w:b/>
            <w:bCs w:val="0"/>
            <w:noProof/>
            <w:webHidden/>
          </w:rPr>
          <w:fldChar w:fldCharType="begin"/>
        </w:r>
        <w:r w:rsidRPr="00AD4094">
          <w:rPr>
            <w:rFonts w:asciiTheme="majorHAnsi" w:hAnsiTheme="majorHAnsi" w:cstheme="majorHAnsi"/>
            <w:b/>
            <w:bCs w:val="0"/>
            <w:noProof/>
            <w:webHidden/>
          </w:rPr>
          <w:instrText xml:space="preserve"> PAGEREF _Toc189499375 \h </w:instrText>
        </w:r>
        <w:r w:rsidRPr="00AD4094">
          <w:rPr>
            <w:rFonts w:asciiTheme="majorHAnsi" w:hAnsiTheme="majorHAnsi" w:cstheme="majorHAnsi"/>
            <w:b/>
            <w:bCs w:val="0"/>
            <w:noProof/>
            <w:webHidden/>
          </w:rPr>
        </w:r>
        <w:r w:rsidRPr="00AD4094">
          <w:rPr>
            <w:rFonts w:asciiTheme="majorHAnsi" w:hAnsiTheme="majorHAnsi" w:cstheme="majorHAnsi"/>
            <w:b/>
            <w:bCs w:val="0"/>
            <w:noProof/>
            <w:webHidden/>
          </w:rPr>
          <w:fldChar w:fldCharType="separate"/>
        </w:r>
        <w:r w:rsidR="00FA12FC">
          <w:rPr>
            <w:rFonts w:asciiTheme="majorHAnsi" w:hAnsiTheme="majorHAnsi" w:cstheme="majorHAnsi"/>
            <w:b/>
            <w:bCs w:val="0"/>
            <w:noProof/>
            <w:webHidden/>
          </w:rPr>
          <w:t>62</w:t>
        </w:r>
        <w:r w:rsidRPr="00AD4094">
          <w:rPr>
            <w:rFonts w:asciiTheme="majorHAnsi" w:hAnsiTheme="majorHAnsi" w:cstheme="majorHAnsi"/>
            <w:b/>
            <w:bCs w:val="0"/>
            <w:noProof/>
            <w:webHidden/>
          </w:rPr>
          <w:fldChar w:fldCharType="end"/>
        </w:r>
      </w:hyperlink>
    </w:p>
    <w:p w14:paraId="219DCCC9" w14:textId="6342E33D" w:rsidR="008743BA" w:rsidRPr="00440793" w:rsidRDefault="006D6F75" w:rsidP="00C7287C">
      <w:pPr>
        <w:pStyle w:val="Heading1"/>
        <w:rPr>
          <w:rFonts w:asciiTheme="majorHAnsi" w:hAnsiTheme="majorHAnsi" w:cstheme="majorHAnsi"/>
          <w:color w:val="FF0000"/>
          <w:szCs w:val="24"/>
        </w:rPr>
        <w:sectPr w:rsidR="008743BA" w:rsidRPr="00440793" w:rsidSect="008743BA">
          <w:headerReference w:type="even" r:id="rId7"/>
          <w:headerReference w:type="default" r:id="rId8"/>
          <w:footerReference w:type="even" r:id="rId9"/>
          <w:footerReference w:type="default" r:id="rId10"/>
          <w:headerReference w:type="first" r:id="rId11"/>
          <w:footerReference w:type="first" r:id="rId12"/>
          <w:pgSz w:w="11906" w:h="16838"/>
          <w:pgMar w:top="1245" w:right="1797" w:bottom="1440" w:left="1797" w:header="567" w:footer="709" w:gutter="0"/>
          <w:pgNumType w:start="1"/>
          <w:cols w:space="708"/>
          <w:docGrid w:linePitch="360"/>
        </w:sectPr>
      </w:pPr>
      <w:r w:rsidRPr="00440793">
        <w:rPr>
          <w:rFonts w:asciiTheme="majorHAnsi" w:hAnsiTheme="majorHAnsi" w:cstheme="majorHAnsi"/>
          <w:color w:val="FF0000"/>
          <w:szCs w:val="24"/>
        </w:rPr>
        <w:fldChar w:fldCharType="end"/>
      </w:r>
    </w:p>
    <w:p w14:paraId="3B187F4C" w14:textId="133DEA2D" w:rsidR="006D6F75" w:rsidRPr="00884ECC" w:rsidRDefault="006D6F75" w:rsidP="00C7287C">
      <w:pPr>
        <w:pStyle w:val="Heading1"/>
      </w:pPr>
      <w:bookmarkStart w:id="0" w:name="_Toc189499366"/>
      <w:bookmarkStart w:id="1" w:name="_Toc383427844"/>
      <w:r w:rsidRPr="007950CA">
        <w:lastRenderedPageBreak/>
        <w:t>EXECUTIVE SUMMARY</w:t>
      </w:r>
      <w:bookmarkEnd w:id="0"/>
    </w:p>
    <w:p w14:paraId="2D4A816B" w14:textId="6E8CBA6F" w:rsidR="00431D89" w:rsidRDefault="00814F57" w:rsidP="00305C37">
      <w:pPr>
        <w:pStyle w:val="paragraph"/>
        <w:spacing w:before="0" w:beforeAutospacing="0" w:after="0" w:afterAutospacing="0"/>
        <w:textAlignment w:val="baseline"/>
        <w:rPr>
          <w:rFonts w:asciiTheme="minorHAnsi" w:eastAsiaTheme="minorHAnsi" w:hAnsiTheme="minorHAnsi" w:cstheme="minorBidi"/>
          <w:lang w:eastAsia="en-US"/>
        </w:rPr>
      </w:pPr>
      <w:r w:rsidRPr="00305C37">
        <w:rPr>
          <w:rFonts w:asciiTheme="minorHAnsi" w:eastAsiaTheme="minorHAnsi" w:hAnsiTheme="minorHAnsi" w:cstheme="minorBidi"/>
          <w:lang w:eastAsia="en-US"/>
        </w:rPr>
        <w:t xml:space="preserve">The </w:t>
      </w:r>
      <w:r w:rsidRPr="006427C9">
        <w:rPr>
          <w:rFonts w:asciiTheme="minorHAnsi" w:eastAsiaTheme="minorHAnsi" w:hAnsiTheme="minorHAnsi" w:cstheme="minorBidi"/>
          <w:i/>
          <w:iCs/>
          <w:lang w:eastAsia="en-US"/>
        </w:rPr>
        <w:t>C</w:t>
      </w:r>
      <w:r w:rsidR="007741CE" w:rsidRPr="006427C9">
        <w:rPr>
          <w:rFonts w:asciiTheme="minorHAnsi" w:eastAsiaTheme="minorHAnsi" w:hAnsiTheme="minorHAnsi" w:cstheme="minorBidi"/>
          <w:i/>
          <w:iCs/>
          <w:lang w:eastAsia="en-US"/>
        </w:rPr>
        <w:t xml:space="preserve">omprehensive and </w:t>
      </w:r>
      <w:r w:rsidRPr="006427C9">
        <w:rPr>
          <w:rFonts w:asciiTheme="minorHAnsi" w:eastAsiaTheme="minorHAnsi" w:hAnsiTheme="minorHAnsi" w:cstheme="minorBidi"/>
          <w:i/>
          <w:iCs/>
          <w:lang w:eastAsia="en-US"/>
        </w:rPr>
        <w:t>P</w:t>
      </w:r>
      <w:r w:rsidR="007741CE" w:rsidRPr="006427C9">
        <w:rPr>
          <w:rFonts w:asciiTheme="minorHAnsi" w:eastAsiaTheme="minorHAnsi" w:hAnsiTheme="minorHAnsi" w:cstheme="minorBidi"/>
          <w:i/>
          <w:iCs/>
          <w:lang w:eastAsia="en-US"/>
        </w:rPr>
        <w:t xml:space="preserve">rogressive Agreement </w:t>
      </w:r>
      <w:r w:rsidR="008B12AB" w:rsidRPr="006427C9">
        <w:rPr>
          <w:rFonts w:asciiTheme="minorHAnsi" w:eastAsiaTheme="minorHAnsi" w:hAnsiTheme="minorHAnsi" w:cstheme="minorBidi"/>
          <w:i/>
          <w:iCs/>
          <w:lang w:eastAsia="en-US"/>
        </w:rPr>
        <w:t>for Trans-Pacific Partnership</w:t>
      </w:r>
      <w:r w:rsidR="008B12AB">
        <w:rPr>
          <w:rFonts w:asciiTheme="minorHAnsi" w:eastAsiaTheme="minorHAnsi" w:hAnsiTheme="minorHAnsi" w:cstheme="minorBidi"/>
          <w:lang w:eastAsia="en-US"/>
        </w:rPr>
        <w:t xml:space="preserve"> (CP</w:t>
      </w:r>
      <w:r w:rsidRPr="00305C37">
        <w:rPr>
          <w:rFonts w:asciiTheme="minorHAnsi" w:eastAsiaTheme="minorHAnsi" w:hAnsiTheme="minorHAnsi" w:cstheme="minorBidi"/>
          <w:lang w:eastAsia="en-US"/>
        </w:rPr>
        <w:t>TPP</w:t>
      </w:r>
      <w:r w:rsidR="008B12AB">
        <w:rPr>
          <w:rFonts w:asciiTheme="minorHAnsi" w:eastAsiaTheme="minorHAnsi" w:hAnsiTheme="minorHAnsi" w:cstheme="minorBidi"/>
          <w:lang w:eastAsia="en-US"/>
        </w:rPr>
        <w:t>)</w:t>
      </w:r>
      <w:r w:rsidRPr="00305C37">
        <w:rPr>
          <w:rFonts w:asciiTheme="minorHAnsi" w:eastAsiaTheme="minorHAnsi" w:hAnsiTheme="minorHAnsi" w:cstheme="minorBidi"/>
          <w:lang w:eastAsia="en-US"/>
        </w:rPr>
        <w:t xml:space="preserve"> was signed </w:t>
      </w:r>
      <w:r w:rsidR="002C514A">
        <w:rPr>
          <w:rFonts w:asciiTheme="minorHAnsi" w:eastAsiaTheme="minorHAnsi" w:hAnsiTheme="minorHAnsi" w:cstheme="minorBidi"/>
          <w:lang w:eastAsia="en-US"/>
        </w:rPr>
        <w:t>o</w:t>
      </w:r>
      <w:r w:rsidRPr="00305C37">
        <w:rPr>
          <w:rFonts w:asciiTheme="minorHAnsi" w:eastAsiaTheme="minorHAnsi" w:hAnsiTheme="minorHAnsi" w:cstheme="minorBidi"/>
          <w:lang w:eastAsia="en-US"/>
        </w:rPr>
        <w:t xml:space="preserve">n </w:t>
      </w:r>
      <w:r w:rsidR="008A7C2D">
        <w:rPr>
          <w:rFonts w:asciiTheme="minorHAnsi" w:eastAsiaTheme="minorHAnsi" w:hAnsiTheme="minorHAnsi" w:cstheme="minorBidi"/>
          <w:lang w:eastAsia="en-US"/>
        </w:rPr>
        <w:t xml:space="preserve">8 </w:t>
      </w:r>
      <w:r w:rsidRPr="00305C37">
        <w:rPr>
          <w:rFonts w:asciiTheme="minorHAnsi" w:eastAsiaTheme="minorHAnsi" w:hAnsiTheme="minorHAnsi" w:cstheme="minorBidi"/>
          <w:lang w:eastAsia="en-US"/>
        </w:rPr>
        <w:t xml:space="preserve">March 2018 in Santiago, Chile by </w:t>
      </w:r>
      <w:r w:rsidR="008A7C2D">
        <w:rPr>
          <w:rFonts w:asciiTheme="minorHAnsi" w:eastAsiaTheme="minorHAnsi" w:hAnsiTheme="minorHAnsi" w:cstheme="minorBidi"/>
          <w:lang w:eastAsia="en-US"/>
        </w:rPr>
        <w:t>Ministers</w:t>
      </w:r>
      <w:r w:rsidR="004271C7">
        <w:rPr>
          <w:rFonts w:asciiTheme="minorHAnsi" w:eastAsiaTheme="minorHAnsi" w:hAnsiTheme="minorHAnsi" w:cstheme="minorBidi"/>
          <w:lang w:eastAsia="en-US"/>
        </w:rPr>
        <w:t xml:space="preserve"> and Senior Officials</w:t>
      </w:r>
      <w:r w:rsidR="008A7C2D">
        <w:rPr>
          <w:rFonts w:asciiTheme="minorHAnsi" w:eastAsiaTheme="minorHAnsi" w:hAnsiTheme="minorHAnsi" w:cstheme="minorBidi"/>
          <w:lang w:eastAsia="en-US"/>
        </w:rPr>
        <w:t xml:space="preserve"> representing </w:t>
      </w:r>
      <w:r w:rsidRPr="00305C37">
        <w:rPr>
          <w:rFonts w:asciiTheme="minorHAnsi" w:eastAsiaTheme="minorHAnsi" w:hAnsiTheme="minorHAnsi" w:cstheme="minorBidi"/>
          <w:lang w:eastAsia="en-US"/>
        </w:rPr>
        <w:t>Australia, Brunei</w:t>
      </w:r>
      <w:r w:rsidR="001D2434">
        <w:rPr>
          <w:rFonts w:asciiTheme="minorHAnsi" w:eastAsiaTheme="minorHAnsi" w:hAnsiTheme="minorHAnsi" w:cstheme="minorBidi"/>
          <w:lang w:eastAsia="en-US"/>
        </w:rPr>
        <w:t> </w:t>
      </w:r>
      <w:r w:rsidRPr="00305C37">
        <w:rPr>
          <w:rFonts w:asciiTheme="minorHAnsi" w:eastAsiaTheme="minorHAnsi" w:hAnsiTheme="minorHAnsi" w:cstheme="minorBidi"/>
          <w:lang w:eastAsia="en-US"/>
        </w:rPr>
        <w:t>Darussalam, Canada, Chile, Japan, Malaysia, Mexico, New Zealand, Peru, Singapore</w:t>
      </w:r>
      <w:r w:rsidR="00821166">
        <w:rPr>
          <w:rFonts w:asciiTheme="minorHAnsi" w:eastAsiaTheme="minorHAnsi" w:hAnsiTheme="minorHAnsi" w:cstheme="minorBidi"/>
          <w:lang w:eastAsia="en-US"/>
        </w:rPr>
        <w:t>,</w:t>
      </w:r>
      <w:r w:rsidRPr="00305C37">
        <w:rPr>
          <w:rFonts w:asciiTheme="minorHAnsi" w:eastAsiaTheme="minorHAnsi" w:hAnsiTheme="minorHAnsi" w:cstheme="minorBidi"/>
          <w:lang w:eastAsia="en-US"/>
        </w:rPr>
        <w:t xml:space="preserve"> and Vietnam. </w:t>
      </w:r>
      <w:r w:rsidR="00E567F7">
        <w:rPr>
          <w:rFonts w:asciiTheme="minorHAnsi" w:eastAsiaTheme="minorHAnsi" w:hAnsiTheme="minorHAnsi" w:cstheme="minorBidi"/>
          <w:lang w:eastAsia="en-US"/>
        </w:rPr>
        <w:t>CPTPP</w:t>
      </w:r>
      <w:r w:rsidRPr="00305C37">
        <w:rPr>
          <w:rFonts w:asciiTheme="minorHAnsi" w:eastAsiaTheme="minorHAnsi" w:hAnsiTheme="minorHAnsi" w:cstheme="minorBidi"/>
          <w:lang w:eastAsia="en-US"/>
        </w:rPr>
        <w:t xml:space="preserve"> entered into force for Australia, Canada, Japan, Mexico, New Zealand, and Singapore on 30 December 2018</w:t>
      </w:r>
      <w:r w:rsidR="00B210EF">
        <w:rPr>
          <w:rFonts w:asciiTheme="minorHAnsi" w:eastAsiaTheme="minorHAnsi" w:hAnsiTheme="minorHAnsi" w:cstheme="minorBidi"/>
          <w:lang w:eastAsia="en-US"/>
        </w:rPr>
        <w:t>;</w:t>
      </w:r>
      <w:r w:rsidRPr="00305C37">
        <w:rPr>
          <w:rFonts w:asciiTheme="minorHAnsi" w:eastAsiaTheme="minorHAnsi" w:hAnsiTheme="minorHAnsi" w:cstheme="minorBidi"/>
          <w:lang w:eastAsia="en-US"/>
        </w:rPr>
        <w:t xml:space="preserve"> 14</w:t>
      </w:r>
      <w:r w:rsidR="008A3562">
        <w:rPr>
          <w:rFonts w:asciiTheme="minorHAnsi" w:eastAsiaTheme="minorHAnsi" w:hAnsiTheme="minorHAnsi" w:cstheme="minorBidi"/>
          <w:lang w:eastAsia="en-US"/>
        </w:rPr>
        <w:t> </w:t>
      </w:r>
      <w:r w:rsidRPr="00305C37">
        <w:rPr>
          <w:rFonts w:asciiTheme="minorHAnsi" w:eastAsiaTheme="minorHAnsi" w:hAnsiTheme="minorHAnsi" w:cstheme="minorBidi"/>
          <w:lang w:eastAsia="en-US"/>
        </w:rPr>
        <w:t>January 2019</w:t>
      </w:r>
      <w:r w:rsidR="00764235" w:rsidRPr="00764235">
        <w:rPr>
          <w:rFonts w:asciiTheme="minorHAnsi" w:eastAsiaTheme="minorHAnsi" w:hAnsiTheme="minorHAnsi" w:cstheme="minorBidi"/>
          <w:lang w:eastAsia="en-US"/>
        </w:rPr>
        <w:t xml:space="preserve"> </w:t>
      </w:r>
      <w:r w:rsidR="00764235" w:rsidRPr="00305C37">
        <w:rPr>
          <w:rFonts w:asciiTheme="minorHAnsi" w:eastAsiaTheme="minorHAnsi" w:hAnsiTheme="minorHAnsi" w:cstheme="minorBidi"/>
          <w:lang w:eastAsia="en-US"/>
        </w:rPr>
        <w:t>for Vietnam</w:t>
      </w:r>
      <w:r w:rsidR="00B210EF">
        <w:rPr>
          <w:rFonts w:asciiTheme="minorHAnsi" w:eastAsiaTheme="minorHAnsi" w:hAnsiTheme="minorHAnsi" w:cstheme="minorBidi"/>
          <w:lang w:eastAsia="en-US"/>
        </w:rPr>
        <w:t>;</w:t>
      </w:r>
      <w:r w:rsidRPr="00305C37">
        <w:rPr>
          <w:rFonts w:asciiTheme="minorHAnsi" w:eastAsiaTheme="minorHAnsi" w:hAnsiTheme="minorHAnsi" w:cstheme="minorBidi"/>
          <w:lang w:eastAsia="en-US"/>
        </w:rPr>
        <w:t xml:space="preserve"> 19 September 2021</w:t>
      </w:r>
      <w:r w:rsidR="00764235" w:rsidRPr="00764235">
        <w:rPr>
          <w:rFonts w:asciiTheme="minorHAnsi" w:eastAsiaTheme="minorHAnsi" w:hAnsiTheme="minorHAnsi" w:cstheme="minorBidi"/>
          <w:lang w:eastAsia="en-US"/>
        </w:rPr>
        <w:t xml:space="preserve"> </w:t>
      </w:r>
      <w:r w:rsidR="00764235" w:rsidRPr="00305C37">
        <w:rPr>
          <w:rFonts w:asciiTheme="minorHAnsi" w:eastAsiaTheme="minorHAnsi" w:hAnsiTheme="minorHAnsi" w:cstheme="minorBidi"/>
          <w:lang w:eastAsia="en-US"/>
        </w:rPr>
        <w:t>for Peru</w:t>
      </w:r>
      <w:r w:rsidR="00B210EF">
        <w:rPr>
          <w:rFonts w:asciiTheme="minorHAnsi" w:eastAsiaTheme="minorHAnsi" w:hAnsiTheme="minorHAnsi" w:cstheme="minorBidi"/>
          <w:lang w:eastAsia="en-US"/>
        </w:rPr>
        <w:t>;</w:t>
      </w:r>
      <w:r w:rsidRPr="00305C37">
        <w:rPr>
          <w:rFonts w:asciiTheme="minorHAnsi" w:eastAsiaTheme="minorHAnsi" w:hAnsiTheme="minorHAnsi" w:cstheme="minorBidi"/>
          <w:lang w:eastAsia="en-US"/>
        </w:rPr>
        <w:t xml:space="preserve"> 29 November 2022</w:t>
      </w:r>
      <w:r w:rsidR="009C0073">
        <w:rPr>
          <w:rFonts w:asciiTheme="minorHAnsi" w:eastAsiaTheme="minorHAnsi" w:hAnsiTheme="minorHAnsi" w:cstheme="minorBidi"/>
          <w:lang w:eastAsia="en-US"/>
        </w:rPr>
        <w:t xml:space="preserve"> </w:t>
      </w:r>
      <w:r w:rsidR="009C0073" w:rsidRPr="00305C37">
        <w:rPr>
          <w:rFonts w:asciiTheme="minorHAnsi" w:eastAsiaTheme="minorHAnsi" w:hAnsiTheme="minorHAnsi" w:cstheme="minorBidi"/>
          <w:lang w:eastAsia="en-US"/>
        </w:rPr>
        <w:t>for Malaysia</w:t>
      </w:r>
      <w:r w:rsidR="00C92E9A">
        <w:rPr>
          <w:rFonts w:asciiTheme="minorHAnsi" w:eastAsiaTheme="minorHAnsi" w:hAnsiTheme="minorHAnsi" w:cstheme="minorBidi"/>
          <w:lang w:eastAsia="en-US"/>
        </w:rPr>
        <w:t>;</w:t>
      </w:r>
      <w:r w:rsidR="00C92E9A" w:rsidRPr="00305C37">
        <w:rPr>
          <w:rFonts w:asciiTheme="minorHAnsi" w:eastAsiaTheme="minorHAnsi" w:hAnsiTheme="minorHAnsi" w:cstheme="minorBidi"/>
          <w:lang w:eastAsia="en-US"/>
        </w:rPr>
        <w:t> </w:t>
      </w:r>
      <w:r w:rsidR="006F30AC" w:rsidRPr="00305C37">
        <w:rPr>
          <w:rFonts w:asciiTheme="minorHAnsi" w:eastAsiaTheme="minorHAnsi" w:hAnsiTheme="minorHAnsi" w:cstheme="minorBidi"/>
          <w:lang w:eastAsia="en-US"/>
        </w:rPr>
        <w:t>21</w:t>
      </w:r>
      <w:r w:rsidR="007E2FA1">
        <w:rPr>
          <w:rFonts w:asciiTheme="minorHAnsi" w:eastAsiaTheme="minorHAnsi" w:hAnsiTheme="minorHAnsi" w:cstheme="minorBidi"/>
          <w:lang w:eastAsia="en-US"/>
        </w:rPr>
        <w:t> </w:t>
      </w:r>
      <w:r w:rsidR="006F30AC" w:rsidRPr="00305C37">
        <w:rPr>
          <w:rFonts w:asciiTheme="minorHAnsi" w:eastAsiaTheme="minorHAnsi" w:hAnsiTheme="minorHAnsi" w:cstheme="minorBidi"/>
          <w:lang w:eastAsia="en-US"/>
        </w:rPr>
        <w:t>February 2023</w:t>
      </w:r>
      <w:r w:rsidR="009C0073" w:rsidRPr="009C0073">
        <w:rPr>
          <w:rFonts w:asciiTheme="minorHAnsi" w:eastAsiaTheme="minorHAnsi" w:hAnsiTheme="minorHAnsi" w:cstheme="minorBidi"/>
          <w:lang w:eastAsia="en-US"/>
        </w:rPr>
        <w:t xml:space="preserve"> </w:t>
      </w:r>
      <w:r w:rsidR="009C0073" w:rsidRPr="00305C37">
        <w:rPr>
          <w:rFonts w:asciiTheme="minorHAnsi" w:eastAsiaTheme="minorHAnsi" w:hAnsiTheme="minorHAnsi" w:cstheme="minorBidi"/>
          <w:lang w:eastAsia="en-US"/>
        </w:rPr>
        <w:t>for Chile</w:t>
      </w:r>
      <w:r w:rsidR="00ED4CFF">
        <w:rPr>
          <w:rFonts w:asciiTheme="minorHAnsi" w:eastAsiaTheme="minorHAnsi" w:hAnsiTheme="minorHAnsi" w:cstheme="minorBidi"/>
          <w:lang w:eastAsia="en-US"/>
        </w:rPr>
        <w:t>;</w:t>
      </w:r>
      <w:r w:rsidRPr="00305C37">
        <w:rPr>
          <w:rFonts w:asciiTheme="minorHAnsi" w:eastAsiaTheme="minorHAnsi" w:hAnsiTheme="minorHAnsi" w:cstheme="minorBidi"/>
          <w:lang w:eastAsia="en-US"/>
        </w:rPr>
        <w:t xml:space="preserve"> </w:t>
      </w:r>
      <w:r w:rsidR="006F30AC" w:rsidRPr="00305C37">
        <w:rPr>
          <w:rFonts w:asciiTheme="minorHAnsi" w:eastAsiaTheme="minorHAnsi" w:hAnsiTheme="minorHAnsi" w:cstheme="minorBidi"/>
          <w:lang w:eastAsia="en-US"/>
        </w:rPr>
        <w:t>12 July 2023</w:t>
      </w:r>
      <w:r w:rsidR="00C1090E" w:rsidRPr="00C1090E">
        <w:rPr>
          <w:rFonts w:asciiTheme="minorHAnsi" w:eastAsiaTheme="minorHAnsi" w:hAnsiTheme="minorHAnsi" w:cstheme="minorBidi"/>
          <w:lang w:eastAsia="en-US"/>
        </w:rPr>
        <w:t xml:space="preserve"> </w:t>
      </w:r>
      <w:r w:rsidR="00C1090E" w:rsidRPr="00305C37">
        <w:rPr>
          <w:rFonts w:asciiTheme="minorHAnsi" w:eastAsiaTheme="minorHAnsi" w:hAnsiTheme="minorHAnsi" w:cstheme="minorBidi"/>
          <w:lang w:eastAsia="en-US"/>
        </w:rPr>
        <w:t>for Brunei</w:t>
      </w:r>
      <w:r w:rsidR="00C92E9A">
        <w:rPr>
          <w:rFonts w:asciiTheme="minorHAnsi" w:eastAsiaTheme="minorHAnsi" w:hAnsiTheme="minorHAnsi" w:cstheme="minorBidi"/>
          <w:lang w:eastAsia="en-US"/>
        </w:rPr>
        <w:t>; and 15 December 2024 for the United</w:t>
      </w:r>
      <w:r w:rsidR="0020457C">
        <w:rPr>
          <w:rFonts w:asciiTheme="minorHAnsi" w:eastAsiaTheme="minorHAnsi" w:hAnsiTheme="minorHAnsi" w:cstheme="minorBidi"/>
          <w:lang w:eastAsia="en-US"/>
        </w:rPr>
        <w:t> </w:t>
      </w:r>
      <w:r w:rsidR="00C92E9A">
        <w:rPr>
          <w:rFonts w:asciiTheme="minorHAnsi" w:eastAsiaTheme="minorHAnsi" w:hAnsiTheme="minorHAnsi" w:cstheme="minorBidi"/>
          <w:lang w:eastAsia="en-US"/>
        </w:rPr>
        <w:t>Kingdom</w:t>
      </w:r>
      <w:r w:rsidR="00BE789D">
        <w:rPr>
          <w:rFonts w:asciiTheme="minorHAnsi" w:eastAsiaTheme="minorHAnsi" w:hAnsiTheme="minorHAnsi" w:cstheme="minorBidi"/>
          <w:lang w:eastAsia="en-US"/>
        </w:rPr>
        <w:t>.</w:t>
      </w:r>
      <w:r w:rsidR="00C92E9A" w:rsidRPr="00305C37">
        <w:rPr>
          <w:rFonts w:asciiTheme="minorHAnsi" w:eastAsiaTheme="minorHAnsi" w:hAnsiTheme="minorHAnsi" w:cstheme="minorBidi"/>
          <w:lang w:eastAsia="en-US"/>
        </w:rPr>
        <w:t xml:space="preserve"> </w:t>
      </w:r>
    </w:p>
    <w:p w14:paraId="392EBDB5" w14:textId="77777777" w:rsidR="00431D89" w:rsidRDefault="00431D89" w:rsidP="00305C37">
      <w:pPr>
        <w:pStyle w:val="paragraph"/>
        <w:spacing w:before="0" w:beforeAutospacing="0" w:after="0" w:afterAutospacing="0"/>
        <w:textAlignment w:val="baseline"/>
        <w:rPr>
          <w:rFonts w:asciiTheme="minorHAnsi" w:eastAsiaTheme="minorHAnsi" w:hAnsiTheme="minorHAnsi" w:cstheme="minorBidi"/>
          <w:lang w:eastAsia="en-US"/>
        </w:rPr>
      </w:pPr>
    </w:p>
    <w:p w14:paraId="43652281" w14:textId="6234A7E4" w:rsidR="00814F57" w:rsidRPr="00305C37" w:rsidRDefault="00814F57" w:rsidP="00305C37">
      <w:pPr>
        <w:pStyle w:val="paragraph"/>
        <w:spacing w:before="0" w:beforeAutospacing="0" w:after="0" w:afterAutospacing="0"/>
        <w:textAlignment w:val="baseline"/>
        <w:rPr>
          <w:rFonts w:asciiTheme="minorHAnsi" w:eastAsiaTheme="minorHAnsi" w:hAnsiTheme="minorHAnsi" w:cstheme="minorBidi"/>
          <w:lang w:eastAsia="en-US"/>
        </w:rPr>
      </w:pPr>
      <w:r w:rsidRPr="00305C37">
        <w:rPr>
          <w:rFonts w:asciiTheme="minorHAnsi" w:eastAsiaTheme="minorHAnsi" w:hAnsiTheme="minorHAnsi" w:cstheme="minorBidi"/>
          <w:lang w:eastAsia="en-US"/>
        </w:rPr>
        <w:t xml:space="preserve">The Department of Foreign Affairs and Trade </w:t>
      </w:r>
      <w:r w:rsidR="0087096D">
        <w:rPr>
          <w:rFonts w:asciiTheme="minorHAnsi" w:eastAsiaTheme="minorHAnsi" w:hAnsiTheme="minorHAnsi" w:cstheme="minorBidi"/>
          <w:lang w:eastAsia="en-US"/>
        </w:rPr>
        <w:t xml:space="preserve">(DFAT) </w:t>
      </w:r>
      <w:r w:rsidRPr="00305C37">
        <w:rPr>
          <w:rFonts w:asciiTheme="minorHAnsi" w:eastAsiaTheme="minorHAnsi" w:hAnsiTheme="minorHAnsi" w:cstheme="minorBidi"/>
          <w:lang w:eastAsia="en-US"/>
        </w:rPr>
        <w:t xml:space="preserve">has conducted this </w:t>
      </w:r>
      <w:r w:rsidR="00514122">
        <w:rPr>
          <w:rFonts w:asciiTheme="minorHAnsi" w:eastAsiaTheme="minorHAnsi" w:hAnsiTheme="minorHAnsi" w:cstheme="minorBidi"/>
          <w:lang w:eastAsia="en-US"/>
        </w:rPr>
        <w:t>Post-Implementation Review</w:t>
      </w:r>
      <w:r w:rsidRPr="00305C37">
        <w:rPr>
          <w:rFonts w:asciiTheme="minorHAnsi" w:eastAsiaTheme="minorHAnsi" w:hAnsiTheme="minorHAnsi" w:cstheme="minorBidi"/>
          <w:lang w:eastAsia="en-US"/>
        </w:rPr>
        <w:t xml:space="preserve"> </w:t>
      </w:r>
      <w:r w:rsidR="00254CC3">
        <w:rPr>
          <w:rFonts w:asciiTheme="minorHAnsi" w:eastAsiaTheme="minorHAnsi" w:hAnsiTheme="minorHAnsi" w:cstheme="minorBidi"/>
          <w:lang w:eastAsia="en-US"/>
        </w:rPr>
        <w:t>of the</w:t>
      </w:r>
      <w:r w:rsidR="00703E51">
        <w:rPr>
          <w:rFonts w:asciiTheme="minorHAnsi" w:eastAsiaTheme="minorHAnsi" w:hAnsiTheme="minorHAnsi" w:cstheme="minorBidi"/>
          <w:lang w:eastAsia="en-US"/>
        </w:rPr>
        <w:t xml:space="preserve"> Agreement</w:t>
      </w:r>
      <w:r w:rsidR="00254CC3">
        <w:rPr>
          <w:rFonts w:asciiTheme="minorHAnsi" w:eastAsiaTheme="minorHAnsi" w:hAnsiTheme="minorHAnsi" w:cstheme="minorBidi"/>
          <w:lang w:eastAsia="en-US"/>
        </w:rPr>
        <w:t xml:space="preserve"> </w:t>
      </w:r>
      <w:r w:rsidRPr="00305C37">
        <w:rPr>
          <w:rFonts w:asciiTheme="minorHAnsi" w:eastAsiaTheme="minorHAnsi" w:hAnsiTheme="minorHAnsi" w:cstheme="minorBidi"/>
          <w:lang w:eastAsia="en-US"/>
        </w:rPr>
        <w:t>in accordance with the Australian Government's Guide to Regulation.</w:t>
      </w:r>
    </w:p>
    <w:p w14:paraId="30170897" w14:textId="14C9D258" w:rsidR="00814F57" w:rsidRDefault="00814F57" w:rsidP="00814F57">
      <w:pPr>
        <w:rPr>
          <w:sz w:val="24"/>
          <w:szCs w:val="24"/>
        </w:rPr>
      </w:pPr>
      <w:r>
        <w:rPr>
          <w:sz w:val="24"/>
          <w:szCs w:val="24"/>
        </w:rPr>
        <w:t xml:space="preserve">This Review has considered Australia’s objectives of </w:t>
      </w:r>
      <w:r w:rsidR="00A31DE5">
        <w:rPr>
          <w:sz w:val="24"/>
          <w:szCs w:val="24"/>
        </w:rPr>
        <w:t>negotiating and ratifying</w:t>
      </w:r>
      <w:r w:rsidR="00A766AE">
        <w:rPr>
          <w:sz w:val="24"/>
          <w:szCs w:val="24"/>
        </w:rPr>
        <w:t xml:space="preserve"> CPTPP</w:t>
      </w:r>
      <w:r>
        <w:rPr>
          <w:sz w:val="24"/>
          <w:szCs w:val="24"/>
        </w:rPr>
        <w:t xml:space="preserve">, </w:t>
      </w:r>
      <w:r w:rsidR="00B009BA">
        <w:rPr>
          <w:sz w:val="24"/>
          <w:szCs w:val="24"/>
        </w:rPr>
        <w:t xml:space="preserve">noting </w:t>
      </w:r>
      <w:r>
        <w:rPr>
          <w:sz w:val="24"/>
          <w:szCs w:val="24"/>
        </w:rPr>
        <w:t>the policy context leading up to CPTPP</w:t>
      </w:r>
      <w:r w:rsidR="00D17D82">
        <w:rPr>
          <w:sz w:val="24"/>
          <w:szCs w:val="24"/>
        </w:rPr>
        <w:t>’s</w:t>
      </w:r>
      <w:r>
        <w:rPr>
          <w:sz w:val="24"/>
          <w:szCs w:val="24"/>
        </w:rPr>
        <w:t xml:space="preserve"> entry into force, and the outcomes achieved in the </w:t>
      </w:r>
      <w:r w:rsidR="00902C11">
        <w:rPr>
          <w:sz w:val="24"/>
          <w:szCs w:val="24"/>
        </w:rPr>
        <w:t>five</w:t>
      </w:r>
      <w:r>
        <w:rPr>
          <w:sz w:val="24"/>
          <w:szCs w:val="24"/>
        </w:rPr>
        <w:t xml:space="preserve"> years </w:t>
      </w:r>
      <w:r w:rsidR="006B4BA0">
        <w:rPr>
          <w:sz w:val="24"/>
          <w:szCs w:val="24"/>
        </w:rPr>
        <w:t>following</w:t>
      </w:r>
      <w:r>
        <w:rPr>
          <w:sz w:val="24"/>
          <w:szCs w:val="24"/>
        </w:rPr>
        <w:t xml:space="preserve"> its implementation.</w:t>
      </w:r>
    </w:p>
    <w:p w14:paraId="54253F06" w14:textId="77777777" w:rsidR="00EF790E" w:rsidRDefault="00EF790E" w:rsidP="00EF790E">
      <w:pPr>
        <w:rPr>
          <w:sz w:val="24"/>
          <w:szCs w:val="24"/>
        </w:rPr>
      </w:pPr>
      <w:bookmarkStart w:id="2" w:name="_Hlk188967834"/>
      <w:r>
        <w:rPr>
          <w:sz w:val="24"/>
          <w:szCs w:val="24"/>
        </w:rPr>
        <w:t>Analysis of relevant data outlined in this Post-Implementation Review shows CPTPP</w:t>
      </w:r>
      <w:r w:rsidRPr="0035771F">
        <w:rPr>
          <w:sz w:val="24"/>
          <w:szCs w:val="24"/>
        </w:rPr>
        <w:t xml:space="preserve"> has met its objective of expanding economic opportunities with </w:t>
      </w:r>
      <w:r>
        <w:rPr>
          <w:sz w:val="24"/>
          <w:szCs w:val="24"/>
        </w:rPr>
        <w:t>CPTPP members</w:t>
      </w:r>
      <w:r w:rsidRPr="0035771F">
        <w:rPr>
          <w:sz w:val="24"/>
          <w:szCs w:val="24"/>
        </w:rPr>
        <w:t xml:space="preserve"> for Australian businesses and </w:t>
      </w:r>
      <w:r>
        <w:rPr>
          <w:sz w:val="24"/>
          <w:szCs w:val="24"/>
        </w:rPr>
        <w:t xml:space="preserve">creating greater choice for Australian </w:t>
      </w:r>
      <w:r w:rsidRPr="0035771F">
        <w:rPr>
          <w:sz w:val="24"/>
          <w:szCs w:val="24"/>
        </w:rPr>
        <w:t>consumers</w:t>
      </w:r>
      <w:r>
        <w:rPr>
          <w:sz w:val="24"/>
          <w:szCs w:val="24"/>
        </w:rPr>
        <w:t xml:space="preserve"> in the five years after entry into force of the Agreement. </w:t>
      </w:r>
      <w:proofErr w:type="gramStart"/>
      <w:r>
        <w:rPr>
          <w:sz w:val="24"/>
          <w:szCs w:val="24"/>
        </w:rPr>
        <w:t>In particular, since</w:t>
      </w:r>
      <w:proofErr w:type="gramEnd"/>
      <w:r>
        <w:rPr>
          <w:sz w:val="24"/>
          <w:szCs w:val="24"/>
        </w:rPr>
        <w:t xml:space="preserve"> entry into force:</w:t>
      </w:r>
    </w:p>
    <w:bookmarkEnd w:id="2"/>
    <w:p w14:paraId="2C86626F" w14:textId="74EED700" w:rsidR="00C67A8C" w:rsidRDefault="009457E7" w:rsidP="000920EB">
      <w:pPr>
        <w:pStyle w:val="ListParagraph"/>
        <w:numPr>
          <w:ilvl w:val="0"/>
          <w:numId w:val="7"/>
        </w:numPr>
        <w:ind w:left="567" w:hanging="567"/>
      </w:pPr>
      <w:r>
        <w:t>Trade flows between Australia and CPTPP members have been</w:t>
      </w:r>
      <w:r w:rsidR="00DD0D8A">
        <w:t xml:space="preserve"> further</w:t>
      </w:r>
      <w:r>
        <w:t xml:space="preserve"> liberalised through </w:t>
      </w:r>
      <w:r w:rsidR="005B0CF0">
        <w:t>tariff reductions</w:t>
      </w:r>
      <w:r w:rsidR="002F0DF4">
        <w:t>, including by</w:t>
      </w:r>
      <w:r w:rsidR="005B0CF0">
        <w:t>:</w:t>
      </w:r>
    </w:p>
    <w:p w14:paraId="5AEEA5A8" w14:textId="1DDAD2E6" w:rsidR="006C68C5" w:rsidRDefault="001E0E98" w:rsidP="000920EB">
      <w:pPr>
        <w:pStyle w:val="ListParagraph"/>
        <w:numPr>
          <w:ilvl w:val="1"/>
          <w:numId w:val="7"/>
        </w:numPr>
      </w:pPr>
      <w:r>
        <w:t xml:space="preserve">Providing </w:t>
      </w:r>
      <w:r w:rsidR="004A1FF9">
        <w:t xml:space="preserve">our first FTA with Mexico, </w:t>
      </w:r>
      <w:r w:rsidR="00374B9F">
        <w:t>wh</w:t>
      </w:r>
      <w:r w:rsidR="0087074A">
        <w:t>ich led to</w:t>
      </w:r>
      <w:r w:rsidR="00374B9F">
        <w:t xml:space="preserve"> </w:t>
      </w:r>
      <w:r w:rsidR="004A1FF9">
        <w:t>t</w:t>
      </w:r>
      <w:r w:rsidR="00B73E13" w:rsidRPr="00B73E13">
        <w:t xml:space="preserve">he elimination of tariffs on barley (115 per cent prior </w:t>
      </w:r>
      <w:r w:rsidR="0055218A">
        <w:t xml:space="preserve">to </w:t>
      </w:r>
      <w:r w:rsidR="00E567F7">
        <w:t>CPTPP</w:t>
      </w:r>
      <w:r w:rsidR="0087074A">
        <w:t>’s entry</w:t>
      </w:r>
      <w:r w:rsidR="00B73E13" w:rsidRPr="00B73E13">
        <w:t xml:space="preserve"> into force) </w:t>
      </w:r>
      <w:r w:rsidR="00027901">
        <w:t>and the commencement of barley exports to Mexico in 2019</w:t>
      </w:r>
      <w:r w:rsidR="00AD1FA2">
        <w:t xml:space="preserve">. These exports </w:t>
      </w:r>
      <w:r w:rsidR="00B73E13" w:rsidRPr="00B73E13">
        <w:t>proved vital for Australian barley exporters to diversify markets</w:t>
      </w:r>
      <w:r w:rsidR="00EB7372">
        <w:t>, and</w:t>
      </w:r>
      <w:r w:rsidR="00B73E13" w:rsidRPr="00B73E13">
        <w:t xml:space="preserve"> </w:t>
      </w:r>
      <w:r w:rsidR="00EB7372">
        <w:t xml:space="preserve">by 2023 </w:t>
      </w:r>
      <w:r w:rsidR="00B73E13" w:rsidRPr="00B73E13">
        <w:t>barley exports to Mexico w</w:t>
      </w:r>
      <w:r w:rsidR="00624D56">
        <w:t>ere</w:t>
      </w:r>
      <w:r w:rsidR="00D65B03">
        <w:t xml:space="preserve"> valued at</w:t>
      </w:r>
      <w:r w:rsidR="00B73E13" w:rsidRPr="00B73E13">
        <w:t xml:space="preserve"> $213.2 million </w:t>
      </w:r>
      <w:r w:rsidR="00CD0082">
        <w:t>(</w:t>
      </w:r>
      <w:r w:rsidR="00624D56">
        <w:t xml:space="preserve">up </w:t>
      </w:r>
      <w:r w:rsidR="00B73E13" w:rsidRPr="00B73E13">
        <w:t>44 per cent from 2022</w:t>
      </w:r>
      <w:r w:rsidR="00CD0082">
        <w:t>)</w:t>
      </w:r>
      <w:r w:rsidR="00B73E13" w:rsidRPr="00B73E13">
        <w:t>.</w:t>
      </w:r>
    </w:p>
    <w:p w14:paraId="139244D8" w14:textId="1A980563" w:rsidR="00B73E13" w:rsidRDefault="007D55E4" w:rsidP="000920EB">
      <w:pPr>
        <w:pStyle w:val="ListParagraph"/>
        <w:numPr>
          <w:ilvl w:val="1"/>
          <w:numId w:val="7"/>
        </w:numPr>
      </w:pPr>
      <w:r>
        <w:t>G</w:t>
      </w:r>
      <w:r w:rsidR="00904756">
        <w:t>ain</w:t>
      </w:r>
      <w:r w:rsidR="00C21D16">
        <w:t>ing</w:t>
      </w:r>
      <w:r w:rsidR="00904756" w:rsidDel="00C21D16">
        <w:t xml:space="preserve"> </w:t>
      </w:r>
      <w:r w:rsidR="00904756">
        <w:t>new access into Canad</w:t>
      </w:r>
      <w:r w:rsidR="00E77B20">
        <w:t>a’s</w:t>
      </w:r>
      <w:r w:rsidR="00904756">
        <w:t xml:space="preserve"> dairy market, with Canada offering over 100,000 tonnes of access for dairy products per year to CPTPP economies</w:t>
      </w:r>
      <w:r w:rsidR="00A0366A">
        <w:t>,</w:t>
      </w:r>
      <w:r w:rsidR="00DD0D8A">
        <w:t xml:space="preserve"> which</w:t>
      </w:r>
      <w:r w:rsidR="00904756">
        <w:t xml:space="preserve"> further support</w:t>
      </w:r>
      <w:r w:rsidR="00DD0D8A">
        <w:t>ed</w:t>
      </w:r>
      <w:r w:rsidR="00904756">
        <w:t xml:space="preserve"> Australian agricultural exporters diversify</w:t>
      </w:r>
      <w:r w:rsidR="00DD0D8A">
        <w:t>ing</w:t>
      </w:r>
      <w:r w:rsidR="00904756">
        <w:t xml:space="preserve"> into new markets. </w:t>
      </w:r>
      <w:r w:rsidR="00B73E13" w:rsidRPr="00B73E13">
        <w:t xml:space="preserve"> </w:t>
      </w:r>
    </w:p>
    <w:p w14:paraId="54D87014" w14:textId="63B7E4C1" w:rsidR="00DD0D8A" w:rsidRDefault="007D55E4" w:rsidP="000920EB">
      <w:pPr>
        <w:pStyle w:val="ListParagraph"/>
        <w:numPr>
          <w:ilvl w:val="1"/>
          <w:numId w:val="7"/>
        </w:numPr>
      </w:pPr>
      <w:r>
        <w:t>R</w:t>
      </w:r>
      <w:r w:rsidR="00282442">
        <w:t>educing</w:t>
      </w:r>
      <w:r w:rsidR="00DD0D8A">
        <w:t xml:space="preserve"> Japan’s beef tariffs to 9 per cent within 15 years of entry into force (compared to JAEPA’s 23.5 per cent for fresh or chilled carcasses and half-carcasses) and the elimination of tariffs and creation of new quotas for dairy products. </w:t>
      </w:r>
    </w:p>
    <w:p w14:paraId="7C84D0B9" w14:textId="73C7E170" w:rsidR="00F96569" w:rsidRDefault="00F96569" w:rsidP="000920EB">
      <w:pPr>
        <w:pStyle w:val="Dotpointstyle"/>
      </w:pPr>
      <w:r>
        <w:t xml:space="preserve">Total investment </w:t>
      </w:r>
      <w:r w:rsidR="00295D8E">
        <w:t xml:space="preserve">stocks </w:t>
      </w:r>
      <w:r>
        <w:t>into Australia by CPTPP members has increased, and in some cases doubled</w:t>
      </w:r>
      <w:r w:rsidR="005E7940">
        <w:t>.</w:t>
      </w:r>
      <w:r>
        <w:t xml:space="preserve"> </w:t>
      </w:r>
      <w:r w:rsidR="005E7940">
        <w:t>F</w:t>
      </w:r>
      <w:r>
        <w:t xml:space="preserve">or example, </w:t>
      </w:r>
      <w:r w:rsidR="001703E5">
        <w:t>Canada’s total investment into Australia was $53</w:t>
      </w:r>
      <w:r w:rsidR="002C164F">
        <w:t>.3</w:t>
      </w:r>
      <w:r w:rsidR="001703E5">
        <w:t> billion in 2018, and increased to over $10</w:t>
      </w:r>
      <w:r w:rsidR="00CB6ACF">
        <w:t>3.8</w:t>
      </w:r>
      <w:r w:rsidR="001703E5">
        <w:t xml:space="preserve"> billion in 2023.</w:t>
      </w:r>
    </w:p>
    <w:p w14:paraId="2FD521E6" w14:textId="59F8C928" w:rsidR="005F229C" w:rsidRPr="002E413C" w:rsidRDefault="000316E1" w:rsidP="000920EB">
      <w:pPr>
        <w:pStyle w:val="ListParagraph"/>
        <w:numPr>
          <w:ilvl w:val="0"/>
          <w:numId w:val="7"/>
        </w:numPr>
        <w:ind w:left="567" w:hanging="567"/>
      </w:pPr>
      <w:r>
        <w:lastRenderedPageBreak/>
        <w:t xml:space="preserve">The average </w:t>
      </w:r>
      <w:r w:rsidR="00E21952">
        <w:t xml:space="preserve">annual </w:t>
      </w:r>
      <w:r>
        <w:t xml:space="preserve">value of Australia’s </w:t>
      </w:r>
      <w:r w:rsidR="00515DAE">
        <w:t xml:space="preserve">total </w:t>
      </w:r>
      <w:r>
        <w:t>goods and services exports</w:t>
      </w:r>
      <w:r w:rsidR="001078B6">
        <w:t xml:space="preserve"> to CPTPP members </w:t>
      </w:r>
      <w:r w:rsidR="00641BB6">
        <w:t>was worth $141 billion</w:t>
      </w:r>
      <w:r w:rsidR="002F167A">
        <w:t xml:space="preserve"> (over 2019-23)</w:t>
      </w:r>
      <w:r w:rsidR="00641BB6">
        <w:t xml:space="preserve">, </w:t>
      </w:r>
      <w:r w:rsidR="00F136CF">
        <w:t>increasing 54.6 per</w:t>
      </w:r>
      <w:r w:rsidR="00E21952">
        <w:t> </w:t>
      </w:r>
      <w:r w:rsidR="00F136CF">
        <w:t xml:space="preserve">cent from the previous </w:t>
      </w:r>
      <w:r w:rsidR="00BF07D2">
        <w:t>five-year</w:t>
      </w:r>
      <w:r w:rsidR="00F136CF">
        <w:t xml:space="preserve"> period before CPTPP (</w:t>
      </w:r>
      <w:r w:rsidR="00BF07D2">
        <w:t xml:space="preserve">which </w:t>
      </w:r>
      <w:r w:rsidR="00266725">
        <w:t>averaged</w:t>
      </w:r>
      <w:r w:rsidR="00F136CF">
        <w:t xml:space="preserve"> </w:t>
      </w:r>
      <w:r w:rsidR="00BF07D2">
        <w:t>$91.3 billion</w:t>
      </w:r>
      <w:r w:rsidR="00266725">
        <w:t xml:space="preserve"> annually</w:t>
      </w:r>
      <w:r w:rsidR="00BF07D2">
        <w:t xml:space="preserve"> </w:t>
      </w:r>
      <w:r w:rsidR="0062165E">
        <w:t>over</w:t>
      </w:r>
      <w:r w:rsidR="00641BB6">
        <w:t xml:space="preserve"> </w:t>
      </w:r>
      <w:r w:rsidR="0098768F">
        <w:t>2014-18</w:t>
      </w:r>
      <w:r w:rsidR="00BF07D2">
        <w:t>)</w:t>
      </w:r>
      <w:r w:rsidR="0098768F">
        <w:t>.</w:t>
      </w:r>
    </w:p>
    <w:p w14:paraId="6677EB63" w14:textId="2FCF8006" w:rsidR="00BF07D2" w:rsidRPr="002E413C" w:rsidRDefault="00BC7727" w:rsidP="000920EB">
      <w:pPr>
        <w:pStyle w:val="ListParagraph"/>
        <w:numPr>
          <w:ilvl w:val="0"/>
          <w:numId w:val="7"/>
        </w:numPr>
        <w:ind w:left="567" w:hanging="567"/>
      </w:pPr>
      <w:r>
        <w:t>The average</w:t>
      </w:r>
      <w:r w:rsidR="00E21952">
        <w:t xml:space="preserve"> annual</w:t>
      </w:r>
      <w:r>
        <w:t xml:space="preserve"> value of Australia’s</w:t>
      </w:r>
      <w:r w:rsidR="00515DAE">
        <w:t xml:space="preserve"> total</w:t>
      </w:r>
      <w:r>
        <w:t xml:space="preserve"> goods and services imports from CPTPP members was worth </w:t>
      </w:r>
      <w:r w:rsidR="00015C2A">
        <w:t xml:space="preserve">$92.8 billion (over 2019-23), increasing 16.6 per cent from the previous five-year period before CPTPP (which </w:t>
      </w:r>
      <w:r w:rsidR="008C36DA">
        <w:t>averaged</w:t>
      </w:r>
      <w:r w:rsidR="00015C2A">
        <w:t xml:space="preserve"> $79.6</w:t>
      </w:r>
      <w:r w:rsidR="008C36DA">
        <w:t> </w:t>
      </w:r>
      <w:r w:rsidR="00015C2A">
        <w:t>billion</w:t>
      </w:r>
      <w:r w:rsidR="008C36DA">
        <w:t xml:space="preserve"> annually</w:t>
      </w:r>
      <w:r w:rsidR="00015C2A">
        <w:t xml:space="preserve"> </w:t>
      </w:r>
      <w:r w:rsidR="0062165E">
        <w:t>over</w:t>
      </w:r>
      <w:r w:rsidR="00015C2A">
        <w:t xml:space="preserve"> </w:t>
      </w:r>
      <w:r w:rsidR="0062165E">
        <w:t>2</w:t>
      </w:r>
      <w:r w:rsidR="00015C2A">
        <w:t>014-18).</w:t>
      </w:r>
    </w:p>
    <w:p w14:paraId="12722E55" w14:textId="46E5D78A" w:rsidR="002A12B1" w:rsidRPr="002E7858" w:rsidRDefault="00EC34EA" w:rsidP="00814F57">
      <w:r w:rsidRPr="00814F57">
        <w:rPr>
          <w:rFonts w:eastAsia="Times New Roman" w:cstheme="minorHAnsi"/>
          <w:sz w:val="24"/>
          <w:szCs w:val="24"/>
          <w:lang w:eastAsia="en-AU"/>
        </w:rPr>
        <w:t xml:space="preserve">Submissions received from stakeholders for this </w:t>
      </w:r>
      <w:r w:rsidR="005737C8">
        <w:rPr>
          <w:rFonts w:eastAsia="Times New Roman" w:cstheme="minorHAnsi"/>
          <w:sz w:val="24"/>
          <w:szCs w:val="24"/>
          <w:lang w:eastAsia="en-AU"/>
        </w:rPr>
        <w:t>r</w:t>
      </w:r>
      <w:r w:rsidRPr="00814F57">
        <w:rPr>
          <w:rFonts w:eastAsia="Times New Roman" w:cstheme="minorHAnsi"/>
          <w:sz w:val="24"/>
          <w:szCs w:val="24"/>
          <w:lang w:eastAsia="en-AU"/>
        </w:rPr>
        <w:t xml:space="preserve">eview provided a range of perspectives on the impact of </w:t>
      </w:r>
      <w:r w:rsidR="00814F57">
        <w:rPr>
          <w:rFonts w:eastAsia="Times New Roman" w:cstheme="minorHAnsi"/>
          <w:sz w:val="24"/>
          <w:szCs w:val="24"/>
          <w:lang w:eastAsia="en-AU"/>
        </w:rPr>
        <w:t>CPTPP</w:t>
      </w:r>
      <w:r w:rsidRPr="00814F57">
        <w:rPr>
          <w:rFonts w:eastAsia="Times New Roman" w:cstheme="minorHAnsi"/>
          <w:sz w:val="24"/>
          <w:szCs w:val="24"/>
          <w:lang w:eastAsia="en-AU"/>
        </w:rPr>
        <w:t xml:space="preserve"> on Australian businesses</w:t>
      </w:r>
      <w:r w:rsidR="002D52E5">
        <w:rPr>
          <w:rFonts w:eastAsia="Times New Roman" w:cstheme="minorHAnsi"/>
          <w:sz w:val="24"/>
          <w:szCs w:val="24"/>
          <w:lang w:eastAsia="en-AU"/>
        </w:rPr>
        <w:t>,</w:t>
      </w:r>
      <w:r w:rsidRPr="00814F57">
        <w:rPr>
          <w:rFonts w:eastAsia="Times New Roman" w:cstheme="minorHAnsi"/>
          <w:sz w:val="24"/>
          <w:szCs w:val="24"/>
          <w:lang w:eastAsia="en-AU"/>
        </w:rPr>
        <w:t xml:space="preserve"> business activity</w:t>
      </w:r>
      <w:r w:rsidR="002D52E5">
        <w:rPr>
          <w:rFonts w:eastAsia="Times New Roman" w:cstheme="minorHAnsi"/>
          <w:sz w:val="24"/>
          <w:szCs w:val="24"/>
          <w:lang w:eastAsia="en-AU"/>
        </w:rPr>
        <w:t>, consumers</w:t>
      </w:r>
      <w:r w:rsidR="00EC2374">
        <w:rPr>
          <w:rFonts w:eastAsia="Times New Roman" w:cstheme="minorHAnsi"/>
          <w:sz w:val="24"/>
          <w:szCs w:val="24"/>
          <w:lang w:eastAsia="en-AU"/>
        </w:rPr>
        <w:t>,</w:t>
      </w:r>
      <w:r w:rsidR="002D52E5">
        <w:rPr>
          <w:rFonts w:eastAsia="Times New Roman" w:cstheme="minorHAnsi"/>
          <w:sz w:val="24"/>
          <w:szCs w:val="24"/>
          <w:lang w:eastAsia="en-AU"/>
        </w:rPr>
        <w:t xml:space="preserve"> and civil </w:t>
      </w:r>
      <w:r w:rsidR="00EC2374">
        <w:rPr>
          <w:rFonts w:eastAsia="Times New Roman" w:cstheme="minorHAnsi"/>
          <w:sz w:val="24"/>
          <w:szCs w:val="24"/>
          <w:lang w:eastAsia="en-AU"/>
        </w:rPr>
        <w:t>society organisation</w:t>
      </w:r>
      <w:r w:rsidR="007D3523">
        <w:rPr>
          <w:rFonts w:eastAsia="Times New Roman" w:cstheme="minorHAnsi"/>
          <w:sz w:val="24"/>
          <w:szCs w:val="24"/>
          <w:lang w:eastAsia="en-AU"/>
        </w:rPr>
        <w:t>s</w:t>
      </w:r>
      <w:r w:rsidRPr="00814F57">
        <w:rPr>
          <w:rFonts w:eastAsia="Times New Roman" w:cstheme="minorHAnsi"/>
          <w:sz w:val="24"/>
          <w:szCs w:val="24"/>
          <w:lang w:eastAsia="en-AU"/>
        </w:rPr>
        <w:t xml:space="preserve">. </w:t>
      </w:r>
      <w:r w:rsidR="00851785">
        <w:rPr>
          <w:rFonts w:eastAsia="Times New Roman" w:cstheme="minorHAnsi"/>
          <w:sz w:val="24"/>
          <w:szCs w:val="24"/>
          <w:lang w:eastAsia="en-AU"/>
        </w:rPr>
        <w:t>Most</w:t>
      </w:r>
      <w:r w:rsidR="00DF7646">
        <w:rPr>
          <w:rFonts w:eastAsia="Times New Roman" w:cstheme="minorHAnsi"/>
          <w:sz w:val="24"/>
          <w:szCs w:val="24"/>
          <w:lang w:eastAsia="en-AU"/>
        </w:rPr>
        <w:t xml:space="preserve"> s</w:t>
      </w:r>
      <w:r w:rsidRPr="00814F57">
        <w:rPr>
          <w:rFonts w:eastAsia="Times New Roman" w:cstheme="minorHAnsi"/>
          <w:sz w:val="24"/>
          <w:szCs w:val="24"/>
          <w:lang w:eastAsia="en-AU"/>
        </w:rPr>
        <w:t xml:space="preserve">takeholders were positive about the expansion of </w:t>
      </w:r>
      <w:r w:rsidR="008C4DC6" w:rsidRPr="00814F57">
        <w:rPr>
          <w:rFonts w:eastAsia="Times New Roman" w:cstheme="minorHAnsi"/>
          <w:sz w:val="24"/>
          <w:szCs w:val="24"/>
          <w:lang w:eastAsia="en-AU"/>
        </w:rPr>
        <w:t xml:space="preserve">export opportunities </w:t>
      </w:r>
      <w:r w:rsidR="003239F1">
        <w:rPr>
          <w:rFonts w:eastAsia="Times New Roman" w:cstheme="minorHAnsi"/>
          <w:sz w:val="24"/>
          <w:szCs w:val="24"/>
          <w:lang w:eastAsia="en-AU"/>
        </w:rPr>
        <w:t>through</w:t>
      </w:r>
      <w:r w:rsidR="00814F57">
        <w:rPr>
          <w:rFonts w:eastAsia="Times New Roman" w:cstheme="minorHAnsi"/>
          <w:sz w:val="24"/>
          <w:szCs w:val="24"/>
          <w:lang w:eastAsia="en-AU"/>
        </w:rPr>
        <w:t xml:space="preserve"> </w:t>
      </w:r>
      <w:proofErr w:type="gramStart"/>
      <w:r w:rsidR="00814F57">
        <w:rPr>
          <w:rFonts w:eastAsia="Times New Roman" w:cstheme="minorHAnsi"/>
          <w:sz w:val="24"/>
          <w:szCs w:val="24"/>
          <w:lang w:eastAsia="en-AU"/>
        </w:rPr>
        <w:t>CPTPP</w:t>
      </w:r>
      <w:proofErr w:type="gramEnd"/>
      <w:r w:rsidR="00155B8A">
        <w:rPr>
          <w:rFonts w:eastAsia="Times New Roman" w:cstheme="minorHAnsi"/>
          <w:sz w:val="24"/>
          <w:szCs w:val="24"/>
          <w:lang w:eastAsia="en-AU"/>
        </w:rPr>
        <w:t xml:space="preserve"> but </w:t>
      </w:r>
      <w:r w:rsidR="00126967">
        <w:rPr>
          <w:rFonts w:eastAsia="Times New Roman" w:cstheme="minorHAnsi"/>
          <w:sz w:val="24"/>
          <w:szCs w:val="24"/>
          <w:lang w:eastAsia="en-AU"/>
        </w:rPr>
        <w:t xml:space="preserve">some </w:t>
      </w:r>
      <w:r w:rsidR="00155B8A">
        <w:rPr>
          <w:rFonts w:eastAsia="Times New Roman" w:cstheme="minorHAnsi"/>
          <w:sz w:val="24"/>
          <w:szCs w:val="24"/>
          <w:lang w:eastAsia="en-AU"/>
        </w:rPr>
        <w:t xml:space="preserve">noted </w:t>
      </w:r>
      <w:r w:rsidR="0069362C">
        <w:rPr>
          <w:rFonts w:eastAsia="Times New Roman" w:cstheme="minorHAnsi"/>
          <w:sz w:val="24"/>
          <w:szCs w:val="24"/>
          <w:lang w:eastAsia="en-AU"/>
        </w:rPr>
        <w:t xml:space="preserve">that </w:t>
      </w:r>
      <w:r w:rsidR="00861D14">
        <w:rPr>
          <w:rFonts w:eastAsia="Times New Roman" w:cstheme="minorHAnsi"/>
          <w:sz w:val="24"/>
          <w:szCs w:val="24"/>
          <w:lang w:eastAsia="en-AU"/>
        </w:rPr>
        <w:t xml:space="preserve">Australia’s other trade </w:t>
      </w:r>
      <w:r w:rsidR="002113F9">
        <w:rPr>
          <w:rFonts w:eastAsia="Times New Roman" w:cstheme="minorHAnsi"/>
          <w:sz w:val="24"/>
          <w:szCs w:val="24"/>
          <w:lang w:eastAsia="en-AU"/>
        </w:rPr>
        <w:t>agreements</w:t>
      </w:r>
      <w:r w:rsidR="00913D22">
        <w:rPr>
          <w:rFonts w:eastAsia="Times New Roman" w:cstheme="minorHAnsi"/>
          <w:sz w:val="24"/>
          <w:szCs w:val="24"/>
          <w:lang w:eastAsia="en-AU"/>
        </w:rPr>
        <w:t>, such as the Japan</w:t>
      </w:r>
      <w:r w:rsidR="002D42B1">
        <w:rPr>
          <w:rFonts w:eastAsia="Times New Roman" w:cstheme="minorHAnsi"/>
          <w:sz w:val="24"/>
          <w:szCs w:val="24"/>
          <w:lang w:eastAsia="en-AU"/>
        </w:rPr>
        <w:t>-Australia Economic Partnership Agreement,</w:t>
      </w:r>
      <w:r w:rsidR="002113F9">
        <w:rPr>
          <w:rFonts w:eastAsia="Times New Roman" w:cstheme="minorHAnsi"/>
          <w:sz w:val="24"/>
          <w:szCs w:val="24"/>
          <w:lang w:eastAsia="en-AU"/>
        </w:rPr>
        <w:t xml:space="preserve"> had delivered more significant market access gains </w:t>
      </w:r>
      <w:r w:rsidR="00E9374F">
        <w:rPr>
          <w:rFonts w:eastAsia="Times New Roman" w:cstheme="minorHAnsi"/>
          <w:sz w:val="24"/>
          <w:szCs w:val="24"/>
          <w:lang w:eastAsia="en-AU"/>
        </w:rPr>
        <w:t>in certain areas</w:t>
      </w:r>
      <w:r w:rsidR="009D4B8B">
        <w:rPr>
          <w:rFonts w:eastAsia="Times New Roman" w:cstheme="minorHAnsi"/>
          <w:sz w:val="24"/>
          <w:szCs w:val="24"/>
          <w:lang w:eastAsia="en-AU"/>
        </w:rPr>
        <w:t xml:space="preserve">, and that CPTPP introduced more competition to Australian businesses in </w:t>
      </w:r>
      <w:r w:rsidR="00E459D6">
        <w:rPr>
          <w:rFonts w:eastAsia="Times New Roman" w:cstheme="minorHAnsi"/>
          <w:sz w:val="24"/>
          <w:szCs w:val="24"/>
          <w:lang w:eastAsia="en-AU"/>
        </w:rPr>
        <w:t>some</w:t>
      </w:r>
      <w:r w:rsidR="009D4B8B">
        <w:rPr>
          <w:rFonts w:eastAsia="Times New Roman" w:cstheme="minorHAnsi"/>
          <w:sz w:val="24"/>
          <w:szCs w:val="24"/>
          <w:lang w:eastAsia="en-AU"/>
        </w:rPr>
        <w:t xml:space="preserve"> industries.</w:t>
      </w:r>
    </w:p>
    <w:p w14:paraId="41681C64" w14:textId="4A7529A3" w:rsidR="006D6F75" w:rsidRPr="003B2A86" w:rsidRDefault="00500416" w:rsidP="00C7287C">
      <w:pPr>
        <w:rPr>
          <w:rFonts w:eastAsia="Times New Roman" w:cstheme="minorHAnsi"/>
          <w:sz w:val="24"/>
          <w:szCs w:val="24"/>
          <w:lang w:eastAsia="en-AU"/>
        </w:rPr>
      </w:pPr>
      <w:r>
        <w:rPr>
          <w:rFonts w:eastAsia="Times New Roman" w:cstheme="minorHAnsi"/>
          <w:sz w:val="24"/>
          <w:szCs w:val="24"/>
          <w:lang w:eastAsia="en-AU"/>
        </w:rPr>
        <w:t xml:space="preserve">Overall, </w:t>
      </w:r>
      <w:r w:rsidR="00814F57" w:rsidRPr="003B2A86">
        <w:rPr>
          <w:rFonts w:eastAsia="Times New Roman" w:cstheme="minorHAnsi"/>
          <w:sz w:val="24"/>
          <w:szCs w:val="24"/>
          <w:lang w:eastAsia="en-AU"/>
        </w:rPr>
        <w:t>CPTPP</w:t>
      </w:r>
      <w:r w:rsidR="008C4DC6" w:rsidRPr="003B2A86">
        <w:rPr>
          <w:rFonts w:eastAsia="Times New Roman" w:cstheme="minorHAnsi"/>
          <w:sz w:val="24"/>
          <w:szCs w:val="24"/>
          <w:lang w:eastAsia="en-AU"/>
        </w:rPr>
        <w:t xml:space="preserve"> has delivered a net benefit </w:t>
      </w:r>
      <w:r w:rsidR="0074090A" w:rsidRPr="003B2A86">
        <w:rPr>
          <w:rFonts w:eastAsia="Times New Roman" w:cstheme="minorHAnsi"/>
          <w:sz w:val="24"/>
          <w:szCs w:val="24"/>
          <w:lang w:eastAsia="en-AU"/>
        </w:rPr>
        <w:t xml:space="preserve">to Australia </w:t>
      </w:r>
      <w:r w:rsidR="00814F57" w:rsidRPr="003B2A86">
        <w:rPr>
          <w:rFonts w:eastAsia="Times New Roman" w:cstheme="minorHAnsi"/>
          <w:sz w:val="24"/>
          <w:szCs w:val="24"/>
          <w:lang w:eastAsia="en-AU"/>
        </w:rPr>
        <w:t>in the five years since its entry into force</w:t>
      </w:r>
      <w:r w:rsidR="008C4DC6" w:rsidRPr="003B2A86">
        <w:rPr>
          <w:rFonts w:eastAsia="Times New Roman" w:cstheme="minorHAnsi"/>
          <w:sz w:val="24"/>
          <w:szCs w:val="24"/>
          <w:lang w:eastAsia="en-AU"/>
        </w:rPr>
        <w:t xml:space="preserve">.  </w:t>
      </w:r>
      <w:r w:rsidR="00EC34EA" w:rsidRPr="003B2A86">
        <w:rPr>
          <w:rFonts w:eastAsia="Times New Roman" w:cstheme="minorHAnsi"/>
          <w:sz w:val="24"/>
          <w:szCs w:val="24"/>
          <w:lang w:eastAsia="en-AU"/>
        </w:rPr>
        <w:t>Notwithstanding</w:t>
      </w:r>
      <w:r w:rsidR="002122F4">
        <w:rPr>
          <w:rFonts w:eastAsia="Times New Roman" w:cstheme="minorHAnsi"/>
          <w:sz w:val="24"/>
          <w:szCs w:val="24"/>
          <w:lang w:eastAsia="en-AU"/>
        </w:rPr>
        <w:t xml:space="preserve"> the </w:t>
      </w:r>
      <w:r w:rsidR="008B1928">
        <w:rPr>
          <w:rFonts w:eastAsia="Times New Roman" w:cstheme="minorHAnsi"/>
          <w:sz w:val="24"/>
          <w:szCs w:val="24"/>
          <w:lang w:eastAsia="en-AU"/>
        </w:rPr>
        <w:t>C</w:t>
      </w:r>
      <w:r w:rsidR="007629CD">
        <w:rPr>
          <w:rFonts w:eastAsia="Times New Roman" w:cstheme="minorHAnsi"/>
          <w:sz w:val="24"/>
          <w:szCs w:val="24"/>
          <w:lang w:eastAsia="en-AU"/>
        </w:rPr>
        <w:t>OVID</w:t>
      </w:r>
      <w:r w:rsidR="008B1928">
        <w:rPr>
          <w:rFonts w:eastAsia="Times New Roman" w:cstheme="minorHAnsi"/>
          <w:sz w:val="24"/>
          <w:szCs w:val="24"/>
          <w:lang w:eastAsia="en-AU"/>
        </w:rPr>
        <w:t>-19</w:t>
      </w:r>
      <w:r w:rsidR="002122F4">
        <w:rPr>
          <w:rFonts w:eastAsia="Times New Roman" w:cstheme="minorHAnsi"/>
          <w:sz w:val="24"/>
          <w:szCs w:val="24"/>
          <w:lang w:eastAsia="en-AU"/>
        </w:rPr>
        <w:t xml:space="preserve"> pandemic</w:t>
      </w:r>
      <w:r w:rsidR="0074090A" w:rsidRPr="003B2A86">
        <w:rPr>
          <w:rFonts w:eastAsia="Times New Roman" w:cstheme="minorHAnsi"/>
          <w:sz w:val="24"/>
          <w:szCs w:val="24"/>
          <w:lang w:eastAsia="en-AU"/>
        </w:rPr>
        <w:t xml:space="preserve"> </w:t>
      </w:r>
      <w:r w:rsidR="008C4DC6" w:rsidRPr="003B2A86">
        <w:rPr>
          <w:rFonts w:eastAsia="Times New Roman" w:cstheme="minorHAnsi"/>
          <w:sz w:val="24"/>
          <w:szCs w:val="24"/>
          <w:lang w:eastAsia="en-AU"/>
        </w:rPr>
        <w:t xml:space="preserve">and </w:t>
      </w:r>
      <w:r w:rsidR="00EC0AAF">
        <w:rPr>
          <w:rFonts w:eastAsia="Times New Roman" w:cstheme="minorHAnsi"/>
          <w:sz w:val="24"/>
          <w:szCs w:val="24"/>
          <w:lang w:eastAsia="en-AU"/>
        </w:rPr>
        <w:t>corresponding</w:t>
      </w:r>
      <w:r w:rsidR="0064509C" w:rsidRPr="003B2A86">
        <w:rPr>
          <w:rFonts w:eastAsia="Times New Roman" w:cstheme="minorHAnsi"/>
          <w:sz w:val="24"/>
          <w:szCs w:val="24"/>
          <w:lang w:eastAsia="en-AU"/>
        </w:rPr>
        <w:t xml:space="preserve"> </w:t>
      </w:r>
      <w:r w:rsidR="008C4DC6" w:rsidRPr="003B2A86">
        <w:rPr>
          <w:rFonts w:eastAsia="Times New Roman" w:cstheme="minorHAnsi"/>
          <w:sz w:val="24"/>
          <w:szCs w:val="24"/>
          <w:lang w:eastAsia="en-AU"/>
        </w:rPr>
        <w:t>difficulties faced by businesses</w:t>
      </w:r>
      <w:r w:rsidR="00EC34EA" w:rsidRPr="003B2A86">
        <w:rPr>
          <w:rFonts w:eastAsia="Times New Roman" w:cstheme="minorHAnsi"/>
          <w:sz w:val="24"/>
          <w:szCs w:val="24"/>
          <w:lang w:eastAsia="en-AU"/>
        </w:rPr>
        <w:t xml:space="preserve">, </w:t>
      </w:r>
      <w:r w:rsidR="00071E94">
        <w:rPr>
          <w:rFonts w:eastAsia="Times New Roman" w:cstheme="minorHAnsi"/>
          <w:sz w:val="24"/>
          <w:szCs w:val="24"/>
          <w:lang w:eastAsia="en-AU"/>
        </w:rPr>
        <w:t>DFAT’s assessment is that</w:t>
      </w:r>
      <w:r w:rsidR="009A5CD9">
        <w:rPr>
          <w:rFonts w:eastAsia="Times New Roman" w:cstheme="minorHAnsi"/>
          <w:sz w:val="24"/>
          <w:szCs w:val="24"/>
          <w:lang w:eastAsia="en-AU"/>
        </w:rPr>
        <w:t xml:space="preserve"> </w:t>
      </w:r>
      <w:r w:rsidR="00814F57" w:rsidRPr="003B2A86">
        <w:rPr>
          <w:rFonts w:eastAsia="Times New Roman" w:cstheme="minorHAnsi"/>
          <w:sz w:val="24"/>
          <w:szCs w:val="24"/>
          <w:lang w:eastAsia="en-AU"/>
        </w:rPr>
        <w:t>CPTPP</w:t>
      </w:r>
      <w:r w:rsidR="00723FFB" w:rsidRPr="003B2A86">
        <w:rPr>
          <w:rFonts w:eastAsia="Times New Roman" w:cstheme="minorHAnsi"/>
          <w:sz w:val="24"/>
          <w:szCs w:val="24"/>
          <w:lang w:eastAsia="en-AU"/>
        </w:rPr>
        <w:t xml:space="preserve"> </w:t>
      </w:r>
      <w:r w:rsidR="0074090A" w:rsidRPr="003B2A86">
        <w:rPr>
          <w:rFonts w:eastAsia="Times New Roman" w:cstheme="minorHAnsi"/>
          <w:sz w:val="24"/>
          <w:szCs w:val="24"/>
          <w:lang w:eastAsia="en-AU"/>
        </w:rPr>
        <w:t xml:space="preserve">has been successful in liberalising trade and expanding opportunities </w:t>
      </w:r>
      <w:r w:rsidR="00081531">
        <w:rPr>
          <w:rFonts w:eastAsia="Times New Roman" w:cstheme="minorHAnsi"/>
          <w:sz w:val="24"/>
          <w:szCs w:val="24"/>
          <w:lang w:eastAsia="en-AU"/>
        </w:rPr>
        <w:t xml:space="preserve">and choices </w:t>
      </w:r>
      <w:r w:rsidR="0074090A" w:rsidRPr="003B2A86">
        <w:rPr>
          <w:rFonts w:eastAsia="Times New Roman" w:cstheme="minorHAnsi"/>
          <w:sz w:val="24"/>
          <w:szCs w:val="24"/>
          <w:lang w:eastAsia="en-AU"/>
        </w:rPr>
        <w:t xml:space="preserve">for Australian businesses and </w:t>
      </w:r>
      <w:r w:rsidR="003B2A86" w:rsidRPr="003B2A86">
        <w:rPr>
          <w:rFonts w:eastAsia="Times New Roman" w:cstheme="minorHAnsi"/>
          <w:sz w:val="24"/>
          <w:szCs w:val="24"/>
          <w:lang w:eastAsia="en-AU"/>
        </w:rPr>
        <w:t>consumers</w:t>
      </w:r>
      <w:r w:rsidR="00EB28D2">
        <w:rPr>
          <w:rFonts w:eastAsia="Times New Roman" w:cstheme="minorHAnsi"/>
          <w:sz w:val="24"/>
          <w:szCs w:val="24"/>
          <w:lang w:eastAsia="en-AU"/>
        </w:rPr>
        <w:t xml:space="preserve">. </w:t>
      </w:r>
      <w:r w:rsidR="009A5CD9">
        <w:rPr>
          <w:rFonts w:eastAsia="Times New Roman" w:cstheme="minorHAnsi"/>
          <w:sz w:val="24"/>
          <w:szCs w:val="24"/>
          <w:lang w:eastAsia="en-AU"/>
        </w:rPr>
        <w:t>We expect</w:t>
      </w:r>
      <w:r w:rsidR="00EB28D2">
        <w:rPr>
          <w:rFonts w:eastAsia="Times New Roman" w:cstheme="minorHAnsi"/>
          <w:sz w:val="24"/>
          <w:szCs w:val="24"/>
          <w:lang w:eastAsia="en-AU"/>
        </w:rPr>
        <w:t xml:space="preserve"> </w:t>
      </w:r>
      <w:r w:rsidR="00C40B4B">
        <w:rPr>
          <w:rFonts w:eastAsia="Times New Roman" w:cstheme="minorHAnsi"/>
          <w:sz w:val="24"/>
          <w:szCs w:val="24"/>
          <w:lang w:eastAsia="en-AU"/>
        </w:rPr>
        <w:t xml:space="preserve">CPTPP will </w:t>
      </w:r>
      <w:r w:rsidR="00814F57" w:rsidRPr="003B2A86">
        <w:rPr>
          <w:rFonts w:eastAsia="Times New Roman" w:cstheme="minorHAnsi"/>
          <w:sz w:val="24"/>
          <w:szCs w:val="24"/>
          <w:lang w:eastAsia="en-AU"/>
        </w:rPr>
        <w:t xml:space="preserve">continue to </w:t>
      </w:r>
      <w:r w:rsidR="00F22B20">
        <w:rPr>
          <w:rFonts w:eastAsia="Times New Roman" w:cstheme="minorHAnsi"/>
          <w:sz w:val="24"/>
          <w:szCs w:val="24"/>
          <w:lang w:eastAsia="en-AU"/>
        </w:rPr>
        <w:t>deliver further benefits in</w:t>
      </w:r>
      <w:r w:rsidR="00814F57" w:rsidRPr="003B2A86">
        <w:rPr>
          <w:rFonts w:eastAsia="Times New Roman" w:cstheme="minorHAnsi"/>
          <w:sz w:val="24"/>
          <w:szCs w:val="24"/>
          <w:lang w:eastAsia="en-AU"/>
        </w:rPr>
        <w:t xml:space="preserve"> the future</w:t>
      </w:r>
      <w:r w:rsidR="005F6608">
        <w:rPr>
          <w:rFonts w:eastAsia="Times New Roman" w:cstheme="minorHAnsi"/>
          <w:sz w:val="24"/>
          <w:szCs w:val="24"/>
          <w:lang w:eastAsia="en-AU"/>
        </w:rPr>
        <w:t xml:space="preserve"> </w:t>
      </w:r>
      <w:r w:rsidR="00DB569B">
        <w:rPr>
          <w:rFonts w:eastAsia="Times New Roman" w:cstheme="minorHAnsi"/>
          <w:sz w:val="24"/>
          <w:szCs w:val="24"/>
          <w:lang w:eastAsia="en-AU"/>
        </w:rPr>
        <w:t xml:space="preserve">following </w:t>
      </w:r>
      <w:r w:rsidR="00814F57" w:rsidRPr="003B2A86">
        <w:rPr>
          <w:rFonts w:eastAsia="Times New Roman" w:cstheme="minorHAnsi"/>
          <w:sz w:val="24"/>
          <w:szCs w:val="24"/>
          <w:lang w:eastAsia="en-AU"/>
        </w:rPr>
        <w:t>the</w:t>
      </w:r>
      <w:r w:rsidR="007B6937">
        <w:rPr>
          <w:rFonts w:eastAsia="Times New Roman" w:cstheme="minorHAnsi"/>
          <w:sz w:val="24"/>
          <w:szCs w:val="24"/>
          <w:lang w:eastAsia="en-AU"/>
        </w:rPr>
        <w:t xml:space="preserve"> completion</w:t>
      </w:r>
      <w:r w:rsidR="00DB569B">
        <w:rPr>
          <w:rFonts w:eastAsia="Times New Roman" w:cstheme="minorHAnsi"/>
          <w:sz w:val="24"/>
          <w:szCs w:val="24"/>
          <w:lang w:eastAsia="en-AU"/>
        </w:rPr>
        <w:t xml:space="preserve"> of the</w:t>
      </w:r>
      <w:r w:rsidR="00814F57" w:rsidRPr="003B2A86">
        <w:rPr>
          <w:rFonts w:eastAsia="Times New Roman" w:cstheme="minorHAnsi"/>
          <w:sz w:val="24"/>
          <w:szCs w:val="24"/>
          <w:lang w:eastAsia="en-AU"/>
        </w:rPr>
        <w:t xml:space="preserve"> </w:t>
      </w:r>
      <w:r w:rsidR="00E831DB">
        <w:rPr>
          <w:rFonts w:eastAsia="Times New Roman" w:cstheme="minorHAnsi"/>
          <w:sz w:val="24"/>
          <w:szCs w:val="24"/>
          <w:lang w:eastAsia="en-AU"/>
        </w:rPr>
        <w:t xml:space="preserve">CPTPP </w:t>
      </w:r>
      <w:r w:rsidR="005737C8">
        <w:rPr>
          <w:rFonts w:eastAsia="Times New Roman" w:cstheme="minorHAnsi"/>
          <w:sz w:val="24"/>
          <w:szCs w:val="24"/>
          <w:lang w:eastAsia="en-AU"/>
        </w:rPr>
        <w:t>General Review</w:t>
      </w:r>
      <w:r w:rsidR="003D3FD4">
        <w:rPr>
          <w:rFonts w:eastAsia="Times New Roman" w:cstheme="minorHAnsi"/>
          <w:sz w:val="24"/>
          <w:szCs w:val="24"/>
          <w:lang w:eastAsia="en-AU"/>
        </w:rPr>
        <w:t xml:space="preserve"> currently in progress</w:t>
      </w:r>
      <w:r w:rsidR="00296227">
        <w:rPr>
          <w:rFonts w:eastAsia="Times New Roman" w:cstheme="minorHAnsi"/>
          <w:sz w:val="24"/>
          <w:szCs w:val="24"/>
          <w:lang w:eastAsia="en-AU"/>
        </w:rPr>
        <w:t>,</w:t>
      </w:r>
      <w:r w:rsidR="00DB569B">
        <w:rPr>
          <w:rFonts w:eastAsia="Times New Roman" w:cstheme="minorHAnsi"/>
          <w:sz w:val="24"/>
          <w:szCs w:val="24"/>
          <w:lang w:eastAsia="en-AU"/>
        </w:rPr>
        <w:t xml:space="preserve"> </w:t>
      </w:r>
      <w:r w:rsidR="000D787A">
        <w:rPr>
          <w:rFonts w:eastAsia="Times New Roman" w:cstheme="minorHAnsi"/>
          <w:sz w:val="24"/>
          <w:szCs w:val="24"/>
          <w:lang w:eastAsia="en-AU"/>
        </w:rPr>
        <w:t xml:space="preserve">through </w:t>
      </w:r>
      <w:r w:rsidR="00192EB6">
        <w:rPr>
          <w:rFonts w:eastAsia="Times New Roman" w:cstheme="minorHAnsi"/>
          <w:sz w:val="24"/>
          <w:szCs w:val="24"/>
          <w:lang w:eastAsia="en-AU"/>
        </w:rPr>
        <w:t>increased</w:t>
      </w:r>
      <w:r w:rsidR="00DB569B">
        <w:rPr>
          <w:rFonts w:eastAsia="Times New Roman" w:cstheme="minorHAnsi"/>
          <w:sz w:val="24"/>
          <w:szCs w:val="24"/>
          <w:lang w:eastAsia="en-AU"/>
        </w:rPr>
        <w:t xml:space="preserve"> utilisation of </w:t>
      </w:r>
      <w:r w:rsidR="00F22B20">
        <w:rPr>
          <w:rFonts w:eastAsia="Times New Roman" w:cstheme="minorHAnsi"/>
          <w:sz w:val="24"/>
          <w:szCs w:val="24"/>
          <w:lang w:eastAsia="en-AU"/>
        </w:rPr>
        <w:t>the Agreement</w:t>
      </w:r>
      <w:r w:rsidR="00DB569B">
        <w:rPr>
          <w:rFonts w:eastAsia="Times New Roman" w:cstheme="minorHAnsi"/>
          <w:sz w:val="24"/>
          <w:szCs w:val="24"/>
          <w:lang w:eastAsia="en-AU"/>
        </w:rPr>
        <w:t xml:space="preserve">, </w:t>
      </w:r>
      <w:r w:rsidR="00296227">
        <w:rPr>
          <w:rFonts w:eastAsia="Times New Roman" w:cstheme="minorHAnsi"/>
          <w:sz w:val="24"/>
          <w:szCs w:val="24"/>
          <w:lang w:eastAsia="en-AU"/>
        </w:rPr>
        <w:t xml:space="preserve">and </w:t>
      </w:r>
      <w:proofErr w:type="gramStart"/>
      <w:r w:rsidR="000D787A">
        <w:rPr>
          <w:rFonts w:eastAsia="Times New Roman" w:cstheme="minorHAnsi"/>
          <w:sz w:val="24"/>
          <w:szCs w:val="24"/>
          <w:lang w:eastAsia="en-AU"/>
        </w:rPr>
        <w:t>as a result of</w:t>
      </w:r>
      <w:proofErr w:type="gramEnd"/>
      <w:r w:rsidR="000D787A">
        <w:rPr>
          <w:rFonts w:eastAsia="Times New Roman" w:cstheme="minorHAnsi"/>
          <w:sz w:val="24"/>
          <w:szCs w:val="24"/>
          <w:lang w:eastAsia="en-AU"/>
        </w:rPr>
        <w:t xml:space="preserve"> </w:t>
      </w:r>
      <w:r w:rsidR="0074027D">
        <w:rPr>
          <w:rFonts w:eastAsia="Times New Roman" w:cstheme="minorHAnsi"/>
          <w:sz w:val="24"/>
          <w:szCs w:val="24"/>
          <w:lang w:eastAsia="en-AU"/>
        </w:rPr>
        <w:t>the potential expan</w:t>
      </w:r>
      <w:r w:rsidR="007D20B2">
        <w:rPr>
          <w:rFonts w:eastAsia="Times New Roman" w:cstheme="minorHAnsi"/>
          <w:sz w:val="24"/>
          <w:szCs w:val="24"/>
          <w:lang w:eastAsia="en-AU"/>
        </w:rPr>
        <w:t>sion of</w:t>
      </w:r>
      <w:r w:rsidR="0074027D">
        <w:rPr>
          <w:rFonts w:eastAsia="Times New Roman" w:cstheme="minorHAnsi"/>
          <w:sz w:val="24"/>
          <w:szCs w:val="24"/>
          <w:lang w:eastAsia="en-AU"/>
        </w:rPr>
        <w:t xml:space="preserve"> </w:t>
      </w:r>
      <w:r w:rsidR="00E80606">
        <w:rPr>
          <w:rFonts w:eastAsia="Times New Roman" w:cstheme="minorHAnsi"/>
          <w:sz w:val="24"/>
          <w:szCs w:val="24"/>
          <w:lang w:eastAsia="en-AU"/>
        </w:rPr>
        <w:t>CPTPP’s</w:t>
      </w:r>
      <w:r w:rsidR="0074027D">
        <w:rPr>
          <w:rFonts w:eastAsia="Times New Roman" w:cstheme="minorHAnsi"/>
          <w:sz w:val="24"/>
          <w:szCs w:val="24"/>
          <w:lang w:eastAsia="en-AU"/>
        </w:rPr>
        <w:t xml:space="preserve"> membership through future accessions.</w:t>
      </w:r>
    </w:p>
    <w:p w14:paraId="5215F3EE" w14:textId="77777777" w:rsidR="006D6F75" w:rsidRPr="00C7287C" w:rsidRDefault="002E7858" w:rsidP="00C7287C">
      <w:pPr>
        <w:pStyle w:val="Heading1"/>
      </w:pPr>
      <w:r>
        <w:br w:type="page"/>
      </w:r>
      <w:bookmarkStart w:id="3" w:name="_Toc189499367"/>
      <w:r w:rsidR="006D6F75" w:rsidRPr="00C7287C">
        <w:lastRenderedPageBreak/>
        <w:t>INTRODUCTION</w:t>
      </w:r>
      <w:bookmarkEnd w:id="1"/>
      <w:bookmarkEnd w:id="3"/>
      <w:r w:rsidR="006D6F75" w:rsidRPr="00C7287C">
        <w:t xml:space="preserve"> </w:t>
      </w:r>
    </w:p>
    <w:p w14:paraId="2F3BD5DE" w14:textId="7E2E3C2E" w:rsidR="006D6F75" w:rsidRPr="003A0F87" w:rsidRDefault="006D6F75" w:rsidP="000920EB">
      <w:pPr>
        <w:pStyle w:val="ListParagraph"/>
        <w:numPr>
          <w:ilvl w:val="0"/>
          <w:numId w:val="5"/>
        </w:numPr>
        <w:ind w:left="0" w:firstLine="0"/>
      </w:pPr>
      <w:r w:rsidRPr="003A0F87">
        <w:t xml:space="preserve">This Post-Implementation Review </w:t>
      </w:r>
      <w:r w:rsidR="00AF7367">
        <w:t>(PIR)</w:t>
      </w:r>
      <w:r w:rsidRPr="003A0F87">
        <w:t xml:space="preserve"> relates to the </w:t>
      </w:r>
      <w:r w:rsidR="00814F57" w:rsidRPr="00283874">
        <w:rPr>
          <w:i/>
        </w:rPr>
        <w:t xml:space="preserve">Comprehensive and Progressive Agreement </w:t>
      </w:r>
      <w:r w:rsidR="001C4A4F" w:rsidRPr="00283874">
        <w:rPr>
          <w:i/>
        </w:rPr>
        <w:t>for</w:t>
      </w:r>
      <w:r w:rsidR="00814F57" w:rsidRPr="00283874">
        <w:rPr>
          <w:i/>
        </w:rPr>
        <w:t xml:space="preserve"> Trans</w:t>
      </w:r>
      <w:r w:rsidR="00DC3A80" w:rsidRPr="00283874">
        <w:rPr>
          <w:i/>
        </w:rPr>
        <w:t>-</w:t>
      </w:r>
      <w:r w:rsidR="00814F57" w:rsidRPr="00283874">
        <w:rPr>
          <w:i/>
        </w:rPr>
        <w:t xml:space="preserve">Pacific Partnership </w:t>
      </w:r>
      <w:r w:rsidR="00814F57">
        <w:t>(CPTPP</w:t>
      </w:r>
      <w:r w:rsidRPr="003A0F87">
        <w:t xml:space="preserve">), which entered into force on </w:t>
      </w:r>
      <w:r w:rsidR="00814F57">
        <w:t>30 December 2018 for Australia, Canada, Japan, Mexico, New Zealand and Singapore; 14 January 2019 for Vietnam; 19 September for Peru</w:t>
      </w:r>
      <w:r w:rsidR="00AF7367">
        <w:t>;</w:t>
      </w:r>
      <w:r w:rsidR="00814F57">
        <w:t xml:space="preserve"> 29 November 2022 for Malaysia</w:t>
      </w:r>
      <w:r w:rsidR="006265BF">
        <w:t>; 21 February 2023 for Chile; 12 July 2023 for Brunei</w:t>
      </w:r>
      <w:r w:rsidR="00BD7087">
        <w:t xml:space="preserve"> Darussalam</w:t>
      </w:r>
      <w:r w:rsidR="00232E65">
        <w:t>; and 15</w:t>
      </w:r>
      <w:r w:rsidR="00A65F13">
        <w:t> </w:t>
      </w:r>
      <w:r w:rsidR="00232E65">
        <w:t>December 2024 for the United Kingdom</w:t>
      </w:r>
      <w:r w:rsidR="00D8032C">
        <w:t>.</w:t>
      </w:r>
    </w:p>
    <w:p w14:paraId="25886869" w14:textId="2D8470BB" w:rsidR="006D6F75" w:rsidRPr="003A0F87" w:rsidRDefault="00B22180" w:rsidP="000920EB">
      <w:pPr>
        <w:pStyle w:val="ListParagraph"/>
        <w:numPr>
          <w:ilvl w:val="0"/>
          <w:numId w:val="5"/>
        </w:numPr>
        <w:ind w:left="0" w:firstLine="0"/>
      </w:pPr>
      <w:r>
        <w:t xml:space="preserve">DFAT has conducted this review in </w:t>
      </w:r>
      <w:r w:rsidR="006D6F75" w:rsidRPr="003A0F87">
        <w:t>accordance with the Australian Government Guide t</w:t>
      </w:r>
      <w:r w:rsidR="00B114F1">
        <w:t>o Policy Impact Analysis and associated guidance</w:t>
      </w:r>
      <w:r w:rsidR="008A0A84">
        <w:t>.</w:t>
      </w:r>
      <w:r w:rsidR="00923519">
        <w:t xml:space="preserve">  </w:t>
      </w:r>
    </w:p>
    <w:p w14:paraId="7D1A57E9" w14:textId="1ED52875" w:rsidR="006D6F75" w:rsidRPr="003A0F87" w:rsidRDefault="006D6F75" w:rsidP="000920EB">
      <w:pPr>
        <w:pStyle w:val="ListParagraph"/>
        <w:numPr>
          <w:ilvl w:val="0"/>
          <w:numId w:val="5"/>
        </w:numPr>
        <w:ind w:left="0" w:firstLine="0"/>
      </w:pPr>
      <w:r w:rsidRPr="003A0F87">
        <w:t>The purpose of this P</w:t>
      </w:r>
      <w:r w:rsidR="0085702E">
        <w:t>IR</w:t>
      </w:r>
      <w:r w:rsidRPr="003A0F87">
        <w:t xml:space="preserve"> is to assess whether </w:t>
      </w:r>
      <w:r w:rsidR="003B2A86">
        <w:t>CPTPP</w:t>
      </w:r>
      <w:r w:rsidRPr="003A0F87">
        <w:t xml:space="preserve"> remains appropriate and how effective and efficient it has been in meeting its objectives.  </w:t>
      </w:r>
    </w:p>
    <w:p w14:paraId="76AB88B1" w14:textId="77777777" w:rsidR="006D6F75" w:rsidRPr="003A0F87" w:rsidRDefault="006D6F75" w:rsidP="000920EB">
      <w:pPr>
        <w:pStyle w:val="ListParagraph"/>
        <w:numPr>
          <w:ilvl w:val="0"/>
          <w:numId w:val="5"/>
        </w:numPr>
      </w:pPr>
      <w:r w:rsidRPr="003A0F87">
        <w:t xml:space="preserve">This Post-Implementation </w:t>
      </w:r>
      <w:r w:rsidR="002A12B1">
        <w:t>R</w:t>
      </w:r>
      <w:r w:rsidRPr="003A0F87">
        <w:t>eview is required to address seven questions:</w:t>
      </w:r>
    </w:p>
    <w:p w14:paraId="2DA7E2AA" w14:textId="0A372C2A" w:rsidR="006D6F75" w:rsidRPr="003A0F87" w:rsidRDefault="006D6F75" w:rsidP="000920EB">
      <w:pPr>
        <w:pStyle w:val="ListParagraph"/>
        <w:numPr>
          <w:ilvl w:val="0"/>
          <w:numId w:val="7"/>
        </w:numPr>
        <w:ind w:left="567" w:hanging="567"/>
      </w:pPr>
      <w:r w:rsidRPr="003A0F87">
        <w:t xml:space="preserve">What problem was </w:t>
      </w:r>
      <w:r w:rsidR="00CB736A">
        <w:t>CPTPP</w:t>
      </w:r>
      <w:r w:rsidR="00CB736A" w:rsidRPr="003A0F87">
        <w:t xml:space="preserve"> </w:t>
      </w:r>
      <w:r w:rsidRPr="003A0F87">
        <w:t>meant to solve?</w:t>
      </w:r>
    </w:p>
    <w:p w14:paraId="1CAF710C" w14:textId="56FFF737" w:rsidR="006D6F75" w:rsidRPr="003A0F87" w:rsidRDefault="006D6F75" w:rsidP="000920EB">
      <w:pPr>
        <w:pStyle w:val="ListParagraph"/>
        <w:numPr>
          <w:ilvl w:val="0"/>
          <w:numId w:val="7"/>
        </w:numPr>
        <w:ind w:left="567" w:hanging="567"/>
      </w:pPr>
      <w:r w:rsidRPr="003A0F87">
        <w:t xml:space="preserve">Why was </w:t>
      </w:r>
      <w:r w:rsidR="0043150E">
        <w:t>G</w:t>
      </w:r>
      <w:r w:rsidRPr="003A0F87">
        <w:t>overnment action needed?</w:t>
      </w:r>
    </w:p>
    <w:p w14:paraId="1190924F" w14:textId="77777777" w:rsidR="006D6F75" w:rsidRPr="003A0F87" w:rsidRDefault="006D6F75" w:rsidP="000920EB">
      <w:pPr>
        <w:pStyle w:val="ListParagraph"/>
        <w:numPr>
          <w:ilvl w:val="0"/>
          <w:numId w:val="7"/>
        </w:numPr>
        <w:ind w:left="567" w:hanging="567"/>
      </w:pPr>
      <w:r w:rsidRPr="003A0F87">
        <w:t>What policy options were considered?</w:t>
      </w:r>
    </w:p>
    <w:p w14:paraId="724995F8" w14:textId="536F85DA" w:rsidR="006D6F75" w:rsidRPr="003A0F87" w:rsidRDefault="006D6F75" w:rsidP="000920EB">
      <w:pPr>
        <w:pStyle w:val="ListParagraph"/>
        <w:numPr>
          <w:ilvl w:val="0"/>
          <w:numId w:val="7"/>
        </w:numPr>
        <w:ind w:left="567" w:hanging="567"/>
      </w:pPr>
      <w:r w:rsidRPr="003A0F87">
        <w:t xml:space="preserve">What were the impacts of </w:t>
      </w:r>
      <w:r w:rsidR="00B36823">
        <w:t>CPTPP</w:t>
      </w:r>
      <w:r w:rsidRPr="003A0F87">
        <w:t>?</w:t>
      </w:r>
    </w:p>
    <w:p w14:paraId="0C0B50EB" w14:textId="70DC71D7" w:rsidR="006D6F75" w:rsidRPr="003A0F87" w:rsidRDefault="006D6F75" w:rsidP="000920EB">
      <w:pPr>
        <w:pStyle w:val="ListParagraph"/>
        <w:numPr>
          <w:ilvl w:val="0"/>
          <w:numId w:val="7"/>
        </w:numPr>
        <w:ind w:left="567" w:hanging="567"/>
      </w:pPr>
      <w:r w:rsidRPr="003A0F87">
        <w:t>Which stakeholders ha</w:t>
      </w:r>
      <w:r w:rsidR="006A6C09">
        <w:t>d</w:t>
      </w:r>
      <w:r w:rsidRPr="003A0F87">
        <w:t xml:space="preserve"> been consulted?</w:t>
      </w:r>
    </w:p>
    <w:p w14:paraId="292C0ABC" w14:textId="5FAECFCB" w:rsidR="006D6F75" w:rsidRDefault="006D6F75" w:rsidP="000920EB">
      <w:pPr>
        <w:pStyle w:val="ListParagraph"/>
        <w:numPr>
          <w:ilvl w:val="0"/>
          <w:numId w:val="7"/>
        </w:numPr>
        <w:ind w:left="567" w:hanging="567"/>
      </w:pPr>
      <w:r w:rsidRPr="003A0F87">
        <w:t xml:space="preserve">Has </w:t>
      </w:r>
      <w:r w:rsidR="006F69A2">
        <w:t>CPTPP</w:t>
      </w:r>
      <w:r w:rsidR="006F69A2" w:rsidRPr="003A0F87">
        <w:t xml:space="preserve"> </w:t>
      </w:r>
      <w:r w:rsidRPr="003A0F87">
        <w:t>delivered a net benefit?</w:t>
      </w:r>
    </w:p>
    <w:p w14:paraId="19A48D17" w14:textId="000F6819" w:rsidR="00F47818" w:rsidRPr="003A0F87" w:rsidRDefault="00F47818" w:rsidP="000920EB">
      <w:pPr>
        <w:pStyle w:val="ListParagraph"/>
        <w:numPr>
          <w:ilvl w:val="0"/>
          <w:numId w:val="7"/>
        </w:numPr>
        <w:ind w:left="567" w:hanging="567"/>
      </w:pPr>
      <w:r w:rsidRPr="003A0F87">
        <w:t xml:space="preserve">How was </w:t>
      </w:r>
      <w:r w:rsidR="006F69A2">
        <w:t>CPTPP</w:t>
      </w:r>
      <w:r w:rsidR="006F69A2" w:rsidRPr="003A0F87">
        <w:t xml:space="preserve"> </w:t>
      </w:r>
      <w:r w:rsidRPr="003A0F87">
        <w:t xml:space="preserve">implemented and evaluated? </w:t>
      </w:r>
    </w:p>
    <w:p w14:paraId="0BFBC317" w14:textId="0B899E0D" w:rsidR="006D6F75" w:rsidRPr="00C7287C" w:rsidRDefault="006D6F75" w:rsidP="00C7287C">
      <w:pPr>
        <w:pStyle w:val="Heading2"/>
      </w:pPr>
      <w:r w:rsidRPr="00C7287C">
        <w:t xml:space="preserve">Background on </w:t>
      </w:r>
      <w:r w:rsidR="0001232B">
        <w:t xml:space="preserve">TPP </w:t>
      </w:r>
      <w:r w:rsidRPr="00C7287C">
        <w:t xml:space="preserve">timelines and processes </w:t>
      </w:r>
    </w:p>
    <w:p w14:paraId="6D5BA974" w14:textId="28C77042" w:rsidR="00083545" w:rsidRDefault="00700FC4" w:rsidP="000920EB">
      <w:pPr>
        <w:pStyle w:val="ListParagraph"/>
        <w:numPr>
          <w:ilvl w:val="0"/>
          <w:numId w:val="5"/>
        </w:numPr>
        <w:ind w:left="0" w:firstLine="0"/>
      </w:pPr>
      <w:r w:rsidRPr="003A0F87">
        <w:t xml:space="preserve">The </w:t>
      </w:r>
      <w:r w:rsidR="0018050F" w:rsidRPr="007C72A3">
        <w:t>Trans-Pacific Partnership Agreement (</w:t>
      </w:r>
      <w:r>
        <w:t>TPP</w:t>
      </w:r>
      <w:r w:rsidR="0018050F" w:rsidRPr="007C72A3">
        <w:t>)</w:t>
      </w:r>
      <w:r w:rsidRPr="003A0F87">
        <w:t xml:space="preserve"> negotiations </w:t>
      </w:r>
      <w:r>
        <w:t>commenced in Melbourne</w:t>
      </w:r>
      <w:r w:rsidR="00CA6563">
        <w:t>, Australia</w:t>
      </w:r>
      <w:r>
        <w:t xml:space="preserve"> in 2010 and </w:t>
      </w:r>
      <w:r w:rsidRPr="003A0F87">
        <w:t>concluded</w:t>
      </w:r>
      <w:r>
        <w:t xml:space="preserve"> </w:t>
      </w:r>
      <w:r w:rsidR="00CA6563">
        <w:t>in Atlanta, U</w:t>
      </w:r>
      <w:r w:rsidR="00C939D3">
        <w:t>nited States</w:t>
      </w:r>
      <w:r w:rsidR="00C939D3" w:rsidDel="00E47F41">
        <w:t xml:space="preserve"> </w:t>
      </w:r>
      <w:r w:rsidRPr="00DD3572">
        <w:t>on 5</w:t>
      </w:r>
      <w:r w:rsidR="00487C5A">
        <w:t> </w:t>
      </w:r>
      <w:r w:rsidRPr="00DD3572">
        <w:t>October</w:t>
      </w:r>
      <w:r w:rsidR="00426A32">
        <w:t> </w:t>
      </w:r>
      <w:r w:rsidRPr="00DD3572">
        <w:t xml:space="preserve">2015. </w:t>
      </w:r>
      <w:r w:rsidR="00885671" w:rsidRPr="001D7FAF">
        <w:t xml:space="preserve">The </w:t>
      </w:r>
      <w:r w:rsidR="00885671">
        <w:t xml:space="preserve">TPP was signed </w:t>
      </w:r>
      <w:r w:rsidR="00826ACF">
        <w:t>on 4 February 2016, in Auckland, New Zealand</w:t>
      </w:r>
      <w:r w:rsidR="00885671">
        <w:t xml:space="preserve"> by Ministers from </w:t>
      </w:r>
      <w:r w:rsidR="00885671" w:rsidRPr="001D7FAF">
        <w:t xml:space="preserve">Australia, Brunei Darussalam, Canada, Chile, Japan, Malaysia, Mexico, Peru, New Zealand, Singapore, the </w:t>
      </w:r>
      <w:r w:rsidR="00885671">
        <w:t>United</w:t>
      </w:r>
      <w:r w:rsidR="006D2730">
        <w:t> </w:t>
      </w:r>
      <w:r w:rsidR="00885671">
        <w:t>States</w:t>
      </w:r>
      <w:r w:rsidR="00351AD3">
        <w:t>,</w:t>
      </w:r>
      <w:r w:rsidR="00885671">
        <w:t xml:space="preserve"> </w:t>
      </w:r>
      <w:r w:rsidR="00885671" w:rsidRPr="001D7FAF">
        <w:t>and Vietnam</w:t>
      </w:r>
      <w:r w:rsidR="00885671">
        <w:t xml:space="preserve">. </w:t>
      </w:r>
    </w:p>
    <w:p w14:paraId="54B33E83" w14:textId="091440DF" w:rsidR="00864D66" w:rsidRDefault="00D643B4" w:rsidP="000920EB">
      <w:pPr>
        <w:pStyle w:val="ListParagraph"/>
        <w:numPr>
          <w:ilvl w:val="0"/>
          <w:numId w:val="5"/>
        </w:numPr>
        <w:ind w:left="0" w:firstLine="0"/>
      </w:pPr>
      <w:r>
        <w:t>DFAT</w:t>
      </w:r>
      <w:r w:rsidR="00700FC4" w:rsidRPr="003A0F87">
        <w:t xml:space="preserve"> submitted a Regulatory Impact Statement on </w:t>
      </w:r>
      <w:r w:rsidR="00700FC4">
        <w:t>the TPP</w:t>
      </w:r>
      <w:r w:rsidR="00700FC4" w:rsidRPr="003A0F87">
        <w:t xml:space="preserve"> to the Office of Best Practice Regulation (OBPR) </w:t>
      </w:r>
      <w:r w:rsidR="00D87469">
        <w:t>shortly after</w:t>
      </w:r>
      <w:r w:rsidR="00083545">
        <w:t xml:space="preserve"> the TPP was </w:t>
      </w:r>
      <w:r w:rsidR="00F813E2">
        <w:t>signed</w:t>
      </w:r>
      <w:r w:rsidR="00700FC4">
        <w:t xml:space="preserve">. </w:t>
      </w:r>
      <w:r w:rsidR="00083545">
        <w:t>The</w:t>
      </w:r>
      <w:r w:rsidR="00083545" w:rsidRPr="007C72A3">
        <w:t xml:space="preserve"> text of the </w:t>
      </w:r>
      <w:r w:rsidR="00083545">
        <w:t>TPP</w:t>
      </w:r>
      <w:r w:rsidR="00083545" w:rsidRPr="003A0F87">
        <w:t xml:space="preserve"> </w:t>
      </w:r>
      <w:r w:rsidR="00083545" w:rsidRPr="007C72A3">
        <w:t xml:space="preserve">and </w:t>
      </w:r>
      <w:r w:rsidR="00797F29">
        <w:t xml:space="preserve">the </w:t>
      </w:r>
      <w:r w:rsidR="00083545" w:rsidRPr="007C72A3">
        <w:t xml:space="preserve">accompanying National Interest Analysis </w:t>
      </w:r>
      <w:r w:rsidR="00E31769">
        <w:t xml:space="preserve">was tabled </w:t>
      </w:r>
      <w:r w:rsidR="00083545" w:rsidRPr="007C72A3">
        <w:t>in the Australian Parliament on 9 February 2016</w:t>
      </w:r>
      <w:r w:rsidR="007F6B21">
        <w:t xml:space="preserve">. </w:t>
      </w:r>
      <w:r w:rsidR="009863E3">
        <w:t>On 30 November 2016, the Joint Standing Committee on Treaties (JSCOT) issued a report recommending that Australia take binding treaty action to ratify the TPP.</w:t>
      </w:r>
    </w:p>
    <w:p w14:paraId="37E89BE5" w14:textId="44E05DB3" w:rsidR="00561C67" w:rsidRDefault="00D1460F" w:rsidP="000920EB">
      <w:pPr>
        <w:pStyle w:val="ListParagraph"/>
        <w:numPr>
          <w:ilvl w:val="0"/>
          <w:numId w:val="5"/>
        </w:numPr>
        <w:ind w:left="0" w:firstLine="0"/>
      </w:pPr>
      <w:r>
        <w:t xml:space="preserve">At </w:t>
      </w:r>
      <w:r w:rsidRPr="00D1460F">
        <w:t xml:space="preserve">the time the </w:t>
      </w:r>
      <w:r w:rsidR="00472551">
        <w:t>JSCOT r</w:t>
      </w:r>
      <w:r w:rsidRPr="00D1460F">
        <w:t xml:space="preserve">eport was tabled, it was clear that the chances of the TPP </w:t>
      </w:r>
      <w:r w:rsidR="00712EA9">
        <w:t>entering</w:t>
      </w:r>
      <w:r w:rsidR="00712EA9" w:rsidRPr="00D1460F">
        <w:t xml:space="preserve"> </w:t>
      </w:r>
      <w:r w:rsidRPr="00D1460F">
        <w:t xml:space="preserve">into force were slim. </w:t>
      </w:r>
      <w:r w:rsidR="00F15F02">
        <w:t xml:space="preserve">The </w:t>
      </w:r>
      <w:r w:rsidR="00351AD3">
        <w:t xml:space="preserve">2016 </w:t>
      </w:r>
      <w:r w:rsidR="00F15F02">
        <w:t xml:space="preserve">United States presidential election </w:t>
      </w:r>
      <w:r w:rsidR="00F02288" w:rsidRPr="00D1460F">
        <w:t xml:space="preserve">was being held in the same month the </w:t>
      </w:r>
      <w:r w:rsidR="00F02288">
        <w:t>JSCOT r</w:t>
      </w:r>
      <w:r w:rsidR="00F02288" w:rsidRPr="00D1460F">
        <w:t>eport was tabled</w:t>
      </w:r>
      <w:r w:rsidR="00F02288">
        <w:t>, and b</w:t>
      </w:r>
      <w:r w:rsidRPr="00D1460F">
        <w:t xml:space="preserve">oth </w:t>
      </w:r>
      <w:r w:rsidR="00F02288">
        <w:t xml:space="preserve">presidential </w:t>
      </w:r>
      <w:r w:rsidRPr="00D1460F">
        <w:lastRenderedPageBreak/>
        <w:t>candidates had committed to withdraw from the TPP</w:t>
      </w:r>
      <w:r w:rsidR="00F455EA">
        <w:t xml:space="preserve"> if elected</w:t>
      </w:r>
      <w:r w:rsidRPr="00D1460F">
        <w:t>.</w:t>
      </w:r>
      <w:r w:rsidR="008F2DA4">
        <w:rPr>
          <w:rStyle w:val="FootnoteReference"/>
        </w:rPr>
        <w:footnoteReference w:id="2"/>
      </w:r>
      <w:r w:rsidR="00FB309B">
        <w:t xml:space="preserve"> </w:t>
      </w:r>
      <w:r w:rsidR="00F455EA">
        <w:t>Subsequently, o</w:t>
      </w:r>
      <w:r w:rsidR="001D7FAF">
        <w:t xml:space="preserve">n 30 January 2017, the </w:t>
      </w:r>
      <w:r w:rsidR="001E4025">
        <w:t>United</w:t>
      </w:r>
      <w:r w:rsidR="001D7FAF">
        <w:t xml:space="preserve"> States announced it did not intend to become a party to the TPP.</w:t>
      </w:r>
      <w:r w:rsidR="00323189">
        <w:rPr>
          <w:rStyle w:val="FootnoteReference"/>
        </w:rPr>
        <w:footnoteReference w:id="3"/>
      </w:r>
    </w:p>
    <w:p w14:paraId="41CBCED0" w14:textId="73930A96" w:rsidR="00A46F79" w:rsidRDefault="0078226F" w:rsidP="000920EB">
      <w:pPr>
        <w:pStyle w:val="ListParagraph"/>
        <w:numPr>
          <w:ilvl w:val="0"/>
          <w:numId w:val="5"/>
        </w:numPr>
        <w:ind w:left="0" w:firstLine="0"/>
      </w:pPr>
      <w:r>
        <w:t>The</w:t>
      </w:r>
      <w:r w:rsidR="005E0E38">
        <w:t xml:space="preserve"> TPP</w:t>
      </w:r>
      <w:r>
        <w:t xml:space="preserve"> provisions </w:t>
      </w:r>
      <w:r w:rsidR="005E0E38">
        <w:t>under</w:t>
      </w:r>
      <w:r w:rsidR="00314FA2">
        <w:t xml:space="preserve"> </w:t>
      </w:r>
      <w:r w:rsidR="009A71DA">
        <w:t xml:space="preserve">Article </w:t>
      </w:r>
      <w:r w:rsidR="00DE13E3">
        <w:t xml:space="preserve">30.5 </w:t>
      </w:r>
      <w:r w:rsidR="005155DB">
        <w:t xml:space="preserve">(Entry into Force) </w:t>
      </w:r>
      <w:r w:rsidR="00DE13E3">
        <w:t xml:space="preserve">stated the Agreement could not enter into force unless it had been ratified by six </w:t>
      </w:r>
      <w:r w:rsidR="00891CA3">
        <w:t>signatories</w:t>
      </w:r>
      <w:r w:rsidR="00770805">
        <w:t xml:space="preserve"> </w:t>
      </w:r>
      <w:r w:rsidR="00B605B6">
        <w:t xml:space="preserve">which </w:t>
      </w:r>
      <w:r w:rsidR="00387D71">
        <w:t xml:space="preserve">together </w:t>
      </w:r>
      <w:r w:rsidR="00B605B6">
        <w:t>account</w:t>
      </w:r>
      <w:r w:rsidR="00710313">
        <w:t>ed</w:t>
      </w:r>
      <w:r w:rsidR="00B605B6">
        <w:t xml:space="preserve"> for at least 85 per cent of the</w:t>
      </w:r>
      <w:r w:rsidR="00387D71">
        <w:t xml:space="preserve"> combine</w:t>
      </w:r>
      <w:r w:rsidR="000730F7">
        <w:t xml:space="preserve">d </w:t>
      </w:r>
      <w:r w:rsidR="00664634">
        <w:t>GDP</w:t>
      </w:r>
      <w:r w:rsidR="00387D71">
        <w:t xml:space="preserve"> of the</w:t>
      </w:r>
      <w:r w:rsidR="00EE3E0C">
        <w:t xml:space="preserve"> signatories</w:t>
      </w:r>
      <w:r w:rsidR="00227F8C">
        <w:t>.</w:t>
      </w:r>
      <w:r w:rsidR="0058080B">
        <w:rPr>
          <w:rStyle w:val="FootnoteReference"/>
        </w:rPr>
        <w:footnoteReference w:id="4"/>
      </w:r>
      <w:r w:rsidR="00B605B6">
        <w:t xml:space="preserve"> </w:t>
      </w:r>
      <w:r w:rsidR="00AD45C0">
        <w:t>Th</w:t>
      </w:r>
      <w:r w:rsidR="00EE3E0C">
        <w:t xml:space="preserve">is </w:t>
      </w:r>
      <w:r w:rsidR="005F4F2D">
        <w:t>GDP threshold</w:t>
      </w:r>
      <w:r w:rsidR="00F36D90">
        <w:t xml:space="preserve"> </w:t>
      </w:r>
      <w:r w:rsidR="000730F7">
        <w:t>requirement could</w:t>
      </w:r>
      <w:r w:rsidR="00F36D90">
        <w:t xml:space="preserve"> only be met if the United States ratified the TPP.</w:t>
      </w:r>
      <w:r w:rsidR="00F36D90" w:rsidRPr="0018089C">
        <w:rPr>
          <w:rStyle w:val="FootnoteReference"/>
        </w:rPr>
        <w:t xml:space="preserve"> </w:t>
      </w:r>
      <w:r w:rsidR="0018089C">
        <w:rPr>
          <w:rStyle w:val="FootnoteReference"/>
        </w:rPr>
        <w:footnoteReference w:id="5"/>
      </w:r>
      <w:r w:rsidR="00F36D90">
        <w:t xml:space="preserve"> </w:t>
      </w:r>
      <w:r w:rsidR="005E0E38">
        <w:t xml:space="preserve"> </w:t>
      </w:r>
    </w:p>
    <w:p w14:paraId="5AA2B009" w14:textId="77777777" w:rsidR="00B21BB6" w:rsidRPr="00F524A9" w:rsidRDefault="00B21BB6" w:rsidP="00F524A9">
      <w:pPr>
        <w:ind w:left="360" w:hanging="360"/>
        <w:rPr>
          <w:rFonts w:eastAsiaTheme="majorEastAsia" w:cs="Times New Roman"/>
          <w:b/>
          <w:bCs/>
          <w:i/>
          <w:color w:val="0070C0"/>
          <w:sz w:val="28"/>
        </w:rPr>
      </w:pPr>
      <w:r w:rsidRPr="00F524A9">
        <w:rPr>
          <w:rFonts w:eastAsiaTheme="majorEastAsia" w:cs="Times New Roman"/>
          <w:b/>
          <w:bCs/>
          <w:i/>
          <w:color w:val="0070C0"/>
          <w:sz w:val="28"/>
        </w:rPr>
        <w:t>From TPP to CPTPP</w:t>
      </w:r>
    </w:p>
    <w:p w14:paraId="76D3B25A" w14:textId="2B4D7D44" w:rsidR="00670531" w:rsidRDefault="0001232B" w:rsidP="000920EB">
      <w:pPr>
        <w:pStyle w:val="ListParagraph"/>
        <w:numPr>
          <w:ilvl w:val="0"/>
          <w:numId w:val="5"/>
        </w:numPr>
        <w:ind w:left="0" w:firstLine="0"/>
      </w:pPr>
      <w:r>
        <w:t xml:space="preserve">After the United States withdrew </w:t>
      </w:r>
      <w:r w:rsidR="001211E4">
        <w:t>from the TPP</w:t>
      </w:r>
      <w:r>
        <w:t xml:space="preserve">, the remaining 11 </w:t>
      </w:r>
      <w:r w:rsidR="00E47F41" w:rsidDel="005E6C9F">
        <w:t>signatories</w:t>
      </w:r>
      <w:r w:rsidR="008533E0" w:rsidDel="005E6C9F">
        <w:t xml:space="preserve"> </w:t>
      </w:r>
      <w:r w:rsidR="005E6C9F">
        <w:t>(</w:t>
      </w:r>
      <w:r>
        <w:t>Australia, Brunei</w:t>
      </w:r>
      <w:r w:rsidR="00516A93">
        <w:t xml:space="preserve"> Darussalam</w:t>
      </w:r>
      <w:r>
        <w:t xml:space="preserve">, </w:t>
      </w:r>
      <w:r w:rsidR="004F55DE">
        <w:t xml:space="preserve">Canada, </w:t>
      </w:r>
      <w:r>
        <w:t>Chile, Japan, Malaysia, Mexico, New Zealand, Peru, Singapore, and Vietna</w:t>
      </w:r>
      <w:r w:rsidRPr="006B634B">
        <w:t xml:space="preserve">m) </w:t>
      </w:r>
      <w:r w:rsidR="00334AC9" w:rsidRPr="006B634B">
        <w:t>reached</w:t>
      </w:r>
      <w:r w:rsidR="0093261A">
        <w:t xml:space="preserve"> an</w:t>
      </w:r>
      <w:r w:rsidR="00334AC9" w:rsidRPr="006B634B">
        <w:t xml:space="preserve"> agreement </w:t>
      </w:r>
      <w:r w:rsidR="0080196D" w:rsidRPr="006B634B">
        <w:t xml:space="preserve">to </w:t>
      </w:r>
      <w:r w:rsidR="00BE7117">
        <w:t xml:space="preserve">identify pathways to </w:t>
      </w:r>
      <w:r w:rsidR="0080196D" w:rsidRPr="006B634B">
        <w:t>bring the TPP into force among</w:t>
      </w:r>
      <w:r w:rsidR="001969F3">
        <w:t>st</w:t>
      </w:r>
      <w:r w:rsidR="0080196D" w:rsidRPr="006B634B">
        <w:t xml:space="preserve"> themselves</w:t>
      </w:r>
      <w:r w:rsidR="00991574">
        <w:t>.</w:t>
      </w:r>
    </w:p>
    <w:p w14:paraId="28599010" w14:textId="67F00866" w:rsidR="00F15992" w:rsidRDefault="00F15992" w:rsidP="000920EB">
      <w:pPr>
        <w:pStyle w:val="ListParagraph"/>
        <w:numPr>
          <w:ilvl w:val="0"/>
          <w:numId w:val="5"/>
        </w:numPr>
        <w:ind w:left="0" w:firstLine="0"/>
      </w:pPr>
      <w:r>
        <w:t xml:space="preserve">On 21 May 2017, </w:t>
      </w:r>
      <w:r w:rsidR="002F3F9C">
        <w:t>M</w:t>
      </w:r>
      <w:r>
        <w:t xml:space="preserve">inisters </w:t>
      </w:r>
      <w:r w:rsidR="00802582">
        <w:t>representing</w:t>
      </w:r>
      <w:r>
        <w:t xml:space="preserve"> the 11 TPP signator</w:t>
      </w:r>
      <w:r w:rsidR="0090742B">
        <w:t>ies</w:t>
      </w:r>
      <w:r>
        <w:t xml:space="preserve"> issued a </w:t>
      </w:r>
      <w:r w:rsidR="002E4817">
        <w:t>J</w:t>
      </w:r>
      <w:r>
        <w:t xml:space="preserve">oint </w:t>
      </w:r>
      <w:r w:rsidR="002E4817">
        <w:t>Ministerial S</w:t>
      </w:r>
      <w:r>
        <w:t>tatement</w:t>
      </w:r>
      <w:r w:rsidR="00E60B05">
        <w:rPr>
          <w:rStyle w:val="FootnoteReference"/>
        </w:rPr>
        <w:footnoteReference w:id="6"/>
      </w:r>
      <w:r>
        <w:t xml:space="preserve"> reaffirming the </w:t>
      </w:r>
      <w:r w:rsidR="008648BA">
        <w:t xml:space="preserve">potential </w:t>
      </w:r>
      <w:r>
        <w:t xml:space="preserve">strategic and economic significance of the TPP to regional economic integration and economic growth. </w:t>
      </w:r>
      <w:r w:rsidR="002F3F9C">
        <w:t>M</w:t>
      </w:r>
      <w:r>
        <w:t xml:space="preserve">inisters </w:t>
      </w:r>
      <w:r w:rsidR="00AC4CAF">
        <w:t xml:space="preserve">then </w:t>
      </w:r>
      <w:r>
        <w:t xml:space="preserve">agreed to launch a process of consultations among </w:t>
      </w:r>
      <w:r w:rsidR="0014328D">
        <w:t>S</w:t>
      </w:r>
      <w:r>
        <w:t xml:space="preserve">enior </w:t>
      </w:r>
      <w:r w:rsidR="0014328D">
        <w:t>O</w:t>
      </w:r>
      <w:r>
        <w:t>fficials to assess options to bring the TPP into force expeditiously.</w:t>
      </w:r>
    </w:p>
    <w:p w14:paraId="06BA884C" w14:textId="60FB64B3" w:rsidR="00F90A1E" w:rsidRDefault="00032BE6" w:rsidP="000920EB">
      <w:pPr>
        <w:pStyle w:val="ListParagraph"/>
        <w:numPr>
          <w:ilvl w:val="0"/>
          <w:numId w:val="5"/>
        </w:numPr>
        <w:ind w:left="0" w:firstLine="0"/>
      </w:pPr>
      <w:r>
        <w:t xml:space="preserve">This process culminated in </w:t>
      </w:r>
      <w:r w:rsidR="00A868DF">
        <w:t>a recommendation</w:t>
      </w:r>
      <w:r w:rsidR="00F42591">
        <w:t xml:space="preserve"> on the composition of CPTPP</w:t>
      </w:r>
      <w:r w:rsidR="00811E35">
        <w:t xml:space="preserve">. </w:t>
      </w:r>
      <w:r w:rsidR="0008409E">
        <w:t>This</w:t>
      </w:r>
      <w:r w:rsidR="00F42591">
        <w:t xml:space="preserve"> </w:t>
      </w:r>
      <w:r w:rsidR="00E50B98">
        <w:t>would be</w:t>
      </w:r>
      <w:r w:rsidR="00F42591">
        <w:t xml:space="preserve"> a separate </w:t>
      </w:r>
      <w:r w:rsidR="00265389">
        <w:t>legal instrument</w:t>
      </w:r>
      <w:r w:rsidR="00F42591">
        <w:t xml:space="preserve"> </w:t>
      </w:r>
      <w:r w:rsidR="00B20569">
        <w:t xml:space="preserve">that </w:t>
      </w:r>
      <w:r w:rsidR="0008409E">
        <w:t xml:space="preserve">incorporated </w:t>
      </w:r>
      <w:r w:rsidR="007F4CE8">
        <w:t xml:space="preserve">nearly all </w:t>
      </w:r>
      <w:r w:rsidR="00F42591">
        <w:t xml:space="preserve">provisions of the TPP and </w:t>
      </w:r>
      <w:r w:rsidR="0008409E">
        <w:t xml:space="preserve">excluded </w:t>
      </w:r>
      <w:r w:rsidR="00F42591">
        <w:t>a limited set of suspended provisions.</w:t>
      </w:r>
      <w:r w:rsidR="00F42591" w:rsidDel="00A868DF">
        <w:t xml:space="preserve"> </w:t>
      </w:r>
      <w:r w:rsidR="00DC1428">
        <w:t xml:space="preserve">The core elements of </w:t>
      </w:r>
      <w:r w:rsidR="00016E27">
        <w:t xml:space="preserve">CPTPP </w:t>
      </w:r>
      <w:r w:rsidR="00DC1428">
        <w:t xml:space="preserve">were announced </w:t>
      </w:r>
      <w:r w:rsidR="00563BC1">
        <w:t>on 11 November 2017</w:t>
      </w:r>
      <w:r w:rsidR="008F78EA">
        <w:t xml:space="preserve"> in Da Nang, Vietnam.</w:t>
      </w:r>
      <w:r w:rsidR="008F78EA">
        <w:rPr>
          <w:rStyle w:val="FootnoteReference"/>
        </w:rPr>
        <w:footnoteReference w:id="7"/>
      </w:r>
      <w:r w:rsidR="00174CEB">
        <w:t xml:space="preserve"> </w:t>
      </w:r>
    </w:p>
    <w:p w14:paraId="5B5DBF7C" w14:textId="3E66B668" w:rsidR="00032BE6" w:rsidRDefault="00C32D34" w:rsidP="000920EB">
      <w:pPr>
        <w:pStyle w:val="ListParagraph"/>
        <w:numPr>
          <w:ilvl w:val="0"/>
          <w:numId w:val="5"/>
        </w:numPr>
        <w:ind w:left="0" w:firstLine="0"/>
      </w:pPr>
      <w:r>
        <w:t xml:space="preserve">Negotiations on CPTPP </w:t>
      </w:r>
      <w:r w:rsidR="00380913">
        <w:t xml:space="preserve">were </w:t>
      </w:r>
      <w:r>
        <w:t xml:space="preserve">concluded </w:t>
      </w:r>
      <w:r w:rsidR="00380913">
        <w:t xml:space="preserve">by Senior Officials </w:t>
      </w:r>
      <w:r>
        <w:t>on 23 January</w:t>
      </w:r>
      <w:r w:rsidR="00380913">
        <w:t xml:space="preserve"> 2018 in Tokyo, Japan</w:t>
      </w:r>
      <w:r w:rsidR="002F3F9C">
        <w:t>.</w:t>
      </w:r>
    </w:p>
    <w:p w14:paraId="24EC2727" w14:textId="4ECBE2F3" w:rsidR="006B634B" w:rsidRPr="006B634B" w:rsidRDefault="006B634B" w:rsidP="000920EB">
      <w:pPr>
        <w:pStyle w:val="ListParagraph"/>
        <w:numPr>
          <w:ilvl w:val="0"/>
          <w:numId w:val="5"/>
        </w:numPr>
        <w:ind w:left="0" w:firstLine="0"/>
      </w:pPr>
      <w:r w:rsidRPr="006B634B">
        <w:lastRenderedPageBreak/>
        <w:t xml:space="preserve">On 8 March 2018, </w:t>
      </w:r>
      <w:r w:rsidR="00C612FA">
        <w:t>CPTPP</w:t>
      </w:r>
      <w:r w:rsidRPr="006B634B">
        <w:t xml:space="preserve"> was signed by </w:t>
      </w:r>
      <w:r w:rsidR="003A1983">
        <w:t>M</w:t>
      </w:r>
      <w:r w:rsidRPr="006B634B">
        <w:t>inisters in Santiago, Chile.</w:t>
      </w:r>
      <w:r w:rsidR="00BC0BA4">
        <w:t xml:space="preserve"> </w:t>
      </w:r>
      <w:r w:rsidR="0098454E">
        <w:t>DFAT</w:t>
      </w:r>
      <w:r w:rsidR="0098454E" w:rsidRPr="00467439">
        <w:t xml:space="preserve"> submitted a Regulatory Impact Statement on </w:t>
      </w:r>
      <w:r w:rsidR="0098454E">
        <w:t>CPTPP</w:t>
      </w:r>
      <w:r w:rsidR="00804F80">
        <w:rPr>
          <w:rStyle w:val="FootnoteReference"/>
        </w:rPr>
        <w:footnoteReference w:id="8"/>
      </w:r>
      <w:r w:rsidR="0098454E" w:rsidRPr="00467439">
        <w:t xml:space="preserve"> to the </w:t>
      </w:r>
      <w:r w:rsidR="0098454E">
        <w:t xml:space="preserve">OBPR </w:t>
      </w:r>
      <w:r w:rsidR="00132A57">
        <w:t xml:space="preserve">on 21 March 2018, </w:t>
      </w:r>
      <w:r w:rsidR="003B711D">
        <w:t>shortly after the Agreement was signed</w:t>
      </w:r>
      <w:r w:rsidR="003429C9">
        <w:t>.</w:t>
      </w:r>
    </w:p>
    <w:p w14:paraId="4362373B" w14:textId="2EEE1C6B" w:rsidR="000D5206" w:rsidRDefault="00BB721D" w:rsidP="000920EB">
      <w:pPr>
        <w:pStyle w:val="ListParagraph"/>
        <w:numPr>
          <w:ilvl w:val="0"/>
          <w:numId w:val="5"/>
        </w:numPr>
        <w:ind w:left="0" w:firstLine="0"/>
      </w:pPr>
      <w:r>
        <w:t xml:space="preserve">JSCOT received 69 submissions </w:t>
      </w:r>
      <w:r w:rsidR="00C816A9">
        <w:t>from civil society, peak bodies, industry</w:t>
      </w:r>
      <w:r w:rsidR="006832C4">
        <w:t xml:space="preserve"> and State and Territor</w:t>
      </w:r>
      <w:r w:rsidR="0087301E">
        <w:t xml:space="preserve">y governments </w:t>
      </w:r>
      <w:r w:rsidR="00E2221C">
        <w:t>during its consideration of CPTPP.</w:t>
      </w:r>
      <w:r w:rsidR="00B95554">
        <w:rPr>
          <w:rStyle w:val="FootnoteReference"/>
        </w:rPr>
        <w:footnoteReference w:id="9"/>
      </w:r>
      <w:r w:rsidR="00E2221C">
        <w:t xml:space="preserve"> </w:t>
      </w:r>
    </w:p>
    <w:p w14:paraId="23527A91" w14:textId="511896D3" w:rsidR="00BC0BA4" w:rsidRPr="00BC0BA4" w:rsidRDefault="00580D8A" w:rsidP="000920EB">
      <w:pPr>
        <w:pStyle w:val="ListParagraph"/>
        <w:numPr>
          <w:ilvl w:val="0"/>
          <w:numId w:val="5"/>
        </w:numPr>
        <w:ind w:left="0" w:firstLine="0"/>
      </w:pPr>
      <w:r>
        <w:t>The</w:t>
      </w:r>
      <w:r w:rsidR="001713C1">
        <w:t xml:space="preserve"> </w:t>
      </w:r>
      <w:r w:rsidR="00BC0BA4" w:rsidRPr="00BC0BA4">
        <w:t>text of the Agreement along with a National Interest Analysis</w:t>
      </w:r>
      <w:r w:rsidR="00142306">
        <w:t xml:space="preserve"> was tabled</w:t>
      </w:r>
      <w:r w:rsidR="00BC0BA4" w:rsidRPr="00BC0BA4">
        <w:t xml:space="preserve"> in the Australian Parliament on 26 March 2018.</w:t>
      </w:r>
    </w:p>
    <w:p w14:paraId="3F24F6FA" w14:textId="34BEE6C2" w:rsidR="006D6F75" w:rsidRDefault="006D6F75" w:rsidP="000920EB">
      <w:pPr>
        <w:pStyle w:val="ListParagraph"/>
        <w:numPr>
          <w:ilvl w:val="0"/>
          <w:numId w:val="5"/>
        </w:numPr>
        <w:ind w:left="0" w:firstLine="0"/>
      </w:pPr>
      <w:r w:rsidRPr="000A2ACC">
        <w:t xml:space="preserve">JSCOT tabled </w:t>
      </w:r>
      <w:r w:rsidR="00C81B09">
        <w:t>the</w:t>
      </w:r>
      <w:r w:rsidRPr="000A2ACC">
        <w:t xml:space="preserve"> </w:t>
      </w:r>
      <w:hyperlink r:id="rId13" w:history="1">
        <w:r w:rsidRPr="000A2ACC">
          <w:t>report</w:t>
        </w:r>
      </w:hyperlink>
      <w:r w:rsidRPr="000A2ACC">
        <w:t xml:space="preserve"> of its inquiry into</w:t>
      </w:r>
      <w:r w:rsidR="000C79C1">
        <w:t xml:space="preserve"> </w:t>
      </w:r>
      <w:r w:rsidR="00580D8A">
        <w:t>CPTPP</w:t>
      </w:r>
      <w:r w:rsidRPr="000A2ACC">
        <w:t xml:space="preserve"> in Parliament on </w:t>
      </w:r>
      <w:r w:rsidR="00580D8A">
        <w:t>22 August 2018</w:t>
      </w:r>
      <w:r w:rsidRPr="000A2ACC">
        <w:t xml:space="preserve">. </w:t>
      </w:r>
      <w:r w:rsidR="00580D8A">
        <w:t xml:space="preserve">JSCOT made </w:t>
      </w:r>
      <w:proofErr w:type="gramStart"/>
      <w:r w:rsidR="00580D8A">
        <w:t>a number of</w:t>
      </w:r>
      <w:proofErr w:type="gramEnd"/>
      <w:r w:rsidR="00580D8A">
        <w:t xml:space="preserve"> recommendations in </w:t>
      </w:r>
      <w:r w:rsidR="00580D8A" w:rsidRPr="001545C9">
        <w:t xml:space="preserve">its </w:t>
      </w:r>
      <w:r w:rsidR="00A2134C" w:rsidRPr="001545C9">
        <w:t>report,</w:t>
      </w:r>
      <w:r w:rsidR="00580D8A" w:rsidRPr="001545C9">
        <w:t xml:space="preserve"> including</w:t>
      </w:r>
      <w:r w:rsidR="00580D8A">
        <w:t xml:space="preserve"> </w:t>
      </w:r>
      <w:r w:rsidR="0018223F">
        <w:t xml:space="preserve">that </w:t>
      </w:r>
      <w:r w:rsidR="00580D8A">
        <w:t xml:space="preserve">Australia </w:t>
      </w:r>
      <w:proofErr w:type="gramStart"/>
      <w:r w:rsidR="00580D8A">
        <w:t>take</w:t>
      </w:r>
      <w:proofErr w:type="gramEnd"/>
      <w:r w:rsidR="00580D8A">
        <w:t xml:space="preserve"> binding treaty action to ratify </w:t>
      </w:r>
      <w:r w:rsidR="00E567F7">
        <w:t>CPTPP</w:t>
      </w:r>
      <w:r w:rsidR="00580D8A">
        <w:t>.</w:t>
      </w:r>
    </w:p>
    <w:p w14:paraId="2DCA11AF" w14:textId="4CC6F976" w:rsidR="00580D8A" w:rsidRDefault="00C80417" w:rsidP="000920EB">
      <w:pPr>
        <w:pStyle w:val="ListParagraph"/>
        <w:numPr>
          <w:ilvl w:val="0"/>
          <w:numId w:val="5"/>
        </w:numPr>
        <w:ind w:left="0" w:firstLine="0"/>
      </w:pPr>
      <w:r>
        <w:t xml:space="preserve">On 23 August 2018, </w:t>
      </w:r>
      <w:r w:rsidR="0012471F" w:rsidRPr="00BC0BA4">
        <w:t xml:space="preserve">the </w:t>
      </w:r>
      <w:r w:rsidR="0012471F" w:rsidRPr="004121A2">
        <w:rPr>
          <w:i/>
        </w:rPr>
        <w:t>Customs Amendment (Comprehensive and Progressive Agreement for Trans-Pacific Partnership Implementation) Bill</w:t>
      </w:r>
      <w:r w:rsidR="0012471F" w:rsidRPr="005B1BD7">
        <w:t xml:space="preserve"> 2018</w:t>
      </w:r>
      <w:r w:rsidR="00F722C5" w:rsidRPr="005B1BD7">
        <w:t xml:space="preserve">, with the </w:t>
      </w:r>
      <w:r w:rsidR="00F722C5" w:rsidRPr="004121A2">
        <w:rPr>
          <w:i/>
        </w:rPr>
        <w:t>Customs Tariff Amendment (Comprehensive and Progressive Agreement for Trans-Pacific Partnership Implementation) Bill</w:t>
      </w:r>
      <w:r w:rsidR="00F722C5" w:rsidRPr="00BC0BA4">
        <w:t xml:space="preserve"> 2018</w:t>
      </w:r>
      <w:r w:rsidR="005B1BD7">
        <w:t xml:space="preserve"> </w:t>
      </w:r>
      <w:r w:rsidR="00513C63">
        <w:t>was in</w:t>
      </w:r>
      <w:r w:rsidR="0087696E">
        <w:t xml:space="preserve">troduced </w:t>
      </w:r>
      <w:r w:rsidR="00AE582F">
        <w:t xml:space="preserve">to the House of Representatives </w:t>
      </w:r>
      <w:r w:rsidR="002E0BD5">
        <w:t>to</w:t>
      </w:r>
      <w:r w:rsidR="007C4AF0">
        <w:t xml:space="preserve"> implement Australia’s </w:t>
      </w:r>
      <w:r>
        <w:t xml:space="preserve">obligations under </w:t>
      </w:r>
      <w:r w:rsidR="00E567F7">
        <w:t>CPTPP</w:t>
      </w:r>
      <w:r w:rsidR="00503BD0">
        <w:t>.</w:t>
      </w:r>
      <w:r w:rsidR="0051522B">
        <w:rPr>
          <w:rStyle w:val="FootnoteReference"/>
        </w:rPr>
        <w:footnoteReference w:id="10"/>
      </w:r>
      <w:r w:rsidR="00AE582F">
        <w:t xml:space="preserve"> </w:t>
      </w:r>
    </w:p>
    <w:p w14:paraId="2BE27471" w14:textId="4F64550C" w:rsidR="009074F7" w:rsidRPr="003A0F87" w:rsidRDefault="0091085F" w:rsidP="000920EB">
      <w:pPr>
        <w:pStyle w:val="ListParagraph"/>
        <w:numPr>
          <w:ilvl w:val="0"/>
          <w:numId w:val="5"/>
        </w:numPr>
        <w:ind w:left="0" w:firstLine="0"/>
      </w:pPr>
      <w:r>
        <w:t>Both Bills were introduced to the Senate on 18 September 2018</w:t>
      </w:r>
      <w:r w:rsidR="006A55B0">
        <w:t xml:space="preserve"> and were passed by both houses on 17 October 2018.</w:t>
      </w:r>
      <w:r w:rsidR="001F2E3E" w:rsidRPr="001F2E3E">
        <w:t xml:space="preserve"> </w:t>
      </w:r>
      <w:r w:rsidR="003F01A4">
        <w:t>Once enacted, t</w:t>
      </w:r>
      <w:r w:rsidR="001F2E3E">
        <w:t xml:space="preserve">he </w:t>
      </w:r>
      <w:r w:rsidR="001F2E3E" w:rsidRPr="003F01A4">
        <w:rPr>
          <w:i/>
          <w:iCs/>
        </w:rPr>
        <w:t xml:space="preserve">Customs Amendment </w:t>
      </w:r>
      <w:r w:rsidR="003F01A4" w:rsidRPr="003F01A4">
        <w:rPr>
          <w:i/>
          <w:iCs/>
        </w:rPr>
        <w:t>(Comprehensive and Progressive Agreement for Trans-Pacific Partnership Implementation) Act</w:t>
      </w:r>
      <w:r w:rsidR="001F2E3E" w:rsidRPr="003F01A4">
        <w:rPr>
          <w:i/>
          <w:iCs/>
        </w:rPr>
        <w:t xml:space="preserve"> 2018</w:t>
      </w:r>
      <w:r w:rsidR="001F2E3E">
        <w:t xml:space="preserve"> amended the </w:t>
      </w:r>
      <w:r w:rsidR="001F2E3E">
        <w:rPr>
          <w:i/>
          <w:iCs/>
        </w:rPr>
        <w:t>Customs Act</w:t>
      </w:r>
      <w:r w:rsidR="001F2E3E" w:rsidRPr="00AB6EA3">
        <w:rPr>
          <w:i/>
          <w:iCs/>
        </w:rPr>
        <w:t xml:space="preserve"> 1901</w:t>
      </w:r>
      <w:r w:rsidR="001F2E3E">
        <w:t xml:space="preserve"> to introduce new rules of origin for goods imported into Australia from a Party to CPTPP.</w:t>
      </w:r>
      <w:r w:rsidR="00D02F25">
        <w:rPr>
          <w:rStyle w:val="FootnoteReference"/>
        </w:rPr>
        <w:footnoteReference w:id="11"/>
      </w:r>
    </w:p>
    <w:p w14:paraId="32BA1C97" w14:textId="10377CEE" w:rsidR="00EC75F5" w:rsidRDefault="00EC75F5" w:rsidP="000920EB">
      <w:pPr>
        <w:pStyle w:val="ListParagraph"/>
        <w:numPr>
          <w:ilvl w:val="0"/>
          <w:numId w:val="5"/>
        </w:numPr>
        <w:ind w:left="0" w:firstLine="0"/>
      </w:pPr>
      <w:r>
        <w:t xml:space="preserve">On 31 October 2018, Australia notified New Zealand, as </w:t>
      </w:r>
      <w:r w:rsidR="005F02D9">
        <w:t>D</w:t>
      </w:r>
      <w:r>
        <w:t xml:space="preserve">epositary of CPTPP, that Australia </w:t>
      </w:r>
      <w:r w:rsidR="00E536F7">
        <w:t xml:space="preserve">had </w:t>
      </w:r>
      <w:r>
        <w:t>completed i</w:t>
      </w:r>
      <w:r w:rsidR="00B247D9">
        <w:t>ts</w:t>
      </w:r>
      <w:r>
        <w:t xml:space="preserve"> applicable legal procedures necessary for entry into force. </w:t>
      </w:r>
    </w:p>
    <w:p w14:paraId="5DD87F7B" w14:textId="04F4AEEC" w:rsidR="00F71BA5" w:rsidRDefault="00EC75F5" w:rsidP="000920EB">
      <w:pPr>
        <w:pStyle w:val="ListParagraph"/>
        <w:numPr>
          <w:ilvl w:val="0"/>
          <w:numId w:val="5"/>
        </w:numPr>
        <w:ind w:left="0" w:firstLine="0"/>
      </w:pPr>
      <w:r>
        <w:t xml:space="preserve">CPTPP entered into force for Australia on 30 December 2018. </w:t>
      </w:r>
      <w:r w:rsidR="00F71BA5">
        <w:t xml:space="preserve">The first round of </w:t>
      </w:r>
      <w:r w:rsidR="007417FD">
        <w:t>tariff</w:t>
      </w:r>
      <w:r w:rsidR="00F71BA5">
        <w:t xml:space="preserve"> </w:t>
      </w:r>
      <w:r w:rsidR="00CE4B26">
        <w:t>cuts</w:t>
      </w:r>
      <w:r w:rsidR="00530E0A">
        <w:t xml:space="preserve"> </w:t>
      </w:r>
      <w:r w:rsidR="00F71BA5">
        <w:t>took place on entry into force</w:t>
      </w:r>
      <w:r w:rsidR="00543C5B">
        <w:t xml:space="preserve"> and the second on 1 January 2019</w:t>
      </w:r>
      <w:r w:rsidR="00F71BA5">
        <w:t xml:space="preserve">. Subsequent tariff </w:t>
      </w:r>
      <w:r w:rsidR="004078E1">
        <w:t>cuts</w:t>
      </w:r>
      <w:r w:rsidR="00530E0A">
        <w:t xml:space="preserve"> </w:t>
      </w:r>
      <w:r w:rsidR="00A04158">
        <w:t>have</w:t>
      </w:r>
      <w:r w:rsidR="00635666">
        <w:t xml:space="preserve"> and will take place </w:t>
      </w:r>
      <w:r w:rsidR="00577C57">
        <w:t>every year until e</w:t>
      </w:r>
      <w:r w:rsidR="001C6548">
        <w:t>liminated</w:t>
      </w:r>
      <w:r w:rsidR="0083691E">
        <w:t xml:space="preserve"> or</w:t>
      </w:r>
      <w:r w:rsidR="008B7676">
        <w:t xml:space="preserve">, for a small number of </w:t>
      </w:r>
      <w:r w:rsidR="008E1920">
        <w:t>products,</w:t>
      </w:r>
      <w:r w:rsidR="0083691E">
        <w:t xml:space="preserve"> signif</w:t>
      </w:r>
      <w:r w:rsidR="002957AF">
        <w:t>icantly reduced</w:t>
      </w:r>
      <w:r w:rsidR="00DB1FF0">
        <w:t xml:space="preserve"> (with the last round of reductions scheduled for 2040)</w:t>
      </w:r>
      <w:r w:rsidR="0071732F">
        <w:t xml:space="preserve">. </w:t>
      </w:r>
    </w:p>
    <w:p w14:paraId="6C99A6EE" w14:textId="4FAE16E4" w:rsidR="00D252C8" w:rsidRDefault="007417FD" w:rsidP="000920EB">
      <w:pPr>
        <w:pStyle w:val="ListParagraph"/>
        <w:numPr>
          <w:ilvl w:val="0"/>
          <w:numId w:val="5"/>
        </w:numPr>
        <w:ind w:left="0" w:firstLine="0"/>
      </w:pPr>
      <w:r>
        <w:t>The</w:t>
      </w:r>
      <w:r w:rsidR="00EC75F5">
        <w:t xml:space="preserve"> first CPTPP </w:t>
      </w:r>
      <w:r w:rsidR="00D252C8">
        <w:t>Commission</w:t>
      </w:r>
      <w:r w:rsidR="00EC75F5">
        <w:t xml:space="preserve"> meeting was held in Tokyo</w:t>
      </w:r>
      <w:r w:rsidR="004E4DE3">
        <w:t>, Japan</w:t>
      </w:r>
      <w:r w:rsidR="00EC75F5">
        <w:t xml:space="preserve"> on 19 January 2019</w:t>
      </w:r>
      <w:r w:rsidR="00AF6BAB">
        <w:t xml:space="preserve"> and </w:t>
      </w:r>
      <w:r w:rsidR="00A17E4D">
        <w:t xml:space="preserve">subsequent </w:t>
      </w:r>
      <w:r w:rsidR="00496163">
        <w:t xml:space="preserve">Commission meetings </w:t>
      </w:r>
      <w:r w:rsidR="00AF6BAB">
        <w:t>have been held annually since</w:t>
      </w:r>
      <w:r w:rsidR="00D252C8">
        <w:t xml:space="preserve">. </w:t>
      </w:r>
      <w:r w:rsidR="00165DC3">
        <w:t xml:space="preserve">The </w:t>
      </w:r>
      <w:r w:rsidR="00B61753">
        <w:lastRenderedPageBreak/>
        <w:t>E</w:t>
      </w:r>
      <w:r w:rsidR="00C9111F">
        <w:t>i</w:t>
      </w:r>
      <w:r w:rsidR="009B248A">
        <w:t>ghth</w:t>
      </w:r>
      <w:r w:rsidR="00B61753">
        <w:t xml:space="preserve"> CPTPP</w:t>
      </w:r>
      <w:r w:rsidR="00165DC3">
        <w:t xml:space="preserve"> Commission meeting</w:t>
      </w:r>
      <w:r w:rsidR="00AF6BAB">
        <w:t xml:space="preserve"> recently</w:t>
      </w:r>
      <w:r w:rsidR="00165DC3">
        <w:t xml:space="preserve"> took place in </w:t>
      </w:r>
      <w:r w:rsidR="009B248A">
        <w:t>Vancouver</w:t>
      </w:r>
      <w:r w:rsidR="00165DC3">
        <w:t xml:space="preserve">, </w:t>
      </w:r>
      <w:r w:rsidR="009B248A">
        <w:t>Canada</w:t>
      </w:r>
      <w:r w:rsidR="00165DC3">
        <w:t xml:space="preserve"> on </w:t>
      </w:r>
      <w:r w:rsidR="00503B38">
        <w:t>28</w:t>
      </w:r>
      <w:r w:rsidR="00B61753">
        <w:t> </w:t>
      </w:r>
      <w:r w:rsidR="00503B38">
        <w:t>November 2024</w:t>
      </w:r>
      <w:r w:rsidR="00C3349A">
        <w:t>.</w:t>
      </w:r>
      <w:r w:rsidR="00BC2251">
        <w:rPr>
          <w:rStyle w:val="FootnoteReference"/>
        </w:rPr>
        <w:footnoteReference w:id="12"/>
      </w:r>
    </w:p>
    <w:p w14:paraId="1D96C09F" w14:textId="2FCAE661" w:rsidR="00D252C8" w:rsidRPr="00C7287C" w:rsidRDefault="00D252C8" w:rsidP="00D252C8">
      <w:pPr>
        <w:pStyle w:val="Heading2"/>
      </w:pPr>
      <w:r>
        <w:t>Context</w:t>
      </w:r>
    </w:p>
    <w:p w14:paraId="34A67F07" w14:textId="77777777" w:rsidR="003908AF" w:rsidRDefault="003908AF" w:rsidP="000920EB">
      <w:pPr>
        <w:pStyle w:val="ListParagraph"/>
        <w:numPr>
          <w:ilvl w:val="0"/>
          <w:numId w:val="5"/>
        </w:numPr>
        <w:ind w:left="0" w:firstLine="0"/>
      </w:pPr>
      <w:r>
        <w:t>In respect of its scope and ambition, the TPP (and CPTPP by extension) was the most significant international trade agreement ever negotiated since the completion of the WTO Uruguay Round in 1994.</w:t>
      </w:r>
      <w:r>
        <w:rPr>
          <w:rStyle w:val="FootnoteReference"/>
        </w:rPr>
        <w:footnoteReference w:id="13"/>
      </w:r>
      <w:r>
        <w:t xml:space="preserve"> </w:t>
      </w:r>
    </w:p>
    <w:p w14:paraId="430053A5" w14:textId="56D6E77E" w:rsidR="00FD3FFF" w:rsidRDefault="00820119" w:rsidP="000920EB">
      <w:pPr>
        <w:pStyle w:val="ListParagraph"/>
        <w:numPr>
          <w:ilvl w:val="0"/>
          <w:numId w:val="5"/>
        </w:numPr>
        <w:ind w:left="0" w:firstLine="0"/>
      </w:pPr>
      <w:r>
        <w:t xml:space="preserve">The withdrawal of the United States, the largest economy in the TPP, </w:t>
      </w:r>
      <w:r w:rsidR="00B167A3">
        <w:t xml:space="preserve">altered </w:t>
      </w:r>
      <w:r w:rsidR="000F59DC">
        <w:t xml:space="preserve">the </w:t>
      </w:r>
      <w:r w:rsidR="00B85AEB">
        <w:t xml:space="preserve">overall </w:t>
      </w:r>
      <w:r w:rsidR="000F59DC">
        <w:t>impact of the Agreement</w:t>
      </w:r>
      <w:r w:rsidR="00773CA9">
        <w:t xml:space="preserve">. Nonetheless, </w:t>
      </w:r>
      <w:r w:rsidR="00FA2414">
        <w:t xml:space="preserve">by retaining almost all provisions of the TPP, </w:t>
      </w:r>
      <w:r w:rsidR="00773CA9">
        <w:t>CPTPP</w:t>
      </w:r>
      <w:r w:rsidR="00E3638B">
        <w:t xml:space="preserve"> </w:t>
      </w:r>
      <w:r w:rsidR="00FA2414">
        <w:t xml:space="preserve">remains </w:t>
      </w:r>
      <w:r w:rsidR="00466DB4">
        <w:t xml:space="preserve">one of the most comprehensive plurilateral </w:t>
      </w:r>
      <w:r w:rsidR="00C3349A">
        <w:t>f</w:t>
      </w:r>
      <w:r w:rsidR="00034833">
        <w:t xml:space="preserve">ree </w:t>
      </w:r>
      <w:r w:rsidR="00C3349A">
        <w:t>t</w:t>
      </w:r>
      <w:r w:rsidR="00034833">
        <w:t xml:space="preserve">rade </w:t>
      </w:r>
      <w:r w:rsidR="00C3349A">
        <w:t>a</w:t>
      </w:r>
      <w:r w:rsidR="00034833">
        <w:t>greements (F</w:t>
      </w:r>
      <w:r w:rsidR="00466DB4">
        <w:t>TAs</w:t>
      </w:r>
      <w:r w:rsidR="00034833">
        <w:t>)</w:t>
      </w:r>
      <w:r w:rsidR="00466DB4">
        <w:t xml:space="preserve"> to date. </w:t>
      </w:r>
    </w:p>
    <w:p w14:paraId="39F53ACF" w14:textId="58FCD98E" w:rsidR="00184862" w:rsidRDefault="00184862" w:rsidP="000920EB">
      <w:pPr>
        <w:pStyle w:val="ListParagraph"/>
        <w:numPr>
          <w:ilvl w:val="0"/>
          <w:numId w:val="5"/>
        </w:numPr>
        <w:ind w:left="0" w:firstLine="0"/>
      </w:pPr>
      <w:r>
        <w:t>CPTPP was considered during a period</w:t>
      </w:r>
      <w:r w:rsidR="00A23EF6">
        <w:t xml:space="preserve"> </w:t>
      </w:r>
      <w:r w:rsidR="00556661">
        <w:t xml:space="preserve">when </w:t>
      </w:r>
      <w:r w:rsidR="00012FAD">
        <w:t xml:space="preserve">many in the </w:t>
      </w:r>
      <w:r w:rsidR="00556661" w:rsidRPr="0004430E">
        <w:t>Australian community</w:t>
      </w:r>
      <w:r w:rsidR="00556661">
        <w:t xml:space="preserve"> w</w:t>
      </w:r>
      <w:r w:rsidR="00012FAD">
        <w:t>ere</w:t>
      </w:r>
      <w:r w:rsidR="00556661">
        <w:t xml:space="preserve"> uncertain of </w:t>
      </w:r>
      <w:r w:rsidRPr="0004430E">
        <w:t>the benefits of free trade</w:t>
      </w:r>
      <w:r w:rsidR="00012FAD">
        <w:t>, an</w:t>
      </w:r>
      <w:r w:rsidR="00EB2791">
        <w:t xml:space="preserve">d </w:t>
      </w:r>
      <w:proofErr w:type="gramStart"/>
      <w:r w:rsidR="00EB2791">
        <w:t xml:space="preserve">a </w:t>
      </w:r>
      <w:r w:rsidR="00EB2791" w:rsidRPr="0004430E">
        <w:t>number of</w:t>
      </w:r>
      <w:proofErr w:type="gramEnd"/>
      <w:r w:rsidR="00EB2791" w:rsidRPr="0004430E">
        <w:t xml:space="preserve"> economies </w:t>
      </w:r>
      <w:r w:rsidR="00EB2791">
        <w:t>were</w:t>
      </w:r>
      <w:r w:rsidRPr="0004430E">
        <w:t xml:space="preserve"> </w:t>
      </w:r>
      <w:r w:rsidR="00EB2791" w:rsidRPr="0004430E">
        <w:t>implement</w:t>
      </w:r>
      <w:r w:rsidR="00EB2791">
        <w:t>ing</w:t>
      </w:r>
      <w:r w:rsidR="00EB2791" w:rsidRPr="0004430E">
        <w:t xml:space="preserve"> </w:t>
      </w:r>
      <w:r w:rsidRPr="0004430E">
        <w:t>protectionist economic policies.</w:t>
      </w:r>
      <w:r>
        <w:rPr>
          <w:rStyle w:val="FootnoteReference"/>
        </w:rPr>
        <w:footnoteReference w:id="14"/>
      </w:r>
    </w:p>
    <w:p w14:paraId="0BAB8FB2" w14:textId="4D370780" w:rsidR="00065E36" w:rsidRPr="00A86950" w:rsidRDefault="00065E36" w:rsidP="000920EB">
      <w:pPr>
        <w:pStyle w:val="ListParagraph"/>
        <w:numPr>
          <w:ilvl w:val="0"/>
          <w:numId w:val="5"/>
        </w:numPr>
        <w:ind w:left="0" w:firstLine="0"/>
      </w:pPr>
      <w:r>
        <w:t xml:space="preserve">By the time CPTPP was signed by Ministers in </w:t>
      </w:r>
      <w:r w:rsidR="00920682">
        <w:t xml:space="preserve">March </w:t>
      </w:r>
      <w:r>
        <w:t xml:space="preserve">2018, Australia already had bilateral FTAs with </w:t>
      </w:r>
      <w:proofErr w:type="gramStart"/>
      <w:r>
        <w:t>a majority of</w:t>
      </w:r>
      <w:proofErr w:type="gramEnd"/>
      <w:r>
        <w:t xml:space="preserve"> the original signatories, including New Zealand (1983), Singapore (2003), the United States (2005), Chile (2009), Malaysia (2013), and Japan (2015). This was in addition to the ASEAN-Australia-New Zealand F</w:t>
      </w:r>
      <w:r w:rsidR="001B5726">
        <w:t xml:space="preserve">ree </w:t>
      </w:r>
      <w:r>
        <w:t>T</w:t>
      </w:r>
      <w:r w:rsidR="001B5726">
        <w:t xml:space="preserve">rade </w:t>
      </w:r>
      <w:r>
        <w:t>A</w:t>
      </w:r>
      <w:r w:rsidR="001B5726">
        <w:t>rea</w:t>
      </w:r>
      <w:r>
        <w:t xml:space="preserve"> (AANZFTA)</w:t>
      </w:r>
      <w:r w:rsidR="001B5726">
        <w:t xml:space="preserve"> agreement</w:t>
      </w:r>
      <w:r>
        <w:t xml:space="preserve"> (2010), which is a plurilateral FTA with regional partners.</w:t>
      </w:r>
      <w:r>
        <w:rPr>
          <w:rStyle w:val="FootnoteReference"/>
        </w:rPr>
        <w:footnoteReference w:id="15"/>
      </w:r>
      <w:r w:rsidR="00D51B9C" w:rsidRPr="00D51B9C">
        <w:rPr>
          <w:rStyle w:val="FootnoteReference"/>
        </w:rPr>
        <w:t xml:space="preserve"> </w:t>
      </w:r>
      <w:r w:rsidR="00D51B9C">
        <w:rPr>
          <w:rStyle w:val="FootnoteReference"/>
        </w:rPr>
        <w:footnoteReference w:id="16"/>
      </w:r>
    </w:p>
    <w:p w14:paraId="42D27F85" w14:textId="28CC523E" w:rsidR="00065E36" w:rsidRDefault="00065E36" w:rsidP="000920EB">
      <w:pPr>
        <w:pStyle w:val="ListParagraph"/>
        <w:numPr>
          <w:ilvl w:val="0"/>
          <w:numId w:val="5"/>
        </w:numPr>
        <w:ind w:left="0" w:firstLine="0"/>
      </w:pPr>
      <w:r>
        <w:t xml:space="preserve">However, Australia did not have </w:t>
      </w:r>
      <w:proofErr w:type="gramStart"/>
      <w:r w:rsidR="007C69A1">
        <w:t>a</w:t>
      </w:r>
      <w:proofErr w:type="gramEnd"/>
      <w:r>
        <w:t xml:space="preserve"> FTA</w:t>
      </w:r>
      <w:r w:rsidR="00804D7D">
        <w:t xml:space="preserve"> with</w:t>
      </w:r>
      <w:r w:rsidR="007C69A1">
        <w:t xml:space="preserve"> Mexico, and </w:t>
      </w:r>
      <w:r w:rsidR="00247F78">
        <w:t>the</w:t>
      </w:r>
      <w:r w:rsidR="00412112" w:rsidRPr="00412112">
        <w:t xml:space="preserve"> Canada-Australia Trade Agreement (CANATA)</w:t>
      </w:r>
      <w:r w:rsidR="00247F78">
        <w:t xml:space="preserve">, was last </w:t>
      </w:r>
      <w:r w:rsidR="003509AA">
        <w:t xml:space="preserve">amended </w:t>
      </w:r>
      <w:r w:rsidR="005912F2">
        <w:t>in October 1973</w:t>
      </w:r>
      <w:r w:rsidR="008249ED">
        <w:t xml:space="preserve"> and</w:t>
      </w:r>
      <w:r w:rsidR="005C0714">
        <w:t xml:space="preserve"> predat</w:t>
      </w:r>
      <w:r w:rsidR="008249ED">
        <w:t>ed</w:t>
      </w:r>
      <w:r w:rsidR="005C0714">
        <w:t xml:space="preserve"> the </w:t>
      </w:r>
      <w:r w:rsidR="00412112" w:rsidRPr="00412112">
        <w:t>Harmonised</w:t>
      </w:r>
      <w:r w:rsidR="00491574">
        <w:t> </w:t>
      </w:r>
      <w:r w:rsidR="00412112" w:rsidRPr="00412112">
        <w:t>System (HS)</w:t>
      </w:r>
      <w:r w:rsidR="005C0714">
        <w:t>.</w:t>
      </w:r>
      <w:r>
        <w:t xml:space="preserve"> </w:t>
      </w:r>
      <w:r w:rsidR="005C0714">
        <w:t>As such,</w:t>
      </w:r>
      <w:r>
        <w:t xml:space="preserve"> Australia’s exporters faced additional barriers accessing both </w:t>
      </w:r>
      <w:proofErr w:type="gramStart"/>
      <w:r>
        <w:t>markets, and</w:t>
      </w:r>
      <w:proofErr w:type="gramEnd"/>
      <w:r>
        <w:t xml:space="preserve"> were disadvantaged due to Mexico’s and Canada’s existing FTAs with our competitors, </w:t>
      </w:r>
      <w:r w:rsidR="00067F41">
        <w:t>such</w:t>
      </w:r>
      <w:r>
        <w:t xml:space="preserve"> as the United States-Mexico-Canada FTA. As a result, CPTPP opened significant market access opportunities for Australian exporters.</w:t>
      </w:r>
    </w:p>
    <w:p w14:paraId="16F2EE23" w14:textId="77777777" w:rsidR="00D162A2" w:rsidRDefault="008040F5" w:rsidP="000920EB">
      <w:pPr>
        <w:pStyle w:val="ListParagraph"/>
        <w:numPr>
          <w:ilvl w:val="0"/>
          <w:numId w:val="5"/>
        </w:numPr>
        <w:ind w:left="0" w:firstLine="0"/>
      </w:pPr>
      <w:r>
        <w:t xml:space="preserve">For Australia, the Indo-Pacific was </w:t>
      </w:r>
      <w:r w:rsidR="00D918A9">
        <w:t xml:space="preserve">also </w:t>
      </w:r>
      <w:r>
        <w:t xml:space="preserve">the </w:t>
      </w:r>
      <w:r w:rsidR="007C3747">
        <w:t>appropriate</w:t>
      </w:r>
      <w:r>
        <w:t xml:space="preserve"> region to define the new rules for global trade that covered all barriers and all sectors.</w:t>
      </w:r>
      <w:r w:rsidRPr="00407B92">
        <w:t xml:space="preserve"> </w:t>
      </w:r>
      <w:r w:rsidR="00745F7F">
        <w:t xml:space="preserve">The Indo-Pacific </w:t>
      </w:r>
      <w:r w:rsidR="00745F7F">
        <w:lastRenderedPageBreak/>
        <w:t xml:space="preserve">accounts for almost </w:t>
      </w:r>
      <w:r w:rsidRPr="00BA1D1F">
        <w:t>half of global trade and</w:t>
      </w:r>
      <w:r w:rsidR="00745F7F">
        <w:t xml:space="preserve"> </w:t>
      </w:r>
      <w:proofErr w:type="gramStart"/>
      <w:r w:rsidR="00D162A2">
        <w:t>the majority of</w:t>
      </w:r>
      <w:proofErr w:type="gramEnd"/>
      <w:r w:rsidR="00D162A2">
        <w:t xml:space="preserve"> </w:t>
      </w:r>
      <w:r w:rsidRPr="00BA1D1F">
        <w:t>Australia's</w:t>
      </w:r>
      <w:r w:rsidR="00C25E8D">
        <w:t xml:space="preserve"> </w:t>
      </w:r>
      <w:r w:rsidR="00446892">
        <w:t>top two-way trading partners</w:t>
      </w:r>
      <w:r w:rsidR="00D162A2">
        <w:t>.</w:t>
      </w:r>
      <w:r w:rsidR="00F13102">
        <w:rPr>
          <w:rStyle w:val="FootnoteReference"/>
        </w:rPr>
        <w:footnoteReference w:id="17"/>
      </w:r>
      <w:r w:rsidRPr="00BA1D1F">
        <w:t xml:space="preserve"> </w:t>
      </w:r>
    </w:p>
    <w:p w14:paraId="36FB940F" w14:textId="29ADDF2F" w:rsidR="008040F5" w:rsidRDefault="00D6031B" w:rsidP="000920EB">
      <w:pPr>
        <w:pStyle w:val="ListParagraph"/>
        <w:numPr>
          <w:ilvl w:val="0"/>
          <w:numId w:val="5"/>
        </w:numPr>
        <w:ind w:left="0" w:firstLine="0"/>
      </w:pPr>
      <w:r>
        <w:t>This made e</w:t>
      </w:r>
      <w:r w:rsidR="008040F5" w:rsidRPr="00BA1D1F">
        <w:t>xpanding and deepening Australia’s trade and investment relationships</w:t>
      </w:r>
      <w:r w:rsidR="00E23C6C">
        <w:t xml:space="preserve"> in the Indo-Pacific</w:t>
      </w:r>
      <w:r>
        <w:t xml:space="preserve"> </w:t>
      </w:r>
      <w:r w:rsidR="008040F5" w:rsidRPr="00BA1D1F">
        <w:t xml:space="preserve">critical to </w:t>
      </w:r>
      <w:r>
        <w:t>Australia’s</w:t>
      </w:r>
      <w:r w:rsidR="008040F5" w:rsidRPr="00BA1D1F">
        <w:t xml:space="preserve"> future economic growth and prosperity</w:t>
      </w:r>
      <w:r w:rsidR="008040F5">
        <w:t xml:space="preserve">. </w:t>
      </w:r>
      <w:r w:rsidR="0086470A">
        <w:t>Considering</w:t>
      </w:r>
      <w:r w:rsidR="008040F5">
        <w:t xml:space="preserve"> the region’s growing importance in the world trading system</w:t>
      </w:r>
      <w:r w:rsidR="003A3AD6">
        <w:t>,</w:t>
      </w:r>
      <w:r w:rsidR="008040F5">
        <w:t xml:space="preserve"> and the opportunities offered by its growing economies, the absence of a high standard plurilateral FTA with </w:t>
      </w:r>
      <w:r w:rsidR="003A3AD6">
        <w:t xml:space="preserve">these </w:t>
      </w:r>
      <w:r w:rsidR="008040F5">
        <w:t xml:space="preserve">economies was </w:t>
      </w:r>
      <w:r w:rsidR="00EB20DE">
        <w:t>a risk to</w:t>
      </w:r>
      <w:r w:rsidR="008040F5">
        <w:t xml:space="preserve"> Australia’s ability to realise its full trading potential in the region.</w:t>
      </w:r>
    </w:p>
    <w:p w14:paraId="34D43D0D" w14:textId="2FF38C84" w:rsidR="0043472A" w:rsidRDefault="00F7645E" w:rsidP="000920EB">
      <w:pPr>
        <w:pStyle w:val="ListParagraph"/>
        <w:numPr>
          <w:ilvl w:val="0"/>
          <w:numId w:val="5"/>
        </w:numPr>
        <w:ind w:left="0" w:firstLine="0"/>
      </w:pPr>
      <w:r>
        <w:t xml:space="preserve">In addition to </w:t>
      </w:r>
      <w:r w:rsidR="002351D8">
        <w:t>those</w:t>
      </w:r>
      <w:r>
        <w:t xml:space="preserve"> </w:t>
      </w:r>
      <w:r w:rsidR="00FD3FFF" w:rsidRPr="00FD3FFF">
        <w:t xml:space="preserve">chapters generally </w:t>
      </w:r>
      <w:r w:rsidR="00431E6D">
        <w:t>included in trade agreements</w:t>
      </w:r>
      <w:r w:rsidR="00FD3FFF" w:rsidRPr="00FD3FFF">
        <w:t xml:space="preserve">, including those relating to the removal of tariff barriers, rules of origin and non-tariff barriers, access for </w:t>
      </w:r>
      <w:proofErr w:type="gramStart"/>
      <w:r w:rsidR="00FD3FFF" w:rsidRPr="00FD3FFF">
        <w:t>business persons</w:t>
      </w:r>
      <w:proofErr w:type="gramEnd"/>
      <w:r w:rsidR="00FD3FFF" w:rsidRPr="00FD3FFF">
        <w:t xml:space="preserve">, investment, and intellectual property, </w:t>
      </w:r>
      <w:r w:rsidR="00FD3FFF">
        <w:t>CP</w:t>
      </w:r>
      <w:r w:rsidR="00FD3FFF" w:rsidRPr="00FD3FFF">
        <w:t xml:space="preserve">TPP included </w:t>
      </w:r>
      <w:r w:rsidR="00CF19C6">
        <w:t xml:space="preserve">new </w:t>
      </w:r>
      <w:r w:rsidR="00FD3FFF" w:rsidRPr="00FD3FFF">
        <w:t>commitments </w:t>
      </w:r>
      <w:r w:rsidR="00D30942">
        <w:t xml:space="preserve">and ambitious rules that went beyond typical FTA practice, including </w:t>
      </w:r>
      <w:r w:rsidR="00FD3FFF">
        <w:t>on:</w:t>
      </w:r>
    </w:p>
    <w:p w14:paraId="15FC78FF" w14:textId="775CB5E0" w:rsidR="00FD3FFF" w:rsidRDefault="00966A9A" w:rsidP="000920EB">
      <w:pPr>
        <w:pStyle w:val="ListParagraph"/>
        <w:numPr>
          <w:ilvl w:val="1"/>
          <w:numId w:val="5"/>
        </w:numPr>
      </w:pPr>
      <w:r>
        <w:t>g</w:t>
      </w:r>
      <w:r w:rsidR="00FD3FFF">
        <w:t>overn</w:t>
      </w:r>
      <w:r w:rsidR="003273FF">
        <w:t>ment procurement</w:t>
      </w:r>
    </w:p>
    <w:p w14:paraId="30CB590F" w14:textId="77777777" w:rsidR="003273FF" w:rsidRDefault="003273FF" w:rsidP="000920EB">
      <w:pPr>
        <w:pStyle w:val="ListParagraph"/>
        <w:numPr>
          <w:ilvl w:val="1"/>
          <w:numId w:val="5"/>
        </w:numPr>
      </w:pPr>
      <w:r>
        <w:t xml:space="preserve">electronic </w:t>
      </w:r>
      <w:proofErr w:type="gramStart"/>
      <w:r>
        <w:t>commerce;</w:t>
      </w:r>
      <w:proofErr w:type="gramEnd"/>
    </w:p>
    <w:p w14:paraId="042463E1" w14:textId="3586B7BC" w:rsidR="003273FF" w:rsidRDefault="003273FF" w:rsidP="000920EB">
      <w:pPr>
        <w:pStyle w:val="ListParagraph"/>
        <w:numPr>
          <w:ilvl w:val="1"/>
          <w:numId w:val="5"/>
        </w:numPr>
      </w:pPr>
      <w:r>
        <w:t>labour and environment</w:t>
      </w:r>
      <w:r w:rsidR="007E340F">
        <w:t>al</w:t>
      </w:r>
      <w:r>
        <w:t xml:space="preserve"> </w:t>
      </w:r>
      <w:proofErr w:type="gramStart"/>
      <w:r>
        <w:t>standards;</w:t>
      </w:r>
      <w:proofErr w:type="gramEnd"/>
    </w:p>
    <w:p w14:paraId="03185089" w14:textId="6C719633" w:rsidR="003273FF" w:rsidRDefault="003273FF" w:rsidP="000920EB">
      <w:pPr>
        <w:pStyle w:val="ListParagraph"/>
        <w:numPr>
          <w:ilvl w:val="1"/>
          <w:numId w:val="5"/>
        </w:numPr>
      </w:pPr>
      <w:r>
        <w:t xml:space="preserve">competition with </w:t>
      </w:r>
      <w:r w:rsidR="007E340F">
        <w:t>state-</w:t>
      </w:r>
      <w:r>
        <w:t xml:space="preserve">owned </w:t>
      </w:r>
      <w:proofErr w:type="gramStart"/>
      <w:r>
        <w:t>enterprises;</w:t>
      </w:r>
      <w:proofErr w:type="gramEnd"/>
    </w:p>
    <w:p w14:paraId="56D6482C" w14:textId="77777777" w:rsidR="003273FF" w:rsidRDefault="003273FF" w:rsidP="000920EB">
      <w:pPr>
        <w:pStyle w:val="ListParagraph"/>
        <w:numPr>
          <w:ilvl w:val="1"/>
          <w:numId w:val="5"/>
        </w:numPr>
      </w:pPr>
      <w:r>
        <w:t xml:space="preserve">regulatory </w:t>
      </w:r>
      <w:proofErr w:type="gramStart"/>
      <w:r>
        <w:t>coherence;</w:t>
      </w:r>
      <w:proofErr w:type="gramEnd"/>
    </w:p>
    <w:p w14:paraId="759BA6DC" w14:textId="77777777" w:rsidR="003273FF" w:rsidRDefault="003273FF" w:rsidP="000920EB">
      <w:pPr>
        <w:pStyle w:val="ListParagraph"/>
        <w:numPr>
          <w:ilvl w:val="1"/>
          <w:numId w:val="5"/>
        </w:numPr>
      </w:pPr>
      <w:r>
        <w:t>transparency and anti-corruption; and</w:t>
      </w:r>
    </w:p>
    <w:p w14:paraId="41B38536" w14:textId="5B9CE25F" w:rsidR="003273FF" w:rsidRDefault="003273FF" w:rsidP="000920EB">
      <w:pPr>
        <w:pStyle w:val="ListParagraph"/>
        <w:numPr>
          <w:ilvl w:val="1"/>
          <w:numId w:val="5"/>
        </w:numPr>
      </w:pPr>
      <w:r>
        <w:t>small and medium</w:t>
      </w:r>
      <w:r w:rsidR="00762FB2">
        <w:t>-sized</w:t>
      </w:r>
      <w:r>
        <w:t xml:space="preserve"> enterprises</w:t>
      </w:r>
      <w:r w:rsidR="00D6031B">
        <w:t>.</w:t>
      </w:r>
      <w:r w:rsidR="00760A9F">
        <w:rPr>
          <w:rStyle w:val="FootnoteReference"/>
        </w:rPr>
        <w:footnoteReference w:id="18"/>
      </w:r>
    </w:p>
    <w:p w14:paraId="5C4B6290" w14:textId="6AD5C883" w:rsidR="004121A2" w:rsidRDefault="00FA244D" w:rsidP="005E26F6">
      <w:r>
        <w:br w:type="page"/>
      </w:r>
    </w:p>
    <w:p w14:paraId="06522200" w14:textId="0341D5CF" w:rsidR="006D6F75" w:rsidRPr="007950CA" w:rsidRDefault="004974D7" w:rsidP="00C7287C">
      <w:pPr>
        <w:pStyle w:val="Heading1"/>
      </w:pPr>
      <w:bookmarkStart w:id="4" w:name="_Toc189499368"/>
      <w:r>
        <w:lastRenderedPageBreak/>
        <w:t>QUESTION 1</w:t>
      </w:r>
      <w:r w:rsidR="00820566">
        <w:t>:</w:t>
      </w:r>
      <w:r w:rsidR="006D6F75" w:rsidRPr="007950CA">
        <w:t xml:space="preserve"> WHAT WAS </w:t>
      </w:r>
      <w:r w:rsidR="00E567F7">
        <w:t>CPTPP</w:t>
      </w:r>
      <w:r w:rsidR="006D6F75" w:rsidRPr="007950CA">
        <w:t xml:space="preserve"> MEANT TO RESOLVE?</w:t>
      </w:r>
      <w:bookmarkEnd w:id="4"/>
    </w:p>
    <w:p w14:paraId="094C1797" w14:textId="3664D2ED" w:rsidR="00E914CC" w:rsidRDefault="00FA244D" w:rsidP="000920EB">
      <w:pPr>
        <w:pStyle w:val="ListParagraph"/>
        <w:numPr>
          <w:ilvl w:val="0"/>
          <w:numId w:val="5"/>
        </w:numPr>
        <w:ind w:left="0" w:firstLine="0"/>
      </w:pPr>
      <w:r>
        <w:t>Negotiating</w:t>
      </w:r>
      <w:r w:rsidR="00B52D81">
        <w:t xml:space="preserve"> and </w:t>
      </w:r>
      <w:r>
        <w:t>implementing</w:t>
      </w:r>
      <w:r w:rsidR="00B52D81">
        <w:t xml:space="preserve"> </w:t>
      </w:r>
      <w:r w:rsidR="00E567F7">
        <w:t>CPTPP</w:t>
      </w:r>
      <w:r w:rsidR="00646805">
        <w:t xml:space="preserve"> </w:t>
      </w:r>
      <w:r w:rsidR="001E44F7">
        <w:t xml:space="preserve">- </w:t>
      </w:r>
      <w:r w:rsidR="001E44F7" w:rsidRPr="001E44F7">
        <w:t xml:space="preserve">as an extension of the opportunities identified through TPP negotiations </w:t>
      </w:r>
      <w:r w:rsidR="001E44F7">
        <w:t xml:space="preserve">- </w:t>
      </w:r>
      <w:r w:rsidR="00646805">
        <w:t xml:space="preserve">was an opportunity </w:t>
      </w:r>
      <w:r w:rsidR="00FE3466">
        <w:t xml:space="preserve">for Australia </w:t>
      </w:r>
      <w:r w:rsidR="00646805">
        <w:t xml:space="preserve">to </w:t>
      </w:r>
      <w:r w:rsidR="00F63E71">
        <w:t xml:space="preserve">shape </w:t>
      </w:r>
      <w:r w:rsidR="0066288D">
        <w:t>a</w:t>
      </w:r>
      <w:r w:rsidR="005916FE">
        <w:t xml:space="preserve"> high standard</w:t>
      </w:r>
      <w:r w:rsidR="006B72ED">
        <w:t xml:space="preserve"> and</w:t>
      </w:r>
      <w:r w:rsidR="005916FE">
        <w:t xml:space="preserve"> rules-based trading system</w:t>
      </w:r>
      <w:r w:rsidR="00B32E2E">
        <w:t xml:space="preserve"> </w:t>
      </w:r>
      <w:r w:rsidR="00B96314">
        <w:t xml:space="preserve">that </w:t>
      </w:r>
      <w:r w:rsidR="005916FE">
        <w:t>spann</w:t>
      </w:r>
      <w:r w:rsidR="00B96314">
        <w:t>ed</w:t>
      </w:r>
      <w:r w:rsidR="005916FE">
        <w:t xml:space="preserve"> the Indo-Pacific region</w:t>
      </w:r>
      <w:r w:rsidR="00B96314">
        <w:t xml:space="preserve">. </w:t>
      </w:r>
    </w:p>
    <w:p w14:paraId="088C5B58" w14:textId="64F198D1" w:rsidR="006E7743" w:rsidRDefault="00E567F7" w:rsidP="000920EB">
      <w:pPr>
        <w:pStyle w:val="ListParagraph"/>
        <w:numPr>
          <w:ilvl w:val="0"/>
          <w:numId w:val="5"/>
        </w:numPr>
        <w:ind w:left="0" w:firstLine="0"/>
      </w:pPr>
      <w:r>
        <w:t>CPTPP</w:t>
      </w:r>
      <w:r w:rsidR="000E659B">
        <w:t xml:space="preserve"> </w:t>
      </w:r>
      <w:r w:rsidR="00EC0EFB">
        <w:t>also allowed Australia to i</w:t>
      </w:r>
      <w:r w:rsidR="006131BD">
        <w:t xml:space="preserve">mprove </w:t>
      </w:r>
      <w:r w:rsidR="0071506D">
        <w:t>our</w:t>
      </w:r>
      <w:r w:rsidR="00C45A9D">
        <w:t xml:space="preserve"> </w:t>
      </w:r>
      <w:r w:rsidR="00A838DC">
        <w:t xml:space="preserve">trade </w:t>
      </w:r>
      <w:r w:rsidR="00C45A9D">
        <w:t xml:space="preserve">competitiveness </w:t>
      </w:r>
      <w:r w:rsidR="0071506D">
        <w:t>through</w:t>
      </w:r>
      <w:r w:rsidR="006E7743">
        <w:t>:</w:t>
      </w:r>
    </w:p>
    <w:p w14:paraId="65EE0CC5" w14:textId="3AC4898C" w:rsidR="006E7743" w:rsidRDefault="00D20FD9" w:rsidP="000920EB">
      <w:pPr>
        <w:pStyle w:val="Dotpointstyle"/>
      </w:pPr>
      <w:r>
        <w:t xml:space="preserve">opening </w:t>
      </w:r>
      <w:r w:rsidR="005A1A88">
        <w:t xml:space="preserve">further </w:t>
      </w:r>
      <w:r>
        <w:t xml:space="preserve">market access opportunities </w:t>
      </w:r>
      <w:r w:rsidR="00D12A8F">
        <w:t xml:space="preserve">to </w:t>
      </w:r>
      <w:r w:rsidR="00B20E42">
        <w:t xml:space="preserve">economies with </w:t>
      </w:r>
      <w:r>
        <w:t>which Australia already ha</w:t>
      </w:r>
      <w:r w:rsidR="00EC0EFB">
        <w:t>d</w:t>
      </w:r>
      <w:r>
        <w:t xml:space="preserve"> </w:t>
      </w:r>
      <w:proofErr w:type="gramStart"/>
      <w:r>
        <w:t>FTAs</w:t>
      </w:r>
      <w:r w:rsidR="00687AF3">
        <w:t>;</w:t>
      </w:r>
      <w:proofErr w:type="gramEnd"/>
    </w:p>
    <w:p w14:paraId="7A59C80C" w14:textId="77777777" w:rsidR="00A7649B" w:rsidRDefault="00A7649B" w:rsidP="000920EB">
      <w:pPr>
        <w:pStyle w:val="Dotpointstyle"/>
      </w:pPr>
      <w:r>
        <w:t>securing market access arrangements with economies with which we did not have existing bilateral FTAs such as Mexico; and</w:t>
      </w:r>
    </w:p>
    <w:p w14:paraId="1F09DAFE" w14:textId="0A1B4899" w:rsidR="00227555" w:rsidRDefault="005179C8" w:rsidP="000920EB">
      <w:pPr>
        <w:pStyle w:val="Dotpointstyle"/>
      </w:pPr>
      <w:r>
        <w:t>strength</w:t>
      </w:r>
      <w:r w:rsidR="00F15AB7">
        <w:t>ening</w:t>
      </w:r>
      <w:r>
        <w:t xml:space="preserve"> preferential supply chains</w:t>
      </w:r>
      <w:r w:rsidR="00D06FA7">
        <w:t xml:space="preserve"> </w:t>
      </w:r>
      <w:r w:rsidR="0083338A">
        <w:t>among</w:t>
      </w:r>
      <w:r w:rsidR="00D06FA7">
        <w:t xml:space="preserve"> </w:t>
      </w:r>
      <w:r w:rsidR="00590E6E">
        <w:t>CPTPP economies.</w:t>
      </w:r>
    </w:p>
    <w:p w14:paraId="751477D8" w14:textId="77777777" w:rsidR="001B73AB" w:rsidRPr="00E45173" w:rsidRDefault="001B73AB" w:rsidP="000920EB">
      <w:pPr>
        <w:pStyle w:val="ListParagraph"/>
        <w:numPr>
          <w:ilvl w:val="0"/>
          <w:numId w:val="5"/>
        </w:numPr>
        <w:ind w:left="0" w:firstLine="0"/>
      </w:pPr>
      <w:r w:rsidRPr="00E45173">
        <w:t>Notwithstanding the</w:t>
      </w:r>
      <w:r>
        <w:t xml:space="preserve"> existing</w:t>
      </w:r>
      <w:r w:rsidRPr="00E45173">
        <w:t xml:space="preserve"> trade and investment </w:t>
      </w:r>
      <w:r>
        <w:t>relationship between Australia and CPTPP economies, Australia’s absence in CPTPP would have forgone opportunities to:</w:t>
      </w:r>
    </w:p>
    <w:p w14:paraId="2D4686F1" w14:textId="77777777" w:rsidR="001B73AB" w:rsidRDefault="001B73AB" w:rsidP="000920EB">
      <w:pPr>
        <w:pStyle w:val="Dotpointstyle"/>
      </w:pPr>
      <w:r>
        <w:t xml:space="preserve">improve existing market access with FTA </w:t>
      </w:r>
      <w:proofErr w:type="gramStart"/>
      <w:r>
        <w:t>partners;</w:t>
      </w:r>
      <w:proofErr w:type="gramEnd"/>
    </w:p>
    <w:p w14:paraId="05B38D91" w14:textId="77777777" w:rsidR="001B73AB" w:rsidRDefault="001B73AB" w:rsidP="000920EB">
      <w:pPr>
        <w:pStyle w:val="Dotpointstyle"/>
      </w:pPr>
      <w:r>
        <w:t xml:space="preserve">be a member of the most progressive and ambitious FTA to date and shape its future </w:t>
      </w:r>
      <w:proofErr w:type="gramStart"/>
      <w:r>
        <w:t>development;</w:t>
      </w:r>
      <w:proofErr w:type="gramEnd"/>
    </w:p>
    <w:p w14:paraId="544AA820" w14:textId="77777777" w:rsidR="001B73AB" w:rsidRDefault="001B73AB" w:rsidP="000920EB">
      <w:pPr>
        <w:pStyle w:val="Dotpointstyle"/>
      </w:pPr>
      <w:r>
        <w:t xml:space="preserve">secure new market access with Mexico and improve market access to </w:t>
      </w:r>
      <w:proofErr w:type="gramStart"/>
      <w:r>
        <w:t>Canada;</w:t>
      </w:r>
      <w:proofErr w:type="gramEnd"/>
      <w:r w:rsidRPr="00E45173">
        <w:t xml:space="preserve"> </w:t>
      </w:r>
    </w:p>
    <w:p w14:paraId="4F20B328" w14:textId="77777777" w:rsidR="001B73AB" w:rsidRDefault="001B73AB" w:rsidP="000920EB">
      <w:pPr>
        <w:pStyle w:val="Dotpointstyle"/>
      </w:pPr>
      <w:r>
        <w:t xml:space="preserve">improve trade in </w:t>
      </w:r>
      <w:proofErr w:type="gramStart"/>
      <w:r>
        <w:t>services;</w:t>
      </w:r>
      <w:proofErr w:type="gramEnd"/>
    </w:p>
    <w:p w14:paraId="3485F613" w14:textId="77777777" w:rsidR="001B73AB" w:rsidRDefault="001B73AB" w:rsidP="000920EB">
      <w:pPr>
        <w:pStyle w:val="Dotpointstyle"/>
      </w:pPr>
      <w:r>
        <w:t xml:space="preserve">reduce costs to consumers and </w:t>
      </w:r>
      <w:proofErr w:type="gramStart"/>
      <w:r>
        <w:t>businesses;</w:t>
      </w:r>
      <w:proofErr w:type="gramEnd"/>
    </w:p>
    <w:p w14:paraId="123E0A00" w14:textId="77777777" w:rsidR="001B73AB" w:rsidRDefault="001B73AB" w:rsidP="000920EB">
      <w:pPr>
        <w:pStyle w:val="Dotpointstyle"/>
      </w:pPr>
      <w:r>
        <w:t xml:space="preserve">improve competitiveness for Australian goods </w:t>
      </w:r>
      <w:proofErr w:type="gramStart"/>
      <w:r>
        <w:t>exporters;</w:t>
      </w:r>
      <w:proofErr w:type="gramEnd"/>
      <w:r>
        <w:t xml:space="preserve"> </w:t>
      </w:r>
    </w:p>
    <w:p w14:paraId="71126655" w14:textId="77777777" w:rsidR="001B73AB" w:rsidRDefault="001B73AB" w:rsidP="000920EB">
      <w:pPr>
        <w:pStyle w:val="Dotpointstyle"/>
      </w:pPr>
      <w:r>
        <w:t xml:space="preserve">increase investment </w:t>
      </w:r>
      <w:proofErr w:type="gramStart"/>
      <w:r>
        <w:t>flows;</w:t>
      </w:r>
      <w:proofErr w:type="gramEnd"/>
    </w:p>
    <w:p w14:paraId="69ECBDE4" w14:textId="77777777" w:rsidR="001B73AB" w:rsidRDefault="001B73AB" w:rsidP="000920EB">
      <w:pPr>
        <w:pStyle w:val="Dotpointstyle"/>
      </w:pPr>
      <w:r>
        <w:t xml:space="preserve">strengthen supply </w:t>
      </w:r>
      <w:proofErr w:type="gramStart"/>
      <w:r>
        <w:t>chains;</w:t>
      </w:r>
      <w:proofErr w:type="gramEnd"/>
    </w:p>
    <w:p w14:paraId="3A3DCD23" w14:textId="77777777" w:rsidR="001B73AB" w:rsidRDefault="001B73AB" w:rsidP="000920EB">
      <w:pPr>
        <w:pStyle w:val="Dotpointstyle"/>
      </w:pPr>
      <w:r>
        <w:t>address non-tariff barriers and transaction costs relating to agri-food trade and advocate for regulatory harmonisation under CPTPP’s committees; and</w:t>
      </w:r>
    </w:p>
    <w:p w14:paraId="6FF39479" w14:textId="77777777" w:rsidR="001B73AB" w:rsidRDefault="001B73AB" w:rsidP="000920EB">
      <w:pPr>
        <w:pStyle w:val="Dotpointstyle"/>
      </w:pPr>
      <w:r>
        <w:t xml:space="preserve">strengthen relations with key economies in the region. </w:t>
      </w:r>
    </w:p>
    <w:p w14:paraId="7828A7A7" w14:textId="77777777" w:rsidR="0060204E" w:rsidRDefault="0060204E" w:rsidP="0083338A">
      <w:pPr>
        <w:pStyle w:val="Dotpointstyle"/>
        <w:numPr>
          <w:ilvl w:val="0"/>
          <w:numId w:val="0"/>
        </w:numPr>
        <w:ind w:left="567"/>
      </w:pPr>
    </w:p>
    <w:p w14:paraId="57AAA043" w14:textId="73ABFEB0" w:rsidR="00715FBC" w:rsidRPr="002621A1" w:rsidRDefault="000B0980" w:rsidP="002621A1">
      <w:pPr>
        <w:pStyle w:val="Tableheading"/>
        <w:rPr>
          <w:rFonts w:asciiTheme="minorHAnsi" w:hAnsiTheme="minorHAnsi" w:cstheme="minorHAnsi"/>
          <w:i/>
          <w:iCs/>
          <w:sz w:val="24"/>
          <w:szCs w:val="24"/>
        </w:rPr>
      </w:pPr>
      <w:r>
        <w:rPr>
          <w:rFonts w:asciiTheme="minorHAnsi" w:hAnsiTheme="minorHAnsi" w:cstheme="minorHAnsi"/>
          <w:i/>
          <w:iCs/>
          <w:sz w:val="24"/>
          <w:szCs w:val="24"/>
        </w:rPr>
        <w:t>E</w:t>
      </w:r>
      <w:r w:rsidR="00625B6F">
        <w:rPr>
          <w:rFonts w:asciiTheme="minorHAnsi" w:hAnsiTheme="minorHAnsi" w:cstheme="minorHAnsi"/>
          <w:i/>
          <w:iCs/>
          <w:sz w:val="24"/>
          <w:szCs w:val="24"/>
        </w:rPr>
        <w:t>xisting market access</w:t>
      </w:r>
      <w:r w:rsidR="00123AD3">
        <w:rPr>
          <w:rFonts w:asciiTheme="minorHAnsi" w:hAnsiTheme="minorHAnsi" w:cstheme="minorHAnsi"/>
          <w:i/>
          <w:iCs/>
          <w:sz w:val="24"/>
          <w:szCs w:val="24"/>
        </w:rPr>
        <w:t xml:space="preserve"> with FTA partners</w:t>
      </w:r>
    </w:p>
    <w:p w14:paraId="7941114B" w14:textId="192F32B2" w:rsidR="0069683D" w:rsidRDefault="0069683D" w:rsidP="000920EB">
      <w:pPr>
        <w:pStyle w:val="ListParagraph"/>
        <w:numPr>
          <w:ilvl w:val="0"/>
          <w:numId w:val="5"/>
        </w:numPr>
        <w:ind w:left="0" w:firstLine="0"/>
      </w:pPr>
      <w:r>
        <w:t>Australia’s existing FTAs with CPTPP economies, while eliminating tariffs and other barriers on Australian exports, did not fully liberalise tariffs, particularly on sensitive goods.</w:t>
      </w:r>
      <w:r w:rsidR="007F1DB2">
        <w:t xml:space="preserve"> By joining CPTPP, Australia was able to expand on preferential access for goods and services exports to these economies. </w:t>
      </w:r>
    </w:p>
    <w:p w14:paraId="470BCB8F" w14:textId="56373919" w:rsidR="00CC55F0" w:rsidRDefault="00435DE8" w:rsidP="000920EB">
      <w:pPr>
        <w:pStyle w:val="ListParagraph"/>
        <w:numPr>
          <w:ilvl w:val="0"/>
          <w:numId w:val="5"/>
        </w:numPr>
        <w:ind w:left="0" w:firstLine="0"/>
      </w:pPr>
      <w:r>
        <w:t xml:space="preserve">For example, </w:t>
      </w:r>
      <w:r w:rsidR="00A95A01">
        <w:t>although</w:t>
      </w:r>
      <w:r w:rsidR="00CC55F0">
        <w:t xml:space="preserve"> Australia ha</w:t>
      </w:r>
      <w:r w:rsidR="0008697D">
        <w:t xml:space="preserve">d </w:t>
      </w:r>
      <w:r w:rsidR="00A95A01">
        <w:t xml:space="preserve">increased </w:t>
      </w:r>
      <w:r w:rsidR="00CC55F0">
        <w:t>access for many products under</w:t>
      </w:r>
      <w:r w:rsidR="002E1B48">
        <w:t xml:space="preserve"> the</w:t>
      </w:r>
      <w:r w:rsidR="00CC55F0">
        <w:t xml:space="preserve"> Japan-Australia</w:t>
      </w:r>
      <w:r w:rsidR="00915558">
        <w:t xml:space="preserve"> Economic Partnership Agreement (JAEPA), ther</w:t>
      </w:r>
      <w:r w:rsidR="0008697D">
        <w:t>e were still high tariffs</w:t>
      </w:r>
      <w:r w:rsidR="00B47A3F">
        <w:t>,</w:t>
      </w:r>
      <w:r w:rsidR="0008697D">
        <w:t xml:space="preserve"> quota-limited access</w:t>
      </w:r>
      <w:r w:rsidR="007E1723">
        <w:t>,</w:t>
      </w:r>
      <w:r w:rsidR="0008697D">
        <w:t xml:space="preserve"> </w:t>
      </w:r>
      <w:r w:rsidR="00B47A3F">
        <w:t xml:space="preserve">and </w:t>
      </w:r>
      <w:r w:rsidR="007E1723">
        <w:t>exclusions</w:t>
      </w:r>
      <w:r w:rsidR="0008697D">
        <w:t xml:space="preserve"> on </w:t>
      </w:r>
      <w:r w:rsidR="00CC3028">
        <w:t xml:space="preserve">many of </w:t>
      </w:r>
      <w:r w:rsidR="00917FC6">
        <w:t xml:space="preserve">Japan’s sensitive </w:t>
      </w:r>
      <w:r w:rsidR="009413C0">
        <w:t xml:space="preserve">agricultural </w:t>
      </w:r>
      <w:r w:rsidR="00917FC6">
        <w:t>products</w:t>
      </w:r>
      <w:r w:rsidR="00421EF6">
        <w:t xml:space="preserve">: </w:t>
      </w:r>
      <w:r w:rsidR="002E1D70">
        <w:t>dairy</w:t>
      </w:r>
      <w:r w:rsidR="00E53B1A">
        <w:t xml:space="preserve"> </w:t>
      </w:r>
      <w:r w:rsidR="006B686D">
        <w:t xml:space="preserve">products </w:t>
      </w:r>
      <w:r w:rsidR="003C3EE7">
        <w:t>still</w:t>
      </w:r>
      <w:r w:rsidR="006B686D">
        <w:t xml:space="preserve"> faced ad valorem tariffs </w:t>
      </w:r>
      <w:r w:rsidR="008B11FF">
        <w:t>ranging</w:t>
      </w:r>
      <w:r w:rsidR="006B686D">
        <w:t xml:space="preserve"> u</w:t>
      </w:r>
      <w:r w:rsidR="008B11FF">
        <w:t>p</w:t>
      </w:r>
      <w:r w:rsidR="006B686D">
        <w:t xml:space="preserve"> to 40</w:t>
      </w:r>
      <w:r w:rsidR="008E21E4">
        <w:t> </w:t>
      </w:r>
      <w:r w:rsidR="006B686D">
        <w:t>per cent</w:t>
      </w:r>
      <w:r w:rsidR="002E1D70">
        <w:t xml:space="preserve">; </w:t>
      </w:r>
      <w:r w:rsidR="008F3832">
        <w:t>tariffs on beef were as high as 23.5 per cent</w:t>
      </w:r>
      <w:r w:rsidR="00E12035">
        <w:t>; and w</w:t>
      </w:r>
      <w:r w:rsidR="005D7343">
        <w:t xml:space="preserve">heat, barley, rice and sugar were </w:t>
      </w:r>
      <w:r w:rsidR="005107B6">
        <w:t xml:space="preserve">also </w:t>
      </w:r>
      <w:r w:rsidR="005D7343">
        <w:t>all subject to hig</w:t>
      </w:r>
      <w:r w:rsidR="005440D3">
        <w:t xml:space="preserve">h </w:t>
      </w:r>
      <w:r w:rsidR="00210C4F">
        <w:t>weight</w:t>
      </w:r>
      <w:r w:rsidR="00761E8A">
        <w:t>-</w:t>
      </w:r>
      <w:r w:rsidR="00847DCC">
        <w:t>specific</w:t>
      </w:r>
      <w:r w:rsidR="00C560B0">
        <w:t xml:space="preserve"> </w:t>
      </w:r>
      <w:r w:rsidR="005440D3">
        <w:t xml:space="preserve">tariffs (between </w:t>
      </w:r>
      <w:r w:rsidR="00A422D3">
        <w:t>$</w:t>
      </w:r>
      <w:r w:rsidR="005440D3">
        <w:t>0.</w:t>
      </w:r>
      <w:r w:rsidR="00421EF6">
        <w:t>58</w:t>
      </w:r>
      <w:r w:rsidR="002E380C">
        <w:t xml:space="preserve"> to </w:t>
      </w:r>
      <w:r w:rsidR="00A422D3">
        <w:t>$</w:t>
      </w:r>
      <w:r w:rsidR="002E380C">
        <w:t>3.93</w:t>
      </w:r>
      <w:r w:rsidR="00D3222C">
        <w:t xml:space="preserve"> per </w:t>
      </w:r>
      <w:r w:rsidR="002E380C" w:rsidDel="00D3222C">
        <w:t>k</w:t>
      </w:r>
      <w:r w:rsidR="00001B86">
        <w:t>ilo</w:t>
      </w:r>
      <w:r w:rsidR="002E380C" w:rsidDel="00D3222C">
        <w:t>g</w:t>
      </w:r>
      <w:r w:rsidR="00001B86">
        <w:t>ram</w:t>
      </w:r>
      <w:r w:rsidR="002E380C">
        <w:t>).</w:t>
      </w:r>
    </w:p>
    <w:p w14:paraId="44FDB3B5" w14:textId="2494142C" w:rsidR="00883719" w:rsidRDefault="00210D97" w:rsidP="000920EB">
      <w:pPr>
        <w:pStyle w:val="ListParagraph"/>
        <w:numPr>
          <w:ilvl w:val="0"/>
          <w:numId w:val="5"/>
        </w:numPr>
        <w:ind w:left="0" w:firstLine="0"/>
      </w:pPr>
      <w:r>
        <w:lastRenderedPageBreak/>
        <w:t>Likewise, whil</w:t>
      </w:r>
      <w:r w:rsidR="00E53918">
        <w:t xml:space="preserve">e </w:t>
      </w:r>
      <w:r w:rsidR="00DB34FB">
        <w:t xml:space="preserve">Australia had </w:t>
      </w:r>
      <w:r w:rsidR="00FF2B21">
        <w:t xml:space="preserve">at that time </w:t>
      </w:r>
      <w:r w:rsidR="00DB34FB">
        <w:t>two existing</w:t>
      </w:r>
      <w:r w:rsidR="00453485">
        <w:t xml:space="preserve"> FTAs with Malaysia,</w:t>
      </w:r>
      <w:r w:rsidR="00A95A01">
        <w:t xml:space="preserve"> </w:t>
      </w:r>
      <w:r w:rsidR="00453485">
        <w:t>AANZFTA, and the Malaysia-Australia Free Trade Agreement</w:t>
      </w:r>
      <w:r w:rsidR="003478D0">
        <w:t xml:space="preserve"> (MAFTA)</w:t>
      </w:r>
      <w:r w:rsidR="00C737F9">
        <w:t xml:space="preserve">, </w:t>
      </w:r>
      <w:r w:rsidR="00A95A01">
        <w:t>Australian</w:t>
      </w:r>
      <w:r w:rsidR="008B772A">
        <w:t xml:space="preserve"> exporters</w:t>
      </w:r>
      <w:r w:rsidR="00453485">
        <w:t xml:space="preserve"> still faced h</w:t>
      </w:r>
      <w:r w:rsidR="00072FEB">
        <w:t>igh</w:t>
      </w:r>
      <w:r w:rsidR="00453485">
        <w:t xml:space="preserve"> tariffs and quota-limited access into Malaysia on beer, wine</w:t>
      </w:r>
      <w:r w:rsidR="0001368A">
        <w:t>,</w:t>
      </w:r>
      <w:r w:rsidR="00C560B0">
        <w:t xml:space="preserve"> a</w:t>
      </w:r>
      <w:r w:rsidR="001763EC">
        <w:t>nd</w:t>
      </w:r>
      <w:r w:rsidR="00072FEB">
        <w:t xml:space="preserve"> other alcoholic beverages,</w:t>
      </w:r>
      <w:r w:rsidR="00846515">
        <w:t xml:space="preserve"> as well as</w:t>
      </w:r>
      <w:r w:rsidR="00072FEB">
        <w:t xml:space="preserve"> liquid</w:t>
      </w:r>
      <w:r w:rsidR="00A441F7">
        <w:t xml:space="preserve"> milk</w:t>
      </w:r>
      <w:r w:rsidR="00761967">
        <w:t xml:space="preserve"> and pork. </w:t>
      </w:r>
    </w:p>
    <w:p w14:paraId="11DD9302" w14:textId="54FEBD5A" w:rsidR="0035048B" w:rsidRDefault="002643C3" w:rsidP="000920EB">
      <w:pPr>
        <w:pStyle w:val="ListParagraph"/>
        <w:numPr>
          <w:ilvl w:val="0"/>
          <w:numId w:val="5"/>
        </w:numPr>
        <w:ind w:left="0" w:firstLine="0"/>
      </w:pPr>
      <w:r>
        <w:t>O</w:t>
      </w:r>
      <w:r w:rsidR="009E7362">
        <w:t xml:space="preserve">ur </w:t>
      </w:r>
      <w:r w:rsidR="00FB40B8">
        <w:t xml:space="preserve">existing FTA with Vietnam under AANZFTA </w:t>
      </w:r>
      <w:r>
        <w:t xml:space="preserve">also </w:t>
      </w:r>
      <w:r w:rsidR="00FB40B8">
        <w:t xml:space="preserve">did not eliminate Vietnamese tariffs on </w:t>
      </w:r>
      <w:r w:rsidR="00992332">
        <w:t xml:space="preserve">a </w:t>
      </w:r>
      <w:r w:rsidR="00FB40B8">
        <w:t>range of products of interest to Australi</w:t>
      </w:r>
      <w:r w:rsidR="008E1AE1">
        <w:t>a,</w:t>
      </w:r>
      <w:r w:rsidR="00FB40B8">
        <w:t xml:space="preserve"> includ</w:t>
      </w:r>
      <w:r w:rsidR="008E1AE1">
        <w:t>ing</w:t>
      </w:r>
      <w:r w:rsidR="00FB40B8">
        <w:t xml:space="preserve"> refined petroleum</w:t>
      </w:r>
      <w:r w:rsidR="00761BEC">
        <w:t xml:space="preserve"> (</w:t>
      </w:r>
      <w:r w:rsidR="00FB40B8">
        <w:t>20 per cent</w:t>
      </w:r>
      <w:r w:rsidR="00761BEC">
        <w:t>)</w:t>
      </w:r>
      <w:r w:rsidR="00FB40B8">
        <w:t>, iron and steel products</w:t>
      </w:r>
      <w:r w:rsidR="009E12B2">
        <w:t xml:space="preserve"> (</w:t>
      </w:r>
      <w:r w:rsidR="00FB40B8">
        <w:t>as high as 40 per cent</w:t>
      </w:r>
      <w:r w:rsidR="009E12B2">
        <w:t>),</w:t>
      </w:r>
      <w:r w:rsidR="00FB40B8">
        <w:t xml:space="preserve"> </w:t>
      </w:r>
      <w:r w:rsidR="005D7DC5">
        <w:t>b</w:t>
      </w:r>
      <w:r w:rsidR="00FB40B8">
        <w:t xml:space="preserve">eer </w:t>
      </w:r>
      <w:r w:rsidR="005D7DC5">
        <w:t>(</w:t>
      </w:r>
      <w:r w:rsidR="00FB40B8">
        <w:t>47</w:t>
      </w:r>
      <w:r w:rsidR="000B0591">
        <w:t> </w:t>
      </w:r>
      <w:r w:rsidR="00FB40B8">
        <w:t>per cent</w:t>
      </w:r>
      <w:r w:rsidR="005D7DC5">
        <w:t>)</w:t>
      </w:r>
      <w:r w:rsidR="00FB40B8">
        <w:t xml:space="preserve">, wine </w:t>
      </w:r>
      <w:r w:rsidR="005D7DC5">
        <w:t>(</w:t>
      </w:r>
      <w:r w:rsidR="00FB40B8">
        <w:t>56 to 59 per cent</w:t>
      </w:r>
      <w:r w:rsidR="005D7DC5">
        <w:t>)</w:t>
      </w:r>
      <w:r w:rsidR="00846515">
        <w:t>,</w:t>
      </w:r>
      <w:r w:rsidR="00FB40B8">
        <w:t xml:space="preserve"> and spirits </w:t>
      </w:r>
      <w:r w:rsidR="00A36F1F">
        <w:t>(</w:t>
      </w:r>
      <w:r w:rsidR="00FB40B8">
        <w:t>55 per cent</w:t>
      </w:r>
      <w:r w:rsidR="00344FAE">
        <w:t>)</w:t>
      </w:r>
      <w:r w:rsidR="00FB40B8">
        <w:t>.</w:t>
      </w:r>
    </w:p>
    <w:p w14:paraId="561DC018" w14:textId="6CC2DCD5" w:rsidR="00764720" w:rsidRPr="00764720" w:rsidRDefault="007E67C9" w:rsidP="00764720">
      <w:pPr>
        <w:pStyle w:val="Tableheading"/>
        <w:rPr>
          <w:rFonts w:asciiTheme="minorHAnsi" w:hAnsiTheme="minorHAnsi" w:cstheme="minorHAnsi"/>
          <w:i/>
          <w:iCs/>
          <w:sz w:val="24"/>
          <w:szCs w:val="24"/>
        </w:rPr>
      </w:pPr>
      <w:r>
        <w:rPr>
          <w:rFonts w:asciiTheme="minorHAnsi" w:hAnsiTheme="minorHAnsi" w:cstheme="minorHAnsi"/>
          <w:i/>
          <w:iCs/>
          <w:sz w:val="24"/>
          <w:szCs w:val="24"/>
        </w:rPr>
        <w:t>M</w:t>
      </w:r>
      <w:r w:rsidR="00417AF7">
        <w:rPr>
          <w:rFonts w:asciiTheme="minorHAnsi" w:hAnsiTheme="minorHAnsi" w:cstheme="minorHAnsi"/>
          <w:i/>
          <w:iCs/>
          <w:sz w:val="24"/>
          <w:szCs w:val="24"/>
        </w:rPr>
        <w:t xml:space="preserve">arket access </w:t>
      </w:r>
      <w:r w:rsidR="007359B7">
        <w:rPr>
          <w:rFonts w:asciiTheme="minorHAnsi" w:hAnsiTheme="minorHAnsi" w:cstheme="minorHAnsi"/>
          <w:i/>
          <w:iCs/>
          <w:sz w:val="24"/>
          <w:szCs w:val="24"/>
        </w:rPr>
        <w:t xml:space="preserve">into </w:t>
      </w:r>
      <w:r w:rsidR="00417AF7">
        <w:rPr>
          <w:rFonts w:asciiTheme="minorHAnsi" w:hAnsiTheme="minorHAnsi" w:cstheme="minorHAnsi"/>
          <w:i/>
          <w:iCs/>
          <w:sz w:val="24"/>
          <w:szCs w:val="24"/>
        </w:rPr>
        <w:t>Canada and Mexico</w:t>
      </w:r>
    </w:p>
    <w:p w14:paraId="4E5F3C00" w14:textId="51E83F2C" w:rsidR="00764720" w:rsidRDefault="00764720" w:rsidP="000920EB">
      <w:pPr>
        <w:pStyle w:val="ListParagraph"/>
        <w:numPr>
          <w:ilvl w:val="0"/>
          <w:numId w:val="5"/>
        </w:numPr>
        <w:ind w:left="0" w:firstLine="0"/>
      </w:pPr>
      <w:r>
        <w:t xml:space="preserve">Prior to </w:t>
      </w:r>
      <w:r w:rsidR="004629A6">
        <w:t>CP</w:t>
      </w:r>
      <w:r>
        <w:t xml:space="preserve">TPP, </w:t>
      </w:r>
      <w:r w:rsidR="007E1B12">
        <w:t xml:space="preserve">Australia </w:t>
      </w:r>
      <w:r>
        <w:t>did not</w:t>
      </w:r>
      <w:r w:rsidR="005A334F">
        <w:t xml:space="preserve"> have</w:t>
      </w:r>
      <w:r>
        <w:t xml:space="preserve"> </w:t>
      </w:r>
      <w:proofErr w:type="gramStart"/>
      <w:r w:rsidR="0018519D">
        <w:t>a</w:t>
      </w:r>
      <w:proofErr w:type="gramEnd"/>
      <w:r w:rsidR="0018519D">
        <w:t xml:space="preserve"> FTA with Mexico and </w:t>
      </w:r>
      <w:r w:rsidR="00C4004E">
        <w:t xml:space="preserve">CANATA </w:t>
      </w:r>
      <w:r w:rsidR="0018519D">
        <w:t xml:space="preserve">was last </w:t>
      </w:r>
      <w:r w:rsidR="00920AF0">
        <w:t>amended in 1973</w:t>
      </w:r>
      <w:r w:rsidR="00A95A01">
        <w:t>,</w:t>
      </w:r>
      <w:r w:rsidR="00A74D86">
        <w:rPr>
          <w:rStyle w:val="FootnoteReference"/>
        </w:rPr>
        <w:footnoteReference w:id="19"/>
      </w:r>
      <w:r w:rsidR="00D1795B">
        <w:t xml:space="preserve"> </w:t>
      </w:r>
      <w:r w:rsidR="0069699F">
        <w:t xml:space="preserve">leaving </w:t>
      </w:r>
      <w:r w:rsidR="00C20A5B">
        <w:t>Australian e</w:t>
      </w:r>
      <w:r>
        <w:t>xporters disadvantage</w:t>
      </w:r>
      <w:r w:rsidR="00C20A5B">
        <w:t>d</w:t>
      </w:r>
      <w:r>
        <w:t xml:space="preserve"> due to existing FTAs between </w:t>
      </w:r>
      <w:r w:rsidR="006A0CB4">
        <w:t xml:space="preserve">both </w:t>
      </w:r>
      <w:r>
        <w:t>countries and competitor</w:t>
      </w:r>
      <w:r w:rsidR="00F47CB6">
        <w:t xml:space="preserve"> economies</w:t>
      </w:r>
      <w:r>
        <w:t xml:space="preserve">. </w:t>
      </w:r>
    </w:p>
    <w:p w14:paraId="713FF05F" w14:textId="7132B3F9" w:rsidR="00764720" w:rsidRDefault="005D5FF1" w:rsidP="000920EB">
      <w:pPr>
        <w:pStyle w:val="ListParagraph"/>
        <w:numPr>
          <w:ilvl w:val="0"/>
          <w:numId w:val="5"/>
        </w:numPr>
        <w:ind w:left="0" w:firstLine="0"/>
      </w:pPr>
      <w:r>
        <w:t xml:space="preserve">Under CANATA, </w:t>
      </w:r>
      <w:r w:rsidR="00764720">
        <w:t>A</w:t>
      </w:r>
      <w:r w:rsidR="00E66B12">
        <w:t>ustralia’s a</w:t>
      </w:r>
      <w:r w:rsidR="00764720">
        <w:t>ccess into the Canadian dairy market was significantly limited by existing quota</w:t>
      </w:r>
      <w:r w:rsidR="009376A4">
        <w:t>s</w:t>
      </w:r>
      <w:r w:rsidR="00764720">
        <w:t xml:space="preserve"> and high tariff arrangements. Canada’s tariff rate quota access for dairy products was incredibly small – for example, 332 tonnes for yoghurt, 394 tonnes for cream and 3,274 tonnes for butter (2,000 tonnes of which were allocated to New</w:t>
      </w:r>
      <w:r w:rsidR="00F706D3">
        <w:t> </w:t>
      </w:r>
      <w:r w:rsidR="00764720">
        <w:t>Zealand)</w:t>
      </w:r>
      <w:r w:rsidR="00875DDF">
        <w:t xml:space="preserve"> – w</w:t>
      </w:r>
      <w:r w:rsidR="00764720">
        <w:t xml:space="preserve">hile out-of-quota tariffs </w:t>
      </w:r>
      <w:r w:rsidR="008D1C63">
        <w:t>were as high as</w:t>
      </w:r>
      <w:r w:rsidR="00764720">
        <w:t xml:space="preserve"> 369 per cent. </w:t>
      </w:r>
      <w:r w:rsidR="00FB5F5E">
        <w:t>Apart</w:t>
      </w:r>
      <w:r w:rsidR="00B5077F">
        <w:t xml:space="preserve"> from</w:t>
      </w:r>
      <w:r w:rsidR="00764720">
        <w:t xml:space="preserve"> dairy, Canada also imposed tariffs of up to 94 per cent </w:t>
      </w:r>
      <w:r w:rsidR="00DD202D">
        <w:t xml:space="preserve">on </w:t>
      </w:r>
      <w:r w:rsidR="00764720">
        <w:t>barley products, 1.87 c</w:t>
      </w:r>
      <w:r w:rsidR="008E519F">
        <w:t>ents</w:t>
      </w:r>
      <w:r w:rsidR="001F1BB0">
        <w:t xml:space="preserve"> per </w:t>
      </w:r>
      <w:r w:rsidR="00764720">
        <w:t xml:space="preserve">litre </w:t>
      </w:r>
      <w:r w:rsidR="00DD202D">
        <w:t xml:space="preserve">on </w:t>
      </w:r>
      <w:r w:rsidR="00764720">
        <w:t xml:space="preserve">wine, and </w:t>
      </w:r>
      <w:r w:rsidR="00895E3F">
        <w:t xml:space="preserve">approximately </w:t>
      </w:r>
      <w:r w:rsidR="00764720">
        <w:t>20 per cent on industrial products.</w:t>
      </w:r>
    </w:p>
    <w:p w14:paraId="7DA309EF" w14:textId="7A29CD15" w:rsidR="00D052CD" w:rsidRDefault="00764720" w:rsidP="000920EB">
      <w:pPr>
        <w:pStyle w:val="ListParagraph"/>
        <w:numPr>
          <w:ilvl w:val="0"/>
          <w:numId w:val="5"/>
        </w:numPr>
        <w:ind w:left="0" w:firstLine="0"/>
      </w:pPr>
      <w:r>
        <w:t xml:space="preserve">Mexico </w:t>
      </w:r>
      <w:r w:rsidR="007020E7">
        <w:t>also had</w:t>
      </w:r>
      <w:r>
        <w:t xml:space="preserve"> </w:t>
      </w:r>
      <w:r w:rsidR="006F2488">
        <w:t xml:space="preserve">high tariffs, particularly on agricultural products: </w:t>
      </w:r>
      <w:r>
        <w:t xml:space="preserve">up to </w:t>
      </w:r>
      <w:r w:rsidR="004B1D26">
        <w:t>125</w:t>
      </w:r>
      <w:r w:rsidR="006619B6">
        <w:t> </w:t>
      </w:r>
      <w:r w:rsidR="004B1D26">
        <w:t xml:space="preserve">per cent on dairy; 115 per cent on barley; </w:t>
      </w:r>
      <w:r>
        <w:t>67 per cent on wheat</w:t>
      </w:r>
      <w:r w:rsidR="006F2488">
        <w:t xml:space="preserve">; </w:t>
      </w:r>
      <w:r>
        <w:t>25 per cent on beef</w:t>
      </w:r>
      <w:r w:rsidR="006F2488">
        <w:t xml:space="preserve">; </w:t>
      </w:r>
      <w:r>
        <w:t xml:space="preserve">and 20 per cent on wine. On industrial products, Mexico’s tariffs ranged from 15 to 30 per cent for automotive parts </w:t>
      </w:r>
      <w:r w:rsidR="00B131BD">
        <w:t>and</w:t>
      </w:r>
      <w:r>
        <w:t xml:space="preserve"> mining equipment.</w:t>
      </w:r>
    </w:p>
    <w:p w14:paraId="1060015D" w14:textId="15E3183E" w:rsidR="00D052CD" w:rsidRPr="00504F2F" w:rsidRDefault="00163B89" w:rsidP="00D052CD">
      <w:pPr>
        <w:pStyle w:val="Tableheading"/>
        <w:rPr>
          <w:rFonts w:asciiTheme="minorHAnsi" w:hAnsiTheme="minorHAnsi" w:cstheme="minorHAnsi"/>
          <w:i/>
          <w:iCs/>
          <w:sz w:val="24"/>
          <w:szCs w:val="24"/>
        </w:rPr>
      </w:pPr>
      <w:r>
        <w:rPr>
          <w:rFonts w:asciiTheme="minorHAnsi" w:hAnsiTheme="minorHAnsi" w:cstheme="minorHAnsi"/>
          <w:i/>
          <w:iCs/>
          <w:sz w:val="24"/>
          <w:szCs w:val="24"/>
        </w:rPr>
        <w:t xml:space="preserve">Improved trade in </w:t>
      </w:r>
      <w:r w:rsidR="00D052CD" w:rsidRPr="00504F2F">
        <w:rPr>
          <w:rFonts w:asciiTheme="minorHAnsi" w:hAnsiTheme="minorHAnsi" w:cstheme="minorHAnsi"/>
          <w:i/>
          <w:iCs/>
          <w:sz w:val="24"/>
          <w:szCs w:val="24"/>
        </w:rPr>
        <w:t>s</w:t>
      </w:r>
      <w:r>
        <w:rPr>
          <w:rFonts w:asciiTheme="minorHAnsi" w:hAnsiTheme="minorHAnsi" w:cstheme="minorHAnsi"/>
          <w:i/>
          <w:iCs/>
          <w:sz w:val="24"/>
          <w:szCs w:val="24"/>
        </w:rPr>
        <w:t>ervices</w:t>
      </w:r>
    </w:p>
    <w:p w14:paraId="5817F59C" w14:textId="62BBA058" w:rsidR="00D052CD" w:rsidRDefault="0029289C" w:rsidP="000920EB">
      <w:pPr>
        <w:pStyle w:val="ListParagraph"/>
        <w:numPr>
          <w:ilvl w:val="0"/>
          <w:numId w:val="5"/>
        </w:numPr>
        <w:ind w:left="0" w:firstLine="0"/>
      </w:pPr>
      <w:r>
        <w:t>Prior to CPTPP</w:t>
      </w:r>
      <w:r w:rsidR="00111009">
        <w:t>,</w:t>
      </w:r>
      <w:r>
        <w:t xml:space="preserve"> some Australian businesses found it difficult to compete with local and other providers in a range of services sectors. Australian providers have benefited from CPTPP rules and obligations which require Parties to treat local and foreign service providers equally. Additionally, CPTPP reduced the requirement</w:t>
      </w:r>
      <w:r w:rsidR="00177D7E">
        <w:t xml:space="preserve"> </w:t>
      </w:r>
      <w:r w:rsidR="00401BD3">
        <w:t xml:space="preserve">in many service sectors </w:t>
      </w:r>
      <w:r w:rsidR="00177D7E">
        <w:t xml:space="preserve">to establish a local office or </w:t>
      </w:r>
      <w:r w:rsidR="00401BD3">
        <w:t xml:space="preserve">have </w:t>
      </w:r>
      <w:r w:rsidR="00A60972">
        <w:t xml:space="preserve">an employee </w:t>
      </w:r>
      <w:r w:rsidR="00177D7E">
        <w:t xml:space="preserve">live in the </w:t>
      </w:r>
      <w:r w:rsidR="00A60972">
        <w:t xml:space="preserve">host </w:t>
      </w:r>
      <w:r w:rsidR="00177D7E">
        <w:t>country</w:t>
      </w:r>
      <w:r w:rsidR="00401BD3">
        <w:t xml:space="preserve">. </w:t>
      </w:r>
      <w:r>
        <w:t>Services providers have also benefitted from increased transparency in regulatory procedures which give businesses a clearer understanding of the operating conditions for the provision of services.</w:t>
      </w:r>
    </w:p>
    <w:p w14:paraId="3F5C5E60" w14:textId="0D17BE36" w:rsidR="00FD1356" w:rsidRPr="0084383F" w:rsidRDefault="00AE656B" w:rsidP="0084383F">
      <w:pPr>
        <w:pStyle w:val="Tableheading"/>
        <w:rPr>
          <w:rFonts w:asciiTheme="minorHAnsi" w:hAnsiTheme="minorHAnsi" w:cstheme="minorHAnsi"/>
          <w:i/>
          <w:iCs/>
          <w:sz w:val="24"/>
          <w:szCs w:val="24"/>
        </w:rPr>
      </w:pPr>
      <w:r>
        <w:rPr>
          <w:rFonts w:asciiTheme="minorHAnsi" w:hAnsiTheme="minorHAnsi" w:cstheme="minorHAnsi"/>
          <w:i/>
          <w:iCs/>
          <w:sz w:val="24"/>
          <w:szCs w:val="24"/>
        </w:rPr>
        <w:t xml:space="preserve">Improved competitiveness </w:t>
      </w:r>
      <w:r w:rsidR="0025482A">
        <w:rPr>
          <w:rFonts w:asciiTheme="minorHAnsi" w:hAnsiTheme="minorHAnsi" w:cstheme="minorHAnsi"/>
          <w:i/>
          <w:iCs/>
          <w:sz w:val="24"/>
          <w:szCs w:val="24"/>
        </w:rPr>
        <w:t>for Australian exporters</w:t>
      </w:r>
    </w:p>
    <w:p w14:paraId="1F5BB183" w14:textId="4B1A5854" w:rsidR="00274166" w:rsidRDefault="008534D6" w:rsidP="000920EB">
      <w:pPr>
        <w:pStyle w:val="ListParagraph"/>
        <w:numPr>
          <w:ilvl w:val="0"/>
          <w:numId w:val="5"/>
        </w:numPr>
        <w:ind w:left="0" w:firstLine="0"/>
      </w:pPr>
      <w:r>
        <w:t>CPTPP</w:t>
      </w:r>
      <w:r w:rsidR="00DB20B0">
        <w:t xml:space="preserve">, </w:t>
      </w:r>
      <w:r w:rsidR="00226305">
        <w:t>in combination with</w:t>
      </w:r>
      <w:r w:rsidR="00FB2C28">
        <w:t xml:space="preserve"> </w:t>
      </w:r>
      <w:r w:rsidR="00DB20B0">
        <w:t xml:space="preserve">our </w:t>
      </w:r>
      <w:r w:rsidR="00BE399F">
        <w:t xml:space="preserve">existing </w:t>
      </w:r>
      <w:r w:rsidR="00DB20B0">
        <w:t>FTAs,</w:t>
      </w:r>
      <w:r>
        <w:t xml:space="preserve"> helped level the playing field </w:t>
      </w:r>
      <w:r w:rsidR="00E000E8">
        <w:t xml:space="preserve">for </w:t>
      </w:r>
      <w:r>
        <w:t>Australia</w:t>
      </w:r>
      <w:r w:rsidR="00E000E8">
        <w:t>n exporters</w:t>
      </w:r>
      <w:r>
        <w:t>.</w:t>
      </w:r>
    </w:p>
    <w:p w14:paraId="7655DD24" w14:textId="1428EA07" w:rsidR="004943B5" w:rsidRDefault="005072A1" w:rsidP="000920EB">
      <w:pPr>
        <w:pStyle w:val="ListParagraph"/>
        <w:numPr>
          <w:ilvl w:val="0"/>
          <w:numId w:val="5"/>
        </w:numPr>
        <w:ind w:left="0" w:firstLine="0"/>
      </w:pPr>
      <w:r>
        <w:lastRenderedPageBreak/>
        <w:t>For example, p</w:t>
      </w:r>
      <w:r w:rsidR="00E9673B">
        <w:t>rior to CPTPP</w:t>
      </w:r>
      <w:r w:rsidR="00EF189C">
        <w:t xml:space="preserve">, </w:t>
      </w:r>
      <w:r w:rsidR="00DB2010">
        <w:t>Australia had been losing</w:t>
      </w:r>
      <w:r w:rsidR="00CA5654">
        <w:t xml:space="preserve"> wine</w:t>
      </w:r>
      <w:r w:rsidR="00DB2010">
        <w:t xml:space="preserve"> </w:t>
      </w:r>
      <w:r w:rsidR="00C66679">
        <w:t>mark</w:t>
      </w:r>
      <w:r w:rsidR="00711557">
        <w:t>et share</w:t>
      </w:r>
      <w:r w:rsidR="007612C1">
        <w:t xml:space="preserve"> into Japan </w:t>
      </w:r>
      <w:r w:rsidR="00AC573C">
        <w:t>against</w:t>
      </w:r>
      <w:r w:rsidR="007612C1">
        <w:t xml:space="preserve"> </w:t>
      </w:r>
      <w:r w:rsidR="003B56EF">
        <w:t xml:space="preserve">some of </w:t>
      </w:r>
      <w:r w:rsidR="008614DE">
        <w:t>Japan’s FTA partners</w:t>
      </w:r>
      <w:r w:rsidR="00102DD8">
        <w:t xml:space="preserve"> </w:t>
      </w:r>
      <w:r w:rsidR="00A41D4E">
        <w:t xml:space="preserve">who </w:t>
      </w:r>
      <w:r w:rsidR="00AC573C">
        <w:t>enjoyed</w:t>
      </w:r>
      <w:r w:rsidR="00BA24BE">
        <w:t xml:space="preserve"> better</w:t>
      </w:r>
      <w:r w:rsidR="009E42F4">
        <w:t xml:space="preserve"> preferential tariff rates</w:t>
      </w:r>
      <w:r w:rsidR="003B56EF">
        <w:t xml:space="preserve">. </w:t>
      </w:r>
      <w:r w:rsidR="00B641AF" w:rsidRPr="00E45173">
        <w:t xml:space="preserve">Chile enjoyed a tariff advantage </w:t>
      </w:r>
      <w:r w:rsidR="00FA4466">
        <w:t xml:space="preserve">on wine </w:t>
      </w:r>
      <w:r w:rsidR="00B641AF" w:rsidRPr="00E45173">
        <w:t>through its E</w:t>
      </w:r>
      <w:r w:rsidR="008614DE">
        <w:t xml:space="preserve">conomic Partnership </w:t>
      </w:r>
      <w:r w:rsidR="00B641AF" w:rsidRPr="00E45173">
        <w:t>A</w:t>
      </w:r>
      <w:r w:rsidR="008614DE">
        <w:t>greement</w:t>
      </w:r>
      <w:r w:rsidR="00B105AD">
        <w:t xml:space="preserve"> </w:t>
      </w:r>
      <w:r w:rsidR="00B641AF" w:rsidRPr="00E45173">
        <w:t>with Japan</w:t>
      </w:r>
      <w:r w:rsidR="00363254">
        <w:t xml:space="preserve">, </w:t>
      </w:r>
      <w:r w:rsidR="00E4098C">
        <w:t xml:space="preserve">which entered into force </w:t>
      </w:r>
      <w:r w:rsidR="00661C79">
        <w:t>in 2007</w:t>
      </w:r>
      <w:r w:rsidR="003F31FE" w:rsidRPr="00E45173">
        <w:t xml:space="preserve">, </w:t>
      </w:r>
      <w:r w:rsidR="001720A5">
        <w:t xml:space="preserve">more than </w:t>
      </w:r>
      <w:r w:rsidR="003A5CD6">
        <w:t>eight</w:t>
      </w:r>
      <w:r w:rsidR="001720A5">
        <w:t xml:space="preserve"> years before JAEPA</w:t>
      </w:r>
      <w:r w:rsidR="00081CDB">
        <w:t xml:space="preserve"> (</w:t>
      </w:r>
      <w:r w:rsidR="00962F4A">
        <w:t>entry into force in 2015)</w:t>
      </w:r>
      <w:r w:rsidR="001720A5">
        <w:t xml:space="preserve">. </w:t>
      </w:r>
      <w:r w:rsidR="00266E8E">
        <w:t xml:space="preserve">During this time, </w:t>
      </w:r>
      <w:r w:rsidR="003F31FE" w:rsidRPr="00E45173">
        <w:t xml:space="preserve">Japan’s imports of Chilean wines more than </w:t>
      </w:r>
      <w:r w:rsidR="003F31FE" w:rsidRPr="00B2297B">
        <w:t xml:space="preserve">doubled to </w:t>
      </w:r>
      <w:r w:rsidR="00A422D3">
        <w:t>$</w:t>
      </w:r>
      <w:r w:rsidR="003F31FE" w:rsidRPr="005A1381">
        <w:t>178 million</w:t>
      </w:r>
      <w:r w:rsidR="003F31FE" w:rsidRPr="00B2297B">
        <w:t xml:space="preserve">, while </w:t>
      </w:r>
      <w:r w:rsidR="001C7212">
        <w:t xml:space="preserve">wine </w:t>
      </w:r>
      <w:r w:rsidR="003F31FE" w:rsidRPr="00B2297B">
        <w:t xml:space="preserve">imports from Australia decreased slightly </w:t>
      </w:r>
      <w:r w:rsidR="003F31FE" w:rsidRPr="005A1381">
        <w:t xml:space="preserve">to </w:t>
      </w:r>
      <w:r w:rsidR="00A422D3">
        <w:t>$</w:t>
      </w:r>
      <w:r w:rsidR="003F31FE" w:rsidRPr="005A1381">
        <w:t>46 million</w:t>
      </w:r>
      <w:r>
        <w:t>.</w:t>
      </w:r>
      <w:r w:rsidR="00890ED7" w:rsidRPr="005A1381">
        <w:rPr>
          <w:rStyle w:val="FootnoteReference"/>
        </w:rPr>
        <w:footnoteReference w:id="20"/>
      </w:r>
      <w:r w:rsidR="003F31FE" w:rsidRPr="00B2297B">
        <w:t xml:space="preserve"> </w:t>
      </w:r>
      <w:r w:rsidR="00D73705" w:rsidRPr="00B2297B">
        <w:t>CPTPP</w:t>
      </w:r>
      <w:r w:rsidR="00D73705">
        <w:t xml:space="preserve"> allowed Australian wine exporters to enjoy </w:t>
      </w:r>
      <w:r w:rsidR="00F06FC6">
        <w:t>the same preferential access as their Chilean competitors. In this way,</w:t>
      </w:r>
      <w:r w:rsidR="00784506">
        <w:t xml:space="preserve"> CPTPP</w:t>
      </w:r>
      <w:r w:rsidR="00C30A2D">
        <w:t xml:space="preserve"> </w:t>
      </w:r>
      <w:r w:rsidR="008E7BF3">
        <w:t>has</w:t>
      </w:r>
      <w:r w:rsidR="00EB2594">
        <w:t xml:space="preserve"> help</w:t>
      </w:r>
      <w:r w:rsidR="008E7BF3">
        <w:t>ed to</w:t>
      </w:r>
      <w:r w:rsidR="008835B8">
        <w:t xml:space="preserve"> improve the competitiveness of</w:t>
      </w:r>
      <w:r w:rsidR="00B15111">
        <w:t xml:space="preserve"> Australia</w:t>
      </w:r>
      <w:r w:rsidR="00F764C3">
        <w:t>n</w:t>
      </w:r>
      <w:r w:rsidR="00B15111">
        <w:t xml:space="preserve"> export</w:t>
      </w:r>
      <w:r w:rsidR="00F764C3">
        <w:t>s</w:t>
      </w:r>
      <w:r w:rsidR="00675045">
        <w:t xml:space="preserve"> </w:t>
      </w:r>
      <w:r w:rsidR="00B15111">
        <w:t>in the region</w:t>
      </w:r>
      <w:r w:rsidR="00533B01">
        <w:t>.</w:t>
      </w:r>
    </w:p>
    <w:p w14:paraId="7B6FCAFF" w14:textId="18E8D37A" w:rsidR="000A291C" w:rsidRPr="0084383F" w:rsidRDefault="000A291C" w:rsidP="002D7378">
      <w:pPr>
        <w:pStyle w:val="Tableheading"/>
        <w:rPr>
          <w:rFonts w:asciiTheme="minorHAnsi" w:hAnsiTheme="minorHAnsi" w:cstheme="minorHAnsi"/>
          <w:i/>
          <w:iCs/>
          <w:sz w:val="24"/>
          <w:szCs w:val="24"/>
        </w:rPr>
      </w:pPr>
      <w:r>
        <w:rPr>
          <w:rFonts w:asciiTheme="minorHAnsi" w:hAnsiTheme="minorHAnsi" w:cstheme="minorHAnsi"/>
          <w:i/>
          <w:iCs/>
          <w:sz w:val="24"/>
          <w:szCs w:val="24"/>
        </w:rPr>
        <w:t xml:space="preserve">Improved investment </w:t>
      </w:r>
    </w:p>
    <w:p w14:paraId="4C70743C" w14:textId="4D6157E4" w:rsidR="003443B5" w:rsidRDefault="006F3C57" w:rsidP="000920EB">
      <w:pPr>
        <w:pStyle w:val="ListParagraph"/>
        <w:numPr>
          <w:ilvl w:val="0"/>
          <w:numId w:val="5"/>
        </w:numPr>
        <w:ind w:left="0" w:firstLine="0"/>
      </w:pPr>
      <w:r>
        <w:t xml:space="preserve"> </w:t>
      </w:r>
      <w:r w:rsidR="009F4E8F">
        <w:t>Prior to CPTPP, there were in</w:t>
      </w:r>
      <w:r w:rsidR="007C1938">
        <w:t xml:space="preserve">vestment restrictions in place for Australian </w:t>
      </w:r>
      <w:r w:rsidR="00074818">
        <w:t>businesses</w:t>
      </w:r>
      <w:r w:rsidR="007C1938" w:rsidDel="00074818">
        <w:t xml:space="preserve"> </w:t>
      </w:r>
      <w:r w:rsidR="008801FC">
        <w:t>in CPTPP economies</w:t>
      </w:r>
      <w:r w:rsidR="007C1938">
        <w:t xml:space="preserve">. </w:t>
      </w:r>
      <w:r w:rsidR="00C57DC3">
        <w:t>In Canada</w:t>
      </w:r>
      <w:r w:rsidR="00A6391E">
        <w:t>,</w:t>
      </w:r>
      <w:r w:rsidR="007C1938">
        <w:t xml:space="preserve"> </w:t>
      </w:r>
      <w:r w:rsidR="00C57DC3">
        <w:t xml:space="preserve">Australian investors were </w:t>
      </w:r>
      <w:r w:rsidR="007566D2">
        <w:t>unable</w:t>
      </w:r>
      <w:r w:rsidR="007C1938">
        <w:t xml:space="preserve"> to </w:t>
      </w:r>
      <w:r w:rsidR="0037140E">
        <w:t>apply for foreign ownership of uranium mines</w:t>
      </w:r>
      <w:r w:rsidR="00E21C4F">
        <w:t xml:space="preserve"> without a Canadian partner. The Agreement altered </w:t>
      </w:r>
      <w:r w:rsidR="008801FC">
        <w:t xml:space="preserve">these conditions by </w:t>
      </w:r>
      <w:r w:rsidR="00523350">
        <w:t xml:space="preserve">enabling </w:t>
      </w:r>
      <w:r w:rsidR="00DE1D29">
        <w:t>Australian</w:t>
      </w:r>
      <w:r w:rsidR="00523350">
        <w:t xml:space="preserve"> investors </w:t>
      </w:r>
      <w:r w:rsidR="00A6391E">
        <w:t xml:space="preserve">to </w:t>
      </w:r>
      <w:r w:rsidR="00523350">
        <w:t xml:space="preserve">apply for an </w:t>
      </w:r>
      <w:r w:rsidR="00DE1D29">
        <w:t>exemption</w:t>
      </w:r>
      <w:r w:rsidR="00360E54">
        <w:t xml:space="preserve"> from the 49 per cent foreign equity limit on foreign ownership</w:t>
      </w:r>
      <w:r w:rsidR="00835814">
        <w:t xml:space="preserve"> of uranium mines, without first seeking</w:t>
      </w:r>
      <w:r w:rsidR="00C57DC3">
        <w:t xml:space="preserve"> </w:t>
      </w:r>
      <w:r w:rsidR="00DE1D29">
        <w:t xml:space="preserve">a Canadian partner. </w:t>
      </w:r>
    </w:p>
    <w:p w14:paraId="11BA176F" w14:textId="576FA761" w:rsidR="005072A1" w:rsidRDefault="005072A1">
      <w:r>
        <w:br w:type="page"/>
      </w:r>
    </w:p>
    <w:p w14:paraId="3201811E" w14:textId="34628B90" w:rsidR="006D6F75" w:rsidRPr="00C7287C" w:rsidRDefault="008A4F71" w:rsidP="00C7287C">
      <w:pPr>
        <w:pStyle w:val="Heading1"/>
      </w:pPr>
      <w:bookmarkStart w:id="5" w:name="_Toc383427597"/>
      <w:bookmarkStart w:id="6" w:name="_Toc383427846"/>
      <w:bookmarkStart w:id="7" w:name="_Toc189499369"/>
      <w:r>
        <w:lastRenderedPageBreak/>
        <w:t>QUESTION 2</w:t>
      </w:r>
      <w:r w:rsidR="00820566">
        <w:t>:</w:t>
      </w:r>
      <w:r w:rsidR="006D6F75" w:rsidRPr="00C7287C">
        <w:t xml:space="preserve"> WHY WAS GOVERNMENT ACTION</w:t>
      </w:r>
      <w:bookmarkEnd w:id="5"/>
      <w:bookmarkEnd w:id="6"/>
      <w:r w:rsidR="006D6F75" w:rsidRPr="00C7287C">
        <w:t xml:space="preserve"> NEEDED?</w:t>
      </w:r>
      <w:bookmarkEnd w:id="7"/>
    </w:p>
    <w:p w14:paraId="5A92879F" w14:textId="446471E9" w:rsidR="00A95A03" w:rsidRDefault="00E706BC" w:rsidP="000920EB">
      <w:pPr>
        <w:pStyle w:val="ListParagraph"/>
        <w:numPr>
          <w:ilvl w:val="0"/>
          <w:numId w:val="5"/>
        </w:numPr>
        <w:ind w:left="0" w:firstLine="0"/>
      </w:pPr>
      <w:r w:rsidRPr="00E96A13">
        <w:t xml:space="preserve">The Government’s objectives for concluding a high-quality </w:t>
      </w:r>
      <w:r w:rsidR="008745F8">
        <w:t>CPTPP</w:t>
      </w:r>
      <w:r w:rsidR="00F925EC">
        <w:t xml:space="preserve"> </w:t>
      </w:r>
      <w:r w:rsidRPr="00E96A13">
        <w:t xml:space="preserve">as soon as practicable were to </w:t>
      </w:r>
      <w:r w:rsidR="007C604E">
        <w:t xml:space="preserve">maintain </w:t>
      </w:r>
      <w:r w:rsidR="00FE18AA">
        <w:t xml:space="preserve">the </w:t>
      </w:r>
      <w:r w:rsidR="00B06D9D">
        <w:t xml:space="preserve">high standards of the original TPP and </w:t>
      </w:r>
      <w:r w:rsidRPr="00E96A13">
        <w:t>secure and improve Australia’s competitiveness in key market</w:t>
      </w:r>
      <w:r w:rsidR="00D351B2">
        <w:t xml:space="preserve">s. </w:t>
      </w:r>
    </w:p>
    <w:p w14:paraId="4D7E7D48" w14:textId="1A8F6C99" w:rsidR="00A34C0F" w:rsidRDefault="00A2546A" w:rsidP="000920EB">
      <w:pPr>
        <w:pStyle w:val="ListParagraph"/>
        <w:numPr>
          <w:ilvl w:val="0"/>
          <w:numId w:val="5"/>
        </w:numPr>
        <w:ind w:left="0" w:firstLine="0"/>
      </w:pPr>
      <w:r>
        <w:t>Joining</w:t>
      </w:r>
      <w:r w:rsidR="00F72E28">
        <w:t xml:space="preserve"> CPTPP also provided </w:t>
      </w:r>
      <w:r w:rsidR="00A95A03">
        <w:t xml:space="preserve">a strong platform </w:t>
      </w:r>
      <w:r w:rsidR="00F72E28">
        <w:t>to</w:t>
      </w:r>
      <w:r w:rsidR="00A95A03">
        <w:t xml:space="preserve"> progress Australia’s bilateral relations, </w:t>
      </w:r>
      <w:r w:rsidR="00001548">
        <w:t xml:space="preserve">deepen </w:t>
      </w:r>
      <w:r w:rsidR="00A95A03">
        <w:t xml:space="preserve">regional integration, and </w:t>
      </w:r>
      <w:r w:rsidR="00001548">
        <w:t xml:space="preserve">advance </w:t>
      </w:r>
      <w:r w:rsidR="00A95A03">
        <w:t>strategic interests</w:t>
      </w:r>
      <w:r w:rsidR="00F72E28">
        <w:t xml:space="preserve"> with</w:t>
      </w:r>
      <w:r w:rsidR="00001548">
        <w:t xml:space="preserve"> CPTPP</w:t>
      </w:r>
      <w:r w:rsidR="00F72E28">
        <w:t xml:space="preserve"> </w:t>
      </w:r>
      <w:r w:rsidR="00BB139B">
        <w:t>m</w:t>
      </w:r>
      <w:r w:rsidR="00F72E28">
        <w:t>ember economies</w:t>
      </w:r>
      <w:r w:rsidR="00A95A03">
        <w:t>.</w:t>
      </w:r>
    </w:p>
    <w:p w14:paraId="02ABA6C6" w14:textId="3F10FD63" w:rsidR="00F038AC" w:rsidRDefault="00F038AC" w:rsidP="00A34C0F">
      <w:pPr>
        <w:rPr>
          <w:b/>
          <w:bCs/>
          <w:i/>
          <w:iCs/>
        </w:rPr>
      </w:pPr>
      <w:r>
        <w:rPr>
          <w:b/>
          <w:bCs/>
          <w:i/>
          <w:iCs/>
        </w:rPr>
        <w:t xml:space="preserve">Conclusions from </w:t>
      </w:r>
      <w:r w:rsidR="00E567F7">
        <w:rPr>
          <w:b/>
          <w:bCs/>
          <w:i/>
          <w:iCs/>
        </w:rPr>
        <w:t>CPTPP</w:t>
      </w:r>
      <w:r>
        <w:rPr>
          <w:b/>
          <w:bCs/>
          <w:i/>
          <w:iCs/>
        </w:rPr>
        <w:t xml:space="preserve"> Regulatory Impact Statement</w:t>
      </w:r>
    </w:p>
    <w:p w14:paraId="19988B95" w14:textId="602361BA" w:rsidR="00F038AC" w:rsidRDefault="00F038AC" w:rsidP="000920EB">
      <w:pPr>
        <w:pStyle w:val="ListParagraph"/>
        <w:numPr>
          <w:ilvl w:val="0"/>
          <w:numId w:val="5"/>
        </w:numPr>
        <w:ind w:left="0" w:firstLine="0"/>
      </w:pPr>
      <w:r w:rsidRPr="00094198">
        <w:t>The</w:t>
      </w:r>
      <w:r w:rsidR="00B71CB3">
        <w:t xml:space="preserve"> 2018</w:t>
      </w:r>
      <w:r w:rsidRPr="00094198">
        <w:t xml:space="preserve"> </w:t>
      </w:r>
      <w:r w:rsidR="002C1A7C">
        <w:t>CP</w:t>
      </w:r>
      <w:r>
        <w:t>TPP</w:t>
      </w:r>
      <w:r w:rsidRPr="00094198">
        <w:t xml:space="preserve"> Regulatory Impact Statement</w:t>
      </w:r>
      <w:r w:rsidR="002C1A7C">
        <w:rPr>
          <w:rStyle w:val="FootnoteReference"/>
        </w:rPr>
        <w:footnoteReference w:id="21"/>
      </w:r>
      <w:r w:rsidR="00DC72BC">
        <w:t xml:space="preserve"> concluded</w:t>
      </w:r>
      <w:r w:rsidRPr="00094198">
        <w:t xml:space="preserve"> it was in Australia’s interests to </w:t>
      </w:r>
      <w:proofErr w:type="gramStart"/>
      <w:r>
        <w:t>enter into</w:t>
      </w:r>
      <w:proofErr w:type="gramEnd"/>
      <w:r>
        <w:t xml:space="preserve"> a regional FTA with Brunei Darussalam, Canada, Chile, Japan, Malaysia, Mexico, Peru, New Zealand, Singapore, and Vietnam, given </w:t>
      </w:r>
      <w:r w:rsidR="00E567F7">
        <w:t>CPTPP</w:t>
      </w:r>
      <w:r>
        <w:t xml:space="preserve"> was expected to: </w:t>
      </w:r>
    </w:p>
    <w:p w14:paraId="0C2F8290" w14:textId="7CDC025A" w:rsidR="00F038AC" w:rsidRDefault="00F038AC" w:rsidP="000920EB">
      <w:pPr>
        <w:pStyle w:val="ListParagraph"/>
        <w:numPr>
          <w:ilvl w:val="0"/>
          <w:numId w:val="7"/>
        </w:numPr>
        <w:ind w:left="567" w:hanging="567"/>
      </w:pPr>
      <w:r>
        <w:t>deliver commercially meaningful market access gains that would benefit Australian agriculture, resources, energy and manufacturing exporters, service providers, consumers</w:t>
      </w:r>
      <w:r w:rsidR="00672C5F">
        <w:t>,</w:t>
      </w:r>
      <w:r>
        <w:t xml:space="preserve"> and </w:t>
      </w:r>
      <w:proofErr w:type="gramStart"/>
      <w:r>
        <w:t>investors;</w:t>
      </w:r>
      <w:proofErr w:type="gramEnd"/>
      <w:r>
        <w:t xml:space="preserve"> </w:t>
      </w:r>
    </w:p>
    <w:p w14:paraId="15B080F8" w14:textId="1DAF5BF0" w:rsidR="00F038AC" w:rsidRDefault="00F038AC" w:rsidP="000920EB">
      <w:pPr>
        <w:pStyle w:val="ListParagraph"/>
        <w:numPr>
          <w:ilvl w:val="0"/>
          <w:numId w:val="7"/>
        </w:numPr>
        <w:ind w:left="567" w:hanging="567"/>
      </w:pPr>
      <w:r>
        <w:t xml:space="preserve">secure Australian exporters’ competitive position in the </w:t>
      </w:r>
      <w:r w:rsidR="00001548">
        <w:t>Indo</w:t>
      </w:r>
      <w:r w:rsidR="00236DF1">
        <w:t>-</w:t>
      </w:r>
      <w:proofErr w:type="gramStart"/>
      <w:r>
        <w:t>Pacific;</w:t>
      </w:r>
      <w:proofErr w:type="gramEnd"/>
      <w:r>
        <w:t xml:space="preserve"> </w:t>
      </w:r>
    </w:p>
    <w:p w14:paraId="2F50557B" w14:textId="6CDFD38F" w:rsidR="00F038AC" w:rsidRDefault="00F038AC" w:rsidP="000920EB">
      <w:pPr>
        <w:pStyle w:val="ListParagraph"/>
        <w:numPr>
          <w:ilvl w:val="0"/>
          <w:numId w:val="7"/>
        </w:numPr>
        <w:ind w:left="567" w:hanging="567"/>
      </w:pPr>
      <w:r>
        <w:t xml:space="preserve">deliver faster and deeper market access gains than would be possible through multilateral WTO </w:t>
      </w:r>
      <w:proofErr w:type="gramStart"/>
      <w:r>
        <w:t>negotiations;</w:t>
      </w:r>
      <w:proofErr w:type="gramEnd"/>
      <w:r>
        <w:t xml:space="preserve"> </w:t>
      </w:r>
    </w:p>
    <w:p w14:paraId="38A8E6F2" w14:textId="77777777" w:rsidR="000B7F1D" w:rsidRDefault="00F038AC" w:rsidP="000920EB">
      <w:pPr>
        <w:pStyle w:val="ListParagraph"/>
        <w:numPr>
          <w:ilvl w:val="0"/>
          <w:numId w:val="7"/>
        </w:numPr>
        <w:ind w:left="567" w:hanging="567"/>
      </w:pPr>
      <w:r>
        <w:t xml:space="preserve">be consistent with WTO requirements for </w:t>
      </w:r>
      <w:proofErr w:type="gramStart"/>
      <w:r>
        <w:t>FTAs;</w:t>
      </w:r>
      <w:proofErr w:type="gramEnd"/>
      <w:r>
        <w:t xml:space="preserve"> </w:t>
      </w:r>
    </w:p>
    <w:p w14:paraId="37EC09AE" w14:textId="5363D9D7" w:rsidR="00F038AC" w:rsidRDefault="00F038AC" w:rsidP="000920EB">
      <w:pPr>
        <w:pStyle w:val="ListParagraph"/>
        <w:numPr>
          <w:ilvl w:val="0"/>
          <w:numId w:val="7"/>
        </w:numPr>
        <w:ind w:left="567" w:hanging="567"/>
      </w:pPr>
      <w:r>
        <w:t xml:space="preserve">and complement Australia’s efforts to seek additional trade liberalisation from other CPTPP parties through the WTO and regional mechanisms. </w:t>
      </w:r>
    </w:p>
    <w:p w14:paraId="1EB3E73F" w14:textId="46B56FB3" w:rsidR="00A174C0" w:rsidRDefault="00A174C0" w:rsidP="000920EB">
      <w:pPr>
        <w:pStyle w:val="ListParagraph"/>
        <w:numPr>
          <w:ilvl w:val="0"/>
          <w:numId w:val="5"/>
        </w:numPr>
        <w:ind w:left="0" w:firstLine="0"/>
      </w:pPr>
      <w:r>
        <w:t>It was also noted that:</w:t>
      </w:r>
    </w:p>
    <w:p w14:paraId="0AD1BA19" w14:textId="5DCF9A84" w:rsidR="000B7F1D" w:rsidRDefault="000B7F1D" w:rsidP="000920EB">
      <w:pPr>
        <w:pStyle w:val="ListParagraph"/>
        <w:numPr>
          <w:ilvl w:val="0"/>
          <w:numId w:val="7"/>
        </w:numPr>
        <w:ind w:left="567" w:hanging="567"/>
      </w:pPr>
      <w:r>
        <w:t>the removal of tariffs on merchandise imports from Canada and Mexico w</w:t>
      </w:r>
      <w:r w:rsidR="00AC059E">
        <w:t xml:space="preserve">ould </w:t>
      </w:r>
      <w:r>
        <w:t>lead to reductions in tariff revenue, and thereby affect the Government’s fiscal</w:t>
      </w:r>
      <w:r w:rsidR="00AC059E">
        <w:t xml:space="preserve"> </w:t>
      </w:r>
      <w:r>
        <w:t>position, although this would be offset over time by the second-round effects of</w:t>
      </w:r>
      <w:r w:rsidR="00AC059E">
        <w:t xml:space="preserve"> </w:t>
      </w:r>
      <w:r>
        <w:t>increased economic activity. The tariff reduction w</w:t>
      </w:r>
      <w:r w:rsidR="00AC059E">
        <w:t>ould</w:t>
      </w:r>
      <w:r>
        <w:t xml:space="preserve"> also result in lower costs</w:t>
      </w:r>
      <w:r w:rsidR="00AC059E">
        <w:t xml:space="preserve"> </w:t>
      </w:r>
      <w:r>
        <w:t>to Australian consumers; and</w:t>
      </w:r>
    </w:p>
    <w:p w14:paraId="45CF7B0B" w14:textId="4BCAD05D" w:rsidR="000B7F1D" w:rsidRDefault="000B7F1D" w:rsidP="000920EB">
      <w:pPr>
        <w:pStyle w:val="ListParagraph"/>
        <w:numPr>
          <w:ilvl w:val="0"/>
          <w:numId w:val="7"/>
        </w:numPr>
        <w:ind w:left="567" w:hanging="567"/>
      </w:pPr>
      <w:r>
        <w:t>eliminate</w:t>
      </w:r>
      <w:r w:rsidR="0007199E">
        <w:t xml:space="preserve"> Australia’s</w:t>
      </w:r>
      <w:r>
        <w:t xml:space="preserve"> tariffs on virtually all products within four years following </w:t>
      </w:r>
      <w:r w:rsidR="00E567F7">
        <w:t>CPTPP</w:t>
      </w:r>
      <w:r w:rsidR="00D04B7B">
        <w:t>’s</w:t>
      </w:r>
      <w:r>
        <w:t xml:space="preserve"> entry into force. From entry into force of </w:t>
      </w:r>
      <w:r w:rsidR="00E567F7">
        <w:t>CPTPP</w:t>
      </w:r>
      <w:r>
        <w:t>, Australia w</w:t>
      </w:r>
      <w:r w:rsidR="00D04B7B">
        <w:t>ould</w:t>
      </w:r>
      <w:r>
        <w:t xml:space="preserve"> gradually phase out tariffs on a small number of products, mostly plastics and rubber, and textiles, clothing and footwear, iron and steel, motor vehicle components and some machinery and furniture. The only tariffs in Australia’s </w:t>
      </w:r>
      <w:r>
        <w:lastRenderedPageBreak/>
        <w:t xml:space="preserve">offer that </w:t>
      </w:r>
      <w:r w:rsidR="00D04B7B">
        <w:t>would</w:t>
      </w:r>
      <w:r>
        <w:t xml:space="preserve"> not</w:t>
      </w:r>
      <w:r w:rsidR="00D04B7B">
        <w:t xml:space="preserve"> be</w:t>
      </w:r>
      <w:r>
        <w:t xml:space="preserve"> eliminated </w:t>
      </w:r>
      <w:r w:rsidR="00D04B7B">
        <w:t>were</w:t>
      </w:r>
      <w:r>
        <w:t xml:space="preserve"> those on used car imports. These tariffs represent</w:t>
      </w:r>
      <w:r w:rsidR="00D04B7B">
        <w:t>ed</w:t>
      </w:r>
      <w:r>
        <w:t xml:space="preserve"> only 0.1 per cent of Australia’s total tariff lines.</w:t>
      </w:r>
    </w:p>
    <w:p w14:paraId="6FEC7A4F" w14:textId="2CA5D49F" w:rsidR="00A95A03" w:rsidRPr="00A34C0F" w:rsidRDefault="00A34C0F" w:rsidP="00A34C0F">
      <w:pPr>
        <w:rPr>
          <w:i/>
          <w:iCs/>
        </w:rPr>
      </w:pPr>
      <w:r w:rsidRPr="00A34C0F">
        <w:rPr>
          <w:b/>
          <w:bCs/>
          <w:i/>
          <w:iCs/>
        </w:rPr>
        <w:t xml:space="preserve">CPTPP </w:t>
      </w:r>
      <w:r w:rsidR="005C1958">
        <w:rPr>
          <w:b/>
          <w:bCs/>
          <w:i/>
          <w:iCs/>
        </w:rPr>
        <w:t>objectives</w:t>
      </w:r>
      <w:r w:rsidR="00A95A03" w:rsidRPr="00A34C0F">
        <w:rPr>
          <w:i/>
          <w:iCs/>
        </w:rPr>
        <w:t xml:space="preserve">  </w:t>
      </w:r>
    </w:p>
    <w:p w14:paraId="7EC323C0" w14:textId="14035E2C" w:rsidR="00E706BC" w:rsidRPr="005C282A" w:rsidRDefault="003C5625" w:rsidP="000920EB">
      <w:pPr>
        <w:pStyle w:val="ListParagraph"/>
        <w:numPr>
          <w:ilvl w:val="0"/>
          <w:numId w:val="5"/>
        </w:numPr>
        <w:spacing w:before="240"/>
        <w:ind w:left="0" w:firstLine="0"/>
      </w:pPr>
      <w:r>
        <w:t xml:space="preserve">The primary objectives throughout </w:t>
      </w:r>
      <w:r w:rsidR="00E567F7">
        <w:t>CPTPP</w:t>
      </w:r>
      <w:r>
        <w:t xml:space="preserve"> </w:t>
      </w:r>
      <w:r w:rsidR="00E30DE8">
        <w:t>negotiations</w:t>
      </w:r>
      <w:r>
        <w:t xml:space="preserve"> </w:t>
      </w:r>
      <w:r w:rsidR="00CD729A">
        <w:t xml:space="preserve">had been to </w:t>
      </w:r>
      <w:r w:rsidR="008E32DD">
        <w:t>retain</w:t>
      </w:r>
      <w:r w:rsidR="00CD729A">
        <w:t xml:space="preserve"> the high standards of the original TPP, through maintaining the following outcomes</w:t>
      </w:r>
      <w:r w:rsidR="00CD729A">
        <w:rPr>
          <w:rStyle w:val="FootnoteReference"/>
        </w:rPr>
        <w:footnoteReference w:id="22"/>
      </w:r>
      <w:r w:rsidR="00CD729A">
        <w:t>:</w:t>
      </w:r>
    </w:p>
    <w:p w14:paraId="4131F2A0" w14:textId="07B0DC91" w:rsidR="00AB2518" w:rsidRDefault="006E0D8E" w:rsidP="000920EB">
      <w:pPr>
        <w:pStyle w:val="ListParagraph"/>
        <w:numPr>
          <w:ilvl w:val="0"/>
          <w:numId w:val="7"/>
        </w:numPr>
        <w:ind w:left="567" w:hanging="567"/>
      </w:pPr>
      <w:r>
        <w:t>i</w:t>
      </w:r>
      <w:r w:rsidR="008C1226">
        <w:t xml:space="preserve">mproved goods market access through the elimination of tariffs across the board and setting a regional approach to commitments to </w:t>
      </w:r>
      <w:r w:rsidR="00103CDF">
        <w:t xml:space="preserve">strengthen </w:t>
      </w:r>
      <w:r w:rsidR="00B5438F">
        <w:t xml:space="preserve">global value </w:t>
      </w:r>
      <w:proofErr w:type="gramStart"/>
      <w:r w:rsidR="00B5438F">
        <w:t>chains</w:t>
      </w:r>
      <w:r w:rsidR="00E30CF0">
        <w:t>;</w:t>
      </w:r>
      <w:proofErr w:type="gramEnd"/>
    </w:p>
    <w:p w14:paraId="64953435" w14:textId="0781AE34" w:rsidR="00AB2518" w:rsidRDefault="008C1226" w:rsidP="000920EB">
      <w:pPr>
        <w:pStyle w:val="ListParagraph"/>
        <w:numPr>
          <w:ilvl w:val="0"/>
          <w:numId w:val="7"/>
        </w:numPr>
        <w:ind w:left="567" w:hanging="567"/>
      </w:pPr>
      <w:r>
        <w:t xml:space="preserve">new </w:t>
      </w:r>
      <w:r w:rsidR="006C2505">
        <w:t xml:space="preserve">and improved </w:t>
      </w:r>
      <w:r>
        <w:t xml:space="preserve">market access </w:t>
      </w:r>
      <w:r w:rsidR="00651BA8">
        <w:t xml:space="preserve">into Canada and Mexico </w:t>
      </w:r>
      <w:r>
        <w:t xml:space="preserve">for our </w:t>
      </w:r>
      <w:proofErr w:type="gramStart"/>
      <w:r>
        <w:t>exporters</w:t>
      </w:r>
      <w:r w:rsidR="00651C18">
        <w:t>;</w:t>
      </w:r>
      <w:proofErr w:type="gramEnd"/>
    </w:p>
    <w:p w14:paraId="46B61630" w14:textId="40605D17" w:rsidR="007D2532" w:rsidRDefault="004A093C" w:rsidP="000920EB">
      <w:pPr>
        <w:pStyle w:val="ListParagraph"/>
        <w:numPr>
          <w:ilvl w:val="0"/>
          <w:numId w:val="7"/>
        </w:numPr>
        <w:ind w:left="567" w:hanging="567"/>
      </w:pPr>
      <w:r>
        <w:t xml:space="preserve">strong investment protections that would provide greater certainty to Australian investors in </w:t>
      </w:r>
      <w:r w:rsidR="00694922">
        <w:t>CPTPP economies</w:t>
      </w:r>
      <w:r>
        <w:t xml:space="preserve">, whilst retaining the ability to regulate legitimately on social, environmental or other similar public policy </w:t>
      </w:r>
      <w:proofErr w:type="gramStart"/>
      <w:r>
        <w:t>matters;</w:t>
      </w:r>
      <w:proofErr w:type="gramEnd"/>
    </w:p>
    <w:p w14:paraId="1C352439" w14:textId="26EDCD7F" w:rsidR="00E706BC" w:rsidRDefault="00AB2518" w:rsidP="000920EB">
      <w:pPr>
        <w:pStyle w:val="ListParagraph"/>
        <w:numPr>
          <w:ilvl w:val="0"/>
          <w:numId w:val="7"/>
        </w:numPr>
        <w:ind w:left="567" w:hanging="567"/>
      </w:pPr>
      <w:r>
        <w:t xml:space="preserve">arrangement to facilitate the </w:t>
      </w:r>
      <w:r w:rsidR="004A093C">
        <w:t xml:space="preserve">mutual recognition of professional qualifications (such as for architects and engineers) and best practice regulations for foreign </w:t>
      </w:r>
      <w:proofErr w:type="gramStart"/>
      <w:r w:rsidR="004A093C">
        <w:t>lawyers</w:t>
      </w:r>
      <w:r w:rsidR="00C81769">
        <w:t>;</w:t>
      </w:r>
      <w:proofErr w:type="gramEnd"/>
    </w:p>
    <w:p w14:paraId="66F5938C" w14:textId="0103321A" w:rsidR="00336A8A" w:rsidRDefault="00336A8A" w:rsidP="000920EB">
      <w:pPr>
        <w:pStyle w:val="ListParagraph"/>
        <w:numPr>
          <w:ilvl w:val="0"/>
          <w:numId w:val="7"/>
        </w:numPr>
        <w:ind w:left="567" w:hanging="567"/>
      </w:pPr>
      <w:r>
        <w:t xml:space="preserve">new opportunities and a level playing field for Australian providers of, and investors in, minerals and energy and related services, education, engineering, financial and legal services and logistics, particularly in Malaysia and </w:t>
      </w:r>
      <w:proofErr w:type="gramStart"/>
      <w:r>
        <w:t>Vietnam;</w:t>
      </w:r>
      <w:proofErr w:type="gramEnd"/>
    </w:p>
    <w:p w14:paraId="2C761BFF" w14:textId="36A5EA53" w:rsidR="00336A8A" w:rsidRDefault="00336A8A" w:rsidP="000920EB">
      <w:pPr>
        <w:pStyle w:val="ListParagraph"/>
        <w:numPr>
          <w:ilvl w:val="0"/>
          <w:numId w:val="7"/>
        </w:numPr>
        <w:ind w:left="567" w:hanging="567"/>
      </w:pPr>
      <w:r>
        <w:t xml:space="preserve">new commitments addressing the importance of the internet to international trade, providing certainty for Australian businesses of all sizes to move and store data across </w:t>
      </w:r>
      <w:r w:rsidR="00694922">
        <w:t>CPTPP</w:t>
      </w:r>
      <w:r>
        <w:t xml:space="preserve"> </w:t>
      </w:r>
      <w:proofErr w:type="gramStart"/>
      <w:r>
        <w:t>economies;</w:t>
      </w:r>
      <w:proofErr w:type="gramEnd"/>
    </w:p>
    <w:p w14:paraId="32C6B121" w14:textId="25347C85" w:rsidR="00994CCD" w:rsidRDefault="00994CCD" w:rsidP="000920EB">
      <w:pPr>
        <w:pStyle w:val="ListParagraph"/>
        <w:numPr>
          <w:ilvl w:val="0"/>
          <w:numId w:val="7"/>
        </w:numPr>
        <w:ind w:left="567" w:hanging="567"/>
      </w:pPr>
      <w:r>
        <w:t xml:space="preserve">a permanent moratorium on the imposition of customs duties on electronic </w:t>
      </w:r>
      <w:proofErr w:type="gramStart"/>
      <w:r>
        <w:t>transactions;</w:t>
      </w:r>
      <w:proofErr w:type="gramEnd"/>
    </w:p>
    <w:p w14:paraId="112B4166" w14:textId="6C7CAAD2" w:rsidR="00994CCD" w:rsidRDefault="00994CCD" w:rsidP="000920EB">
      <w:pPr>
        <w:pStyle w:val="ListParagraph"/>
        <w:numPr>
          <w:ilvl w:val="0"/>
          <w:numId w:val="7"/>
        </w:numPr>
        <w:ind w:left="567" w:hanging="567"/>
      </w:pPr>
      <w:r>
        <w:t xml:space="preserve">commitments to address, for the first time, the high cost of International </w:t>
      </w:r>
      <w:r w:rsidR="001D0F4F">
        <w:t xml:space="preserve">mobile </w:t>
      </w:r>
      <w:proofErr w:type="gramStart"/>
      <w:r w:rsidR="001D0F4F">
        <w:t>roaming</w:t>
      </w:r>
      <w:r>
        <w:t>;</w:t>
      </w:r>
      <w:proofErr w:type="gramEnd"/>
    </w:p>
    <w:p w14:paraId="1F6A8D87" w14:textId="30959D2D" w:rsidR="00994CCD" w:rsidRDefault="00994CCD" w:rsidP="000920EB">
      <w:pPr>
        <w:pStyle w:val="ListParagraph"/>
        <w:numPr>
          <w:ilvl w:val="0"/>
          <w:numId w:val="7"/>
        </w:numPr>
        <w:ind w:left="567" w:hanging="567"/>
      </w:pPr>
      <w:r>
        <w:t xml:space="preserve">enhanced opportunities for Australian </w:t>
      </w:r>
      <w:r w:rsidR="00404C8A">
        <w:t>businesspersons</w:t>
      </w:r>
      <w:r>
        <w:t xml:space="preserve"> seeking to enter and temporarily stay in other </w:t>
      </w:r>
      <w:r w:rsidR="00694922">
        <w:t>CPTPP</w:t>
      </w:r>
      <w:r>
        <w:t xml:space="preserve"> countries through expeditious processing of immigration documents, minimised fees and transparency on entry </w:t>
      </w:r>
      <w:proofErr w:type="gramStart"/>
      <w:r>
        <w:t>requirements;</w:t>
      </w:r>
      <w:proofErr w:type="gramEnd"/>
    </w:p>
    <w:p w14:paraId="59BFEF74" w14:textId="541C591D" w:rsidR="00357C7D" w:rsidRDefault="00357C7D" w:rsidP="000920EB">
      <w:pPr>
        <w:pStyle w:val="ListParagraph"/>
        <w:numPr>
          <w:ilvl w:val="0"/>
          <w:numId w:val="7"/>
        </w:numPr>
        <w:ind w:left="567" w:hanging="567"/>
      </w:pPr>
      <w:r>
        <w:t xml:space="preserve">commitments to enable short-term business visitors, intra-corporate transferees, certain independent executives, and contractual service suppliers to enter and stay temporarily in </w:t>
      </w:r>
      <w:r w:rsidR="00694922">
        <w:t>CPTPP</w:t>
      </w:r>
      <w:r>
        <w:t xml:space="preserve"> </w:t>
      </w:r>
      <w:proofErr w:type="gramStart"/>
      <w:r>
        <w:t>countries;</w:t>
      </w:r>
      <w:proofErr w:type="gramEnd"/>
    </w:p>
    <w:p w14:paraId="327CFEDB" w14:textId="61D4D001" w:rsidR="00357C7D" w:rsidRDefault="00357C7D" w:rsidP="000920EB">
      <w:pPr>
        <w:pStyle w:val="ListParagraph"/>
        <w:numPr>
          <w:ilvl w:val="0"/>
          <w:numId w:val="7"/>
        </w:numPr>
        <w:ind w:left="567" w:hanging="567"/>
      </w:pPr>
      <w:r>
        <w:lastRenderedPageBreak/>
        <w:t xml:space="preserve">improved access for Australian suppliers to government procurement markets in other </w:t>
      </w:r>
      <w:r w:rsidR="00694922">
        <w:t>CPTPP</w:t>
      </w:r>
      <w:r>
        <w:t xml:space="preserve"> </w:t>
      </w:r>
      <w:proofErr w:type="gramStart"/>
      <w:r>
        <w:t>countries;</w:t>
      </w:r>
      <w:proofErr w:type="gramEnd"/>
    </w:p>
    <w:p w14:paraId="5089405B" w14:textId="15BE6A95" w:rsidR="00F956BA" w:rsidRDefault="00BD0495" w:rsidP="000920EB">
      <w:pPr>
        <w:pStyle w:val="ListParagraph"/>
        <w:numPr>
          <w:ilvl w:val="0"/>
          <w:numId w:val="7"/>
        </w:numPr>
        <w:ind w:left="567" w:hanging="567"/>
      </w:pPr>
      <w:r>
        <w:t xml:space="preserve">commitments to ensure rights of Australian intellectual property holders are protected effectively and enforced by other </w:t>
      </w:r>
      <w:r w:rsidR="00694922">
        <w:t>CPTPP</w:t>
      </w:r>
      <w:r>
        <w:t xml:space="preserve"> countries’ IP </w:t>
      </w:r>
      <w:proofErr w:type="gramStart"/>
      <w:r>
        <w:t>regimes;</w:t>
      </w:r>
      <w:proofErr w:type="gramEnd"/>
      <w:r>
        <w:t xml:space="preserve"> </w:t>
      </w:r>
    </w:p>
    <w:p w14:paraId="703EE91F" w14:textId="24328ACD" w:rsidR="00494845" w:rsidRDefault="00494845" w:rsidP="000920EB">
      <w:pPr>
        <w:pStyle w:val="ListParagraph"/>
        <w:numPr>
          <w:ilvl w:val="0"/>
          <w:numId w:val="7"/>
        </w:numPr>
        <w:ind w:left="567" w:hanging="567"/>
      </w:pPr>
      <w:r>
        <w:t xml:space="preserve">new disciplines that address the role of </w:t>
      </w:r>
      <w:r w:rsidR="00387EB9">
        <w:t>s</w:t>
      </w:r>
      <w:r>
        <w:t>tate-</w:t>
      </w:r>
      <w:r w:rsidR="00387EB9">
        <w:t>o</w:t>
      </w:r>
      <w:r>
        <w:t xml:space="preserve">wned </w:t>
      </w:r>
      <w:r w:rsidR="00387EB9">
        <w:t>e</w:t>
      </w:r>
      <w:r>
        <w:t xml:space="preserve">nterprises in global trade whilst upholding Australia’s right to use </w:t>
      </w:r>
      <w:r w:rsidR="00387EB9">
        <w:t>state-owned enterprises</w:t>
      </w:r>
      <w:r>
        <w:t xml:space="preserve"> for public interest </w:t>
      </w:r>
      <w:proofErr w:type="gramStart"/>
      <w:r>
        <w:t>purposes;</w:t>
      </w:r>
      <w:proofErr w:type="gramEnd"/>
    </w:p>
    <w:p w14:paraId="018DCD96" w14:textId="0714606E" w:rsidR="00494845" w:rsidRDefault="00494845" w:rsidP="000920EB">
      <w:pPr>
        <w:pStyle w:val="ListParagraph"/>
        <w:numPr>
          <w:ilvl w:val="0"/>
          <w:numId w:val="7"/>
        </w:numPr>
        <w:ind w:left="567" w:hanging="567"/>
      </w:pPr>
      <w:r>
        <w:t xml:space="preserve">commitments to ensure that the benefits of </w:t>
      </w:r>
      <w:r w:rsidR="00E567F7">
        <w:t>CPTPP</w:t>
      </w:r>
      <w:r>
        <w:t xml:space="preserve"> are not undermined by anti-competitive </w:t>
      </w:r>
      <w:proofErr w:type="gramStart"/>
      <w:r>
        <w:t>practices;</w:t>
      </w:r>
      <w:proofErr w:type="gramEnd"/>
    </w:p>
    <w:p w14:paraId="68C236C5" w14:textId="48BC74CC" w:rsidR="00494845" w:rsidRDefault="00612EBA" w:rsidP="000920EB">
      <w:pPr>
        <w:pStyle w:val="ListParagraph"/>
        <w:numPr>
          <w:ilvl w:val="0"/>
          <w:numId w:val="7"/>
        </w:numPr>
        <w:ind w:left="567" w:hanging="567"/>
      </w:pPr>
      <w:r>
        <w:t xml:space="preserve">a new benchmark that will benefit workers across the region by promoting compliance with </w:t>
      </w:r>
      <w:proofErr w:type="gramStart"/>
      <w:r>
        <w:t>internationally-recognised</w:t>
      </w:r>
      <w:proofErr w:type="gramEnd"/>
      <w:r>
        <w:t xml:space="preserve"> labour rights and the effective enforcement of labour </w:t>
      </w:r>
      <w:proofErr w:type="gramStart"/>
      <w:r>
        <w:t>laws;</w:t>
      </w:r>
      <w:proofErr w:type="gramEnd"/>
    </w:p>
    <w:p w14:paraId="3D1F78E9" w14:textId="3106B8CD" w:rsidR="00612EBA" w:rsidRDefault="00612EBA" w:rsidP="000920EB">
      <w:pPr>
        <w:pStyle w:val="ListParagraph"/>
        <w:numPr>
          <w:ilvl w:val="0"/>
          <w:numId w:val="7"/>
        </w:numPr>
        <w:ind w:left="567" w:hanging="567"/>
      </w:pPr>
      <w:r>
        <w:t>commitments in areas where trade disciplines can help to address environmental challenges, including through liberalising trade in environmental goods and services and disciplines on fisheries subsidies that contribute to over-</w:t>
      </w:r>
      <w:proofErr w:type="gramStart"/>
      <w:r>
        <w:t>fishing;</w:t>
      </w:r>
      <w:proofErr w:type="gramEnd"/>
    </w:p>
    <w:p w14:paraId="2B456F16" w14:textId="77777777" w:rsidR="00834D28" w:rsidRDefault="00612EBA" w:rsidP="000920EB">
      <w:pPr>
        <w:pStyle w:val="ListParagraph"/>
        <w:numPr>
          <w:ilvl w:val="0"/>
          <w:numId w:val="7"/>
        </w:numPr>
        <w:ind w:left="567" w:hanging="567"/>
      </w:pPr>
      <w:r>
        <w:t xml:space="preserve">promotion of international efforts to combat corruption and bribery of officials and effective enforcement of anti-corruption laws; and </w:t>
      </w:r>
    </w:p>
    <w:p w14:paraId="1F6013C4" w14:textId="2F3EF3B2" w:rsidR="00793F77" w:rsidRDefault="00612EBA" w:rsidP="000920EB">
      <w:pPr>
        <w:pStyle w:val="ListParagraph"/>
        <w:numPr>
          <w:ilvl w:val="0"/>
          <w:numId w:val="7"/>
        </w:numPr>
        <w:ind w:left="567" w:hanging="567"/>
      </w:pPr>
      <w:r>
        <w:t xml:space="preserve">a framework for settling disputes under </w:t>
      </w:r>
      <w:r w:rsidR="00E567F7">
        <w:t>CPTPP</w:t>
      </w:r>
      <w:r w:rsidR="002F025B">
        <w:t>.</w:t>
      </w:r>
    </w:p>
    <w:p w14:paraId="5C9EE1D6" w14:textId="77777777" w:rsidR="006D6F75" w:rsidRPr="006D6F75" w:rsidRDefault="006D6F75" w:rsidP="006D6F75">
      <w:pPr>
        <w:rPr>
          <w:rFonts w:eastAsiaTheme="majorEastAsia" w:cstheme="minorHAnsi"/>
          <w:b/>
          <w:bCs/>
          <w:color w:val="FF0000"/>
          <w:sz w:val="28"/>
          <w:szCs w:val="28"/>
        </w:rPr>
      </w:pPr>
      <w:r w:rsidRPr="006D6F75">
        <w:rPr>
          <w:rFonts w:cstheme="minorHAnsi"/>
          <w:color w:val="FF0000"/>
        </w:rPr>
        <w:br w:type="page"/>
      </w:r>
    </w:p>
    <w:p w14:paraId="564AA968" w14:textId="7D210EFA" w:rsidR="006D6F75" w:rsidRPr="00C7287C" w:rsidRDefault="0003330D" w:rsidP="00C7287C">
      <w:pPr>
        <w:pStyle w:val="Heading1"/>
      </w:pPr>
      <w:bookmarkStart w:id="8" w:name="_Toc189499370"/>
      <w:r>
        <w:lastRenderedPageBreak/>
        <w:t>QUESTION 3</w:t>
      </w:r>
      <w:r w:rsidR="00820566">
        <w:t>:</w:t>
      </w:r>
      <w:r>
        <w:t xml:space="preserve"> </w:t>
      </w:r>
      <w:r w:rsidR="006D6F75" w:rsidRPr="00C7287C">
        <w:t>WHAT POLICY OPTIONS WERE CONSIDERED?</w:t>
      </w:r>
      <w:bookmarkEnd w:id="8"/>
    </w:p>
    <w:p w14:paraId="6C13E89A" w14:textId="3E858199" w:rsidR="0086688E" w:rsidRDefault="00A45F77" w:rsidP="000920EB">
      <w:pPr>
        <w:pStyle w:val="ListParagraph"/>
        <w:numPr>
          <w:ilvl w:val="0"/>
          <w:numId w:val="5"/>
        </w:numPr>
        <w:ind w:left="0" w:firstLine="0"/>
      </w:pPr>
      <w:r w:rsidRPr="00E45173">
        <w:t xml:space="preserve">The following </w:t>
      </w:r>
      <w:r>
        <w:t xml:space="preserve">outlines </w:t>
      </w:r>
      <w:r w:rsidR="0093079E">
        <w:t>the policy options</w:t>
      </w:r>
      <w:r w:rsidR="006929E5">
        <w:t xml:space="preserve">, separate to concluding </w:t>
      </w:r>
      <w:r w:rsidR="00E567F7">
        <w:t>CPTPP</w:t>
      </w:r>
      <w:r w:rsidR="006929E5">
        <w:t>,</w:t>
      </w:r>
      <w:r w:rsidR="0093079E">
        <w:t xml:space="preserve"> that were considered by the Australian Government</w:t>
      </w:r>
      <w:r w:rsidR="006030B2">
        <w:t>.</w:t>
      </w:r>
    </w:p>
    <w:p w14:paraId="00B78ACA" w14:textId="341F14A7" w:rsidR="000124D8" w:rsidRPr="0095508E" w:rsidRDefault="000124D8" w:rsidP="0095508E">
      <w:pPr>
        <w:pStyle w:val="ListParagraph"/>
        <w:numPr>
          <w:ilvl w:val="0"/>
          <w:numId w:val="0"/>
        </w:numPr>
        <w:rPr>
          <w:b/>
          <w:bCs/>
          <w:i/>
        </w:rPr>
      </w:pPr>
      <w:r w:rsidRPr="0095508E">
        <w:rPr>
          <w:b/>
          <w:bCs/>
          <w:i/>
        </w:rPr>
        <w:t>No action</w:t>
      </w:r>
    </w:p>
    <w:p w14:paraId="67E462F5" w14:textId="1E2B28B4" w:rsidR="00755357" w:rsidRDefault="00755357" w:rsidP="000920EB">
      <w:pPr>
        <w:pStyle w:val="ListParagraph"/>
        <w:numPr>
          <w:ilvl w:val="0"/>
          <w:numId w:val="5"/>
        </w:numPr>
        <w:ind w:left="0" w:firstLine="0"/>
      </w:pPr>
      <w:r>
        <w:t xml:space="preserve">There were some modest benefits evident were Australia not to have joined CPTPP. The Australian Government would have made some savings on resources required for negotiating the Agreement. </w:t>
      </w:r>
    </w:p>
    <w:p w14:paraId="1C5416AA" w14:textId="3FB53A81" w:rsidR="000124D8" w:rsidRDefault="00190FE5" w:rsidP="000920EB">
      <w:pPr>
        <w:pStyle w:val="ListParagraph"/>
        <w:numPr>
          <w:ilvl w:val="0"/>
          <w:numId w:val="5"/>
        </w:numPr>
        <w:ind w:left="0" w:firstLine="0"/>
      </w:pPr>
      <w:r>
        <w:t>However, the opportunity cost</w:t>
      </w:r>
      <w:r w:rsidR="006E6348">
        <w:t xml:space="preserve"> of not joining </w:t>
      </w:r>
      <w:r w:rsidR="00E567F7">
        <w:t>CPTPP</w:t>
      </w:r>
      <w:r w:rsidR="006E6348">
        <w:t xml:space="preserve"> </w:t>
      </w:r>
      <w:r>
        <w:t>w</w:t>
      </w:r>
      <w:r w:rsidR="00F3423D">
        <w:t>as</w:t>
      </w:r>
      <w:r>
        <w:t xml:space="preserve"> considered significant. </w:t>
      </w:r>
      <w:r w:rsidR="00F3423D">
        <w:t>No action</w:t>
      </w:r>
      <w:r w:rsidR="000124D8">
        <w:t xml:space="preserve"> ris</w:t>
      </w:r>
      <w:r w:rsidR="00350B2F">
        <w:t>ked weakening</w:t>
      </w:r>
      <w:r w:rsidR="000124D8">
        <w:t xml:space="preserve"> </w:t>
      </w:r>
      <w:r w:rsidR="001A1AD2">
        <w:t>our</w:t>
      </w:r>
      <w:r w:rsidR="000124D8">
        <w:t xml:space="preserve"> </w:t>
      </w:r>
      <w:r w:rsidR="00813586">
        <w:t xml:space="preserve">trade </w:t>
      </w:r>
      <w:r w:rsidR="000124D8">
        <w:t>competitiveness in the region</w:t>
      </w:r>
      <w:r w:rsidR="00A34B90">
        <w:t xml:space="preserve"> </w:t>
      </w:r>
      <w:r w:rsidR="001B4B95">
        <w:t xml:space="preserve">by </w:t>
      </w:r>
      <w:r w:rsidR="000124D8">
        <w:t>den</w:t>
      </w:r>
      <w:r w:rsidR="001B4B95">
        <w:t>ying</w:t>
      </w:r>
      <w:r w:rsidR="000124D8">
        <w:t xml:space="preserve"> Australian exporters and investors </w:t>
      </w:r>
      <w:r w:rsidR="00350B2F">
        <w:t xml:space="preserve">improved </w:t>
      </w:r>
      <w:r w:rsidR="000124D8">
        <w:t>market access</w:t>
      </w:r>
      <w:r w:rsidR="00722609">
        <w:t xml:space="preserve"> to CPTPP member economies,</w:t>
      </w:r>
      <w:r w:rsidR="000124D8">
        <w:t xml:space="preserve"> </w:t>
      </w:r>
      <w:r w:rsidR="00350B2F">
        <w:t xml:space="preserve">thereby </w:t>
      </w:r>
      <w:r w:rsidR="000124D8">
        <w:t>disadvantag</w:t>
      </w:r>
      <w:r w:rsidR="00722609">
        <w:t xml:space="preserve">ing them against competitors </w:t>
      </w:r>
      <w:r w:rsidR="000D017D">
        <w:t xml:space="preserve">from </w:t>
      </w:r>
      <w:r w:rsidR="00E567F7">
        <w:t>CPTPP</w:t>
      </w:r>
      <w:r w:rsidR="000D017D">
        <w:t xml:space="preserve"> membership</w:t>
      </w:r>
      <w:r w:rsidR="000124D8">
        <w:t xml:space="preserve">. </w:t>
      </w:r>
    </w:p>
    <w:p w14:paraId="626EF13B" w14:textId="22F785D3" w:rsidR="000124D8" w:rsidRDefault="00E567F7" w:rsidP="000920EB">
      <w:pPr>
        <w:pStyle w:val="ListParagraph"/>
        <w:numPr>
          <w:ilvl w:val="0"/>
          <w:numId w:val="5"/>
        </w:numPr>
        <w:ind w:left="0" w:firstLine="0"/>
      </w:pPr>
      <w:r>
        <w:t>CPTPP</w:t>
      </w:r>
      <w:r w:rsidR="000124D8">
        <w:t xml:space="preserve"> allow</w:t>
      </w:r>
      <w:r w:rsidR="009A1108">
        <w:t>ed</w:t>
      </w:r>
      <w:r w:rsidR="000124D8">
        <w:t xml:space="preserve"> Australia to take an active role in encouraging competitive liberalisation and eventual consolidation of the various FTAs in the region in a manner that advance</w:t>
      </w:r>
      <w:r w:rsidR="009A1108">
        <w:t xml:space="preserve">d </w:t>
      </w:r>
      <w:r w:rsidR="000124D8">
        <w:t>Australia’s trade, economic and foreign policy objectives.</w:t>
      </w:r>
      <w:r w:rsidR="00394F5E">
        <w:t xml:space="preserve"> It also sent</w:t>
      </w:r>
      <w:r w:rsidR="000124D8">
        <w:t xml:space="preserve"> a much-needed signal to the international community that diverse economies c</w:t>
      </w:r>
      <w:r w:rsidR="00394F5E">
        <w:t>ould</w:t>
      </w:r>
      <w:r w:rsidR="000124D8">
        <w:t xml:space="preserve"> agree historic reductions in trade barriers and support cross-border trade and investment in the 21</w:t>
      </w:r>
      <w:r w:rsidR="000124D8" w:rsidRPr="00F0258D">
        <w:rPr>
          <w:vertAlign w:val="superscript"/>
        </w:rPr>
        <w:t>st</w:t>
      </w:r>
      <w:r w:rsidR="000124D8">
        <w:t xml:space="preserve"> century.</w:t>
      </w:r>
    </w:p>
    <w:p w14:paraId="2B012F8D" w14:textId="1E609B2B" w:rsidR="00932695" w:rsidRPr="00C93C26" w:rsidRDefault="00932695" w:rsidP="000920EB">
      <w:pPr>
        <w:pStyle w:val="ListParagraph"/>
        <w:numPr>
          <w:ilvl w:val="0"/>
          <w:numId w:val="5"/>
        </w:numPr>
        <w:ind w:left="0" w:firstLine="0"/>
      </w:pPr>
      <w:r>
        <w:t xml:space="preserve">The CPTPP was the highest standard regional FTA in the world. It was, and remains, the most significant force for liberal rules-based standards on trade and trade reform. </w:t>
      </w:r>
    </w:p>
    <w:p w14:paraId="2991D367" w14:textId="47DCF91B" w:rsidR="00832FFC" w:rsidRPr="00A573A7" w:rsidRDefault="00832FFC" w:rsidP="00832FFC">
      <w:pPr>
        <w:pStyle w:val="ListParagraph"/>
        <w:numPr>
          <w:ilvl w:val="0"/>
          <w:numId w:val="0"/>
        </w:numPr>
        <w:rPr>
          <w:i/>
          <w:iCs/>
        </w:rPr>
      </w:pPr>
      <w:r w:rsidRPr="00A573A7">
        <w:rPr>
          <w:b/>
          <w:bCs/>
          <w:i/>
          <w:iCs/>
        </w:rPr>
        <w:t>Regional Comprehensive Economic Partnership (RCEP)</w:t>
      </w:r>
      <w:r w:rsidRPr="00A573A7">
        <w:rPr>
          <w:i/>
          <w:iCs/>
        </w:rPr>
        <w:t xml:space="preserve"> </w:t>
      </w:r>
    </w:p>
    <w:p w14:paraId="1BAB702E" w14:textId="67975C43" w:rsidR="00E210E5" w:rsidRDefault="00E210E5" w:rsidP="000920EB">
      <w:pPr>
        <w:pStyle w:val="ListParagraph"/>
        <w:numPr>
          <w:ilvl w:val="0"/>
          <w:numId w:val="5"/>
        </w:numPr>
        <w:ind w:left="0" w:firstLine="0"/>
      </w:pPr>
      <w:r>
        <w:t xml:space="preserve">When Ministers signed CPTPP, Australia and six other CPTPP members (Brunei Darussalam, Japan, Malaysia, New Zealand, Singapore, and Vietnam) were also participating in RCEP negotiations, an ASEAN initiative </w:t>
      </w:r>
      <w:r w:rsidR="00B96B17">
        <w:t>that</w:t>
      </w:r>
      <w:r>
        <w:t xml:space="preserve"> buil</w:t>
      </w:r>
      <w:r w:rsidR="000D27EA">
        <w:t>t</w:t>
      </w:r>
      <w:r>
        <w:t xml:space="preserve"> on its existing FTAs with Australia, China, Japan, New Zealand, the Republic of Korea, and India</w:t>
      </w:r>
      <w:r w:rsidR="00FA50F5">
        <w:t>.</w:t>
      </w:r>
      <w:r w:rsidR="00843C47">
        <w:rPr>
          <w:rStyle w:val="FootnoteReference"/>
        </w:rPr>
        <w:footnoteReference w:id="23"/>
      </w:r>
      <w:r>
        <w:t xml:space="preserve"> </w:t>
      </w:r>
    </w:p>
    <w:p w14:paraId="3660421A" w14:textId="7DB4B81C" w:rsidR="00E210E5" w:rsidRDefault="00016823" w:rsidP="000920EB">
      <w:pPr>
        <w:pStyle w:val="ListParagraph"/>
        <w:numPr>
          <w:ilvl w:val="0"/>
          <w:numId w:val="5"/>
        </w:numPr>
        <w:ind w:left="0" w:firstLine="0"/>
      </w:pPr>
      <w:r>
        <w:t>However,</w:t>
      </w:r>
      <w:r w:rsidR="00832FFC">
        <w:t xml:space="preserve"> R</w:t>
      </w:r>
      <w:r w:rsidR="00E210E5">
        <w:t xml:space="preserve">CEP was not an alternative option for delivering the same outcomes as </w:t>
      </w:r>
      <w:r w:rsidR="00E567F7">
        <w:t>CPTPP</w:t>
      </w:r>
      <w:r w:rsidR="00E210E5">
        <w:t>. First, CPTPP was more ambitious than RCEP; it included, for example, chapters on</w:t>
      </w:r>
      <w:r w:rsidR="00FA50F5">
        <w:t xml:space="preserve"> </w:t>
      </w:r>
      <w:r w:rsidR="00162265">
        <w:t>state-owned enterprises</w:t>
      </w:r>
      <w:r w:rsidR="00E210E5">
        <w:t xml:space="preserve">, labour, and </w:t>
      </w:r>
      <w:r w:rsidR="00FA50F5">
        <w:t xml:space="preserve">the </w:t>
      </w:r>
      <w:r w:rsidR="00E210E5">
        <w:t xml:space="preserve">environment. Second, although there was some overlap in membership between RCEP and CPTPP, there were important differences that made the two regional FTAs complementary yet distinct. </w:t>
      </w:r>
      <w:proofErr w:type="gramStart"/>
      <w:r w:rsidR="00E210E5">
        <w:t>In particular, CPTPP</w:t>
      </w:r>
      <w:proofErr w:type="gramEnd"/>
      <w:r w:rsidR="00E210E5">
        <w:t xml:space="preserve"> would bring in Canada, Chile, Mexico and Peru, whereas RCEP included all ASEAN countries, as well as China and the Republic of Korea.</w:t>
      </w:r>
    </w:p>
    <w:p w14:paraId="7F67FF96" w14:textId="6636C967" w:rsidR="00B04F4B" w:rsidRPr="00932695" w:rsidRDefault="00E210E5" w:rsidP="000920EB">
      <w:pPr>
        <w:pStyle w:val="ListParagraph"/>
        <w:numPr>
          <w:ilvl w:val="0"/>
          <w:numId w:val="5"/>
        </w:numPr>
        <w:ind w:left="0" w:firstLine="0"/>
      </w:pPr>
      <w:r>
        <w:t xml:space="preserve">Lastly, RCEP was not signed until 2020, after ten years of negotiations, such that in 2018, when CPTPP was signed, it was not </w:t>
      </w:r>
      <w:r w:rsidR="008776AE">
        <w:t xml:space="preserve">clear when </w:t>
      </w:r>
      <w:r>
        <w:t>RCEP negotiations would be concluded, or in what form.</w:t>
      </w:r>
      <w:r w:rsidR="00B545A2">
        <w:t xml:space="preserve"> </w:t>
      </w:r>
      <w:r w:rsidR="00B04F4B">
        <w:br w:type="page"/>
      </w:r>
    </w:p>
    <w:p w14:paraId="3752202C" w14:textId="47371F86" w:rsidR="00A573A7" w:rsidRPr="00A573A7" w:rsidRDefault="00A573A7" w:rsidP="00A573A7">
      <w:pPr>
        <w:pStyle w:val="ListParagraph"/>
        <w:numPr>
          <w:ilvl w:val="0"/>
          <w:numId w:val="0"/>
        </w:numPr>
        <w:rPr>
          <w:b/>
          <w:bCs/>
          <w:i/>
          <w:iCs/>
        </w:rPr>
      </w:pPr>
      <w:r w:rsidRPr="00A573A7">
        <w:rPr>
          <w:b/>
          <w:bCs/>
          <w:i/>
          <w:iCs/>
        </w:rPr>
        <w:lastRenderedPageBreak/>
        <w:t>Bilateral FTAs</w:t>
      </w:r>
    </w:p>
    <w:p w14:paraId="20D61B7F" w14:textId="12A88089" w:rsidR="00832FFC" w:rsidRDefault="00832FFC" w:rsidP="000920EB">
      <w:pPr>
        <w:pStyle w:val="ListParagraph"/>
        <w:numPr>
          <w:ilvl w:val="0"/>
          <w:numId w:val="5"/>
        </w:numPr>
        <w:ind w:left="0" w:firstLine="0"/>
      </w:pPr>
      <w:r>
        <w:t xml:space="preserve"> </w:t>
      </w:r>
      <w:r w:rsidR="00B22848">
        <w:t>Australia could have sought to negotiate a separate bilateral FTA with Mexico and to update trading arrangements with Canada, while seeking to enhance our existing bilateral and plurilateral agreements. Nonetheless, negotiating new agreements and renegotiating existing agreements separately would have been resource intensive and would not have guaranteed</w:t>
      </w:r>
      <w:r w:rsidR="00CD0AAA">
        <w:t xml:space="preserve"> that</w:t>
      </w:r>
      <w:r w:rsidR="00B22848">
        <w:t xml:space="preserve"> CPTPP members would lower their longstanding trade barriers in sensitive sectors such as agriculture. Moreover, bilateral FTAs would not have delivered the supply chain benefits available under a plurilateral FTA.</w:t>
      </w:r>
    </w:p>
    <w:p w14:paraId="646DE107" w14:textId="7B10E7EC" w:rsidR="00145BA4" w:rsidRDefault="008776AE" w:rsidP="00145BA4">
      <w:r>
        <w:br w:type="page"/>
      </w:r>
    </w:p>
    <w:p w14:paraId="0307FD76" w14:textId="207DEE15" w:rsidR="006D6F75" w:rsidRDefault="00EB7EE9" w:rsidP="00C7287C">
      <w:pPr>
        <w:pStyle w:val="Heading1"/>
      </w:pPr>
      <w:bookmarkStart w:id="9" w:name="_Toc189499371"/>
      <w:r>
        <w:lastRenderedPageBreak/>
        <w:t>QUESTION 4</w:t>
      </w:r>
      <w:r w:rsidR="00820566">
        <w:t xml:space="preserve">: </w:t>
      </w:r>
      <w:r>
        <w:t xml:space="preserve">WHAT WERE THE IMPACTS OF </w:t>
      </w:r>
      <w:r w:rsidR="00E567F7">
        <w:t>CPTPP</w:t>
      </w:r>
      <w:r>
        <w:t>?</w:t>
      </w:r>
      <w:bookmarkEnd w:id="9"/>
    </w:p>
    <w:p w14:paraId="2201DEEE" w14:textId="77777777" w:rsidR="0044207D" w:rsidRPr="0044207D" w:rsidRDefault="0044207D" w:rsidP="0044207D">
      <w:pPr>
        <w:ind w:left="360" w:hanging="360"/>
        <w:rPr>
          <w:b/>
          <w:bCs/>
          <w:i/>
          <w:iCs/>
        </w:rPr>
      </w:pPr>
      <w:r w:rsidRPr="0044207D">
        <w:rPr>
          <w:b/>
          <w:bCs/>
          <w:i/>
          <w:iCs/>
        </w:rPr>
        <w:t>Preliminary discussion</w:t>
      </w:r>
    </w:p>
    <w:p w14:paraId="5E0BD9D6" w14:textId="42870070" w:rsidR="2F874812" w:rsidRDefault="2F874812" w:rsidP="000920EB">
      <w:pPr>
        <w:pStyle w:val="ListParagraph"/>
        <w:numPr>
          <w:ilvl w:val="0"/>
          <w:numId w:val="5"/>
        </w:numPr>
        <w:ind w:left="0" w:firstLine="0"/>
      </w:pPr>
      <w:r>
        <w:t>The analysis below identifies the key stakeholders impacted by CPTPP and considers broad trade and investment trends. It also analyses product-, sector-, and stakeholder-specific outcomes. The analysis draws heavily on data from the Australian Bureau of Statistics (ABS) and compares data before and after the entry into force of CPTPP.</w:t>
      </w:r>
    </w:p>
    <w:p w14:paraId="1FCD3CBF" w14:textId="55234614" w:rsidR="2F874812" w:rsidRDefault="2F874812" w:rsidP="000920EB">
      <w:pPr>
        <w:pStyle w:val="ListParagraph"/>
        <w:numPr>
          <w:ilvl w:val="0"/>
          <w:numId w:val="5"/>
        </w:numPr>
        <w:ind w:left="0" w:firstLine="0"/>
      </w:pPr>
      <w:r>
        <w:t xml:space="preserve">In considering these outcomes, it should be noted that CPTPP was a negotiated agreement among a diverse group of economies. While the agreement's conclusion represented overall gains for Australia and other CPTPP members, it did not result in universal satisfaction for all stakeholders. This is particularly evident in the case of sensitive agricultural products, where the outcomes reflect the balance of interests negotiated during the </w:t>
      </w:r>
      <w:r w:rsidR="00412D7F">
        <w:t>A</w:t>
      </w:r>
      <w:r>
        <w:t>greement’s formation.</w:t>
      </w:r>
    </w:p>
    <w:p w14:paraId="312EED86" w14:textId="2CFB7AD5" w:rsidR="000E685C" w:rsidRDefault="2F874812" w:rsidP="000920EB">
      <w:pPr>
        <w:pStyle w:val="ListParagraph"/>
        <w:numPr>
          <w:ilvl w:val="0"/>
          <w:numId w:val="5"/>
        </w:numPr>
        <w:ind w:left="0" w:firstLine="0"/>
      </w:pPr>
      <w:r>
        <w:t>Unlike some other FTAs, we have not commissioned formal economic modelling to comprehensively assess the net economic benefits resulting from Australia’s participation in CPTPP. Instead, our analysis relies on available statistical data and trends, which provide an indicative—but not exhaustive—view of the outcomes attributable to CPTPP. While economic modelling can provide valuable insights, it is resource-intensive and inherently subject to its own assumptions and limitations. This review seeks to present a balanced assessment by drawing on trade and investment data while acknowledging these constraints.</w:t>
      </w:r>
      <w:r w:rsidR="0083124C">
        <w:t xml:space="preserve"> </w:t>
      </w:r>
    </w:p>
    <w:p w14:paraId="4FC02A0E" w14:textId="090ABE0E" w:rsidR="0C6C2923" w:rsidRDefault="0C6C2923" w:rsidP="000920EB">
      <w:pPr>
        <w:pStyle w:val="ListParagraph"/>
        <w:numPr>
          <w:ilvl w:val="0"/>
          <w:numId w:val="5"/>
        </w:numPr>
        <w:ind w:left="0" w:firstLine="0"/>
      </w:pPr>
      <w:r>
        <w:t>Trade and investment flows between economies are influenced by a wide range of external factors beyond the scope of any single trade agreement. These include prevailing global and domestic economic conditions, exchange rate fluctuations, changes in supply and demand, and environmental factors such as weather-related impacts and natural disasters. Broader disruptions, such as the COVID-19 pandemic and geopolitical tensions, have also played a role in shaping recent trade and investment trends.</w:t>
      </w:r>
    </w:p>
    <w:p w14:paraId="1C8DC7C7" w14:textId="5B1C3EE6" w:rsidR="0C6C2923" w:rsidRDefault="0C6C2923" w:rsidP="000920EB">
      <w:pPr>
        <w:pStyle w:val="ListParagraph"/>
        <w:numPr>
          <w:ilvl w:val="0"/>
          <w:numId w:val="5"/>
        </w:numPr>
        <w:ind w:left="0" w:firstLine="0"/>
      </w:pPr>
      <w:r>
        <w:t xml:space="preserve">Determining a direct causal relationship between an FTA like CPTPP and specific trade or investment outcomes is inherently complex. While this report examines trade and investment statistics before and after </w:t>
      </w:r>
      <w:r w:rsidR="00B22272">
        <w:t>entry into force</w:t>
      </w:r>
      <w:r>
        <w:t xml:space="preserve">, these data alone do not always reveal the full picture. Trade with CPTPP member </w:t>
      </w:r>
      <w:r w:rsidR="0084313A">
        <w:t>economies</w:t>
      </w:r>
      <w:r>
        <w:t xml:space="preserve">, for instance, does not necessarily imply utilisation of the </w:t>
      </w:r>
      <w:r w:rsidR="00CD770C">
        <w:t>A</w:t>
      </w:r>
      <w:r>
        <w:t xml:space="preserve">greement, as overlapping FTAs may offer more competitive access for specific products. Similarly, comparing Australian and partner-country trade data can be challenging due to differences in valuation methodologies, </w:t>
      </w:r>
      <w:r w:rsidR="00060673">
        <w:t>transhipment</w:t>
      </w:r>
      <w:r>
        <w:t xml:space="preserve"> through third countries, and timing discrepancies in data collection.</w:t>
      </w:r>
    </w:p>
    <w:p w14:paraId="766E7C1A" w14:textId="46890994" w:rsidR="00CD420E" w:rsidRDefault="28BE9751" w:rsidP="000920EB">
      <w:pPr>
        <w:pStyle w:val="ListParagraph"/>
        <w:numPr>
          <w:ilvl w:val="0"/>
          <w:numId w:val="5"/>
        </w:numPr>
        <w:ind w:left="0" w:firstLine="0"/>
      </w:pPr>
      <w:r>
        <w:t xml:space="preserve">The analysis also considers the influence of historical trends on trade and investment outcomes. For example, the significant expansion of Australia’s resource exports in the years preceding CPTPP’s entry into force had a notable impact on overall trade data trends and time-series analysis. Additionally, non-resource trade and investment flows during this period often reflected business strategies aimed at positioning themselves in key markets ahead of the </w:t>
      </w:r>
      <w:r w:rsidR="0097270A">
        <w:t>A</w:t>
      </w:r>
      <w:r>
        <w:t xml:space="preserve">greement’s implementation, </w:t>
      </w:r>
      <w:r>
        <w:lastRenderedPageBreak/>
        <w:t xml:space="preserve">with businesses seeking to capitalise on opportunities as the </w:t>
      </w:r>
      <w:r w:rsidR="0097270A">
        <w:t>A</w:t>
      </w:r>
      <w:r>
        <w:t>greement came into effect.</w:t>
      </w:r>
    </w:p>
    <w:p w14:paraId="66E9B040" w14:textId="7A7F2E80" w:rsidR="00CD420E" w:rsidRPr="00FF41F2" w:rsidRDefault="28BE9751" w:rsidP="000920EB">
      <w:pPr>
        <w:pStyle w:val="ListParagraph"/>
        <w:numPr>
          <w:ilvl w:val="0"/>
          <w:numId w:val="5"/>
        </w:numPr>
        <w:ind w:left="0" w:firstLine="0"/>
      </w:pPr>
      <w:r w:rsidRPr="00FF41F2">
        <w:t>This reliance on statistical analysis introduces certain limitations</w:t>
      </w:r>
      <w:r w:rsidR="005135DB">
        <w:t>, as discussed in paragraphs 6</w:t>
      </w:r>
      <w:r w:rsidR="009D2CFC">
        <w:t>1</w:t>
      </w:r>
      <w:r w:rsidR="005135DB">
        <w:t xml:space="preserve"> and 6</w:t>
      </w:r>
      <w:r w:rsidR="009D2CFC">
        <w:t>2</w:t>
      </w:r>
      <w:r w:rsidRPr="00FF41F2">
        <w:t>. The absence of detailed utilisation data also limits our ability to assess the extent to which businesses have leveraged CPTPP-specific provisions. Some gaps remain in understanding the agreement’s broader economic impacts, such as its influence on productivity, innovation, and longer-term investment flows. These challenges underscore the need to interpret the findings of this review within the broader context of Australia’s overall trade and investment environment.</w:t>
      </w:r>
    </w:p>
    <w:p w14:paraId="738FB436" w14:textId="2FD65BC9" w:rsidR="00CD420E" w:rsidRPr="00FF41F2" w:rsidRDefault="28BE9751" w:rsidP="000920EB">
      <w:pPr>
        <w:pStyle w:val="ListParagraph"/>
        <w:numPr>
          <w:ilvl w:val="0"/>
          <w:numId w:val="5"/>
        </w:numPr>
        <w:ind w:left="0" w:firstLine="0"/>
      </w:pPr>
      <w:r w:rsidRPr="00FF41F2">
        <w:t>In summarising these outcomes, this report seeks to provide a transparent assessment of CPTPP’s impact while acknowledging the methodological and analytical limitations inherent in the approach taken. By highlighting these factors, we aim to ensure a balanced and nuanced understanding of the agreement’s performance to date.</w:t>
      </w:r>
    </w:p>
    <w:p w14:paraId="031FD0BD" w14:textId="546957E5" w:rsidR="006D6F75" w:rsidRDefault="00CB7A17" w:rsidP="00C7287C">
      <w:pPr>
        <w:pStyle w:val="Heading2"/>
      </w:pPr>
      <w:r>
        <w:t xml:space="preserve">Key Outcomes of </w:t>
      </w:r>
      <w:r w:rsidR="00E567F7">
        <w:t>CPTPP</w:t>
      </w:r>
      <w:r w:rsidR="008E0E48">
        <w:t xml:space="preserve"> Negotiations</w:t>
      </w:r>
    </w:p>
    <w:p w14:paraId="179C06A6" w14:textId="15F2A450" w:rsidR="00341B15" w:rsidRPr="00341B15" w:rsidRDefault="007D194F" w:rsidP="00341B15">
      <w:pPr>
        <w:pStyle w:val="ListParagraph"/>
        <w:numPr>
          <w:ilvl w:val="0"/>
          <w:numId w:val="0"/>
        </w:numPr>
        <w:rPr>
          <w:b/>
          <w:bCs/>
          <w:i/>
          <w:iCs/>
        </w:rPr>
      </w:pPr>
      <w:r>
        <w:rPr>
          <w:b/>
          <w:bCs/>
          <w:i/>
          <w:iCs/>
        </w:rPr>
        <w:t>For Australian good</w:t>
      </w:r>
      <w:r w:rsidR="004C247A">
        <w:rPr>
          <w:b/>
          <w:bCs/>
          <w:i/>
          <w:iCs/>
        </w:rPr>
        <w:t>s</w:t>
      </w:r>
      <w:r>
        <w:rPr>
          <w:b/>
          <w:bCs/>
          <w:i/>
          <w:iCs/>
        </w:rPr>
        <w:t xml:space="preserve"> export</w:t>
      </w:r>
      <w:r w:rsidR="004C247A">
        <w:rPr>
          <w:b/>
          <w:bCs/>
          <w:i/>
          <w:iCs/>
        </w:rPr>
        <w:t>er</w:t>
      </w:r>
      <w:r>
        <w:rPr>
          <w:b/>
          <w:bCs/>
          <w:i/>
          <w:iCs/>
        </w:rPr>
        <w:t>s</w:t>
      </w:r>
    </w:p>
    <w:p w14:paraId="7A815255" w14:textId="7365B157" w:rsidR="00C517E9" w:rsidRDefault="00C517E9" w:rsidP="000920EB">
      <w:pPr>
        <w:pStyle w:val="ListParagraph"/>
        <w:numPr>
          <w:ilvl w:val="0"/>
          <w:numId w:val="5"/>
        </w:numPr>
        <w:ind w:left="0" w:firstLine="0"/>
      </w:pPr>
      <w:r w:rsidRPr="00590E2F">
        <w:t xml:space="preserve">On </w:t>
      </w:r>
      <w:r>
        <w:t xml:space="preserve">entry into force of </w:t>
      </w:r>
      <w:r w:rsidR="00E567F7">
        <w:t>CPTPP</w:t>
      </w:r>
      <w:r>
        <w:t xml:space="preserve"> for Australia on 30 December 2018, 98</w:t>
      </w:r>
      <w:r w:rsidR="004033D3">
        <w:t> </w:t>
      </w:r>
      <w:r>
        <w:t>per</w:t>
      </w:r>
      <w:r w:rsidR="004033D3">
        <w:t> </w:t>
      </w:r>
      <w:r>
        <w:t xml:space="preserve">cent of tariffs were eliminated amongst members with an estimated combined GDP of US$12.1 trillion. </w:t>
      </w:r>
    </w:p>
    <w:p w14:paraId="029866AE" w14:textId="3282A301" w:rsidR="00FE5D89" w:rsidRDefault="00E567F7" w:rsidP="000920EB">
      <w:pPr>
        <w:pStyle w:val="ListParagraph"/>
        <w:numPr>
          <w:ilvl w:val="0"/>
          <w:numId w:val="5"/>
        </w:numPr>
        <w:ind w:left="0" w:firstLine="0"/>
      </w:pPr>
      <w:r>
        <w:t>CPTPP</w:t>
      </w:r>
      <w:r w:rsidR="00FE5D89">
        <w:t xml:space="preserve"> delivered immediate and enhanced tariff reductions across key markets in the Americas and Asia for Australian agricultural and food exports including for wine, beef, dairy, horticulture, seafood, grains</w:t>
      </w:r>
      <w:r w:rsidR="006E4257">
        <w:t>,</w:t>
      </w:r>
      <w:r w:rsidR="00FE5D89">
        <w:t xml:space="preserve"> and sugar. </w:t>
      </w:r>
    </w:p>
    <w:p w14:paraId="73CFB67A" w14:textId="77A6BEFA" w:rsidR="00FE5D89" w:rsidRDefault="00FE5D89" w:rsidP="000920EB">
      <w:pPr>
        <w:pStyle w:val="ListParagraph"/>
        <w:numPr>
          <w:ilvl w:val="0"/>
          <w:numId w:val="5"/>
        </w:numPr>
        <w:ind w:left="0" w:firstLine="0"/>
      </w:pPr>
      <w:r>
        <w:t xml:space="preserve">It has also delivered new market access </w:t>
      </w:r>
      <w:r w:rsidR="00CC7774">
        <w:t>in</w:t>
      </w:r>
      <w:r w:rsidR="00B61628">
        <w:t>to</w:t>
      </w:r>
      <w:r>
        <w:t xml:space="preserve"> Mexico – Australia’s first FTA with </w:t>
      </w:r>
      <w:r w:rsidR="000013FA">
        <w:t>this G20 economy</w:t>
      </w:r>
      <w:r>
        <w:t xml:space="preserve"> – and</w:t>
      </w:r>
      <w:r w:rsidR="000013FA">
        <w:t xml:space="preserve"> significantly</w:t>
      </w:r>
      <w:r>
        <w:t xml:space="preserve"> buil</w:t>
      </w:r>
      <w:r w:rsidR="00282B3D">
        <w:t xml:space="preserve">t </w:t>
      </w:r>
      <w:r>
        <w:t>on Australia’s existing bilateral FTA</w:t>
      </w:r>
      <w:r w:rsidR="000013FA">
        <w:t xml:space="preserve"> with Canada</w:t>
      </w:r>
      <w:r>
        <w:t>.</w:t>
      </w:r>
    </w:p>
    <w:p w14:paraId="2B8551A8" w14:textId="126A8362" w:rsidR="00333E97" w:rsidRDefault="00C5525D" w:rsidP="008A024A">
      <w:pPr>
        <w:pStyle w:val="ListParagraph"/>
        <w:numPr>
          <w:ilvl w:val="0"/>
          <w:numId w:val="5"/>
        </w:numPr>
        <w:ind w:left="0" w:firstLine="0"/>
      </w:pPr>
      <w:r>
        <w:t>T</w:t>
      </w:r>
      <w:r w:rsidR="003B1D55">
        <w:t xml:space="preserve">he elimination and reduction of tariffs and </w:t>
      </w:r>
      <w:r w:rsidR="003B1D55" w:rsidRPr="001C101E">
        <w:t xml:space="preserve">creation of new quota access into Japan </w:t>
      </w:r>
      <w:proofErr w:type="gramStart"/>
      <w:r w:rsidR="00C214A6" w:rsidRPr="001C101E">
        <w:t>opened up</w:t>
      </w:r>
      <w:proofErr w:type="gramEnd"/>
      <w:r w:rsidR="003B1D55" w:rsidRPr="001C101E">
        <w:t xml:space="preserve"> opportunities </w:t>
      </w:r>
      <w:r w:rsidR="009A0BA8">
        <w:t>for Australian agricultural exports</w:t>
      </w:r>
      <w:r w:rsidR="009A0BA8" w:rsidRPr="001C101E">
        <w:t xml:space="preserve"> </w:t>
      </w:r>
      <w:r w:rsidR="003B1D55" w:rsidRPr="001C101E">
        <w:t xml:space="preserve">in an export market worth over </w:t>
      </w:r>
      <w:r w:rsidR="00A422D3">
        <w:t>$</w:t>
      </w:r>
      <w:r w:rsidR="009E179B">
        <w:t>5</w:t>
      </w:r>
      <w:r w:rsidR="003B1D55" w:rsidRPr="001C101E">
        <w:t>.</w:t>
      </w:r>
      <w:r w:rsidR="009E179B">
        <w:t>4</w:t>
      </w:r>
      <w:r w:rsidR="003B1D55" w:rsidRPr="001C101E">
        <w:t xml:space="preserve"> billion</w:t>
      </w:r>
      <w:r w:rsidR="009E179B" w:rsidRPr="008A024A">
        <w:footnoteReference w:id="24"/>
      </w:r>
      <w:r w:rsidR="001C6E98" w:rsidRPr="001C101E">
        <w:t xml:space="preserve"> in 2017</w:t>
      </w:r>
      <w:r w:rsidR="003B1D55">
        <w:t xml:space="preserve"> </w:t>
      </w:r>
      <w:r w:rsidR="001C101E">
        <w:t xml:space="preserve">(worth </w:t>
      </w:r>
      <w:r w:rsidR="00A422D3">
        <w:t>$</w:t>
      </w:r>
      <w:r w:rsidR="001C101E">
        <w:t>6.8 billion in 2023)</w:t>
      </w:r>
      <w:r w:rsidR="00B266EB">
        <w:t>, including by</w:t>
      </w:r>
      <w:r w:rsidR="00333E97">
        <w:t>:</w:t>
      </w:r>
    </w:p>
    <w:p w14:paraId="7DDF7C24" w14:textId="489B5465" w:rsidR="003E72EC" w:rsidRDefault="00B266EB" w:rsidP="000920EB">
      <w:pPr>
        <w:pStyle w:val="ListParagraph"/>
        <w:numPr>
          <w:ilvl w:val="0"/>
          <w:numId w:val="7"/>
        </w:numPr>
        <w:ind w:left="567" w:hanging="567"/>
      </w:pPr>
      <w:r>
        <w:t xml:space="preserve">A </w:t>
      </w:r>
      <w:r w:rsidR="003E72EC">
        <w:t xml:space="preserve">reduction in Japan’s beef tariffs to 9 per cent within 15 years of entry into force (compared to JAEPA’s 23.5 per cent for fresh or chilled carcasses and half-carcasses) and the elimination of tariffs and creation of new quotas for dairy products. </w:t>
      </w:r>
    </w:p>
    <w:p w14:paraId="7697A485" w14:textId="78BA0303" w:rsidR="00923519" w:rsidRDefault="00B266EB" w:rsidP="000920EB">
      <w:pPr>
        <w:pStyle w:val="ListParagraph"/>
        <w:numPr>
          <w:ilvl w:val="0"/>
          <w:numId w:val="7"/>
        </w:numPr>
        <w:ind w:left="567" w:hanging="567"/>
      </w:pPr>
      <w:r>
        <w:t>N</w:t>
      </w:r>
      <w:r w:rsidR="003B1D55">
        <w:t>ew quota access for wheat, barley, malt and rice and a reduction in the levy on high polarity sugar.</w:t>
      </w:r>
    </w:p>
    <w:p w14:paraId="01CF79B2" w14:textId="12F4EEFA" w:rsidR="00365C9F" w:rsidRDefault="0086192E" w:rsidP="000920EB">
      <w:pPr>
        <w:pStyle w:val="ListParagraph"/>
        <w:numPr>
          <w:ilvl w:val="0"/>
          <w:numId w:val="5"/>
        </w:numPr>
        <w:ind w:left="0" w:firstLine="0"/>
      </w:pPr>
      <w:r>
        <w:lastRenderedPageBreak/>
        <w:t xml:space="preserve">CPTPP </w:t>
      </w:r>
      <w:r w:rsidR="003F3771">
        <w:t xml:space="preserve">tariff </w:t>
      </w:r>
      <w:r w:rsidR="003D617E">
        <w:t>elimi</w:t>
      </w:r>
      <w:r w:rsidR="00290D35">
        <w:t>nations create</w:t>
      </w:r>
      <w:r w:rsidR="001439EA">
        <w:t>d</w:t>
      </w:r>
      <w:r w:rsidR="008D1209">
        <w:t xml:space="preserve"> new</w:t>
      </w:r>
      <w:r w:rsidR="003F3771">
        <w:t xml:space="preserve"> </w:t>
      </w:r>
      <w:r w:rsidR="00D95397">
        <w:t>export</w:t>
      </w:r>
      <w:r w:rsidR="00475D9E">
        <w:t xml:space="preserve"> opportunities</w:t>
      </w:r>
      <w:r w:rsidR="003F3771">
        <w:t xml:space="preserve"> </w:t>
      </w:r>
      <w:r w:rsidR="00B71C38">
        <w:t>in</w:t>
      </w:r>
      <w:r w:rsidR="001439EA">
        <w:t>to</w:t>
      </w:r>
      <w:r w:rsidR="00290D35">
        <w:t xml:space="preserve"> </w:t>
      </w:r>
      <w:r w:rsidR="003F3771">
        <w:t xml:space="preserve">Canada </w:t>
      </w:r>
      <w:r w:rsidR="00475D9E">
        <w:t>and Mexico</w:t>
      </w:r>
      <w:r w:rsidR="00F62158" w:rsidRPr="00F62158">
        <w:t xml:space="preserve"> </w:t>
      </w:r>
      <w:r w:rsidR="00B266EB">
        <w:t xml:space="preserve">for </w:t>
      </w:r>
      <w:r w:rsidR="00F62158" w:rsidRPr="00F62158">
        <w:t xml:space="preserve">beef, </w:t>
      </w:r>
      <w:proofErr w:type="spellStart"/>
      <w:r w:rsidR="00F62158" w:rsidRPr="00F62158">
        <w:t>sheepmeat</w:t>
      </w:r>
      <w:proofErr w:type="spellEnd"/>
      <w:r w:rsidR="00F62158" w:rsidRPr="00F62158">
        <w:t xml:space="preserve">, wine, pharmaceuticals, and dairy products. In total, the new opportunities in these export markets </w:t>
      </w:r>
      <w:r w:rsidR="007E4550">
        <w:t>w</w:t>
      </w:r>
      <w:r w:rsidR="00603EE8">
        <w:t>ere</w:t>
      </w:r>
      <w:r w:rsidR="00F62158" w:rsidRPr="00F62158">
        <w:t xml:space="preserve"> estimated at over $2 billion in 2016-17</w:t>
      </w:r>
      <w:r w:rsidR="004B20EB" w:rsidRPr="002871B3">
        <w:rPr>
          <w:vertAlign w:val="superscript"/>
        </w:rPr>
        <w:footnoteReference w:id="25"/>
      </w:r>
      <w:r w:rsidR="00C761BC">
        <w:t>:</w:t>
      </w:r>
    </w:p>
    <w:p w14:paraId="3071E5FE" w14:textId="03FDE73C" w:rsidR="005E1663" w:rsidRDefault="009732B7" w:rsidP="000920EB">
      <w:pPr>
        <w:pStyle w:val="ListParagraph"/>
        <w:numPr>
          <w:ilvl w:val="0"/>
          <w:numId w:val="7"/>
        </w:numPr>
        <w:ind w:left="567" w:hanging="567"/>
      </w:pPr>
      <w:bookmarkStart w:id="10" w:name="_Hlk187763577"/>
      <w:r>
        <w:t xml:space="preserve">In 2017, </w:t>
      </w:r>
      <w:bookmarkEnd w:id="10"/>
      <w:r w:rsidR="005E5890">
        <w:t>opportunities available to Australian exporters into Canada and Mexico included beef (worth over $126 million</w:t>
      </w:r>
      <w:r w:rsidR="008A151F">
        <w:t xml:space="preserve"> in 2017</w:t>
      </w:r>
      <w:r w:rsidR="005E5890">
        <w:t>; Australian beef can now enter Canada tariff-free with the e</w:t>
      </w:r>
      <w:r w:rsidR="005E5890" w:rsidRPr="00295687">
        <w:t xml:space="preserve">limination of Canadian beef </w:t>
      </w:r>
      <w:r w:rsidR="005E5890">
        <w:t xml:space="preserve">out-of-quota </w:t>
      </w:r>
      <w:r w:rsidR="005E5890" w:rsidRPr="00295687">
        <w:t xml:space="preserve">tariffs </w:t>
      </w:r>
      <w:r w:rsidR="005E5890">
        <w:t xml:space="preserve">in 2023), </w:t>
      </w:r>
      <w:proofErr w:type="spellStart"/>
      <w:r w:rsidR="005E5890">
        <w:t>sheepmeat</w:t>
      </w:r>
      <w:proofErr w:type="spellEnd"/>
      <w:r w:rsidR="005E5890">
        <w:t xml:space="preserve"> ($96 million in exports), wine ($188 million), and pharmaceuticals ($28 million</w:t>
      </w:r>
      <w:r w:rsidR="00DB3362">
        <w:t>).</w:t>
      </w:r>
    </w:p>
    <w:p w14:paraId="4DC36B51" w14:textId="54286C50" w:rsidR="00E10CC5" w:rsidRDefault="00EB617A" w:rsidP="000920EB">
      <w:pPr>
        <w:pStyle w:val="ListParagraph"/>
        <w:numPr>
          <w:ilvl w:val="0"/>
          <w:numId w:val="7"/>
        </w:numPr>
        <w:ind w:left="567" w:hanging="567"/>
      </w:pPr>
      <w:r>
        <w:t>F</w:t>
      </w:r>
      <w:r w:rsidR="000147EB">
        <w:t xml:space="preserve">or the first time, Australia also </w:t>
      </w:r>
      <w:r w:rsidR="00EC78C5">
        <w:t xml:space="preserve">gained </w:t>
      </w:r>
      <w:r w:rsidR="000147EB">
        <w:t xml:space="preserve">genuine new access into </w:t>
      </w:r>
      <w:r w:rsidR="00742D0B">
        <w:t>Canada’s</w:t>
      </w:r>
      <w:r w:rsidR="000147EB">
        <w:t xml:space="preserve"> dairy market, with Canada offering over 100,000 tonnes of access for dairy products per year to </w:t>
      </w:r>
      <w:r w:rsidR="008C0AE9">
        <w:t>CPTPP</w:t>
      </w:r>
      <w:r w:rsidR="000147EB">
        <w:t xml:space="preserve"> </w:t>
      </w:r>
      <w:r w:rsidR="008C0AE9">
        <w:t>economies.</w:t>
      </w:r>
      <w:r w:rsidR="00ED43D4">
        <w:t xml:space="preserve"> </w:t>
      </w:r>
    </w:p>
    <w:p w14:paraId="5CF8E807" w14:textId="3A5718D8" w:rsidR="00E10CC5" w:rsidRPr="00C07CA5" w:rsidRDefault="00E10CC5" w:rsidP="000920EB">
      <w:pPr>
        <w:pStyle w:val="ListParagraph"/>
        <w:numPr>
          <w:ilvl w:val="0"/>
          <w:numId w:val="7"/>
        </w:numPr>
        <w:ind w:left="567" w:hanging="567"/>
      </w:pPr>
      <w:r>
        <w:t>The e</w:t>
      </w:r>
      <w:r w:rsidRPr="00C07CA5">
        <w:t xml:space="preserve">limination of Mexico’s tariffs on barley (115 per cent prior </w:t>
      </w:r>
      <w:r w:rsidR="00E45B6F">
        <w:t xml:space="preserve">to </w:t>
      </w:r>
      <w:r w:rsidR="00E567F7">
        <w:t>CPTPP</w:t>
      </w:r>
      <w:r w:rsidRPr="00C07CA5">
        <w:t xml:space="preserve"> </w:t>
      </w:r>
      <w:r w:rsidR="00E45B6F">
        <w:t>entry</w:t>
      </w:r>
      <w:r w:rsidR="00E45B6F" w:rsidRPr="00C07CA5">
        <w:t xml:space="preserve"> </w:t>
      </w:r>
      <w:r w:rsidRPr="00C07CA5">
        <w:t>into force)</w:t>
      </w:r>
      <w:r>
        <w:t xml:space="preserve"> </w:t>
      </w:r>
      <w:r w:rsidR="004F1301">
        <w:t xml:space="preserve">became </w:t>
      </w:r>
      <w:r w:rsidRPr="00C07CA5">
        <w:t>vital for Australian barley exporters seeking to diversify</w:t>
      </w:r>
      <w:r w:rsidR="00976B21">
        <w:t xml:space="preserve"> their</w:t>
      </w:r>
      <w:r w:rsidRPr="00C07CA5">
        <w:t xml:space="preserve"> markets</w:t>
      </w:r>
      <w:r w:rsidR="004F1301">
        <w:t xml:space="preserve"> once</w:t>
      </w:r>
      <w:r w:rsidRPr="00C07CA5">
        <w:t xml:space="preserve"> Australian barley exports to Mexico commenced in 2019</w:t>
      </w:r>
      <w:r w:rsidR="008E078E">
        <w:t>.</w:t>
      </w:r>
      <w:r w:rsidRPr="00C07CA5">
        <w:t xml:space="preserve"> </w:t>
      </w:r>
      <w:r w:rsidR="008E078E">
        <w:t xml:space="preserve">By </w:t>
      </w:r>
      <w:r w:rsidRPr="00C07CA5">
        <w:t xml:space="preserve">2023, the value of Australian barley exports to Mexico </w:t>
      </w:r>
      <w:r w:rsidR="00133205">
        <w:t>had risen to</w:t>
      </w:r>
      <w:r w:rsidR="00133205" w:rsidRPr="00C07CA5">
        <w:t xml:space="preserve"> </w:t>
      </w:r>
      <w:r w:rsidR="00A422D3">
        <w:t>$</w:t>
      </w:r>
      <w:r w:rsidRPr="00C07CA5">
        <w:t xml:space="preserve">213.2 million </w:t>
      </w:r>
      <w:r w:rsidR="00A85770">
        <w:t>(</w:t>
      </w:r>
      <w:r w:rsidRPr="00C07CA5">
        <w:t>an increase of 44 per cent from 2022</w:t>
      </w:r>
      <w:r w:rsidR="00A85770">
        <w:t>)</w:t>
      </w:r>
      <w:r w:rsidRPr="00C07CA5">
        <w:t xml:space="preserve">. </w:t>
      </w:r>
    </w:p>
    <w:p w14:paraId="53EA3A12" w14:textId="567597D3" w:rsidR="00E10CC5" w:rsidRPr="00C07CA5" w:rsidRDefault="00E10CC5" w:rsidP="000920EB">
      <w:pPr>
        <w:pStyle w:val="ListParagraph"/>
        <w:numPr>
          <w:ilvl w:val="0"/>
          <w:numId w:val="7"/>
        </w:numPr>
        <w:ind w:left="567" w:hanging="567"/>
      </w:pPr>
      <w:r w:rsidRPr="00C07CA5">
        <w:t>In 2022</w:t>
      </w:r>
      <w:r>
        <w:t>,</w:t>
      </w:r>
      <w:r w:rsidRPr="00C07CA5">
        <w:t xml:space="preserve"> Australia made its first shipment of </w:t>
      </w:r>
      <w:r w:rsidR="00D321C4">
        <w:t xml:space="preserve">tariff-free </w:t>
      </w:r>
      <w:r w:rsidRPr="00C07CA5">
        <w:t xml:space="preserve">oats to Mexico (down from 10 per cent) under </w:t>
      </w:r>
      <w:r w:rsidR="00E567F7">
        <w:t>CPTPP</w:t>
      </w:r>
      <w:r w:rsidRPr="00C07CA5">
        <w:t xml:space="preserve">. In 2023, exports were worth </w:t>
      </w:r>
      <w:r w:rsidR="00A422D3">
        <w:t>$</w:t>
      </w:r>
      <w:r w:rsidRPr="00C07CA5">
        <w:t>37.4 million.</w:t>
      </w:r>
    </w:p>
    <w:p w14:paraId="5BC2A319" w14:textId="0895D45D" w:rsidR="00E10CC5" w:rsidRDefault="00E10CC5" w:rsidP="000920EB">
      <w:pPr>
        <w:pStyle w:val="ListParagraph"/>
        <w:numPr>
          <w:ilvl w:val="0"/>
          <w:numId w:val="7"/>
        </w:numPr>
        <w:ind w:left="567" w:hanging="567"/>
      </w:pPr>
      <w:r>
        <w:t xml:space="preserve">In 2025, Mexico’s </w:t>
      </w:r>
      <w:proofErr w:type="spellStart"/>
      <w:r>
        <w:t>s</w:t>
      </w:r>
      <w:r w:rsidRPr="00A970DD">
        <w:t>heepmeat</w:t>
      </w:r>
      <w:proofErr w:type="spellEnd"/>
      <w:r w:rsidRPr="00A970DD">
        <w:t xml:space="preserve"> tariffs </w:t>
      </w:r>
      <w:r>
        <w:t>were eliminated</w:t>
      </w:r>
      <w:r w:rsidRPr="00A970DD">
        <w:t xml:space="preserve"> </w:t>
      </w:r>
      <w:r>
        <w:t xml:space="preserve">(previously </w:t>
      </w:r>
      <w:r w:rsidRPr="00A970DD">
        <w:t>10 per</w:t>
      </w:r>
      <w:r>
        <w:t xml:space="preserve"> </w:t>
      </w:r>
      <w:r w:rsidRPr="00A970DD">
        <w:t>cent prior to entry into force</w:t>
      </w:r>
      <w:r>
        <w:t>)</w:t>
      </w:r>
      <w:r w:rsidRPr="00A970DD">
        <w:t xml:space="preserve">. </w:t>
      </w:r>
      <w:r w:rsidR="00F7173A">
        <w:t>There continues to be potential for growth with</w:t>
      </w:r>
      <w:r w:rsidRPr="00A970DD">
        <w:t xml:space="preserve"> </w:t>
      </w:r>
      <w:proofErr w:type="spellStart"/>
      <w:r w:rsidRPr="00A970DD">
        <w:t>sheepmeat</w:t>
      </w:r>
      <w:proofErr w:type="spellEnd"/>
      <w:r w:rsidR="00F7173A">
        <w:t xml:space="preserve"> exports</w:t>
      </w:r>
      <w:r w:rsidRPr="00A970DD">
        <w:t xml:space="preserve"> to Mexico valued at </w:t>
      </w:r>
      <w:r w:rsidR="00A422D3">
        <w:t>$</w:t>
      </w:r>
      <w:r w:rsidRPr="00A970DD">
        <w:t>1</w:t>
      </w:r>
      <w:r>
        <w:t>9.2</w:t>
      </w:r>
      <w:r w:rsidRPr="00A970DD">
        <w:t xml:space="preserve"> million</w:t>
      </w:r>
      <w:r>
        <w:t xml:space="preserve"> in 2023</w:t>
      </w:r>
      <w:r w:rsidRPr="00A970DD">
        <w:t xml:space="preserve">, </w:t>
      </w:r>
      <w:r>
        <w:t>57</w:t>
      </w:r>
      <w:r w:rsidR="00EB6710">
        <w:t xml:space="preserve"> per cent </w:t>
      </w:r>
      <w:r w:rsidRPr="00A970DD">
        <w:t>higher than 2022 levels.</w:t>
      </w:r>
    </w:p>
    <w:p w14:paraId="54F7D8C3" w14:textId="3B46FFDA" w:rsidR="00E10CC5" w:rsidRDefault="00E10CC5" w:rsidP="000920EB">
      <w:pPr>
        <w:pStyle w:val="ListParagraph"/>
        <w:numPr>
          <w:ilvl w:val="0"/>
          <w:numId w:val="7"/>
        </w:numPr>
        <w:ind w:left="567" w:hanging="567"/>
      </w:pPr>
      <w:r w:rsidRPr="005847C7">
        <w:t>Australian beef exports to Mexico also</w:t>
      </w:r>
      <w:r w:rsidR="006356AD">
        <w:t xml:space="preserve"> continued to</w:t>
      </w:r>
      <w:r w:rsidRPr="005847C7">
        <w:t xml:space="preserve"> increas</w:t>
      </w:r>
      <w:r w:rsidR="006356AD">
        <w:t>e</w:t>
      </w:r>
      <w:r w:rsidRPr="005847C7">
        <w:t xml:space="preserve"> as tariffs under </w:t>
      </w:r>
      <w:r w:rsidR="00E567F7">
        <w:t>CPTPP</w:t>
      </w:r>
      <w:r w:rsidRPr="005847C7">
        <w:t xml:space="preserve"> continue to fall. </w:t>
      </w:r>
      <w:r w:rsidR="00E911C8">
        <w:t>From</w:t>
      </w:r>
      <w:r w:rsidR="00E911C8" w:rsidRPr="00F703DD">
        <w:t xml:space="preserve"> 202</w:t>
      </w:r>
      <w:r w:rsidR="00E911C8">
        <w:t xml:space="preserve">5, </w:t>
      </w:r>
      <w:r w:rsidRPr="00F703DD">
        <w:t xml:space="preserve">Mexico’s tariffs on fresh/chilled and frozen beef fell to </w:t>
      </w:r>
      <w:r>
        <w:t>4</w:t>
      </w:r>
      <w:r w:rsidR="00176779">
        <w:t xml:space="preserve"> per cent</w:t>
      </w:r>
      <w:r w:rsidRPr="00F703DD">
        <w:t xml:space="preserve"> and </w:t>
      </w:r>
      <w:r>
        <w:t>5</w:t>
      </w:r>
      <w:r w:rsidR="00176779">
        <w:t xml:space="preserve"> per cent </w:t>
      </w:r>
      <w:r w:rsidRPr="00F703DD">
        <w:t xml:space="preserve">respectively, down from </w:t>
      </w:r>
      <w:r>
        <w:t>2</w:t>
      </w:r>
      <w:r w:rsidRPr="00F703DD">
        <w:t>0</w:t>
      </w:r>
      <w:r w:rsidR="00176779">
        <w:t xml:space="preserve"> per cent</w:t>
      </w:r>
      <w:r w:rsidRPr="00F703DD">
        <w:t xml:space="preserve"> and 25</w:t>
      </w:r>
      <w:r w:rsidR="00176779">
        <w:t xml:space="preserve"> per cent</w:t>
      </w:r>
      <w:r w:rsidRPr="00F703DD">
        <w:t xml:space="preserve"> </w:t>
      </w:r>
      <w:r>
        <w:t>pre-CPTPP</w:t>
      </w:r>
      <w:r w:rsidRPr="00F703DD">
        <w:t xml:space="preserve">. Exports of beef to Mexico were valued at </w:t>
      </w:r>
      <w:r w:rsidR="00A422D3">
        <w:t>$</w:t>
      </w:r>
      <w:r w:rsidRPr="00F703DD">
        <w:t>15.5 million in 2023, an 87 per cent increase from 2022.</w:t>
      </w:r>
    </w:p>
    <w:p w14:paraId="13EB72A4" w14:textId="632F67C0" w:rsidR="000147EB" w:rsidRDefault="00E10CC5" w:rsidP="000920EB">
      <w:pPr>
        <w:pStyle w:val="ListParagraph"/>
        <w:numPr>
          <w:ilvl w:val="0"/>
          <w:numId w:val="7"/>
        </w:numPr>
        <w:ind w:left="567" w:hanging="567"/>
      </w:pPr>
      <w:r w:rsidRPr="00DE17D9">
        <w:t>The value of</w:t>
      </w:r>
      <w:r>
        <w:t xml:space="preserve"> Australian</w:t>
      </w:r>
      <w:r w:rsidRPr="00DE17D9">
        <w:t xml:space="preserve"> wine exports to Mexico</w:t>
      </w:r>
      <w:r>
        <w:t xml:space="preserve"> has</w:t>
      </w:r>
      <w:r w:rsidR="00176779">
        <w:t xml:space="preserve"> also</w:t>
      </w:r>
      <w:r>
        <w:t xml:space="preserve"> steadily</w:t>
      </w:r>
      <w:r w:rsidRPr="00DE17D9">
        <w:t xml:space="preserve"> increased from </w:t>
      </w:r>
      <w:r w:rsidR="00A422D3">
        <w:t>$</w:t>
      </w:r>
      <w:r>
        <w:t>0.8</w:t>
      </w:r>
      <w:r w:rsidR="00EE7109">
        <w:t xml:space="preserve"> </w:t>
      </w:r>
      <w:r>
        <w:t>m</w:t>
      </w:r>
      <w:r w:rsidR="00EE7109">
        <w:t>illion</w:t>
      </w:r>
      <w:r w:rsidRPr="00DE17D9">
        <w:t xml:space="preserve"> </w:t>
      </w:r>
      <w:r>
        <w:t xml:space="preserve">in 2017 </w:t>
      </w:r>
      <w:r w:rsidRPr="00DE17D9">
        <w:t xml:space="preserve">to </w:t>
      </w:r>
      <w:r w:rsidR="00A422D3">
        <w:t>$</w:t>
      </w:r>
      <w:r>
        <w:t>2.2</w:t>
      </w:r>
      <w:r w:rsidR="00EE7109">
        <w:t xml:space="preserve"> </w:t>
      </w:r>
      <w:r>
        <w:t>m</w:t>
      </w:r>
      <w:r w:rsidR="00EE7109">
        <w:t>illion</w:t>
      </w:r>
      <w:r w:rsidRPr="00DE17D9">
        <w:t xml:space="preserve"> in 20</w:t>
      </w:r>
      <w:r>
        <w:t>23</w:t>
      </w:r>
      <w:r w:rsidRPr="00DE17D9">
        <w:t xml:space="preserve">, </w:t>
      </w:r>
      <w:r>
        <w:t xml:space="preserve">off the back of </w:t>
      </w:r>
      <w:r w:rsidR="001A79DA">
        <w:t xml:space="preserve">the </w:t>
      </w:r>
      <w:r>
        <w:t>complete elimination of tariffs for high value wines on 1 January 2020.</w:t>
      </w:r>
    </w:p>
    <w:p w14:paraId="2AD8041D" w14:textId="7D739725" w:rsidR="005E4FB2" w:rsidRDefault="000D0D8C" w:rsidP="000920EB">
      <w:pPr>
        <w:pStyle w:val="ListParagraph"/>
        <w:numPr>
          <w:ilvl w:val="0"/>
          <w:numId w:val="5"/>
        </w:numPr>
        <w:ind w:left="0" w:firstLine="0"/>
      </w:pPr>
      <w:r>
        <w:t>The elimination of tariffs on</w:t>
      </w:r>
      <w:r w:rsidR="006D6052">
        <w:t xml:space="preserve"> Australian</w:t>
      </w:r>
      <w:r>
        <w:t xml:space="preserve"> wine and alcoholic beverages into Malaysia and Vietnam provided export opportunities for our highly competitive wine industry. </w:t>
      </w:r>
      <w:r w:rsidR="00782C97">
        <w:t>Likewise, t</w:t>
      </w:r>
      <w:r>
        <w:t>ariff elimination on iron and steel products into Vietnam provided new opportunities</w:t>
      </w:r>
      <w:r w:rsidR="00BA721D">
        <w:t xml:space="preserve">, with </w:t>
      </w:r>
      <w:r>
        <w:t>Australia export</w:t>
      </w:r>
      <w:r w:rsidR="00BA721D">
        <w:t xml:space="preserve">ing </w:t>
      </w:r>
      <w:r>
        <w:t xml:space="preserve">over </w:t>
      </w:r>
      <w:r w:rsidR="00A422D3">
        <w:t>$</w:t>
      </w:r>
      <w:r>
        <w:t>224</w:t>
      </w:r>
      <w:r w:rsidR="00BA721D">
        <w:t> </w:t>
      </w:r>
      <w:r>
        <w:t>million of iron and steel products to Vietnam in 2017</w:t>
      </w:r>
      <w:r w:rsidR="00033685">
        <w:t>.</w:t>
      </w:r>
    </w:p>
    <w:p w14:paraId="47B370E0" w14:textId="6A346457" w:rsidR="00BC5E4F" w:rsidRDefault="00033685" w:rsidP="000920EB">
      <w:pPr>
        <w:pStyle w:val="ListParagraph"/>
        <w:numPr>
          <w:ilvl w:val="0"/>
          <w:numId w:val="5"/>
        </w:numPr>
        <w:ind w:left="0" w:firstLine="0"/>
      </w:pPr>
      <w:r>
        <w:lastRenderedPageBreak/>
        <w:t xml:space="preserve">The </w:t>
      </w:r>
      <w:r w:rsidR="00F4388F">
        <w:t>geographic locality</w:t>
      </w:r>
      <w:r w:rsidR="00C013EA">
        <w:t xml:space="preserve"> </w:t>
      </w:r>
      <w:r w:rsidR="00F466D3">
        <w:t xml:space="preserve">and the broad range of </w:t>
      </w:r>
      <w:r w:rsidR="002B1817">
        <w:t xml:space="preserve">capabilities </w:t>
      </w:r>
      <w:r w:rsidR="00F4388F">
        <w:t xml:space="preserve">of </w:t>
      </w:r>
      <w:r w:rsidR="00F02186">
        <w:t xml:space="preserve">CPTPP </w:t>
      </w:r>
      <w:r w:rsidR="00F4388F">
        <w:t>members</w:t>
      </w:r>
      <w:r w:rsidR="00F02186" w:rsidDel="00F4388F">
        <w:t xml:space="preserve"> </w:t>
      </w:r>
      <w:r>
        <w:t xml:space="preserve">also provided new opportunities for Australian exporters to participate in regional supply chains. Under the rules of origin of the </w:t>
      </w:r>
      <w:r w:rsidR="00F4388F">
        <w:t>A</w:t>
      </w:r>
      <w:r>
        <w:t>greement, production in any one of</w:t>
      </w:r>
      <w:r w:rsidR="00F7468E">
        <w:t xml:space="preserve"> the</w:t>
      </w:r>
      <w:r>
        <w:t xml:space="preserve"> </w:t>
      </w:r>
      <w:r w:rsidR="00E567F7">
        <w:t>CPTPP</w:t>
      </w:r>
      <w:r w:rsidR="00F4388F">
        <w:t xml:space="preserve"> economies</w:t>
      </w:r>
      <w:r>
        <w:t xml:space="preserve"> </w:t>
      </w:r>
      <w:r w:rsidR="00A24DCB">
        <w:t xml:space="preserve">counts </w:t>
      </w:r>
      <w:r>
        <w:t xml:space="preserve">towards a good’s originating status. </w:t>
      </w:r>
    </w:p>
    <w:p w14:paraId="7B3537D7" w14:textId="1CBBB291" w:rsidR="00175CDB" w:rsidRPr="00AD7D9E" w:rsidRDefault="00175CDB" w:rsidP="00AD7D9E">
      <w:pPr>
        <w:pStyle w:val="ListParagraph"/>
        <w:numPr>
          <w:ilvl w:val="0"/>
          <w:numId w:val="0"/>
        </w:numPr>
        <w:rPr>
          <w:b/>
          <w:bCs/>
          <w:i/>
          <w:iCs/>
        </w:rPr>
      </w:pPr>
      <w:r w:rsidRPr="00AD7D9E">
        <w:rPr>
          <w:b/>
          <w:bCs/>
          <w:i/>
          <w:iCs/>
        </w:rPr>
        <w:t>For Australian services suppliers</w:t>
      </w:r>
    </w:p>
    <w:p w14:paraId="6F311080" w14:textId="1327CAE3" w:rsidR="00175CDB" w:rsidRDefault="00E567F7" w:rsidP="000920EB">
      <w:pPr>
        <w:pStyle w:val="ListParagraph"/>
        <w:numPr>
          <w:ilvl w:val="0"/>
          <w:numId w:val="5"/>
        </w:numPr>
        <w:ind w:left="0" w:firstLine="0"/>
      </w:pPr>
      <w:r>
        <w:t>CPTPP</w:t>
      </w:r>
      <w:r w:rsidR="00854BF3">
        <w:t xml:space="preserve"> </w:t>
      </w:r>
      <w:r w:rsidR="00AB78AE">
        <w:t>contribute</w:t>
      </w:r>
      <w:r w:rsidR="00CC58E1">
        <w:t>d</w:t>
      </w:r>
      <w:r w:rsidR="00AB78AE">
        <w:t xml:space="preserve"> to the growth and diversification of Australian exports of services by liberalising barriers and providing more transparent and predictable operating conditions in </w:t>
      </w:r>
      <w:r w:rsidR="00AB4913">
        <w:t>CPTPP economies</w:t>
      </w:r>
      <w:r w:rsidR="00AB78AE">
        <w:t xml:space="preserve">. </w:t>
      </w:r>
    </w:p>
    <w:p w14:paraId="25A5E069" w14:textId="77777777" w:rsidR="005205DA" w:rsidRPr="00E966B1" w:rsidRDefault="005205DA" w:rsidP="00E966B1">
      <w:pPr>
        <w:pStyle w:val="ListParagraph"/>
        <w:numPr>
          <w:ilvl w:val="0"/>
          <w:numId w:val="0"/>
        </w:numPr>
        <w:rPr>
          <w:b/>
          <w:bCs/>
          <w:i/>
          <w:iCs/>
        </w:rPr>
      </w:pPr>
      <w:r w:rsidRPr="00E966B1">
        <w:rPr>
          <w:b/>
          <w:bCs/>
          <w:i/>
          <w:iCs/>
        </w:rPr>
        <w:t xml:space="preserve">For investors </w:t>
      </w:r>
    </w:p>
    <w:p w14:paraId="29F53791" w14:textId="6DD27130" w:rsidR="00386EE2" w:rsidRDefault="006F4140" w:rsidP="000920EB">
      <w:pPr>
        <w:pStyle w:val="ListParagraph"/>
        <w:numPr>
          <w:ilvl w:val="0"/>
          <w:numId w:val="5"/>
        </w:numPr>
        <w:ind w:left="0" w:firstLine="0"/>
      </w:pPr>
      <w:bookmarkStart w:id="11" w:name="_Hlk187834524"/>
      <w:r>
        <w:t xml:space="preserve">The raising of </w:t>
      </w:r>
      <w:r w:rsidR="008271E9">
        <w:t xml:space="preserve">the </w:t>
      </w:r>
      <w:r>
        <w:t>Foreign Investment Review Board (</w:t>
      </w:r>
      <w:r w:rsidRPr="00B35D47">
        <w:t xml:space="preserve">FIRB) general screening threshold to </w:t>
      </w:r>
      <w:r w:rsidR="00396498">
        <w:t>$</w:t>
      </w:r>
      <w:r w:rsidRPr="00B35D47">
        <w:t>1.</w:t>
      </w:r>
      <w:r>
        <w:t>4</w:t>
      </w:r>
      <w:r w:rsidRPr="00B35D47">
        <w:t xml:space="preserve"> billion for foreign investment </w:t>
      </w:r>
      <w:bookmarkEnd w:id="11"/>
      <w:r w:rsidRPr="00B35D47">
        <w:t>from C</w:t>
      </w:r>
      <w:r>
        <w:t>PTPP economies in non-sensitive sectors further encouraged investment into Australia from the region, including financial hubs such as Singapore</w:t>
      </w:r>
      <w:r w:rsidRPr="00311B5A">
        <w:t xml:space="preserve">. </w:t>
      </w:r>
    </w:p>
    <w:p w14:paraId="20A89880" w14:textId="06F4CBDD" w:rsidR="008040DB" w:rsidRDefault="009A5703" w:rsidP="000920EB">
      <w:pPr>
        <w:pStyle w:val="ListParagraph"/>
        <w:numPr>
          <w:ilvl w:val="0"/>
          <w:numId w:val="5"/>
        </w:numPr>
        <w:ind w:left="0" w:firstLine="0"/>
      </w:pPr>
      <w:r w:rsidRPr="00311B5A">
        <w:t xml:space="preserve">Australian total investment into most CPTPP members has increased since the </w:t>
      </w:r>
      <w:r>
        <w:t>A</w:t>
      </w:r>
      <w:r w:rsidRPr="00311B5A">
        <w:t xml:space="preserve">greement </w:t>
      </w:r>
      <w:r w:rsidR="0090201E">
        <w:t>entered</w:t>
      </w:r>
      <w:r w:rsidR="0090201E" w:rsidRPr="00311B5A">
        <w:t xml:space="preserve"> </w:t>
      </w:r>
      <w:r w:rsidRPr="00311B5A">
        <w:t xml:space="preserve">into force. </w:t>
      </w:r>
      <w:r w:rsidR="008040DB" w:rsidRPr="0033400E">
        <w:t xml:space="preserve">The </w:t>
      </w:r>
      <w:r w:rsidR="008040DB">
        <w:t>A</w:t>
      </w:r>
      <w:r w:rsidR="008040DB" w:rsidRPr="0033400E">
        <w:t xml:space="preserve">greement also opened new markets </w:t>
      </w:r>
      <w:r w:rsidR="00770C1A">
        <w:t>for</w:t>
      </w:r>
      <w:r w:rsidR="00770C1A" w:rsidRPr="0033400E">
        <w:t xml:space="preserve"> </w:t>
      </w:r>
      <w:r w:rsidR="008040DB" w:rsidRPr="0033400E">
        <w:t xml:space="preserve">Australian investors. Prior to CPTPP, Australia did not have </w:t>
      </w:r>
      <w:r w:rsidR="002A155B">
        <w:t xml:space="preserve">investment </w:t>
      </w:r>
      <w:r w:rsidR="008040DB" w:rsidRPr="0033400E">
        <w:t xml:space="preserve">agreements with </w:t>
      </w:r>
      <w:r w:rsidR="00754897">
        <w:t xml:space="preserve">some </w:t>
      </w:r>
      <w:r w:rsidR="008040DB" w:rsidRPr="0033400E">
        <w:t>CPTPP members</w:t>
      </w:r>
      <w:r w:rsidR="00CC3B78">
        <w:t>,</w:t>
      </w:r>
      <w:r w:rsidR="008040DB" w:rsidRPr="0033400E">
        <w:t xml:space="preserve"> </w:t>
      </w:r>
      <w:r w:rsidR="008040DB">
        <w:t xml:space="preserve">and </w:t>
      </w:r>
      <w:r w:rsidR="00CC3B78">
        <w:t>Australian investors have</w:t>
      </w:r>
      <w:r w:rsidR="008040DB">
        <w:t xml:space="preserve"> benefited from </w:t>
      </w:r>
      <w:r w:rsidR="008040DB" w:rsidRPr="0033400E">
        <w:t>added liberalisations</w:t>
      </w:r>
      <w:r w:rsidR="00CC3B78">
        <w:t xml:space="preserve"> and securities under the Agreement</w:t>
      </w:r>
      <w:r w:rsidR="00F07C59">
        <w:t xml:space="preserve"> </w:t>
      </w:r>
      <w:r w:rsidR="008040DB" w:rsidRPr="0033400E">
        <w:t xml:space="preserve">in these </w:t>
      </w:r>
      <w:r w:rsidR="00CE3808">
        <w:t>economies</w:t>
      </w:r>
      <w:r w:rsidR="008040DB" w:rsidRPr="0033400E">
        <w:t>.</w:t>
      </w:r>
    </w:p>
    <w:p w14:paraId="439DC303" w14:textId="3DA1105E" w:rsidR="746EADB1" w:rsidRDefault="009A5703" w:rsidP="000920EB">
      <w:pPr>
        <w:pStyle w:val="ListParagraph"/>
        <w:ind w:left="0" w:firstLine="0"/>
      </w:pPr>
      <w:r w:rsidRPr="00311B5A">
        <w:t xml:space="preserve">Similarly, total investment </w:t>
      </w:r>
      <w:r w:rsidR="003C0C74">
        <w:t xml:space="preserve">stocks </w:t>
      </w:r>
      <w:r w:rsidRPr="00311B5A">
        <w:t xml:space="preserve">into Australia by CPTPP members has mostly increased, and in some cases doubled – for example, Canadian total investment into Australia was </w:t>
      </w:r>
      <w:r>
        <w:t>$</w:t>
      </w:r>
      <w:r w:rsidRPr="00311B5A">
        <w:t xml:space="preserve">53 billion prior to </w:t>
      </w:r>
      <w:r w:rsidR="00E567F7">
        <w:t>CPTPP</w:t>
      </w:r>
      <w:r w:rsidRPr="00311B5A">
        <w:t xml:space="preserve"> in 2018</w:t>
      </w:r>
      <w:r>
        <w:t xml:space="preserve"> and </w:t>
      </w:r>
      <w:r w:rsidRPr="00311B5A">
        <w:t>increas</w:t>
      </w:r>
      <w:r>
        <w:t>ed</w:t>
      </w:r>
      <w:r w:rsidRPr="00311B5A">
        <w:t xml:space="preserve"> to </w:t>
      </w:r>
      <w:r>
        <w:t>$</w:t>
      </w:r>
      <w:r w:rsidRPr="00311B5A">
        <w:t>100 billion as of 2022</w:t>
      </w:r>
      <w:r>
        <w:t>.</w:t>
      </w:r>
    </w:p>
    <w:p w14:paraId="6EB12E51" w14:textId="019B86E2" w:rsidR="7CC38028" w:rsidRDefault="7CC38028" w:rsidP="7CC38028"/>
    <w:p w14:paraId="24DF0B3D" w14:textId="46CBF9F7" w:rsidR="006D6F75" w:rsidRPr="009A5703" w:rsidRDefault="006D6F75">
      <w:pPr>
        <w:pStyle w:val="ListParagraph"/>
        <w:numPr>
          <w:ilvl w:val="0"/>
          <w:numId w:val="0"/>
        </w:numPr>
        <w:rPr>
          <w:b/>
          <w:bCs/>
          <w:i/>
          <w:iCs/>
        </w:rPr>
      </w:pPr>
      <w:r w:rsidRPr="009A5703">
        <w:rPr>
          <w:b/>
          <w:bCs/>
          <w:i/>
          <w:iCs/>
        </w:rPr>
        <w:t xml:space="preserve">For Australian consumers and businesses </w:t>
      </w:r>
    </w:p>
    <w:p w14:paraId="250A9908" w14:textId="3C471B7F" w:rsidR="00296788" w:rsidRDefault="00296788" w:rsidP="000920EB">
      <w:pPr>
        <w:pStyle w:val="ListParagraph"/>
        <w:numPr>
          <w:ilvl w:val="0"/>
          <w:numId w:val="5"/>
        </w:numPr>
        <w:ind w:left="0" w:firstLine="0"/>
      </w:pPr>
      <w:r>
        <w:t xml:space="preserve">Consistent with Australia’s other FTAs, remaining Australian tariffs on imports from </w:t>
      </w:r>
      <w:r w:rsidR="00A011BF">
        <w:t>CPTPP economies</w:t>
      </w:r>
      <w:r>
        <w:t xml:space="preserve"> w</w:t>
      </w:r>
      <w:r w:rsidR="00E1426D">
        <w:t>ere</w:t>
      </w:r>
      <w:r>
        <w:t xml:space="preserve"> eliminated, with consumers and businesses benefiting </w:t>
      </w:r>
      <w:r w:rsidR="00A011BF">
        <w:t xml:space="preserve">from downward pressure </w:t>
      </w:r>
      <w:r w:rsidR="006F5869">
        <w:t xml:space="preserve">on prices. </w:t>
      </w:r>
    </w:p>
    <w:p w14:paraId="68B54EFD" w14:textId="70BEA1EC" w:rsidR="00F9202D" w:rsidRDefault="00C63F49" w:rsidP="000920EB">
      <w:pPr>
        <w:pStyle w:val="ListParagraph"/>
        <w:numPr>
          <w:ilvl w:val="0"/>
          <w:numId w:val="5"/>
        </w:numPr>
        <w:ind w:left="0" w:firstLine="0"/>
      </w:pPr>
      <w:r>
        <w:t xml:space="preserve">As a regional FTA, </w:t>
      </w:r>
      <w:r w:rsidR="00E567F7">
        <w:t>CPTPP</w:t>
      </w:r>
      <w:r w:rsidR="006F5869">
        <w:t xml:space="preserve"> </w:t>
      </w:r>
      <w:r w:rsidR="002F33A4">
        <w:t>created</w:t>
      </w:r>
      <w:r>
        <w:t xml:space="preserve"> additional benefits</w:t>
      </w:r>
      <w:r w:rsidR="002C2A35">
        <w:t xml:space="preserve">, including for supply chains. </w:t>
      </w:r>
      <w:r w:rsidR="002007BB">
        <w:t>Products</w:t>
      </w:r>
      <w:r w:rsidR="00F9202D">
        <w:t xml:space="preserve"> created via international supply chains are taxed at the borders over which they cross enroute to Australia. Under CPTPP, producers can use inputs from any of the participating economies and trade under CPTPP preferential trading arrangements. This results in lower tariff rates on both inputs and final products</w:t>
      </w:r>
      <w:r w:rsidR="00FA6C75">
        <w:t>,</w:t>
      </w:r>
      <w:r w:rsidR="009D1A19" w:rsidRPr="00A138BD">
        <w:t xml:space="preserve"> introduces additional flexibilities in where businesses can source inputs for, </w:t>
      </w:r>
      <w:r w:rsidR="009D1A19">
        <w:t xml:space="preserve">and </w:t>
      </w:r>
      <w:r w:rsidR="009D1A19" w:rsidRPr="00A138BD">
        <w:t>provides greater resilience and security</w:t>
      </w:r>
      <w:r w:rsidR="009608E8">
        <w:t>, reducing</w:t>
      </w:r>
      <w:r w:rsidR="00FA6C75">
        <w:t xml:space="preserve"> costs for businesses and consumers</w:t>
      </w:r>
      <w:r w:rsidR="00F9202D">
        <w:t>.</w:t>
      </w:r>
      <w:r w:rsidR="00A138BD">
        <w:t xml:space="preserve"> </w:t>
      </w:r>
    </w:p>
    <w:p w14:paraId="03E0D585" w14:textId="567AEE89" w:rsidR="00283A00" w:rsidRPr="00D066A4" w:rsidRDefault="001D2F71" w:rsidP="00D066A4">
      <w:pPr>
        <w:pStyle w:val="ListParagraph"/>
        <w:numPr>
          <w:ilvl w:val="0"/>
          <w:numId w:val="0"/>
        </w:numPr>
        <w:rPr>
          <w:b/>
          <w:bCs/>
          <w:i/>
          <w:iCs/>
        </w:rPr>
      </w:pPr>
      <w:r>
        <w:rPr>
          <w:b/>
          <w:bCs/>
          <w:i/>
          <w:iCs/>
        </w:rPr>
        <w:t xml:space="preserve">For </w:t>
      </w:r>
      <w:r w:rsidR="00BE4184">
        <w:rPr>
          <w:b/>
          <w:bCs/>
          <w:i/>
          <w:iCs/>
        </w:rPr>
        <w:t>b</w:t>
      </w:r>
      <w:r w:rsidR="00283A00" w:rsidRPr="00D066A4">
        <w:rPr>
          <w:b/>
          <w:bCs/>
          <w:i/>
          <w:iCs/>
        </w:rPr>
        <w:t>usiness and skilled worker mobility</w:t>
      </w:r>
    </w:p>
    <w:p w14:paraId="5A52A8A2" w14:textId="67309805" w:rsidR="00E276C7" w:rsidRPr="00B231CC" w:rsidRDefault="00E567F7" w:rsidP="000920EB">
      <w:pPr>
        <w:pStyle w:val="ListParagraph"/>
        <w:numPr>
          <w:ilvl w:val="0"/>
          <w:numId w:val="5"/>
        </w:numPr>
        <w:ind w:left="0" w:firstLine="0"/>
        <w:rPr>
          <w:color w:val="FF0000"/>
        </w:rPr>
      </w:pPr>
      <w:r>
        <w:t>CPTPP</w:t>
      </w:r>
      <w:r w:rsidR="00E8769B">
        <w:t xml:space="preserve"> </w:t>
      </w:r>
      <w:r w:rsidR="00283A00" w:rsidRPr="00356A58">
        <w:t>provide</w:t>
      </w:r>
      <w:r w:rsidR="00E8769B">
        <w:t xml:space="preserve">d </w:t>
      </w:r>
      <w:r w:rsidR="00283A00" w:rsidRPr="00356A58">
        <w:t>improved access for a range of Australia</w:t>
      </w:r>
      <w:r w:rsidR="00FD3CBB">
        <w:t>n</w:t>
      </w:r>
      <w:r w:rsidR="00204E0A">
        <w:t xml:space="preserve"> </w:t>
      </w:r>
      <w:r w:rsidR="00283A00" w:rsidRPr="00356A58">
        <w:t xml:space="preserve">skilled service providers, investors and business visitors, supporting investment and providing business with greater certainty. </w:t>
      </w:r>
      <w:r>
        <w:t>CPTPP</w:t>
      </w:r>
      <w:r w:rsidR="00B52910" w:rsidRPr="00E94E42">
        <w:t xml:space="preserve"> </w:t>
      </w:r>
      <w:r w:rsidR="00A020BF">
        <w:t>secured</w:t>
      </w:r>
      <w:r w:rsidR="00B52910" w:rsidRPr="00E94E42">
        <w:t xml:space="preserve"> </w:t>
      </w:r>
      <w:r w:rsidR="00AC4793" w:rsidRPr="00E94E42">
        <w:t xml:space="preserve">preferential temporary entry arrangements for Australian businesspeople and their spouses into key </w:t>
      </w:r>
      <w:r w:rsidR="00AB4913">
        <w:t xml:space="preserve">CPTPP </w:t>
      </w:r>
      <w:r w:rsidR="00AC4793" w:rsidRPr="00E94E42">
        <w:t xml:space="preserve">markets, including the waiving of work permits and provision of work rights for </w:t>
      </w:r>
      <w:r w:rsidR="00AC4793" w:rsidRPr="00E94E42">
        <w:lastRenderedPageBreak/>
        <w:t xml:space="preserve">spouses in Brunei Darussalam, Canada and Mexico. Reciprocal </w:t>
      </w:r>
      <w:r w:rsidR="00A020BF">
        <w:t>CPTPP</w:t>
      </w:r>
      <w:r w:rsidR="00AC4793" w:rsidRPr="00E94E42">
        <w:t xml:space="preserve"> commitments on temporary entry of skilled businesspersons </w:t>
      </w:r>
      <w:r w:rsidR="00A020BF">
        <w:t>would</w:t>
      </w:r>
      <w:r w:rsidR="00AC4793" w:rsidRPr="00E94E42">
        <w:t xml:space="preserve"> support greater trade and investment opportunities in the </w:t>
      </w:r>
      <w:r w:rsidR="00B231CC">
        <w:t>Indo</w:t>
      </w:r>
      <w:r w:rsidR="00552907">
        <w:t>-</w:t>
      </w:r>
      <w:r w:rsidR="00E1738E" w:rsidRPr="00E94E42">
        <w:t>Pacific</w:t>
      </w:r>
      <w:r w:rsidR="00AC4793" w:rsidRPr="00E94E42">
        <w:t xml:space="preserve"> region. </w:t>
      </w:r>
    </w:p>
    <w:p w14:paraId="54987F59" w14:textId="570F1301" w:rsidR="006D6F75" w:rsidRPr="00D84CF9" w:rsidRDefault="002D7408" w:rsidP="00D84CF9">
      <w:pPr>
        <w:pStyle w:val="Heading2"/>
      </w:pPr>
      <w:r>
        <w:t>B</w:t>
      </w:r>
      <w:r w:rsidR="006D6F75" w:rsidRPr="000C675B">
        <w:t>ilateral trade and investment post</w:t>
      </w:r>
      <w:r w:rsidR="177CC084" w:rsidRPr="000C675B">
        <w:t xml:space="preserve"> </w:t>
      </w:r>
      <w:r w:rsidR="006D6F75" w:rsidRPr="000C675B">
        <w:noBreakHyphen/>
      </w:r>
      <w:r w:rsidR="00AC7ABD" w:rsidRPr="000C675B">
        <w:t>CPTPP</w:t>
      </w:r>
    </w:p>
    <w:p w14:paraId="5C134000" w14:textId="77777777" w:rsidR="00340CC8" w:rsidRPr="006014F1" w:rsidRDefault="00340CC8" w:rsidP="00340CC8">
      <w:pPr>
        <w:rPr>
          <w:b/>
          <w:bCs/>
          <w:i/>
          <w:iCs/>
        </w:rPr>
      </w:pPr>
      <w:r w:rsidRPr="006014F1">
        <w:rPr>
          <w:b/>
          <w:bCs/>
          <w:i/>
          <w:iCs/>
        </w:rPr>
        <w:t>CPTPP tariffs</w:t>
      </w:r>
    </w:p>
    <w:p w14:paraId="6FAB0B2C" w14:textId="3B5C37E8" w:rsidR="006E07C1" w:rsidRDefault="006E07C1" w:rsidP="000920EB">
      <w:pPr>
        <w:pStyle w:val="ListParagraph"/>
        <w:numPr>
          <w:ilvl w:val="0"/>
          <w:numId w:val="5"/>
        </w:numPr>
        <w:ind w:left="0" w:firstLine="0"/>
      </w:pPr>
      <w:r w:rsidRPr="00A75AA4">
        <w:t xml:space="preserve">Analysis included in </w:t>
      </w:r>
      <w:r w:rsidR="00997C0A">
        <w:t xml:space="preserve">the </w:t>
      </w:r>
      <w:r w:rsidR="00E567F7">
        <w:t>CPTPP</w:t>
      </w:r>
      <w:r w:rsidRPr="00A75AA4">
        <w:t xml:space="preserve"> Regulatory Impact Statement indicated CPTPP eliminated 98 per</w:t>
      </w:r>
      <w:r>
        <w:t xml:space="preserve"> </w:t>
      </w:r>
      <w:r w:rsidRPr="00A75AA4">
        <w:t>cent of tariffs on entry into force of the Agreement</w:t>
      </w:r>
      <w:r>
        <w:t>, with Members combined GDP worth</w:t>
      </w:r>
      <w:r w:rsidR="00FA6959">
        <w:t xml:space="preserve"> US</w:t>
      </w:r>
      <w:r>
        <w:t>$12</w:t>
      </w:r>
      <w:r w:rsidDel="00B731BB">
        <w:t>.</w:t>
      </w:r>
      <w:r>
        <w:t>1 trillion</w:t>
      </w:r>
      <w:r w:rsidRPr="00A75AA4">
        <w:t xml:space="preserve">.  </w:t>
      </w:r>
    </w:p>
    <w:p w14:paraId="66689D05" w14:textId="610E7A53" w:rsidR="00793FC5" w:rsidRDefault="00793FC5" w:rsidP="000920EB">
      <w:pPr>
        <w:pStyle w:val="ListParagraph"/>
        <w:numPr>
          <w:ilvl w:val="0"/>
          <w:numId w:val="5"/>
        </w:numPr>
        <w:ind w:left="0" w:firstLine="0"/>
      </w:pPr>
      <w:r>
        <w:t>Australia’s own schedule of tariff eliminations was ambitious, with 93 per cent of all tariff lines eliminated or bound at zero immediately upon entry into force. Since then, the remaining tariffs have been phased to elimination over three or four years, and Australia’s specific tariff on used car imports was removed in August 2017</w:t>
      </w:r>
      <w:r w:rsidR="00B10A8B">
        <w:t>.</w:t>
      </w:r>
      <w:r w:rsidRPr="00125CED">
        <w:rPr>
          <w:vertAlign w:val="superscript"/>
        </w:rPr>
        <w:footnoteReference w:id="26"/>
      </w:r>
      <w:r w:rsidRPr="00125CED">
        <w:rPr>
          <w:vertAlign w:val="superscript"/>
        </w:rPr>
        <w:t xml:space="preserve"> </w:t>
      </w:r>
      <w:r>
        <w:t xml:space="preserve">   </w:t>
      </w:r>
    </w:p>
    <w:p w14:paraId="0FD87BEB" w14:textId="2EC12271" w:rsidR="006E07C1" w:rsidRDefault="00F803E9" w:rsidP="000920EB">
      <w:pPr>
        <w:pStyle w:val="ListParagraph"/>
        <w:numPr>
          <w:ilvl w:val="0"/>
          <w:numId w:val="5"/>
        </w:numPr>
        <w:ind w:left="0" w:firstLine="0"/>
      </w:pPr>
      <w:r>
        <w:t xml:space="preserve">The market access outcomes in </w:t>
      </w:r>
      <w:r w:rsidR="00E567F7">
        <w:t>CPTPP</w:t>
      </w:r>
      <w:r>
        <w:t xml:space="preserve"> built on those in Australia’s existing bilateral and plurilateral </w:t>
      </w:r>
      <w:proofErr w:type="gramStart"/>
      <w:r>
        <w:t>FTAs, and</w:t>
      </w:r>
      <w:proofErr w:type="gramEnd"/>
      <w:r>
        <w:t xml:space="preserve"> established a new FTA partnership with Mexico.  </w:t>
      </w:r>
      <w:r w:rsidR="006E07C1" w:rsidRPr="00A75AA4">
        <w:t>The Agreement eliminated</w:t>
      </w:r>
      <w:r w:rsidR="006E07C1">
        <w:t xml:space="preserve"> tariffs on</w:t>
      </w:r>
      <w:r w:rsidR="006E07C1" w:rsidRPr="00A75AA4">
        <w:t xml:space="preserve"> more than $</w:t>
      </w:r>
      <w:r w:rsidR="006E07C1">
        <w:t>4.</w:t>
      </w:r>
      <w:r w:rsidR="006E07C1" w:rsidRPr="00A75AA4" w:rsidDel="00B1273F">
        <w:t>3</w:t>
      </w:r>
      <w:r w:rsidR="006E07C1" w:rsidRPr="00A75AA4">
        <w:t xml:space="preserve"> billion of </w:t>
      </w:r>
      <w:r w:rsidR="006E07C1">
        <w:t xml:space="preserve">Australia’s </w:t>
      </w:r>
      <w:r w:rsidR="006E07C1" w:rsidRPr="00A75AA4">
        <w:t xml:space="preserve">dutiable </w:t>
      </w:r>
      <w:r w:rsidR="006E07C1">
        <w:t xml:space="preserve">agricultural </w:t>
      </w:r>
      <w:r w:rsidR="006E07C1" w:rsidRPr="00A75AA4">
        <w:t xml:space="preserve">exports to CPTPP </w:t>
      </w:r>
      <w:r w:rsidR="006E07C1">
        <w:t>economies</w:t>
      </w:r>
      <w:r w:rsidR="006E07C1" w:rsidRPr="00A75AA4">
        <w:t xml:space="preserve">. </w:t>
      </w:r>
      <w:r w:rsidR="006E07C1">
        <w:t xml:space="preserve">A further $2.1 billion of Australia’s dutiable exports received preferential access through new quotas and tariff reductions. </w:t>
      </w:r>
    </w:p>
    <w:p w14:paraId="604673BF" w14:textId="78418AA8" w:rsidR="00340CC8" w:rsidRPr="00340CC8" w:rsidRDefault="00340CC8" w:rsidP="000920EB">
      <w:pPr>
        <w:pStyle w:val="ListParagraph"/>
        <w:numPr>
          <w:ilvl w:val="0"/>
          <w:numId w:val="5"/>
        </w:numPr>
        <w:ind w:left="0" w:firstLine="0"/>
        <w:rPr>
          <w:b/>
          <w:bCs/>
          <w:i/>
          <w:iCs/>
        </w:rPr>
      </w:pPr>
      <w:r>
        <w:t>Australia’s t</w:t>
      </w:r>
      <w:r w:rsidRPr="00A75AA4">
        <w:t>ariff reductions reduce</w:t>
      </w:r>
      <w:r w:rsidR="00E87B7C">
        <w:t>d</w:t>
      </w:r>
      <w:r w:rsidRPr="00A75AA4">
        <w:t xml:space="preserve"> the overall costs </w:t>
      </w:r>
      <w:r w:rsidR="00CA4A9B">
        <w:t>of</w:t>
      </w:r>
      <w:r w:rsidDel="00D512AD">
        <w:t xml:space="preserve"> </w:t>
      </w:r>
      <w:r w:rsidRPr="00A75AA4">
        <w:t>import</w:t>
      </w:r>
      <w:r w:rsidR="00E87B7C">
        <w:t>ed</w:t>
      </w:r>
      <w:r w:rsidRPr="00A75AA4">
        <w:t xml:space="preserve"> goods,</w:t>
      </w:r>
      <w:r w:rsidRPr="00A75AA4" w:rsidDel="00D512AD">
        <w:t xml:space="preserve"> </w:t>
      </w:r>
      <w:r w:rsidRPr="00A75AA4">
        <w:t>resulting in improved price-competitiveness in the marketplace and</w:t>
      </w:r>
      <w:r>
        <w:t xml:space="preserve"> benefitting consumers with </w:t>
      </w:r>
      <w:r w:rsidRPr="00A75AA4">
        <w:t>cheaper prices</w:t>
      </w:r>
      <w:r w:rsidR="003E7F20">
        <w:t xml:space="preserve"> and greater choices</w:t>
      </w:r>
      <w:r w:rsidRPr="00A75AA4">
        <w:t xml:space="preserve">. In simple economic terms, </w:t>
      </w:r>
      <w:r w:rsidR="00CB4EA2">
        <w:t xml:space="preserve">the </w:t>
      </w:r>
      <w:r w:rsidRPr="00A75AA4">
        <w:t>elimination or reduction of tariffs and other barriers to the bilateral flow of goods reduce</w:t>
      </w:r>
      <w:r w:rsidR="0034294A">
        <w:t>d</w:t>
      </w:r>
      <w:r w:rsidRPr="00A75AA4">
        <w:t xml:space="preserve"> the costs of trade and help</w:t>
      </w:r>
      <w:r w:rsidR="0034294A">
        <w:t>ed</w:t>
      </w:r>
      <w:r w:rsidRPr="00A75AA4">
        <w:t xml:space="preserve"> increase the competitiveness of the Australian economy. </w:t>
      </w:r>
    </w:p>
    <w:p w14:paraId="1AE67844" w14:textId="6656409B" w:rsidR="00340CC8" w:rsidRDefault="00340CC8" w:rsidP="00340CC8">
      <w:pPr>
        <w:rPr>
          <w:b/>
          <w:bCs/>
          <w:i/>
          <w:iCs/>
        </w:rPr>
      </w:pPr>
      <w:r w:rsidRPr="78FB741A">
        <w:rPr>
          <w:b/>
          <w:bCs/>
          <w:i/>
          <w:iCs/>
        </w:rPr>
        <w:t xml:space="preserve">FTA utilisation </w:t>
      </w:r>
    </w:p>
    <w:p w14:paraId="2C91B811" w14:textId="609B7028" w:rsidR="00487FFA" w:rsidRPr="0034294A" w:rsidRDefault="1FBF61DC" w:rsidP="000920EB">
      <w:pPr>
        <w:pStyle w:val="ListParagraph"/>
        <w:numPr>
          <w:ilvl w:val="0"/>
          <w:numId w:val="5"/>
        </w:numPr>
        <w:ind w:left="0" w:firstLine="0"/>
      </w:pPr>
      <w:r w:rsidRPr="0034294A">
        <w:t>Total utilisation of Australian FTAs</w:t>
      </w:r>
      <w:r w:rsidR="001A1A4B">
        <w:t>,</w:t>
      </w:r>
      <w:r w:rsidRPr="0034294A">
        <w:t xml:space="preserve"> </w:t>
      </w:r>
      <w:r w:rsidR="001A1A4B" w:rsidRPr="0034294A">
        <w:t>across both exports and imports</w:t>
      </w:r>
      <w:r w:rsidR="001A1A4B">
        <w:t>,</w:t>
      </w:r>
      <w:r w:rsidRPr="0034294A">
        <w:t xml:space="preserve"> is high. </w:t>
      </w:r>
    </w:p>
    <w:p w14:paraId="07006BB3" w14:textId="058741F6" w:rsidR="006A5B74" w:rsidRPr="0034294A" w:rsidRDefault="00FA5140" w:rsidP="000920EB">
      <w:pPr>
        <w:pStyle w:val="ListParagraph"/>
        <w:numPr>
          <w:ilvl w:val="0"/>
          <w:numId w:val="5"/>
        </w:numPr>
        <w:ind w:left="0" w:firstLine="0"/>
      </w:pPr>
      <w:r w:rsidRPr="0034294A">
        <w:t xml:space="preserve">Notably, </w:t>
      </w:r>
      <w:r w:rsidR="00A36ABB" w:rsidRPr="0034294A">
        <w:t>in 2023</w:t>
      </w:r>
      <w:r w:rsidRPr="0034294A">
        <w:t xml:space="preserve"> there was strong CPTPP utilisation </w:t>
      </w:r>
      <w:r w:rsidR="00B509AF" w:rsidRPr="0034294A">
        <w:t xml:space="preserve">with Canada and Mexico </w:t>
      </w:r>
      <w:r w:rsidRPr="0034294A">
        <w:t>for Australian exports and imports</w:t>
      </w:r>
      <w:r w:rsidR="00AE4741">
        <w:t xml:space="preserve">, </w:t>
      </w:r>
      <w:r w:rsidR="00473038" w:rsidRPr="00473038">
        <w:t>the result of CPTPP’s function as Australia’s first FTA with Mexico and a significant update on the existing bilateral FTA with Canada</w:t>
      </w:r>
      <w:r w:rsidRPr="0034294A">
        <w:t xml:space="preserve">. However, </w:t>
      </w:r>
      <w:r w:rsidR="004139FF" w:rsidRPr="004139FF">
        <w:t>when Australia has several overlapping FTAs with a CPTPP economy</w:t>
      </w:r>
      <w:r w:rsidR="1FBF61DC" w:rsidRPr="0034294A">
        <w:t xml:space="preserve">, both importers and exporters </w:t>
      </w:r>
      <w:r w:rsidR="000B054E" w:rsidRPr="0034294A">
        <w:t>tend</w:t>
      </w:r>
      <w:r w:rsidRPr="0034294A">
        <w:t>ed</w:t>
      </w:r>
      <w:r w:rsidR="000B054E" w:rsidRPr="0034294A">
        <w:t xml:space="preserve"> to </w:t>
      </w:r>
      <w:r w:rsidR="1FBF61DC" w:rsidRPr="0034294A">
        <w:t>make greater use of older agreements such as bilateral FTAs</w:t>
      </w:r>
      <w:r w:rsidR="00A57F2B" w:rsidRPr="0034294A">
        <w:t xml:space="preserve"> or</w:t>
      </w:r>
      <w:r w:rsidR="1FBF61DC" w:rsidRPr="0034294A">
        <w:t xml:space="preserve"> </w:t>
      </w:r>
      <w:r w:rsidR="00E82844" w:rsidRPr="0034294A">
        <w:t>AAZNFTA</w:t>
      </w:r>
      <w:r w:rsidR="000B054E" w:rsidRPr="0034294A">
        <w:t>, rather than CPTPP</w:t>
      </w:r>
      <w:r w:rsidR="00EB5367" w:rsidRPr="0034294A">
        <w:t xml:space="preserve"> (Table 1</w:t>
      </w:r>
      <w:r w:rsidR="005A657E">
        <w:t xml:space="preserve"> and</w:t>
      </w:r>
      <w:r w:rsidR="00EB5367" w:rsidRPr="0034294A">
        <w:t xml:space="preserve"> </w:t>
      </w:r>
      <w:r w:rsidR="005A657E">
        <w:t>2</w:t>
      </w:r>
      <w:r w:rsidR="00EB5367" w:rsidRPr="0034294A">
        <w:t>)</w:t>
      </w:r>
      <w:r w:rsidR="004139FF">
        <w:t>.</w:t>
      </w:r>
      <w:r w:rsidR="002F4A4E" w:rsidRPr="0034294A">
        <w:t xml:space="preserve"> </w:t>
      </w:r>
      <w:r w:rsidR="005575A8" w:rsidRPr="005575A8">
        <w:t xml:space="preserve">This is consistent with wider FTA practice, as businesses often require several years to become familiar with </w:t>
      </w:r>
      <w:r w:rsidR="002F4A4E" w:rsidRPr="0034294A">
        <w:t>newer FTAs</w:t>
      </w:r>
      <w:r w:rsidR="005575A8">
        <w:t xml:space="preserve"> and update their preferences. </w:t>
      </w:r>
      <w:r w:rsidR="002F4A4E" w:rsidRPr="0034294A">
        <w:t xml:space="preserve"> </w:t>
      </w:r>
    </w:p>
    <w:p w14:paraId="4AF01301" w14:textId="791D6DC5" w:rsidR="746EADB1" w:rsidRPr="00EB1A02" w:rsidRDefault="00FA5140" w:rsidP="000920EB">
      <w:pPr>
        <w:pStyle w:val="ListParagraph"/>
        <w:numPr>
          <w:ilvl w:val="0"/>
          <w:numId w:val="5"/>
        </w:numPr>
        <w:ind w:left="0" w:firstLine="0"/>
        <w:rPr>
          <w:rFonts w:ascii="Calibri" w:eastAsia="Calibri" w:hAnsi="Calibri" w:cs="Calibri"/>
          <w:b/>
          <w:bCs/>
          <w:i/>
          <w:iCs/>
          <w:lang w:val="fr-FR"/>
        </w:rPr>
      </w:pPr>
      <w:r w:rsidRPr="0034294A">
        <w:t xml:space="preserve">Given the enhanced rules of origin procedures under CPTPP, there </w:t>
      </w:r>
      <w:r w:rsidR="00231AC8">
        <w:t>are</w:t>
      </w:r>
      <w:r w:rsidR="00231AC8" w:rsidRPr="0034294A">
        <w:t xml:space="preserve"> </w:t>
      </w:r>
      <w:r w:rsidR="001A37D7" w:rsidRPr="0034294A">
        <w:t>also further</w:t>
      </w:r>
      <w:r w:rsidRPr="0034294A">
        <w:t xml:space="preserve"> </w:t>
      </w:r>
      <w:r w:rsidR="00231AC8" w:rsidRPr="0034294A">
        <w:t>opportunit</w:t>
      </w:r>
      <w:r w:rsidR="00231AC8">
        <w:t>ies</w:t>
      </w:r>
      <w:r w:rsidR="00231AC8" w:rsidRPr="0034294A">
        <w:t xml:space="preserve"> </w:t>
      </w:r>
      <w:r w:rsidRPr="0034294A">
        <w:t>to increase its usage</w:t>
      </w:r>
      <w:r w:rsidR="007008F1">
        <w:t xml:space="preserve"> </w:t>
      </w:r>
      <w:r w:rsidR="007008F1" w:rsidRPr="007008F1">
        <w:t xml:space="preserve">as intra-CPTPP supply chains deepen and </w:t>
      </w:r>
      <w:r w:rsidR="007008F1" w:rsidRPr="007008F1">
        <w:lastRenderedPageBreak/>
        <w:t>expand</w:t>
      </w:r>
      <w:r w:rsidRPr="0034294A">
        <w:t>.</w:t>
      </w:r>
      <w:r w:rsidR="00A9104D" w:rsidRPr="0034294A">
        <w:t xml:space="preserve"> </w:t>
      </w:r>
      <w:r w:rsidR="1FBF61DC" w:rsidRPr="0034294A">
        <w:t>Australia</w:t>
      </w:r>
      <w:r w:rsidR="00C709DA" w:rsidRPr="0034294A">
        <w:t xml:space="preserve">’s role as chair of </w:t>
      </w:r>
      <w:r w:rsidR="1FBF61DC" w:rsidRPr="0034294A">
        <w:t>CPTPP in 2025</w:t>
      </w:r>
      <w:r w:rsidR="000D0AEE" w:rsidRPr="00EB1A02">
        <w:t xml:space="preserve"> </w:t>
      </w:r>
      <w:r w:rsidR="1FBF61DC" w:rsidRPr="00EB1A02">
        <w:t>provides</w:t>
      </w:r>
      <w:r w:rsidR="000D0AEE" w:rsidRPr="00EB1A02">
        <w:t xml:space="preserve"> an</w:t>
      </w:r>
      <w:r w:rsidR="00C709DA" w:rsidRPr="00EB1A02">
        <w:t>other</w:t>
      </w:r>
      <w:r w:rsidR="1FBF61DC" w:rsidRPr="00EB1A02">
        <w:t xml:space="preserve"> opportunity to uplift the monitoring of utilisation</w:t>
      </w:r>
      <w:r w:rsidR="00723EEE" w:rsidRPr="00EB1A02">
        <w:t>,</w:t>
      </w:r>
      <w:r w:rsidR="1FBF61DC" w:rsidRPr="00EB1A02">
        <w:t xml:space="preserve"> including improving the fidelity of data.</w:t>
      </w:r>
      <w:r w:rsidR="00FD054B" w:rsidRPr="00EB1A02">
        <w:t xml:space="preserve"> </w:t>
      </w:r>
    </w:p>
    <w:p w14:paraId="5F966D6C" w14:textId="39F61E43" w:rsidR="1FBF61DC" w:rsidRPr="00DF6893" w:rsidRDefault="00D30809" w:rsidP="78FB741A">
      <w:r w:rsidRPr="4F8A6D86">
        <w:rPr>
          <w:rFonts w:ascii="Calibri" w:eastAsia="Calibri" w:hAnsi="Calibri" w:cs="Calibri"/>
          <w:b/>
          <w:i/>
          <w:lang w:val="fr-FR"/>
        </w:rPr>
        <w:t xml:space="preserve">Table </w:t>
      </w:r>
      <w:proofErr w:type="gramStart"/>
      <w:r w:rsidRPr="4F8A6D86">
        <w:rPr>
          <w:rFonts w:ascii="Calibri" w:eastAsia="Calibri" w:hAnsi="Calibri" w:cs="Calibri"/>
          <w:b/>
          <w:i/>
          <w:lang w:val="fr-FR"/>
        </w:rPr>
        <w:t>1:</w:t>
      </w:r>
      <w:proofErr w:type="gramEnd"/>
      <w:r w:rsidRPr="4F8A6D86">
        <w:rPr>
          <w:rFonts w:ascii="Calibri" w:eastAsia="Calibri" w:hAnsi="Calibri" w:cs="Calibri"/>
          <w:b/>
          <w:i/>
          <w:lang w:val="fr-FR"/>
        </w:rPr>
        <w:t xml:space="preserve"> </w:t>
      </w:r>
      <w:proofErr w:type="spellStart"/>
      <w:r w:rsidR="00B77C62" w:rsidRPr="4F8A6D86">
        <w:rPr>
          <w:rFonts w:ascii="Calibri" w:eastAsia="Calibri" w:hAnsi="Calibri" w:cs="Calibri"/>
          <w:b/>
          <w:i/>
          <w:lang w:val="fr-FR"/>
        </w:rPr>
        <w:t>Australia</w:t>
      </w:r>
      <w:proofErr w:type="spellEnd"/>
      <w:r w:rsidR="00B77C62" w:rsidRPr="4F8A6D86">
        <w:rPr>
          <w:rFonts w:ascii="Calibri" w:eastAsia="Calibri" w:hAnsi="Calibri" w:cs="Calibri"/>
          <w:b/>
          <w:i/>
          <w:lang w:val="fr-FR"/>
        </w:rPr>
        <w:t xml:space="preserve"> ’s</w:t>
      </w:r>
      <w:r w:rsidR="00B60533" w:rsidRPr="4F8A6D86">
        <w:rPr>
          <w:rFonts w:ascii="Calibri" w:eastAsia="Calibri" w:hAnsi="Calibri" w:cs="Calibri"/>
          <w:b/>
          <w:i/>
          <w:lang w:val="fr-FR"/>
        </w:rPr>
        <w:t xml:space="preserve"> </w:t>
      </w:r>
      <w:r w:rsidRPr="4F8A6D86">
        <w:rPr>
          <w:rFonts w:ascii="Calibri" w:eastAsia="Calibri" w:hAnsi="Calibri" w:cs="Calibri"/>
          <w:b/>
          <w:i/>
          <w:lang w:val="fr-FR"/>
        </w:rPr>
        <w:t xml:space="preserve">Exports </w:t>
      </w:r>
      <w:r w:rsidR="00981473" w:rsidRPr="4F8A6D86">
        <w:rPr>
          <w:rFonts w:ascii="Calibri" w:eastAsia="Calibri" w:hAnsi="Calibri" w:cs="Calibri"/>
          <w:b/>
          <w:i/>
          <w:lang w:val="fr-FR"/>
        </w:rPr>
        <w:t xml:space="preserve">FTA </w:t>
      </w:r>
      <w:r w:rsidRPr="4F8A6D86">
        <w:rPr>
          <w:rFonts w:ascii="Calibri" w:eastAsia="Calibri" w:hAnsi="Calibri" w:cs="Calibri"/>
          <w:b/>
          <w:i/>
          <w:lang w:val="fr-FR"/>
        </w:rPr>
        <w:t xml:space="preserve">Utilisation </w:t>
      </w:r>
      <w:r w:rsidR="1FBF61DC" w:rsidRPr="4F8A6D86">
        <w:rPr>
          <w:rFonts w:ascii="Calibri" w:eastAsia="Calibri" w:hAnsi="Calibri" w:cs="Calibri"/>
          <w:b/>
          <w:i/>
          <w:lang w:val="fr-FR"/>
        </w:rPr>
        <w:t>(2023)</w:t>
      </w:r>
    </w:p>
    <w:tbl>
      <w:tblPr>
        <w:tblStyle w:val="TableGrid"/>
        <w:tblW w:w="0" w:type="auto"/>
        <w:tblLayout w:type="fixed"/>
        <w:tblLook w:val="04A0" w:firstRow="1" w:lastRow="0" w:firstColumn="1" w:lastColumn="0" w:noHBand="0" w:noVBand="1"/>
      </w:tblPr>
      <w:tblGrid>
        <w:gridCol w:w="1203"/>
        <w:gridCol w:w="1359"/>
        <w:gridCol w:w="1225"/>
        <w:gridCol w:w="1150"/>
        <w:gridCol w:w="1168"/>
        <w:gridCol w:w="1106"/>
      </w:tblGrid>
      <w:tr w:rsidR="78FB741A" w14:paraId="2D39FEEB" w14:textId="77777777" w:rsidTr="387E6C5F">
        <w:trPr>
          <w:trHeight w:val="300"/>
        </w:trPr>
        <w:tc>
          <w:tcPr>
            <w:tcW w:w="1203" w:type="dxa"/>
            <w:tcBorders>
              <w:top w:val="single" w:sz="8" w:space="0" w:color="auto"/>
              <w:left w:val="single" w:sz="8" w:space="0" w:color="auto"/>
              <w:bottom w:val="single" w:sz="8" w:space="0" w:color="auto"/>
              <w:right w:val="single" w:sz="8" w:space="0" w:color="auto"/>
            </w:tcBorders>
            <w:tcMar>
              <w:left w:w="108" w:type="dxa"/>
              <w:right w:w="108" w:type="dxa"/>
            </w:tcMar>
          </w:tcPr>
          <w:p w14:paraId="2B080A37" w14:textId="7010AE15" w:rsidR="78FB741A" w:rsidRDefault="78FB741A" w:rsidP="78FB741A">
            <w:pPr>
              <w:rPr>
                <w:rFonts w:asciiTheme="minorHAnsi" w:eastAsiaTheme="minorEastAsia" w:hAnsiTheme="minorHAnsi" w:cstheme="minorBidi"/>
                <w:b/>
                <w:bCs/>
              </w:rPr>
            </w:pPr>
            <w:r w:rsidRPr="78FB741A">
              <w:rPr>
                <w:rFonts w:asciiTheme="minorHAnsi" w:eastAsiaTheme="minorEastAsia" w:hAnsiTheme="minorHAnsi" w:cstheme="minorBidi"/>
                <w:b/>
                <w:bCs/>
              </w:rPr>
              <w:t>Country</w:t>
            </w:r>
          </w:p>
        </w:tc>
        <w:tc>
          <w:tcPr>
            <w:tcW w:w="1359" w:type="dxa"/>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12B6EE28" w14:textId="4D0AF9AD" w:rsidR="78FB741A" w:rsidRDefault="78FB741A" w:rsidP="78FB741A">
            <w:pPr>
              <w:rPr>
                <w:rFonts w:asciiTheme="minorHAnsi" w:eastAsiaTheme="minorEastAsia" w:hAnsiTheme="minorHAnsi" w:cstheme="minorBidi"/>
                <w:b/>
                <w:bCs/>
                <w:color w:val="000000" w:themeColor="text1"/>
              </w:rPr>
            </w:pPr>
            <w:r w:rsidRPr="78FB741A">
              <w:rPr>
                <w:rFonts w:asciiTheme="minorHAnsi" w:eastAsiaTheme="minorEastAsia" w:hAnsiTheme="minorHAnsi" w:cstheme="minorBidi"/>
                <w:b/>
                <w:bCs/>
                <w:color w:val="000000" w:themeColor="text1"/>
              </w:rPr>
              <w:t>Utilisation across all preferences</w:t>
            </w:r>
          </w:p>
        </w:tc>
        <w:tc>
          <w:tcPr>
            <w:tcW w:w="1225" w:type="dxa"/>
            <w:tcBorders>
              <w:top w:val="single" w:sz="8" w:space="0" w:color="auto"/>
              <w:left w:val="single" w:sz="8" w:space="0" w:color="auto"/>
              <w:bottom w:val="single" w:sz="8" w:space="0" w:color="auto"/>
              <w:right w:val="single" w:sz="8" w:space="0" w:color="auto"/>
            </w:tcBorders>
            <w:tcMar>
              <w:left w:w="108" w:type="dxa"/>
              <w:right w:w="108" w:type="dxa"/>
            </w:tcMar>
          </w:tcPr>
          <w:p w14:paraId="3985B836" w14:textId="0D4B4AB8" w:rsidR="78FB741A" w:rsidRDefault="78FB741A" w:rsidP="78FB741A">
            <w:pPr>
              <w:rPr>
                <w:rFonts w:asciiTheme="minorHAnsi" w:eastAsiaTheme="minorEastAsia" w:hAnsiTheme="minorHAnsi" w:cstheme="minorBidi"/>
                <w:b/>
                <w:bCs/>
              </w:rPr>
            </w:pPr>
            <w:r w:rsidRPr="78FB741A">
              <w:rPr>
                <w:rFonts w:asciiTheme="minorHAnsi" w:eastAsiaTheme="minorEastAsia" w:hAnsiTheme="minorHAnsi" w:cstheme="minorBidi"/>
                <w:b/>
                <w:bCs/>
              </w:rPr>
              <w:t>Bilateral FTA</w:t>
            </w:r>
          </w:p>
        </w:tc>
        <w:tc>
          <w:tcPr>
            <w:tcW w:w="1150" w:type="dxa"/>
            <w:tcBorders>
              <w:top w:val="single" w:sz="8" w:space="0" w:color="auto"/>
              <w:left w:val="single" w:sz="8" w:space="0" w:color="auto"/>
              <w:bottom w:val="single" w:sz="8" w:space="0" w:color="auto"/>
              <w:right w:val="single" w:sz="8" w:space="0" w:color="auto"/>
            </w:tcBorders>
            <w:tcMar>
              <w:left w:w="108" w:type="dxa"/>
              <w:right w:w="108" w:type="dxa"/>
            </w:tcMar>
          </w:tcPr>
          <w:p w14:paraId="0A4C84BE" w14:textId="503D51D5" w:rsidR="78FB741A" w:rsidRDefault="78FB741A" w:rsidP="78FB741A">
            <w:pPr>
              <w:rPr>
                <w:rFonts w:asciiTheme="minorHAnsi" w:eastAsiaTheme="minorEastAsia" w:hAnsiTheme="minorHAnsi" w:cstheme="minorBidi"/>
                <w:b/>
                <w:bCs/>
              </w:rPr>
            </w:pPr>
            <w:r w:rsidRPr="78FB741A">
              <w:rPr>
                <w:rFonts w:asciiTheme="minorHAnsi" w:eastAsiaTheme="minorEastAsia" w:hAnsiTheme="minorHAnsi" w:cstheme="minorBidi"/>
                <w:b/>
                <w:bCs/>
              </w:rPr>
              <w:t>AANZFTA</w:t>
            </w:r>
          </w:p>
        </w:tc>
        <w:tc>
          <w:tcPr>
            <w:tcW w:w="1168" w:type="dxa"/>
            <w:tcBorders>
              <w:top w:val="single" w:sz="8" w:space="0" w:color="auto"/>
              <w:left w:val="single" w:sz="8" w:space="0" w:color="auto"/>
              <w:bottom w:val="single" w:sz="8" w:space="0" w:color="auto"/>
              <w:right w:val="single" w:sz="8" w:space="0" w:color="auto"/>
            </w:tcBorders>
            <w:shd w:val="clear" w:color="auto" w:fill="FFE599" w:themeFill="accent4" w:themeFillTint="66"/>
            <w:tcMar>
              <w:left w:w="108" w:type="dxa"/>
              <w:right w:w="108" w:type="dxa"/>
            </w:tcMar>
          </w:tcPr>
          <w:p w14:paraId="082B1354" w14:textId="4139C7B1" w:rsidR="78FB741A" w:rsidRDefault="78FB741A" w:rsidP="78FB741A">
            <w:pPr>
              <w:rPr>
                <w:rFonts w:asciiTheme="minorHAnsi" w:eastAsiaTheme="minorEastAsia" w:hAnsiTheme="minorHAnsi" w:cstheme="minorBidi"/>
                <w:b/>
                <w:bCs/>
                <w:color w:val="000000" w:themeColor="text1"/>
              </w:rPr>
            </w:pPr>
            <w:r w:rsidRPr="78FB741A">
              <w:rPr>
                <w:rFonts w:asciiTheme="minorHAnsi" w:eastAsiaTheme="minorEastAsia" w:hAnsiTheme="minorHAnsi" w:cstheme="minorBidi"/>
                <w:b/>
                <w:bCs/>
                <w:color w:val="000000" w:themeColor="text1"/>
              </w:rPr>
              <w:t>CPTPP</w:t>
            </w:r>
          </w:p>
        </w:tc>
        <w:tc>
          <w:tcPr>
            <w:tcW w:w="1106" w:type="dxa"/>
            <w:tcBorders>
              <w:top w:val="single" w:sz="8" w:space="0" w:color="auto"/>
              <w:left w:val="single" w:sz="8" w:space="0" w:color="auto"/>
              <w:bottom w:val="single" w:sz="8" w:space="0" w:color="auto"/>
              <w:right w:val="single" w:sz="8" w:space="0" w:color="auto"/>
            </w:tcBorders>
            <w:tcMar>
              <w:left w:w="108" w:type="dxa"/>
              <w:right w:w="108" w:type="dxa"/>
            </w:tcMar>
          </w:tcPr>
          <w:p w14:paraId="6E12CDD2" w14:textId="6098A0F2" w:rsidR="78FB741A" w:rsidRDefault="78FB741A" w:rsidP="78FB741A">
            <w:pPr>
              <w:rPr>
                <w:rFonts w:asciiTheme="minorHAnsi" w:eastAsiaTheme="minorEastAsia" w:hAnsiTheme="minorHAnsi" w:cstheme="minorBidi"/>
                <w:b/>
                <w:bCs/>
              </w:rPr>
            </w:pPr>
            <w:r w:rsidRPr="78FB741A">
              <w:rPr>
                <w:rFonts w:asciiTheme="minorHAnsi" w:eastAsiaTheme="minorEastAsia" w:hAnsiTheme="minorHAnsi" w:cstheme="minorBidi"/>
                <w:b/>
                <w:bCs/>
              </w:rPr>
              <w:t>RCEP</w:t>
            </w:r>
          </w:p>
        </w:tc>
      </w:tr>
      <w:tr w:rsidR="78FB741A" w14:paraId="515941CD" w14:textId="77777777" w:rsidTr="387E6C5F">
        <w:trPr>
          <w:trHeight w:val="300"/>
        </w:trPr>
        <w:tc>
          <w:tcPr>
            <w:tcW w:w="1203" w:type="dxa"/>
            <w:tcBorders>
              <w:top w:val="single" w:sz="8" w:space="0" w:color="auto"/>
              <w:left w:val="single" w:sz="8" w:space="0" w:color="auto"/>
              <w:bottom w:val="single" w:sz="8" w:space="0" w:color="auto"/>
              <w:right w:val="single" w:sz="8" w:space="0" w:color="auto"/>
            </w:tcBorders>
            <w:tcMar>
              <w:left w:w="108" w:type="dxa"/>
              <w:right w:w="108" w:type="dxa"/>
            </w:tcMar>
          </w:tcPr>
          <w:p w14:paraId="37D0B55C" w14:textId="61EBE4A8"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Canada</w:t>
            </w:r>
          </w:p>
        </w:tc>
        <w:tc>
          <w:tcPr>
            <w:tcW w:w="1359" w:type="dxa"/>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5FAF790E" w14:textId="02A517AC" w:rsidR="78FB741A" w:rsidRDefault="78FB741A" w:rsidP="78FB741A">
            <w:pPr>
              <w:rPr>
                <w:rFonts w:asciiTheme="minorHAnsi" w:eastAsiaTheme="minorEastAsia" w:hAnsiTheme="minorHAnsi" w:cstheme="minorBidi"/>
                <w:color w:val="000000" w:themeColor="text1"/>
              </w:rPr>
            </w:pPr>
            <w:r w:rsidRPr="78FB741A">
              <w:rPr>
                <w:rFonts w:asciiTheme="minorHAnsi" w:eastAsiaTheme="minorEastAsia" w:hAnsiTheme="minorHAnsi" w:cstheme="minorBidi"/>
                <w:color w:val="000000" w:themeColor="text1"/>
              </w:rPr>
              <w:t>60%</w:t>
            </w:r>
          </w:p>
        </w:tc>
        <w:tc>
          <w:tcPr>
            <w:tcW w:w="1225" w:type="dxa"/>
            <w:tcBorders>
              <w:top w:val="single" w:sz="8" w:space="0" w:color="auto"/>
              <w:left w:val="single" w:sz="8" w:space="0" w:color="auto"/>
              <w:bottom w:val="single" w:sz="8" w:space="0" w:color="auto"/>
              <w:right w:val="single" w:sz="8" w:space="0" w:color="auto"/>
            </w:tcBorders>
            <w:tcMar>
              <w:left w:w="108" w:type="dxa"/>
              <w:right w:w="108" w:type="dxa"/>
            </w:tcMar>
          </w:tcPr>
          <w:p w14:paraId="7C62C27D" w14:textId="1C6A6DEE"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w:t>
            </w:r>
          </w:p>
        </w:tc>
        <w:tc>
          <w:tcPr>
            <w:tcW w:w="1150" w:type="dxa"/>
            <w:tcBorders>
              <w:top w:val="single" w:sz="8" w:space="0" w:color="auto"/>
              <w:left w:val="single" w:sz="8" w:space="0" w:color="auto"/>
              <w:bottom w:val="single" w:sz="8" w:space="0" w:color="auto"/>
              <w:right w:val="single" w:sz="8" w:space="0" w:color="auto"/>
            </w:tcBorders>
            <w:tcMar>
              <w:left w:w="108" w:type="dxa"/>
              <w:right w:w="108" w:type="dxa"/>
            </w:tcMar>
          </w:tcPr>
          <w:p w14:paraId="7D873369" w14:textId="6C7DF24B"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w:t>
            </w:r>
          </w:p>
        </w:tc>
        <w:tc>
          <w:tcPr>
            <w:tcW w:w="1168" w:type="dxa"/>
            <w:tcBorders>
              <w:top w:val="single" w:sz="8" w:space="0" w:color="auto"/>
              <w:left w:val="single" w:sz="8" w:space="0" w:color="auto"/>
              <w:bottom w:val="single" w:sz="8" w:space="0" w:color="auto"/>
              <w:right w:val="single" w:sz="8" w:space="0" w:color="auto"/>
            </w:tcBorders>
            <w:shd w:val="clear" w:color="auto" w:fill="FFE599" w:themeFill="accent4" w:themeFillTint="66"/>
            <w:tcMar>
              <w:left w:w="108" w:type="dxa"/>
              <w:right w:w="108" w:type="dxa"/>
            </w:tcMar>
          </w:tcPr>
          <w:p w14:paraId="40DE6B74" w14:textId="457B14FC" w:rsidR="78FB741A" w:rsidRDefault="78FB741A" w:rsidP="78FB741A">
            <w:pPr>
              <w:rPr>
                <w:rFonts w:asciiTheme="minorHAnsi" w:eastAsiaTheme="minorEastAsia" w:hAnsiTheme="minorHAnsi" w:cstheme="minorBidi"/>
                <w:color w:val="000000" w:themeColor="text1"/>
              </w:rPr>
            </w:pPr>
            <w:r w:rsidRPr="78FB741A">
              <w:rPr>
                <w:rFonts w:asciiTheme="minorHAnsi" w:eastAsiaTheme="minorEastAsia" w:hAnsiTheme="minorHAnsi" w:cstheme="minorBidi"/>
                <w:color w:val="000000" w:themeColor="text1"/>
              </w:rPr>
              <w:t>60%</w:t>
            </w:r>
          </w:p>
        </w:tc>
        <w:tc>
          <w:tcPr>
            <w:tcW w:w="1106" w:type="dxa"/>
            <w:tcBorders>
              <w:top w:val="single" w:sz="8" w:space="0" w:color="auto"/>
              <w:left w:val="single" w:sz="8" w:space="0" w:color="auto"/>
              <w:bottom w:val="single" w:sz="8" w:space="0" w:color="auto"/>
              <w:right w:val="single" w:sz="8" w:space="0" w:color="auto"/>
            </w:tcBorders>
            <w:tcMar>
              <w:left w:w="108" w:type="dxa"/>
              <w:right w:w="108" w:type="dxa"/>
            </w:tcMar>
          </w:tcPr>
          <w:p w14:paraId="3B279DFF" w14:textId="1BAA2F00"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w:t>
            </w:r>
          </w:p>
        </w:tc>
      </w:tr>
      <w:tr w:rsidR="387E6C5F" w14:paraId="5A5FF2B7" w14:textId="77777777" w:rsidTr="387E6C5F">
        <w:trPr>
          <w:trHeight w:val="300"/>
        </w:trPr>
        <w:tc>
          <w:tcPr>
            <w:tcW w:w="1203" w:type="dxa"/>
            <w:tcBorders>
              <w:top w:val="single" w:sz="8" w:space="0" w:color="auto"/>
              <w:left w:val="single" w:sz="8" w:space="0" w:color="auto"/>
              <w:bottom w:val="single" w:sz="8" w:space="0" w:color="auto"/>
              <w:right w:val="single" w:sz="8" w:space="0" w:color="auto"/>
            </w:tcBorders>
            <w:tcMar>
              <w:left w:w="108" w:type="dxa"/>
              <w:right w:w="108" w:type="dxa"/>
            </w:tcMar>
          </w:tcPr>
          <w:p w14:paraId="14FF33C4" w14:textId="2EB661F3" w:rsidR="666A2F54" w:rsidRDefault="666A2F54" w:rsidP="387E6C5F">
            <w:pPr>
              <w:rPr>
                <w:rFonts w:asciiTheme="minorHAnsi" w:eastAsiaTheme="minorEastAsia" w:hAnsiTheme="minorHAnsi" w:cstheme="minorBidi"/>
              </w:rPr>
            </w:pPr>
            <w:r w:rsidRPr="387E6C5F">
              <w:rPr>
                <w:rFonts w:asciiTheme="minorHAnsi" w:eastAsiaTheme="minorEastAsia" w:hAnsiTheme="minorHAnsi" w:cstheme="minorBidi"/>
              </w:rPr>
              <w:t>Japan</w:t>
            </w:r>
          </w:p>
        </w:tc>
        <w:tc>
          <w:tcPr>
            <w:tcW w:w="1359" w:type="dxa"/>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429FFAE1" w14:textId="13BB2296" w:rsidR="666A2F54" w:rsidRDefault="666A2F54" w:rsidP="387E6C5F">
            <w:pPr>
              <w:rPr>
                <w:rFonts w:asciiTheme="minorHAnsi" w:eastAsiaTheme="minorEastAsia" w:hAnsiTheme="minorHAnsi" w:cstheme="minorBidi"/>
                <w:color w:val="000000" w:themeColor="text1"/>
              </w:rPr>
            </w:pPr>
            <w:r w:rsidRPr="387E6C5F">
              <w:rPr>
                <w:rFonts w:asciiTheme="minorHAnsi" w:eastAsiaTheme="minorEastAsia" w:hAnsiTheme="minorHAnsi" w:cstheme="minorBidi"/>
                <w:color w:val="000000" w:themeColor="text1"/>
              </w:rPr>
              <w:t>96%</w:t>
            </w:r>
          </w:p>
        </w:tc>
        <w:tc>
          <w:tcPr>
            <w:tcW w:w="1225" w:type="dxa"/>
            <w:tcBorders>
              <w:top w:val="single" w:sz="8" w:space="0" w:color="auto"/>
              <w:left w:val="single" w:sz="8" w:space="0" w:color="auto"/>
              <w:bottom w:val="single" w:sz="8" w:space="0" w:color="auto"/>
              <w:right w:val="single" w:sz="8" w:space="0" w:color="auto"/>
            </w:tcBorders>
            <w:tcMar>
              <w:left w:w="108" w:type="dxa"/>
              <w:right w:w="108" w:type="dxa"/>
            </w:tcMar>
          </w:tcPr>
          <w:p w14:paraId="6FAE081A" w14:textId="1E203135" w:rsidR="666A2F54" w:rsidRDefault="666A2F54" w:rsidP="387E6C5F">
            <w:pPr>
              <w:rPr>
                <w:rFonts w:asciiTheme="minorHAnsi" w:eastAsiaTheme="minorEastAsia" w:hAnsiTheme="minorHAnsi" w:cstheme="minorBidi"/>
              </w:rPr>
            </w:pPr>
            <w:r w:rsidRPr="387E6C5F">
              <w:rPr>
                <w:rFonts w:asciiTheme="minorHAnsi" w:eastAsiaTheme="minorEastAsia" w:hAnsiTheme="minorHAnsi" w:cstheme="minorBidi"/>
              </w:rPr>
              <w:t>43%</w:t>
            </w:r>
          </w:p>
        </w:tc>
        <w:tc>
          <w:tcPr>
            <w:tcW w:w="1150" w:type="dxa"/>
            <w:tcBorders>
              <w:top w:val="single" w:sz="8" w:space="0" w:color="auto"/>
              <w:left w:val="single" w:sz="8" w:space="0" w:color="auto"/>
              <w:bottom w:val="single" w:sz="8" w:space="0" w:color="auto"/>
              <w:right w:val="single" w:sz="8" w:space="0" w:color="auto"/>
            </w:tcBorders>
            <w:tcMar>
              <w:left w:w="108" w:type="dxa"/>
              <w:right w:w="108" w:type="dxa"/>
            </w:tcMar>
          </w:tcPr>
          <w:p w14:paraId="562F004F" w14:textId="5B99E245" w:rsidR="387E6C5F" w:rsidRDefault="387E6C5F" w:rsidP="387E6C5F">
            <w:pPr>
              <w:rPr>
                <w:rFonts w:asciiTheme="minorHAnsi" w:eastAsiaTheme="minorEastAsia" w:hAnsiTheme="minorHAnsi" w:cstheme="minorBidi"/>
              </w:rPr>
            </w:pPr>
          </w:p>
        </w:tc>
        <w:tc>
          <w:tcPr>
            <w:tcW w:w="1168" w:type="dxa"/>
            <w:tcBorders>
              <w:top w:val="single" w:sz="8" w:space="0" w:color="auto"/>
              <w:left w:val="single" w:sz="8" w:space="0" w:color="auto"/>
              <w:bottom w:val="single" w:sz="8" w:space="0" w:color="auto"/>
              <w:right w:val="single" w:sz="8" w:space="0" w:color="auto"/>
            </w:tcBorders>
            <w:shd w:val="clear" w:color="auto" w:fill="FFE599" w:themeFill="accent4" w:themeFillTint="66"/>
            <w:tcMar>
              <w:left w:w="108" w:type="dxa"/>
              <w:right w:w="108" w:type="dxa"/>
            </w:tcMar>
          </w:tcPr>
          <w:p w14:paraId="35AD4A37" w14:textId="389607A9" w:rsidR="666A2F54" w:rsidRDefault="666A2F54" w:rsidP="387E6C5F">
            <w:pPr>
              <w:rPr>
                <w:rFonts w:asciiTheme="minorHAnsi" w:eastAsiaTheme="minorEastAsia" w:hAnsiTheme="minorHAnsi" w:cstheme="minorBidi"/>
                <w:color w:val="000000" w:themeColor="text1"/>
              </w:rPr>
            </w:pPr>
            <w:r w:rsidRPr="387E6C5F">
              <w:rPr>
                <w:rFonts w:asciiTheme="minorHAnsi" w:eastAsiaTheme="minorEastAsia" w:hAnsiTheme="minorHAnsi" w:cstheme="minorBidi"/>
                <w:color w:val="000000" w:themeColor="text1"/>
              </w:rPr>
              <w:t>53%</w:t>
            </w:r>
          </w:p>
        </w:tc>
        <w:tc>
          <w:tcPr>
            <w:tcW w:w="1106" w:type="dxa"/>
            <w:tcBorders>
              <w:top w:val="single" w:sz="8" w:space="0" w:color="auto"/>
              <w:left w:val="single" w:sz="8" w:space="0" w:color="auto"/>
              <w:bottom w:val="single" w:sz="8" w:space="0" w:color="auto"/>
              <w:right w:val="single" w:sz="8" w:space="0" w:color="auto"/>
            </w:tcBorders>
            <w:tcMar>
              <w:left w:w="108" w:type="dxa"/>
              <w:right w:w="108" w:type="dxa"/>
            </w:tcMar>
          </w:tcPr>
          <w:p w14:paraId="283078CE" w14:textId="64C0F7C5" w:rsidR="666A2F54" w:rsidRDefault="666A2F54" w:rsidP="387E6C5F">
            <w:pPr>
              <w:rPr>
                <w:rFonts w:asciiTheme="minorHAnsi" w:eastAsiaTheme="minorEastAsia" w:hAnsiTheme="minorHAnsi" w:cstheme="minorBidi"/>
              </w:rPr>
            </w:pPr>
            <w:r w:rsidRPr="387E6C5F">
              <w:rPr>
                <w:rFonts w:asciiTheme="minorHAnsi" w:eastAsiaTheme="minorEastAsia" w:hAnsiTheme="minorHAnsi" w:cstheme="minorBidi"/>
              </w:rPr>
              <w:t>0%</w:t>
            </w:r>
          </w:p>
        </w:tc>
      </w:tr>
      <w:tr w:rsidR="78FB741A" w14:paraId="23DC10C0" w14:textId="77777777" w:rsidTr="387E6C5F">
        <w:trPr>
          <w:trHeight w:val="300"/>
        </w:trPr>
        <w:tc>
          <w:tcPr>
            <w:tcW w:w="1203" w:type="dxa"/>
            <w:tcBorders>
              <w:top w:val="single" w:sz="8" w:space="0" w:color="auto"/>
              <w:left w:val="single" w:sz="8" w:space="0" w:color="auto"/>
              <w:bottom w:val="single" w:sz="8" w:space="0" w:color="auto"/>
              <w:right w:val="single" w:sz="8" w:space="0" w:color="auto"/>
            </w:tcBorders>
            <w:tcMar>
              <w:left w:w="108" w:type="dxa"/>
              <w:right w:w="108" w:type="dxa"/>
            </w:tcMar>
          </w:tcPr>
          <w:p w14:paraId="4CAEC7D0" w14:textId="72C22266"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Chile</w:t>
            </w:r>
          </w:p>
        </w:tc>
        <w:tc>
          <w:tcPr>
            <w:tcW w:w="1359" w:type="dxa"/>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61452512" w14:textId="5E2ACA72" w:rsidR="78FB741A" w:rsidRDefault="78FB741A" w:rsidP="78FB741A">
            <w:pPr>
              <w:rPr>
                <w:rFonts w:asciiTheme="minorHAnsi" w:eastAsiaTheme="minorEastAsia" w:hAnsiTheme="minorHAnsi" w:cstheme="minorBidi"/>
                <w:color w:val="000000" w:themeColor="text1"/>
              </w:rPr>
            </w:pPr>
            <w:r w:rsidRPr="78FB741A">
              <w:rPr>
                <w:rFonts w:asciiTheme="minorHAnsi" w:eastAsiaTheme="minorEastAsia" w:hAnsiTheme="minorHAnsi" w:cstheme="minorBidi"/>
                <w:color w:val="000000" w:themeColor="text1"/>
              </w:rPr>
              <w:t>94.2%</w:t>
            </w:r>
          </w:p>
        </w:tc>
        <w:tc>
          <w:tcPr>
            <w:tcW w:w="1225" w:type="dxa"/>
            <w:tcBorders>
              <w:top w:val="single" w:sz="8" w:space="0" w:color="auto"/>
              <w:left w:val="single" w:sz="8" w:space="0" w:color="auto"/>
              <w:bottom w:val="single" w:sz="8" w:space="0" w:color="auto"/>
              <w:right w:val="single" w:sz="8" w:space="0" w:color="auto"/>
            </w:tcBorders>
            <w:tcMar>
              <w:left w:w="108" w:type="dxa"/>
              <w:right w:w="108" w:type="dxa"/>
            </w:tcMar>
          </w:tcPr>
          <w:p w14:paraId="3874940E" w14:textId="7F6CFAEC"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94%</w:t>
            </w:r>
          </w:p>
        </w:tc>
        <w:tc>
          <w:tcPr>
            <w:tcW w:w="1150" w:type="dxa"/>
            <w:tcBorders>
              <w:top w:val="single" w:sz="8" w:space="0" w:color="auto"/>
              <w:left w:val="single" w:sz="8" w:space="0" w:color="auto"/>
              <w:bottom w:val="single" w:sz="8" w:space="0" w:color="auto"/>
              <w:right w:val="single" w:sz="8" w:space="0" w:color="auto"/>
            </w:tcBorders>
            <w:tcMar>
              <w:left w:w="108" w:type="dxa"/>
              <w:right w:w="108" w:type="dxa"/>
            </w:tcMar>
          </w:tcPr>
          <w:p w14:paraId="3F2111CD" w14:textId="3487013B"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w:t>
            </w:r>
          </w:p>
        </w:tc>
        <w:tc>
          <w:tcPr>
            <w:tcW w:w="1168" w:type="dxa"/>
            <w:tcBorders>
              <w:top w:val="single" w:sz="8" w:space="0" w:color="auto"/>
              <w:left w:val="single" w:sz="8" w:space="0" w:color="auto"/>
              <w:bottom w:val="single" w:sz="8" w:space="0" w:color="auto"/>
              <w:right w:val="single" w:sz="8" w:space="0" w:color="auto"/>
            </w:tcBorders>
            <w:shd w:val="clear" w:color="auto" w:fill="FFE599" w:themeFill="accent4" w:themeFillTint="66"/>
            <w:tcMar>
              <w:left w:w="108" w:type="dxa"/>
              <w:right w:w="108" w:type="dxa"/>
            </w:tcMar>
          </w:tcPr>
          <w:p w14:paraId="7A6A795B" w14:textId="5B0D17F5" w:rsidR="78FB741A" w:rsidRDefault="78FB741A" w:rsidP="78FB741A">
            <w:pPr>
              <w:rPr>
                <w:rFonts w:asciiTheme="minorHAnsi" w:eastAsiaTheme="minorEastAsia" w:hAnsiTheme="minorHAnsi" w:cstheme="minorBidi"/>
                <w:color w:val="000000" w:themeColor="text1"/>
              </w:rPr>
            </w:pPr>
            <w:r w:rsidRPr="78FB741A">
              <w:rPr>
                <w:rFonts w:asciiTheme="minorHAnsi" w:eastAsiaTheme="minorEastAsia" w:hAnsiTheme="minorHAnsi" w:cstheme="minorBidi"/>
                <w:color w:val="000000" w:themeColor="text1"/>
              </w:rPr>
              <w:t>0.02%</w:t>
            </w:r>
          </w:p>
        </w:tc>
        <w:tc>
          <w:tcPr>
            <w:tcW w:w="1106" w:type="dxa"/>
            <w:tcBorders>
              <w:top w:val="single" w:sz="8" w:space="0" w:color="auto"/>
              <w:left w:val="single" w:sz="8" w:space="0" w:color="auto"/>
              <w:bottom w:val="single" w:sz="8" w:space="0" w:color="auto"/>
              <w:right w:val="single" w:sz="8" w:space="0" w:color="auto"/>
            </w:tcBorders>
            <w:tcMar>
              <w:left w:w="108" w:type="dxa"/>
              <w:right w:w="108" w:type="dxa"/>
            </w:tcMar>
          </w:tcPr>
          <w:p w14:paraId="37645305" w14:textId="6F8D5DFE"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w:t>
            </w:r>
          </w:p>
        </w:tc>
      </w:tr>
      <w:tr w:rsidR="78FB741A" w14:paraId="2121F4A8" w14:textId="77777777" w:rsidTr="387E6C5F">
        <w:trPr>
          <w:trHeight w:val="300"/>
        </w:trPr>
        <w:tc>
          <w:tcPr>
            <w:tcW w:w="1203" w:type="dxa"/>
            <w:tcBorders>
              <w:top w:val="single" w:sz="8" w:space="0" w:color="auto"/>
              <w:left w:val="single" w:sz="8" w:space="0" w:color="auto"/>
              <w:bottom w:val="single" w:sz="8" w:space="0" w:color="auto"/>
              <w:right w:val="single" w:sz="8" w:space="0" w:color="auto"/>
            </w:tcBorders>
            <w:tcMar>
              <w:left w:w="108" w:type="dxa"/>
              <w:right w:w="108" w:type="dxa"/>
            </w:tcMar>
          </w:tcPr>
          <w:p w14:paraId="45E2CA62" w14:textId="6DC42DE6"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Mexico</w:t>
            </w:r>
          </w:p>
        </w:tc>
        <w:tc>
          <w:tcPr>
            <w:tcW w:w="1359" w:type="dxa"/>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146FAF46" w14:textId="61A45B14" w:rsidR="78FB741A" w:rsidRDefault="78FB741A" w:rsidP="78FB741A">
            <w:pPr>
              <w:rPr>
                <w:rFonts w:asciiTheme="minorHAnsi" w:eastAsiaTheme="minorEastAsia" w:hAnsiTheme="minorHAnsi" w:cstheme="minorBidi"/>
                <w:color w:val="000000" w:themeColor="text1"/>
              </w:rPr>
            </w:pPr>
            <w:r w:rsidRPr="387E6C5F">
              <w:rPr>
                <w:rFonts w:asciiTheme="minorHAnsi" w:eastAsiaTheme="minorEastAsia" w:hAnsiTheme="minorHAnsi" w:cstheme="minorBidi"/>
                <w:color w:val="000000" w:themeColor="text1"/>
              </w:rPr>
              <w:t>67.</w:t>
            </w:r>
            <w:r w:rsidR="00D23333">
              <w:rPr>
                <w:rFonts w:asciiTheme="minorHAnsi" w:eastAsiaTheme="minorEastAsia" w:hAnsiTheme="minorHAnsi" w:cstheme="minorBidi"/>
                <w:color w:val="000000" w:themeColor="text1"/>
              </w:rPr>
              <w:t>7</w:t>
            </w:r>
            <w:r w:rsidR="7A087E19" w:rsidRPr="387E6C5F">
              <w:rPr>
                <w:rFonts w:asciiTheme="minorHAnsi" w:eastAsiaTheme="minorEastAsia" w:hAnsiTheme="minorHAnsi" w:cstheme="minorBidi"/>
                <w:color w:val="000000" w:themeColor="text1"/>
              </w:rPr>
              <w:t>%</w:t>
            </w:r>
          </w:p>
        </w:tc>
        <w:tc>
          <w:tcPr>
            <w:tcW w:w="1225" w:type="dxa"/>
            <w:tcBorders>
              <w:top w:val="single" w:sz="8" w:space="0" w:color="auto"/>
              <w:left w:val="single" w:sz="8" w:space="0" w:color="auto"/>
              <w:bottom w:val="single" w:sz="8" w:space="0" w:color="auto"/>
              <w:right w:val="single" w:sz="8" w:space="0" w:color="auto"/>
            </w:tcBorders>
            <w:tcMar>
              <w:left w:w="108" w:type="dxa"/>
              <w:right w:w="108" w:type="dxa"/>
            </w:tcMar>
          </w:tcPr>
          <w:p w14:paraId="2B4A9BC3" w14:textId="4007508D"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w:t>
            </w:r>
          </w:p>
        </w:tc>
        <w:tc>
          <w:tcPr>
            <w:tcW w:w="1150" w:type="dxa"/>
            <w:tcBorders>
              <w:top w:val="single" w:sz="8" w:space="0" w:color="auto"/>
              <w:left w:val="single" w:sz="8" w:space="0" w:color="auto"/>
              <w:bottom w:val="single" w:sz="8" w:space="0" w:color="auto"/>
              <w:right w:val="single" w:sz="8" w:space="0" w:color="auto"/>
            </w:tcBorders>
            <w:tcMar>
              <w:left w:w="108" w:type="dxa"/>
              <w:right w:w="108" w:type="dxa"/>
            </w:tcMar>
          </w:tcPr>
          <w:p w14:paraId="4984F742" w14:textId="37362B62"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w:t>
            </w:r>
          </w:p>
        </w:tc>
        <w:tc>
          <w:tcPr>
            <w:tcW w:w="1168" w:type="dxa"/>
            <w:tcBorders>
              <w:top w:val="single" w:sz="8" w:space="0" w:color="auto"/>
              <w:left w:val="single" w:sz="8" w:space="0" w:color="auto"/>
              <w:bottom w:val="single" w:sz="8" w:space="0" w:color="auto"/>
              <w:right w:val="single" w:sz="8" w:space="0" w:color="auto"/>
            </w:tcBorders>
            <w:shd w:val="clear" w:color="auto" w:fill="FFE599" w:themeFill="accent4" w:themeFillTint="66"/>
            <w:tcMar>
              <w:left w:w="108" w:type="dxa"/>
              <w:right w:w="108" w:type="dxa"/>
            </w:tcMar>
          </w:tcPr>
          <w:p w14:paraId="2B08C78C" w14:textId="288634FB" w:rsidR="78FB741A" w:rsidRDefault="78FB741A" w:rsidP="78FB741A">
            <w:pPr>
              <w:rPr>
                <w:rFonts w:asciiTheme="minorHAnsi" w:eastAsiaTheme="minorEastAsia" w:hAnsiTheme="minorHAnsi" w:cstheme="minorBidi"/>
                <w:color w:val="000000" w:themeColor="text1"/>
              </w:rPr>
            </w:pPr>
            <w:r w:rsidRPr="78FB741A">
              <w:rPr>
                <w:rFonts w:asciiTheme="minorHAnsi" w:eastAsiaTheme="minorEastAsia" w:hAnsiTheme="minorHAnsi" w:cstheme="minorBidi"/>
                <w:color w:val="000000" w:themeColor="text1"/>
              </w:rPr>
              <w:t>67.6%</w:t>
            </w:r>
          </w:p>
        </w:tc>
        <w:tc>
          <w:tcPr>
            <w:tcW w:w="1106" w:type="dxa"/>
            <w:tcBorders>
              <w:top w:val="single" w:sz="8" w:space="0" w:color="auto"/>
              <w:left w:val="single" w:sz="8" w:space="0" w:color="auto"/>
              <w:bottom w:val="single" w:sz="8" w:space="0" w:color="auto"/>
              <w:right w:val="single" w:sz="8" w:space="0" w:color="auto"/>
            </w:tcBorders>
            <w:tcMar>
              <w:left w:w="108" w:type="dxa"/>
              <w:right w:w="108" w:type="dxa"/>
            </w:tcMar>
          </w:tcPr>
          <w:p w14:paraId="569B872E" w14:textId="480E7166"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w:t>
            </w:r>
          </w:p>
        </w:tc>
      </w:tr>
      <w:tr w:rsidR="78FB741A" w14:paraId="3F4E4D7B" w14:textId="77777777" w:rsidTr="387E6C5F">
        <w:trPr>
          <w:trHeight w:val="300"/>
        </w:trPr>
        <w:tc>
          <w:tcPr>
            <w:tcW w:w="1203" w:type="dxa"/>
            <w:tcBorders>
              <w:top w:val="single" w:sz="8" w:space="0" w:color="auto"/>
              <w:left w:val="single" w:sz="8" w:space="0" w:color="auto"/>
              <w:bottom w:val="single" w:sz="8" w:space="0" w:color="auto"/>
              <w:right w:val="single" w:sz="8" w:space="0" w:color="auto"/>
            </w:tcBorders>
            <w:tcMar>
              <w:left w:w="108" w:type="dxa"/>
              <w:right w:w="108" w:type="dxa"/>
            </w:tcMar>
          </w:tcPr>
          <w:p w14:paraId="25D71453" w14:textId="0D6C666E"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New Zealand</w:t>
            </w:r>
          </w:p>
        </w:tc>
        <w:tc>
          <w:tcPr>
            <w:tcW w:w="1359" w:type="dxa"/>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20CE96E5" w14:textId="4AE966D6" w:rsidR="78FB741A" w:rsidRDefault="78FB741A" w:rsidP="78FB741A">
            <w:pPr>
              <w:rPr>
                <w:rFonts w:asciiTheme="minorHAnsi" w:eastAsiaTheme="minorEastAsia" w:hAnsiTheme="minorHAnsi" w:cstheme="minorBidi"/>
                <w:color w:val="000000" w:themeColor="text1"/>
              </w:rPr>
            </w:pPr>
            <w:r w:rsidRPr="78FB741A">
              <w:rPr>
                <w:rFonts w:asciiTheme="minorHAnsi" w:eastAsiaTheme="minorEastAsia" w:hAnsiTheme="minorHAnsi" w:cstheme="minorBidi"/>
                <w:color w:val="000000" w:themeColor="text1"/>
              </w:rPr>
              <w:t>97.4%</w:t>
            </w:r>
          </w:p>
        </w:tc>
        <w:tc>
          <w:tcPr>
            <w:tcW w:w="1225" w:type="dxa"/>
            <w:tcBorders>
              <w:top w:val="single" w:sz="8" w:space="0" w:color="auto"/>
              <w:left w:val="single" w:sz="8" w:space="0" w:color="auto"/>
              <w:bottom w:val="single" w:sz="8" w:space="0" w:color="auto"/>
              <w:right w:val="single" w:sz="8" w:space="0" w:color="auto"/>
            </w:tcBorders>
            <w:tcMar>
              <w:left w:w="108" w:type="dxa"/>
              <w:right w:w="108" w:type="dxa"/>
            </w:tcMar>
          </w:tcPr>
          <w:p w14:paraId="4E4180FD" w14:textId="4F7FD5CF"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96.8%</w:t>
            </w:r>
          </w:p>
        </w:tc>
        <w:tc>
          <w:tcPr>
            <w:tcW w:w="1150" w:type="dxa"/>
            <w:tcBorders>
              <w:top w:val="single" w:sz="8" w:space="0" w:color="auto"/>
              <w:left w:val="single" w:sz="8" w:space="0" w:color="auto"/>
              <w:bottom w:val="single" w:sz="8" w:space="0" w:color="auto"/>
              <w:right w:val="single" w:sz="8" w:space="0" w:color="auto"/>
            </w:tcBorders>
            <w:tcMar>
              <w:left w:w="108" w:type="dxa"/>
              <w:right w:w="108" w:type="dxa"/>
            </w:tcMar>
          </w:tcPr>
          <w:p w14:paraId="46B13889" w14:textId="1092BE19"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0.54%</w:t>
            </w:r>
          </w:p>
        </w:tc>
        <w:tc>
          <w:tcPr>
            <w:tcW w:w="1168" w:type="dxa"/>
            <w:tcBorders>
              <w:top w:val="single" w:sz="8" w:space="0" w:color="auto"/>
              <w:left w:val="single" w:sz="8" w:space="0" w:color="auto"/>
              <w:bottom w:val="single" w:sz="8" w:space="0" w:color="auto"/>
              <w:right w:val="single" w:sz="8" w:space="0" w:color="auto"/>
            </w:tcBorders>
            <w:shd w:val="clear" w:color="auto" w:fill="FFE599" w:themeFill="accent4" w:themeFillTint="66"/>
            <w:tcMar>
              <w:left w:w="108" w:type="dxa"/>
              <w:right w:w="108" w:type="dxa"/>
            </w:tcMar>
          </w:tcPr>
          <w:p w14:paraId="4645A53D" w14:textId="1EE2CE12" w:rsidR="78FB741A" w:rsidRDefault="78FB741A" w:rsidP="78FB741A">
            <w:pPr>
              <w:rPr>
                <w:rFonts w:asciiTheme="minorHAnsi" w:eastAsiaTheme="minorEastAsia" w:hAnsiTheme="minorHAnsi" w:cstheme="minorBidi"/>
                <w:color w:val="000000" w:themeColor="text1"/>
              </w:rPr>
            </w:pPr>
            <w:r w:rsidRPr="78FB741A">
              <w:rPr>
                <w:rFonts w:asciiTheme="minorHAnsi" w:eastAsiaTheme="minorEastAsia" w:hAnsiTheme="minorHAnsi" w:cstheme="minorBidi"/>
                <w:color w:val="000000" w:themeColor="text1"/>
              </w:rPr>
              <w:t>0.1%</w:t>
            </w:r>
          </w:p>
        </w:tc>
        <w:tc>
          <w:tcPr>
            <w:tcW w:w="1106" w:type="dxa"/>
            <w:tcBorders>
              <w:top w:val="single" w:sz="8" w:space="0" w:color="auto"/>
              <w:left w:val="single" w:sz="8" w:space="0" w:color="auto"/>
              <w:bottom w:val="single" w:sz="8" w:space="0" w:color="auto"/>
              <w:right w:val="single" w:sz="8" w:space="0" w:color="auto"/>
            </w:tcBorders>
            <w:tcMar>
              <w:left w:w="108" w:type="dxa"/>
              <w:right w:w="108" w:type="dxa"/>
            </w:tcMar>
          </w:tcPr>
          <w:p w14:paraId="3C989447" w14:textId="0833B4E2"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0.0%</w:t>
            </w:r>
          </w:p>
        </w:tc>
      </w:tr>
    </w:tbl>
    <w:p w14:paraId="31719D57" w14:textId="3BB6B31B" w:rsidR="1FBF61DC" w:rsidRPr="00DF3BC9" w:rsidRDefault="000839B8" w:rsidP="00DF3BC9">
      <w:pPr>
        <w:spacing w:before="120" w:after="0"/>
        <w:rPr>
          <w:rFonts w:eastAsia="Times New Roman" w:cstheme="minorHAnsi"/>
          <w:sz w:val="18"/>
          <w:szCs w:val="18"/>
          <w:lang w:eastAsia="en-AU"/>
        </w:rPr>
      </w:pPr>
      <w:r w:rsidRPr="00DF3BC9">
        <w:rPr>
          <w:rFonts w:eastAsia="Times New Roman" w:cstheme="minorHAnsi"/>
          <w:sz w:val="18"/>
          <w:szCs w:val="18"/>
          <w:lang w:eastAsia="en-AU"/>
        </w:rPr>
        <w:t xml:space="preserve">Note: </w:t>
      </w:r>
      <w:r w:rsidR="1FBF61DC" w:rsidRPr="00DF3BC9">
        <w:rPr>
          <w:rFonts w:eastAsia="Times New Roman" w:cstheme="minorHAnsi"/>
          <w:sz w:val="18"/>
          <w:szCs w:val="18"/>
          <w:lang w:eastAsia="en-AU"/>
        </w:rPr>
        <w:t>Export utilisation data is incomplete due to the need to exchange data with partners. Totals may not add due to rounding.</w:t>
      </w:r>
    </w:p>
    <w:p w14:paraId="5491A887" w14:textId="2376B388" w:rsidR="00B04F4B" w:rsidRDefault="00B04F4B" w:rsidP="78FB741A">
      <w:pPr>
        <w:rPr>
          <w:rFonts w:eastAsiaTheme="minorEastAsia"/>
          <w:b/>
          <w:bCs/>
          <w:i/>
          <w:iCs/>
        </w:rPr>
      </w:pPr>
      <w:r>
        <w:rPr>
          <w:rFonts w:eastAsiaTheme="minorEastAsia"/>
          <w:b/>
          <w:bCs/>
          <w:i/>
          <w:iCs/>
        </w:rPr>
        <w:br w:type="page"/>
      </w:r>
    </w:p>
    <w:p w14:paraId="437D3659" w14:textId="47C7BC5A" w:rsidR="1FBF61DC" w:rsidRPr="00B60533" w:rsidRDefault="005A3CD1" w:rsidP="78FB741A">
      <w:pPr>
        <w:rPr>
          <w:rFonts w:eastAsiaTheme="minorEastAsia"/>
          <w:b/>
          <w:bCs/>
          <w:i/>
          <w:iCs/>
        </w:rPr>
      </w:pPr>
      <w:r>
        <w:rPr>
          <w:rFonts w:eastAsiaTheme="minorEastAsia"/>
          <w:b/>
          <w:bCs/>
          <w:i/>
          <w:iCs/>
        </w:rPr>
        <w:lastRenderedPageBreak/>
        <w:t xml:space="preserve">Table 2: Australia’s </w:t>
      </w:r>
      <w:r w:rsidR="1FBF61DC" w:rsidRPr="00B60533">
        <w:rPr>
          <w:rFonts w:eastAsiaTheme="minorEastAsia"/>
          <w:b/>
          <w:bCs/>
          <w:i/>
          <w:iCs/>
        </w:rPr>
        <w:t>Imports</w:t>
      </w:r>
      <w:r>
        <w:rPr>
          <w:rFonts w:eastAsiaTheme="minorEastAsia"/>
          <w:b/>
          <w:bCs/>
          <w:i/>
          <w:iCs/>
        </w:rPr>
        <w:t xml:space="preserve"> FTA Utilisation Comparison</w:t>
      </w:r>
      <w:r w:rsidR="1FBF61DC" w:rsidRPr="00B60533">
        <w:rPr>
          <w:rFonts w:eastAsiaTheme="minorEastAsia"/>
          <w:b/>
          <w:bCs/>
          <w:i/>
          <w:iCs/>
        </w:rPr>
        <w:t xml:space="preserve"> (2023)</w:t>
      </w:r>
    </w:p>
    <w:tbl>
      <w:tblPr>
        <w:tblStyle w:val="TableGrid"/>
        <w:tblW w:w="0" w:type="auto"/>
        <w:tblLayout w:type="fixed"/>
        <w:tblLook w:val="04A0" w:firstRow="1" w:lastRow="0" w:firstColumn="1" w:lastColumn="0" w:noHBand="0" w:noVBand="1"/>
      </w:tblPr>
      <w:tblGrid>
        <w:gridCol w:w="1210"/>
        <w:gridCol w:w="1357"/>
        <w:gridCol w:w="1221"/>
        <w:gridCol w:w="1183"/>
        <w:gridCol w:w="1162"/>
        <w:gridCol w:w="1084"/>
      </w:tblGrid>
      <w:tr w:rsidR="78FB741A" w14:paraId="4BE6FCD0" w14:textId="77777777" w:rsidTr="78FB741A">
        <w:trPr>
          <w:trHeight w:val="300"/>
        </w:trPr>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1CA57242" w14:textId="0E2EFFBF" w:rsidR="78FB741A" w:rsidRDefault="78FB741A" w:rsidP="78FB741A">
            <w:pPr>
              <w:rPr>
                <w:rFonts w:asciiTheme="minorHAnsi" w:eastAsiaTheme="minorEastAsia" w:hAnsiTheme="minorHAnsi" w:cstheme="minorBidi"/>
                <w:b/>
                <w:bCs/>
              </w:rPr>
            </w:pPr>
            <w:r w:rsidRPr="78FB741A">
              <w:rPr>
                <w:rFonts w:asciiTheme="minorHAnsi" w:eastAsiaTheme="minorEastAsia" w:hAnsiTheme="minorHAnsi" w:cstheme="minorBidi"/>
                <w:b/>
                <w:bCs/>
              </w:rPr>
              <w:t>Country</w:t>
            </w:r>
          </w:p>
        </w:tc>
        <w:tc>
          <w:tcPr>
            <w:tcW w:w="1357" w:type="dxa"/>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47BAA056" w14:textId="581FC78E" w:rsidR="78FB741A" w:rsidRDefault="78FB741A" w:rsidP="78FB741A">
            <w:pPr>
              <w:rPr>
                <w:rFonts w:asciiTheme="minorHAnsi" w:eastAsiaTheme="minorEastAsia" w:hAnsiTheme="minorHAnsi" w:cstheme="minorBidi"/>
                <w:b/>
                <w:bCs/>
                <w:color w:val="000000" w:themeColor="text1"/>
              </w:rPr>
            </w:pPr>
            <w:r w:rsidRPr="78FB741A">
              <w:rPr>
                <w:rFonts w:asciiTheme="minorHAnsi" w:eastAsiaTheme="minorEastAsia" w:hAnsiTheme="minorHAnsi" w:cstheme="minorBidi"/>
                <w:b/>
                <w:bCs/>
                <w:color w:val="000000" w:themeColor="text1"/>
              </w:rPr>
              <w:t>Utilisation across all preferences</w:t>
            </w:r>
          </w:p>
        </w:tc>
        <w:tc>
          <w:tcPr>
            <w:tcW w:w="1221" w:type="dxa"/>
            <w:tcBorders>
              <w:top w:val="single" w:sz="8" w:space="0" w:color="auto"/>
              <w:left w:val="single" w:sz="8" w:space="0" w:color="auto"/>
              <w:bottom w:val="single" w:sz="8" w:space="0" w:color="auto"/>
              <w:right w:val="single" w:sz="8" w:space="0" w:color="auto"/>
            </w:tcBorders>
            <w:tcMar>
              <w:left w:w="108" w:type="dxa"/>
              <w:right w:w="108" w:type="dxa"/>
            </w:tcMar>
          </w:tcPr>
          <w:p w14:paraId="544F65D9" w14:textId="6DA462A5" w:rsidR="78FB741A" w:rsidRDefault="78FB741A" w:rsidP="78FB741A">
            <w:pPr>
              <w:rPr>
                <w:rFonts w:asciiTheme="minorHAnsi" w:eastAsiaTheme="minorEastAsia" w:hAnsiTheme="minorHAnsi" w:cstheme="minorBidi"/>
                <w:b/>
                <w:bCs/>
              </w:rPr>
            </w:pPr>
            <w:r w:rsidRPr="78FB741A">
              <w:rPr>
                <w:rFonts w:asciiTheme="minorHAnsi" w:eastAsiaTheme="minorEastAsia" w:hAnsiTheme="minorHAnsi" w:cstheme="minorBidi"/>
                <w:b/>
                <w:bCs/>
              </w:rPr>
              <w:t>Bilateral FTA</w:t>
            </w:r>
          </w:p>
        </w:tc>
        <w:tc>
          <w:tcPr>
            <w:tcW w:w="1183" w:type="dxa"/>
            <w:tcBorders>
              <w:top w:val="single" w:sz="8" w:space="0" w:color="auto"/>
              <w:left w:val="single" w:sz="8" w:space="0" w:color="auto"/>
              <w:bottom w:val="single" w:sz="8" w:space="0" w:color="auto"/>
              <w:right w:val="single" w:sz="8" w:space="0" w:color="auto"/>
            </w:tcBorders>
            <w:tcMar>
              <w:left w:w="108" w:type="dxa"/>
              <w:right w:w="108" w:type="dxa"/>
            </w:tcMar>
          </w:tcPr>
          <w:p w14:paraId="772EB641" w14:textId="609EBE08" w:rsidR="78FB741A" w:rsidRDefault="78FB741A" w:rsidP="78FB741A">
            <w:pPr>
              <w:rPr>
                <w:rFonts w:asciiTheme="minorHAnsi" w:eastAsiaTheme="minorEastAsia" w:hAnsiTheme="minorHAnsi" w:cstheme="minorBidi"/>
                <w:b/>
                <w:bCs/>
              </w:rPr>
            </w:pPr>
            <w:r w:rsidRPr="78FB741A">
              <w:rPr>
                <w:rFonts w:asciiTheme="minorHAnsi" w:eastAsiaTheme="minorEastAsia" w:hAnsiTheme="minorHAnsi" w:cstheme="minorBidi"/>
                <w:b/>
                <w:bCs/>
              </w:rPr>
              <w:t>AANZFTA</w:t>
            </w:r>
          </w:p>
        </w:tc>
        <w:tc>
          <w:tcPr>
            <w:tcW w:w="1162" w:type="dxa"/>
            <w:tcBorders>
              <w:top w:val="single" w:sz="8" w:space="0" w:color="auto"/>
              <w:left w:val="single" w:sz="8" w:space="0" w:color="auto"/>
              <w:bottom w:val="single" w:sz="8" w:space="0" w:color="auto"/>
              <w:right w:val="single" w:sz="8" w:space="0" w:color="auto"/>
            </w:tcBorders>
            <w:shd w:val="clear" w:color="auto" w:fill="FFE599" w:themeFill="accent4" w:themeFillTint="66"/>
            <w:tcMar>
              <w:left w:w="108" w:type="dxa"/>
              <w:right w:w="108" w:type="dxa"/>
            </w:tcMar>
          </w:tcPr>
          <w:p w14:paraId="2177A822" w14:textId="03CC1027" w:rsidR="78FB741A" w:rsidRDefault="78FB741A" w:rsidP="78FB741A">
            <w:pPr>
              <w:rPr>
                <w:rFonts w:asciiTheme="minorHAnsi" w:eastAsiaTheme="minorEastAsia" w:hAnsiTheme="minorHAnsi" w:cstheme="minorBidi"/>
                <w:b/>
                <w:bCs/>
                <w:color w:val="000000" w:themeColor="text1"/>
              </w:rPr>
            </w:pPr>
            <w:r w:rsidRPr="78FB741A">
              <w:rPr>
                <w:rFonts w:asciiTheme="minorHAnsi" w:eastAsiaTheme="minorEastAsia" w:hAnsiTheme="minorHAnsi" w:cstheme="minorBidi"/>
                <w:b/>
                <w:bCs/>
                <w:color w:val="000000" w:themeColor="text1"/>
              </w:rPr>
              <w:t>CPTPP</w:t>
            </w:r>
          </w:p>
        </w:tc>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68F5BCB4" w14:textId="1A7A51A7" w:rsidR="78FB741A" w:rsidRDefault="78FB741A" w:rsidP="78FB741A">
            <w:pPr>
              <w:rPr>
                <w:rFonts w:asciiTheme="minorHAnsi" w:eastAsiaTheme="minorEastAsia" w:hAnsiTheme="minorHAnsi" w:cstheme="minorBidi"/>
                <w:b/>
                <w:bCs/>
              </w:rPr>
            </w:pPr>
            <w:r w:rsidRPr="78FB741A">
              <w:rPr>
                <w:rFonts w:asciiTheme="minorHAnsi" w:eastAsiaTheme="minorEastAsia" w:hAnsiTheme="minorHAnsi" w:cstheme="minorBidi"/>
                <w:b/>
                <w:bCs/>
              </w:rPr>
              <w:t>RCEP</w:t>
            </w:r>
          </w:p>
        </w:tc>
      </w:tr>
      <w:tr w:rsidR="78FB741A" w14:paraId="7020DA9D" w14:textId="77777777" w:rsidTr="78FB741A">
        <w:trPr>
          <w:trHeight w:val="300"/>
        </w:trPr>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1CFF9E35" w14:textId="54E4F3B4"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Canada</w:t>
            </w:r>
          </w:p>
        </w:tc>
        <w:tc>
          <w:tcPr>
            <w:tcW w:w="1357" w:type="dxa"/>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2288D192" w14:textId="4B0093A3" w:rsidR="78FB741A" w:rsidRDefault="78FB741A" w:rsidP="78FB741A">
            <w:pPr>
              <w:rPr>
                <w:rFonts w:asciiTheme="minorHAnsi" w:eastAsiaTheme="minorEastAsia" w:hAnsiTheme="minorHAnsi" w:cstheme="minorBidi"/>
                <w:i/>
                <w:iCs/>
                <w:color w:val="000000" w:themeColor="text1"/>
              </w:rPr>
            </w:pPr>
            <w:r w:rsidRPr="78FB741A">
              <w:rPr>
                <w:rFonts w:asciiTheme="minorHAnsi" w:eastAsiaTheme="minorEastAsia" w:hAnsiTheme="minorHAnsi" w:cstheme="minorBidi"/>
                <w:i/>
                <w:iCs/>
                <w:color w:val="000000" w:themeColor="text1"/>
              </w:rPr>
              <w:t>70.4%</w:t>
            </w:r>
          </w:p>
        </w:tc>
        <w:tc>
          <w:tcPr>
            <w:tcW w:w="1221" w:type="dxa"/>
            <w:tcBorders>
              <w:top w:val="single" w:sz="8" w:space="0" w:color="auto"/>
              <w:left w:val="single" w:sz="8" w:space="0" w:color="auto"/>
              <w:bottom w:val="single" w:sz="8" w:space="0" w:color="auto"/>
              <w:right w:val="single" w:sz="8" w:space="0" w:color="auto"/>
            </w:tcBorders>
            <w:tcMar>
              <w:left w:w="108" w:type="dxa"/>
              <w:right w:w="108" w:type="dxa"/>
            </w:tcMar>
          </w:tcPr>
          <w:p w14:paraId="74CE03F4" w14:textId="7B47D0D3"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w:t>
            </w:r>
          </w:p>
        </w:tc>
        <w:tc>
          <w:tcPr>
            <w:tcW w:w="1183" w:type="dxa"/>
            <w:tcBorders>
              <w:top w:val="single" w:sz="8" w:space="0" w:color="auto"/>
              <w:left w:val="single" w:sz="8" w:space="0" w:color="auto"/>
              <w:bottom w:val="single" w:sz="8" w:space="0" w:color="auto"/>
              <w:right w:val="single" w:sz="8" w:space="0" w:color="auto"/>
            </w:tcBorders>
            <w:tcMar>
              <w:left w:w="108" w:type="dxa"/>
              <w:right w:w="108" w:type="dxa"/>
            </w:tcMar>
          </w:tcPr>
          <w:p w14:paraId="054C34AB" w14:textId="3DB9E98B"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w:t>
            </w:r>
          </w:p>
        </w:tc>
        <w:tc>
          <w:tcPr>
            <w:tcW w:w="1162" w:type="dxa"/>
            <w:tcBorders>
              <w:top w:val="single" w:sz="8" w:space="0" w:color="auto"/>
              <w:left w:val="single" w:sz="8" w:space="0" w:color="auto"/>
              <w:bottom w:val="single" w:sz="8" w:space="0" w:color="auto"/>
              <w:right w:val="single" w:sz="8" w:space="0" w:color="auto"/>
            </w:tcBorders>
            <w:shd w:val="clear" w:color="auto" w:fill="FFE599" w:themeFill="accent4" w:themeFillTint="66"/>
            <w:tcMar>
              <w:left w:w="108" w:type="dxa"/>
              <w:right w:w="108" w:type="dxa"/>
            </w:tcMar>
          </w:tcPr>
          <w:p w14:paraId="06166B0B" w14:textId="1E8E6913" w:rsidR="78FB741A" w:rsidRDefault="78FB741A" w:rsidP="78FB741A">
            <w:pPr>
              <w:rPr>
                <w:rFonts w:asciiTheme="minorHAnsi" w:eastAsiaTheme="minorEastAsia" w:hAnsiTheme="minorHAnsi" w:cstheme="minorBidi"/>
                <w:color w:val="000000" w:themeColor="text1"/>
              </w:rPr>
            </w:pPr>
            <w:r w:rsidRPr="78FB741A">
              <w:rPr>
                <w:rFonts w:asciiTheme="minorHAnsi" w:eastAsiaTheme="minorEastAsia" w:hAnsiTheme="minorHAnsi" w:cstheme="minorBidi"/>
                <w:color w:val="000000" w:themeColor="text1"/>
              </w:rPr>
              <w:t>70.4%</w:t>
            </w:r>
          </w:p>
        </w:tc>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081A897E" w14:textId="426BCB0C"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w:t>
            </w:r>
          </w:p>
        </w:tc>
      </w:tr>
      <w:tr w:rsidR="78FB741A" w14:paraId="5B903DC0" w14:textId="77777777" w:rsidTr="78FB741A">
        <w:trPr>
          <w:trHeight w:val="300"/>
        </w:trPr>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78FF62F6" w14:textId="37325745"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Chile</w:t>
            </w:r>
          </w:p>
        </w:tc>
        <w:tc>
          <w:tcPr>
            <w:tcW w:w="1357" w:type="dxa"/>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0557694A" w14:textId="2A5B1507" w:rsidR="78FB741A" w:rsidRDefault="78FB741A" w:rsidP="78FB741A">
            <w:pPr>
              <w:rPr>
                <w:rFonts w:asciiTheme="minorHAnsi" w:eastAsiaTheme="minorEastAsia" w:hAnsiTheme="minorHAnsi" w:cstheme="minorBidi"/>
                <w:i/>
                <w:iCs/>
                <w:color w:val="000000" w:themeColor="text1"/>
              </w:rPr>
            </w:pPr>
            <w:r w:rsidRPr="78FB741A">
              <w:rPr>
                <w:rFonts w:asciiTheme="minorHAnsi" w:eastAsiaTheme="minorEastAsia" w:hAnsiTheme="minorHAnsi" w:cstheme="minorBidi"/>
                <w:i/>
                <w:iCs/>
                <w:color w:val="000000" w:themeColor="text1"/>
              </w:rPr>
              <w:t>95.7%</w:t>
            </w:r>
          </w:p>
        </w:tc>
        <w:tc>
          <w:tcPr>
            <w:tcW w:w="1221" w:type="dxa"/>
            <w:tcBorders>
              <w:top w:val="single" w:sz="8" w:space="0" w:color="auto"/>
              <w:left w:val="single" w:sz="8" w:space="0" w:color="auto"/>
              <w:bottom w:val="single" w:sz="8" w:space="0" w:color="auto"/>
              <w:right w:val="single" w:sz="8" w:space="0" w:color="auto"/>
            </w:tcBorders>
            <w:tcMar>
              <w:left w:w="108" w:type="dxa"/>
              <w:right w:w="108" w:type="dxa"/>
            </w:tcMar>
          </w:tcPr>
          <w:p w14:paraId="46511009" w14:textId="38357C5A"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95.1%</w:t>
            </w:r>
          </w:p>
        </w:tc>
        <w:tc>
          <w:tcPr>
            <w:tcW w:w="1183" w:type="dxa"/>
            <w:tcBorders>
              <w:top w:val="single" w:sz="8" w:space="0" w:color="auto"/>
              <w:left w:val="single" w:sz="8" w:space="0" w:color="auto"/>
              <w:bottom w:val="single" w:sz="8" w:space="0" w:color="auto"/>
              <w:right w:val="single" w:sz="8" w:space="0" w:color="auto"/>
            </w:tcBorders>
            <w:tcMar>
              <w:left w:w="108" w:type="dxa"/>
              <w:right w:w="108" w:type="dxa"/>
            </w:tcMar>
          </w:tcPr>
          <w:p w14:paraId="71E7EDA1" w14:textId="1A669C0C"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w:t>
            </w:r>
          </w:p>
        </w:tc>
        <w:tc>
          <w:tcPr>
            <w:tcW w:w="1162" w:type="dxa"/>
            <w:tcBorders>
              <w:top w:val="single" w:sz="8" w:space="0" w:color="auto"/>
              <w:left w:val="single" w:sz="8" w:space="0" w:color="auto"/>
              <w:bottom w:val="single" w:sz="8" w:space="0" w:color="auto"/>
              <w:right w:val="single" w:sz="8" w:space="0" w:color="auto"/>
            </w:tcBorders>
            <w:shd w:val="clear" w:color="auto" w:fill="FFE599" w:themeFill="accent4" w:themeFillTint="66"/>
            <w:tcMar>
              <w:left w:w="108" w:type="dxa"/>
              <w:right w:w="108" w:type="dxa"/>
            </w:tcMar>
          </w:tcPr>
          <w:p w14:paraId="6D556830" w14:textId="674457CB" w:rsidR="78FB741A" w:rsidRDefault="78FB741A" w:rsidP="78FB741A">
            <w:pPr>
              <w:rPr>
                <w:rFonts w:asciiTheme="minorHAnsi" w:eastAsiaTheme="minorEastAsia" w:hAnsiTheme="minorHAnsi" w:cstheme="minorBidi"/>
                <w:color w:val="000000" w:themeColor="text1"/>
              </w:rPr>
            </w:pPr>
            <w:r w:rsidRPr="78FB741A">
              <w:rPr>
                <w:rFonts w:asciiTheme="minorHAnsi" w:eastAsiaTheme="minorEastAsia" w:hAnsiTheme="minorHAnsi" w:cstheme="minorBidi"/>
                <w:color w:val="000000" w:themeColor="text1"/>
              </w:rPr>
              <w:t>0.6%</w:t>
            </w:r>
          </w:p>
        </w:tc>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71270512" w14:textId="12230A3F"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w:t>
            </w:r>
          </w:p>
        </w:tc>
      </w:tr>
      <w:tr w:rsidR="78FB741A" w14:paraId="1A036364" w14:textId="77777777" w:rsidTr="78FB741A">
        <w:trPr>
          <w:trHeight w:val="300"/>
        </w:trPr>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342A41BD" w14:textId="623AEAB9"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Japan</w:t>
            </w:r>
          </w:p>
        </w:tc>
        <w:tc>
          <w:tcPr>
            <w:tcW w:w="1357" w:type="dxa"/>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7E3518B8" w14:textId="3E6AFDB6" w:rsidR="78FB741A" w:rsidRDefault="78FB741A" w:rsidP="78FB741A">
            <w:pPr>
              <w:rPr>
                <w:rFonts w:asciiTheme="minorHAnsi" w:eastAsiaTheme="minorEastAsia" w:hAnsiTheme="minorHAnsi" w:cstheme="minorBidi"/>
                <w:i/>
                <w:iCs/>
                <w:color w:val="000000" w:themeColor="text1"/>
              </w:rPr>
            </w:pPr>
            <w:r w:rsidRPr="78FB741A">
              <w:rPr>
                <w:rFonts w:asciiTheme="minorHAnsi" w:eastAsiaTheme="minorEastAsia" w:hAnsiTheme="minorHAnsi" w:cstheme="minorBidi"/>
                <w:i/>
                <w:iCs/>
                <w:color w:val="000000" w:themeColor="text1"/>
              </w:rPr>
              <w:t>96%</w:t>
            </w:r>
          </w:p>
        </w:tc>
        <w:tc>
          <w:tcPr>
            <w:tcW w:w="1221" w:type="dxa"/>
            <w:tcBorders>
              <w:top w:val="single" w:sz="8" w:space="0" w:color="auto"/>
              <w:left w:val="single" w:sz="8" w:space="0" w:color="auto"/>
              <w:bottom w:val="single" w:sz="8" w:space="0" w:color="auto"/>
              <w:right w:val="single" w:sz="8" w:space="0" w:color="auto"/>
            </w:tcBorders>
            <w:tcMar>
              <w:left w:w="108" w:type="dxa"/>
              <w:right w:w="108" w:type="dxa"/>
            </w:tcMar>
          </w:tcPr>
          <w:p w14:paraId="3036D2FA" w14:textId="47793A6B"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95.5%</w:t>
            </w:r>
          </w:p>
        </w:tc>
        <w:tc>
          <w:tcPr>
            <w:tcW w:w="1183" w:type="dxa"/>
            <w:tcBorders>
              <w:top w:val="single" w:sz="8" w:space="0" w:color="auto"/>
              <w:left w:val="single" w:sz="8" w:space="0" w:color="auto"/>
              <w:bottom w:val="single" w:sz="8" w:space="0" w:color="auto"/>
              <w:right w:val="single" w:sz="8" w:space="0" w:color="auto"/>
            </w:tcBorders>
            <w:tcMar>
              <w:left w:w="108" w:type="dxa"/>
              <w:right w:w="108" w:type="dxa"/>
            </w:tcMar>
          </w:tcPr>
          <w:p w14:paraId="4575CDE2" w14:textId="31A2DD2C"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w:t>
            </w:r>
          </w:p>
        </w:tc>
        <w:tc>
          <w:tcPr>
            <w:tcW w:w="1162" w:type="dxa"/>
            <w:tcBorders>
              <w:top w:val="single" w:sz="8" w:space="0" w:color="auto"/>
              <w:left w:val="single" w:sz="8" w:space="0" w:color="auto"/>
              <w:bottom w:val="single" w:sz="8" w:space="0" w:color="auto"/>
              <w:right w:val="single" w:sz="8" w:space="0" w:color="auto"/>
            </w:tcBorders>
            <w:shd w:val="clear" w:color="auto" w:fill="FFE599" w:themeFill="accent4" w:themeFillTint="66"/>
            <w:tcMar>
              <w:left w:w="108" w:type="dxa"/>
              <w:right w:w="108" w:type="dxa"/>
            </w:tcMar>
          </w:tcPr>
          <w:p w14:paraId="266597F1" w14:textId="184D4989" w:rsidR="78FB741A" w:rsidRDefault="78FB741A" w:rsidP="78FB741A">
            <w:pPr>
              <w:rPr>
                <w:rFonts w:asciiTheme="minorHAnsi" w:eastAsiaTheme="minorEastAsia" w:hAnsiTheme="minorHAnsi" w:cstheme="minorBidi"/>
                <w:color w:val="000000" w:themeColor="text1"/>
              </w:rPr>
            </w:pPr>
            <w:r w:rsidRPr="78FB741A">
              <w:rPr>
                <w:rFonts w:asciiTheme="minorHAnsi" w:eastAsiaTheme="minorEastAsia" w:hAnsiTheme="minorHAnsi" w:cstheme="minorBidi"/>
                <w:color w:val="000000" w:themeColor="text1"/>
              </w:rPr>
              <w:t>0.4%</w:t>
            </w:r>
          </w:p>
        </w:tc>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7C247089" w14:textId="1435D37E"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0.0%</w:t>
            </w:r>
          </w:p>
        </w:tc>
      </w:tr>
      <w:tr w:rsidR="78FB741A" w14:paraId="1E793EC0" w14:textId="77777777" w:rsidTr="78FB741A">
        <w:trPr>
          <w:trHeight w:val="300"/>
        </w:trPr>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0466E801" w14:textId="6EAE41C4"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Malaysia</w:t>
            </w:r>
          </w:p>
        </w:tc>
        <w:tc>
          <w:tcPr>
            <w:tcW w:w="1357" w:type="dxa"/>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33BA8264" w14:textId="4BA217C4" w:rsidR="78FB741A" w:rsidRDefault="78FB741A" w:rsidP="78FB741A">
            <w:pPr>
              <w:rPr>
                <w:rFonts w:asciiTheme="minorHAnsi" w:eastAsiaTheme="minorEastAsia" w:hAnsiTheme="minorHAnsi" w:cstheme="minorBidi"/>
                <w:i/>
                <w:iCs/>
                <w:color w:val="000000" w:themeColor="text1"/>
              </w:rPr>
            </w:pPr>
            <w:r w:rsidRPr="78FB741A">
              <w:rPr>
                <w:rFonts w:asciiTheme="minorHAnsi" w:eastAsiaTheme="minorEastAsia" w:hAnsiTheme="minorHAnsi" w:cstheme="minorBidi"/>
                <w:i/>
                <w:iCs/>
                <w:color w:val="000000" w:themeColor="text1"/>
              </w:rPr>
              <w:t>91.5%</w:t>
            </w:r>
          </w:p>
        </w:tc>
        <w:tc>
          <w:tcPr>
            <w:tcW w:w="1221" w:type="dxa"/>
            <w:tcBorders>
              <w:top w:val="single" w:sz="8" w:space="0" w:color="auto"/>
              <w:left w:val="single" w:sz="8" w:space="0" w:color="auto"/>
              <w:bottom w:val="single" w:sz="8" w:space="0" w:color="auto"/>
              <w:right w:val="single" w:sz="8" w:space="0" w:color="auto"/>
            </w:tcBorders>
            <w:tcMar>
              <w:left w:w="108" w:type="dxa"/>
              <w:right w:w="108" w:type="dxa"/>
            </w:tcMar>
          </w:tcPr>
          <w:p w14:paraId="338199DC" w14:textId="46F052CC"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29.3%</w:t>
            </w:r>
          </w:p>
        </w:tc>
        <w:tc>
          <w:tcPr>
            <w:tcW w:w="1183" w:type="dxa"/>
            <w:tcBorders>
              <w:top w:val="single" w:sz="8" w:space="0" w:color="auto"/>
              <w:left w:val="single" w:sz="8" w:space="0" w:color="auto"/>
              <w:bottom w:val="single" w:sz="8" w:space="0" w:color="auto"/>
              <w:right w:val="single" w:sz="8" w:space="0" w:color="auto"/>
            </w:tcBorders>
            <w:tcMar>
              <w:left w:w="108" w:type="dxa"/>
              <w:right w:w="108" w:type="dxa"/>
            </w:tcMar>
          </w:tcPr>
          <w:p w14:paraId="5E71F4EF" w14:textId="4B01E0BA"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61%</w:t>
            </w:r>
          </w:p>
        </w:tc>
        <w:tc>
          <w:tcPr>
            <w:tcW w:w="1162" w:type="dxa"/>
            <w:tcBorders>
              <w:top w:val="single" w:sz="8" w:space="0" w:color="auto"/>
              <w:left w:val="single" w:sz="8" w:space="0" w:color="auto"/>
              <w:bottom w:val="single" w:sz="8" w:space="0" w:color="auto"/>
              <w:right w:val="single" w:sz="8" w:space="0" w:color="auto"/>
            </w:tcBorders>
            <w:shd w:val="clear" w:color="auto" w:fill="FFE599" w:themeFill="accent4" w:themeFillTint="66"/>
            <w:tcMar>
              <w:left w:w="108" w:type="dxa"/>
              <w:right w:w="108" w:type="dxa"/>
            </w:tcMar>
          </w:tcPr>
          <w:p w14:paraId="35EB8612" w14:textId="4325D8DD" w:rsidR="78FB741A" w:rsidRDefault="78FB741A" w:rsidP="78FB741A">
            <w:pPr>
              <w:rPr>
                <w:rFonts w:asciiTheme="minorHAnsi" w:eastAsiaTheme="minorEastAsia" w:hAnsiTheme="minorHAnsi" w:cstheme="minorBidi"/>
                <w:color w:val="000000" w:themeColor="text1"/>
              </w:rPr>
            </w:pPr>
            <w:r w:rsidRPr="78FB741A">
              <w:rPr>
                <w:rFonts w:asciiTheme="minorHAnsi" w:eastAsiaTheme="minorEastAsia" w:hAnsiTheme="minorHAnsi" w:cstheme="minorBidi"/>
                <w:color w:val="000000" w:themeColor="text1"/>
              </w:rPr>
              <w:t>1.1%</w:t>
            </w:r>
          </w:p>
        </w:tc>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7E047D43" w14:textId="1E22ACE1"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0.1%</w:t>
            </w:r>
          </w:p>
        </w:tc>
      </w:tr>
      <w:tr w:rsidR="78FB741A" w14:paraId="4D5C1092" w14:textId="77777777" w:rsidTr="78FB741A">
        <w:trPr>
          <w:trHeight w:val="300"/>
        </w:trPr>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66008564" w14:textId="703287C1"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Mexico</w:t>
            </w:r>
          </w:p>
        </w:tc>
        <w:tc>
          <w:tcPr>
            <w:tcW w:w="1357" w:type="dxa"/>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3E18BF1B" w14:textId="0B251D9F" w:rsidR="78FB741A" w:rsidRDefault="78FB741A" w:rsidP="78FB741A">
            <w:pPr>
              <w:rPr>
                <w:rFonts w:asciiTheme="minorHAnsi" w:eastAsiaTheme="minorEastAsia" w:hAnsiTheme="minorHAnsi" w:cstheme="minorBidi"/>
                <w:i/>
                <w:iCs/>
                <w:color w:val="000000" w:themeColor="text1"/>
              </w:rPr>
            </w:pPr>
            <w:r w:rsidRPr="78FB741A">
              <w:rPr>
                <w:rFonts w:asciiTheme="minorHAnsi" w:eastAsiaTheme="minorEastAsia" w:hAnsiTheme="minorHAnsi" w:cstheme="minorBidi"/>
                <w:i/>
                <w:iCs/>
                <w:color w:val="000000" w:themeColor="text1"/>
              </w:rPr>
              <w:t>69.6%</w:t>
            </w:r>
          </w:p>
        </w:tc>
        <w:tc>
          <w:tcPr>
            <w:tcW w:w="1221" w:type="dxa"/>
            <w:tcBorders>
              <w:top w:val="single" w:sz="8" w:space="0" w:color="auto"/>
              <w:left w:val="single" w:sz="8" w:space="0" w:color="auto"/>
              <w:bottom w:val="single" w:sz="8" w:space="0" w:color="auto"/>
              <w:right w:val="single" w:sz="8" w:space="0" w:color="auto"/>
            </w:tcBorders>
            <w:tcMar>
              <w:left w:w="108" w:type="dxa"/>
              <w:right w:w="108" w:type="dxa"/>
            </w:tcMar>
          </w:tcPr>
          <w:p w14:paraId="7BF4F321" w14:textId="1CE61C12"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w:t>
            </w:r>
          </w:p>
        </w:tc>
        <w:tc>
          <w:tcPr>
            <w:tcW w:w="1183" w:type="dxa"/>
            <w:tcBorders>
              <w:top w:val="single" w:sz="8" w:space="0" w:color="auto"/>
              <w:left w:val="single" w:sz="8" w:space="0" w:color="auto"/>
              <w:bottom w:val="single" w:sz="8" w:space="0" w:color="auto"/>
              <w:right w:val="single" w:sz="8" w:space="0" w:color="auto"/>
            </w:tcBorders>
            <w:tcMar>
              <w:left w:w="108" w:type="dxa"/>
              <w:right w:w="108" w:type="dxa"/>
            </w:tcMar>
          </w:tcPr>
          <w:p w14:paraId="1D5F0865" w14:textId="50C5A68C"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w:t>
            </w:r>
          </w:p>
        </w:tc>
        <w:tc>
          <w:tcPr>
            <w:tcW w:w="1162" w:type="dxa"/>
            <w:tcBorders>
              <w:top w:val="single" w:sz="8" w:space="0" w:color="auto"/>
              <w:left w:val="single" w:sz="8" w:space="0" w:color="auto"/>
              <w:bottom w:val="single" w:sz="8" w:space="0" w:color="auto"/>
              <w:right w:val="single" w:sz="8" w:space="0" w:color="auto"/>
            </w:tcBorders>
            <w:shd w:val="clear" w:color="auto" w:fill="FFE599" w:themeFill="accent4" w:themeFillTint="66"/>
            <w:tcMar>
              <w:left w:w="108" w:type="dxa"/>
              <w:right w:w="108" w:type="dxa"/>
            </w:tcMar>
          </w:tcPr>
          <w:p w14:paraId="0E9E64DC" w14:textId="4ADDC196" w:rsidR="78FB741A" w:rsidRDefault="78FB741A" w:rsidP="78FB741A">
            <w:pPr>
              <w:rPr>
                <w:rFonts w:asciiTheme="minorHAnsi" w:eastAsiaTheme="minorEastAsia" w:hAnsiTheme="minorHAnsi" w:cstheme="minorBidi"/>
                <w:color w:val="000000" w:themeColor="text1"/>
              </w:rPr>
            </w:pPr>
            <w:r w:rsidRPr="78FB741A">
              <w:rPr>
                <w:rFonts w:asciiTheme="minorHAnsi" w:eastAsiaTheme="minorEastAsia" w:hAnsiTheme="minorHAnsi" w:cstheme="minorBidi"/>
                <w:color w:val="000000" w:themeColor="text1"/>
              </w:rPr>
              <w:t>69.6%</w:t>
            </w:r>
          </w:p>
        </w:tc>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1C299DC0" w14:textId="67BB8FD9"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 xml:space="preserve"> </w:t>
            </w:r>
          </w:p>
        </w:tc>
      </w:tr>
      <w:tr w:rsidR="78FB741A" w14:paraId="5609610A" w14:textId="77777777" w:rsidTr="78FB741A">
        <w:trPr>
          <w:trHeight w:val="300"/>
        </w:trPr>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752FAE36" w14:textId="139315C3"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New Zealand</w:t>
            </w:r>
          </w:p>
        </w:tc>
        <w:tc>
          <w:tcPr>
            <w:tcW w:w="1357" w:type="dxa"/>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2A950991" w14:textId="56AEFFFF" w:rsidR="78FB741A" w:rsidRDefault="78FB741A" w:rsidP="78FB741A">
            <w:pPr>
              <w:rPr>
                <w:rFonts w:asciiTheme="minorHAnsi" w:eastAsiaTheme="minorEastAsia" w:hAnsiTheme="minorHAnsi" w:cstheme="minorBidi"/>
                <w:i/>
                <w:iCs/>
                <w:color w:val="000000" w:themeColor="text1"/>
              </w:rPr>
            </w:pPr>
            <w:r w:rsidRPr="78FB741A">
              <w:rPr>
                <w:rFonts w:asciiTheme="minorHAnsi" w:eastAsiaTheme="minorEastAsia" w:hAnsiTheme="minorHAnsi" w:cstheme="minorBidi"/>
                <w:i/>
                <w:iCs/>
                <w:color w:val="000000" w:themeColor="text1"/>
              </w:rPr>
              <w:t>97.4%</w:t>
            </w:r>
          </w:p>
        </w:tc>
        <w:tc>
          <w:tcPr>
            <w:tcW w:w="1221" w:type="dxa"/>
            <w:tcBorders>
              <w:top w:val="single" w:sz="8" w:space="0" w:color="auto"/>
              <w:left w:val="single" w:sz="8" w:space="0" w:color="auto"/>
              <w:bottom w:val="single" w:sz="8" w:space="0" w:color="auto"/>
              <w:right w:val="single" w:sz="8" w:space="0" w:color="auto"/>
            </w:tcBorders>
            <w:tcMar>
              <w:left w:w="108" w:type="dxa"/>
              <w:right w:w="108" w:type="dxa"/>
            </w:tcMar>
          </w:tcPr>
          <w:p w14:paraId="20A1875A" w14:textId="0B233C20"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95.6%</w:t>
            </w:r>
          </w:p>
        </w:tc>
        <w:tc>
          <w:tcPr>
            <w:tcW w:w="1183" w:type="dxa"/>
            <w:tcBorders>
              <w:top w:val="single" w:sz="8" w:space="0" w:color="auto"/>
              <w:left w:val="single" w:sz="8" w:space="0" w:color="auto"/>
              <w:bottom w:val="single" w:sz="8" w:space="0" w:color="auto"/>
              <w:right w:val="single" w:sz="8" w:space="0" w:color="auto"/>
            </w:tcBorders>
            <w:tcMar>
              <w:left w:w="108" w:type="dxa"/>
              <w:right w:w="108" w:type="dxa"/>
            </w:tcMar>
          </w:tcPr>
          <w:p w14:paraId="4FC99C04" w14:textId="56ABAB97"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1.6%</w:t>
            </w:r>
          </w:p>
        </w:tc>
        <w:tc>
          <w:tcPr>
            <w:tcW w:w="1162" w:type="dxa"/>
            <w:tcBorders>
              <w:top w:val="single" w:sz="8" w:space="0" w:color="auto"/>
              <w:left w:val="single" w:sz="8" w:space="0" w:color="auto"/>
              <w:bottom w:val="single" w:sz="8" w:space="0" w:color="auto"/>
              <w:right w:val="single" w:sz="8" w:space="0" w:color="auto"/>
            </w:tcBorders>
            <w:shd w:val="clear" w:color="auto" w:fill="FFE599" w:themeFill="accent4" w:themeFillTint="66"/>
            <w:tcMar>
              <w:left w:w="108" w:type="dxa"/>
              <w:right w:w="108" w:type="dxa"/>
            </w:tcMar>
          </w:tcPr>
          <w:p w14:paraId="50F014E4" w14:textId="5B29CA23" w:rsidR="78FB741A" w:rsidRDefault="78FB741A" w:rsidP="78FB741A">
            <w:pPr>
              <w:rPr>
                <w:rFonts w:asciiTheme="minorHAnsi" w:eastAsiaTheme="minorEastAsia" w:hAnsiTheme="minorHAnsi" w:cstheme="minorBidi"/>
                <w:color w:val="000000" w:themeColor="text1"/>
              </w:rPr>
            </w:pPr>
            <w:r w:rsidRPr="78FB741A">
              <w:rPr>
                <w:rFonts w:asciiTheme="minorHAnsi" w:eastAsiaTheme="minorEastAsia" w:hAnsiTheme="minorHAnsi" w:cstheme="minorBidi"/>
                <w:color w:val="000000" w:themeColor="text1"/>
              </w:rPr>
              <w:t>0.2%</w:t>
            </w:r>
          </w:p>
        </w:tc>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4F9FC484" w14:textId="7F178F09"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0.0%</w:t>
            </w:r>
          </w:p>
        </w:tc>
      </w:tr>
      <w:tr w:rsidR="78FB741A" w14:paraId="144AB01F" w14:textId="77777777" w:rsidTr="78FB741A">
        <w:trPr>
          <w:trHeight w:val="300"/>
        </w:trPr>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7FA03771" w14:textId="48211B9D"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Peru</w:t>
            </w:r>
          </w:p>
        </w:tc>
        <w:tc>
          <w:tcPr>
            <w:tcW w:w="1357" w:type="dxa"/>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6569B61C" w14:textId="7572197E" w:rsidR="78FB741A" w:rsidRDefault="78FB741A" w:rsidP="78FB741A">
            <w:pPr>
              <w:rPr>
                <w:rFonts w:asciiTheme="minorHAnsi" w:eastAsiaTheme="minorEastAsia" w:hAnsiTheme="minorHAnsi" w:cstheme="minorBidi"/>
                <w:i/>
                <w:iCs/>
                <w:color w:val="000000" w:themeColor="text1"/>
              </w:rPr>
            </w:pPr>
            <w:r w:rsidRPr="78FB741A">
              <w:rPr>
                <w:rFonts w:asciiTheme="minorHAnsi" w:eastAsiaTheme="minorEastAsia" w:hAnsiTheme="minorHAnsi" w:cstheme="minorBidi"/>
                <w:i/>
                <w:iCs/>
                <w:color w:val="000000" w:themeColor="text1"/>
              </w:rPr>
              <w:t>79.4%</w:t>
            </w:r>
          </w:p>
        </w:tc>
        <w:tc>
          <w:tcPr>
            <w:tcW w:w="1221" w:type="dxa"/>
            <w:tcBorders>
              <w:top w:val="single" w:sz="8" w:space="0" w:color="auto"/>
              <w:left w:val="single" w:sz="8" w:space="0" w:color="auto"/>
              <w:bottom w:val="single" w:sz="8" w:space="0" w:color="auto"/>
              <w:right w:val="single" w:sz="8" w:space="0" w:color="auto"/>
            </w:tcBorders>
            <w:tcMar>
              <w:left w:w="108" w:type="dxa"/>
              <w:right w:w="108" w:type="dxa"/>
            </w:tcMar>
          </w:tcPr>
          <w:p w14:paraId="3A492206" w14:textId="3435AF43"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67.6%</w:t>
            </w:r>
          </w:p>
        </w:tc>
        <w:tc>
          <w:tcPr>
            <w:tcW w:w="1183" w:type="dxa"/>
            <w:tcBorders>
              <w:top w:val="single" w:sz="8" w:space="0" w:color="auto"/>
              <w:left w:val="single" w:sz="8" w:space="0" w:color="auto"/>
              <w:bottom w:val="single" w:sz="8" w:space="0" w:color="auto"/>
              <w:right w:val="single" w:sz="8" w:space="0" w:color="auto"/>
            </w:tcBorders>
            <w:tcMar>
              <w:left w:w="108" w:type="dxa"/>
              <w:right w:w="108" w:type="dxa"/>
            </w:tcMar>
          </w:tcPr>
          <w:p w14:paraId="3B9B1805" w14:textId="64F4D956"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w:t>
            </w:r>
          </w:p>
        </w:tc>
        <w:tc>
          <w:tcPr>
            <w:tcW w:w="1162" w:type="dxa"/>
            <w:tcBorders>
              <w:top w:val="single" w:sz="8" w:space="0" w:color="auto"/>
              <w:left w:val="single" w:sz="8" w:space="0" w:color="auto"/>
              <w:bottom w:val="single" w:sz="8" w:space="0" w:color="auto"/>
              <w:right w:val="single" w:sz="8" w:space="0" w:color="auto"/>
            </w:tcBorders>
            <w:shd w:val="clear" w:color="auto" w:fill="FFE599" w:themeFill="accent4" w:themeFillTint="66"/>
            <w:tcMar>
              <w:left w:w="108" w:type="dxa"/>
              <w:right w:w="108" w:type="dxa"/>
            </w:tcMar>
          </w:tcPr>
          <w:p w14:paraId="173BB4E5" w14:textId="323F3C6B" w:rsidR="78FB741A" w:rsidRDefault="78FB741A" w:rsidP="78FB741A">
            <w:pPr>
              <w:rPr>
                <w:rFonts w:asciiTheme="minorHAnsi" w:eastAsiaTheme="minorEastAsia" w:hAnsiTheme="minorHAnsi" w:cstheme="minorBidi"/>
                <w:color w:val="000000" w:themeColor="text1"/>
              </w:rPr>
            </w:pPr>
            <w:r w:rsidRPr="78FB741A">
              <w:rPr>
                <w:rFonts w:asciiTheme="minorHAnsi" w:eastAsiaTheme="minorEastAsia" w:hAnsiTheme="minorHAnsi" w:cstheme="minorBidi"/>
                <w:color w:val="000000" w:themeColor="text1"/>
              </w:rPr>
              <w:t>11.8%</w:t>
            </w:r>
          </w:p>
        </w:tc>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18210F71" w14:textId="2DF7C66A"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w:t>
            </w:r>
          </w:p>
        </w:tc>
      </w:tr>
      <w:tr w:rsidR="78FB741A" w14:paraId="05DB0090" w14:textId="77777777" w:rsidTr="78FB741A">
        <w:trPr>
          <w:trHeight w:val="300"/>
        </w:trPr>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35C3C557" w14:textId="3D87599E"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Singapore</w:t>
            </w:r>
          </w:p>
        </w:tc>
        <w:tc>
          <w:tcPr>
            <w:tcW w:w="1357" w:type="dxa"/>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4DCF6521" w14:textId="3E01CD28" w:rsidR="78FB741A" w:rsidRDefault="78FB741A" w:rsidP="78FB741A">
            <w:pPr>
              <w:rPr>
                <w:rFonts w:asciiTheme="minorHAnsi" w:eastAsiaTheme="minorEastAsia" w:hAnsiTheme="minorHAnsi" w:cstheme="minorBidi"/>
                <w:i/>
                <w:iCs/>
                <w:color w:val="000000" w:themeColor="text1"/>
              </w:rPr>
            </w:pPr>
            <w:r w:rsidRPr="78FB741A">
              <w:rPr>
                <w:rFonts w:asciiTheme="minorHAnsi" w:eastAsiaTheme="minorEastAsia" w:hAnsiTheme="minorHAnsi" w:cstheme="minorBidi"/>
                <w:i/>
                <w:iCs/>
                <w:color w:val="000000" w:themeColor="text1"/>
              </w:rPr>
              <w:t>84.8%</w:t>
            </w:r>
          </w:p>
        </w:tc>
        <w:tc>
          <w:tcPr>
            <w:tcW w:w="1221" w:type="dxa"/>
            <w:tcBorders>
              <w:top w:val="single" w:sz="8" w:space="0" w:color="auto"/>
              <w:left w:val="single" w:sz="8" w:space="0" w:color="auto"/>
              <w:bottom w:val="single" w:sz="8" w:space="0" w:color="auto"/>
              <w:right w:val="single" w:sz="8" w:space="0" w:color="auto"/>
            </w:tcBorders>
            <w:tcMar>
              <w:left w:w="108" w:type="dxa"/>
              <w:right w:w="108" w:type="dxa"/>
            </w:tcMar>
          </w:tcPr>
          <w:p w14:paraId="50DD8F9E" w14:textId="7B1890ED"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5%</w:t>
            </w:r>
          </w:p>
        </w:tc>
        <w:tc>
          <w:tcPr>
            <w:tcW w:w="1183" w:type="dxa"/>
            <w:tcBorders>
              <w:top w:val="single" w:sz="8" w:space="0" w:color="auto"/>
              <w:left w:val="single" w:sz="8" w:space="0" w:color="auto"/>
              <w:bottom w:val="single" w:sz="8" w:space="0" w:color="auto"/>
              <w:right w:val="single" w:sz="8" w:space="0" w:color="auto"/>
            </w:tcBorders>
            <w:tcMar>
              <w:left w:w="108" w:type="dxa"/>
              <w:right w:w="108" w:type="dxa"/>
            </w:tcMar>
          </w:tcPr>
          <w:p w14:paraId="4AD9A819" w14:textId="3AEEEE8B"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72.7%</w:t>
            </w:r>
          </w:p>
        </w:tc>
        <w:tc>
          <w:tcPr>
            <w:tcW w:w="1162" w:type="dxa"/>
            <w:tcBorders>
              <w:top w:val="single" w:sz="8" w:space="0" w:color="auto"/>
              <w:left w:val="single" w:sz="8" w:space="0" w:color="auto"/>
              <w:bottom w:val="single" w:sz="8" w:space="0" w:color="auto"/>
              <w:right w:val="single" w:sz="8" w:space="0" w:color="auto"/>
            </w:tcBorders>
            <w:shd w:val="clear" w:color="auto" w:fill="FFE599" w:themeFill="accent4" w:themeFillTint="66"/>
            <w:tcMar>
              <w:left w:w="108" w:type="dxa"/>
              <w:right w:w="108" w:type="dxa"/>
            </w:tcMar>
          </w:tcPr>
          <w:p w14:paraId="718020D3" w14:textId="41E8EADB" w:rsidR="78FB741A" w:rsidRDefault="78FB741A" w:rsidP="78FB741A">
            <w:pPr>
              <w:rPr>
                <w:rFonts w:asciiTheme="minorHAnsi" w:eastAsiaTheme="minorEastAsia" w:hAnsiTheme="minorHAnsi" w:cstheme="minorBidi"/>
                <w:color w:val="000000" w:themeColor="text1"/>
              </w:rPr>
            </w:pPr>
            <w:r w:rsidRPr="78FB741A">
              <w:rPr>
                <w:rFonts w:asciiTheme="minorHAnsi" w:eastAsiaTheme="minorEastAsia" w:hAnsiTheme="minorHAnsi" w:cstheme="minorBidi"/>
                <w:color w:val="000000" w:themeColor="text1"/>
              </w:rPr>
              <w:t>4.3%</w:t>
            </w:r>
          </w:p>
        </w:tc>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1D16626B" w14:textId="4D4B8AD9"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2.8%</w:t>
            </w:r>
          </w:p>
        </w:tc>
      </w:tr>
      <w:tr w:rsidR="78FB741A" w14:paraId="62F792E7" w14:textId="77777777" w:rsidTr="78FB741A">
        <w:trPr>
          <w:trHeight w:val="300"/>
        </w:trPr>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00FAC417" w14:textId="0161EDDB"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Vietnam</w:t>
            </w:r>
          </w:p>
        </w:tc>
        <w:tc>
          <w:tcPr>
            <w:tcW w:w="1357" w:type="dxa"/>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443F90C5" w14:textId="376C6AD8" w:rsidR="78FB741A" w:rsidRDefault="78FB741A" w:rsidP="78FB741A">
            <w:pPr>
              <w:rPr>
                <w:rFonts w:asciiTheme="minorHAnsi" w:eastAsiaTheme="minorEastAsia" w:hAnsiTheme="minorHAnsi" w:cstheme="minorBidi"/>
                <w:i/>
                <w:iCs/>
                <w:color w:val="000000" w:themeColor="text1"/>
              </w:rPr>
            </w:pPr>
            <w:r w:rsidRPr="78FB741A">
              <w:rPr>
                <w:rFonts w:asciiTheme="minorHAnsi" w:eastAsiaTheme="minorEastAsia" w:hAnsiTheme="minorHAnsi" w:cstheme="minorBidi"/>
                <w:i/>
                <w:iCs/>
                <w:color w:val="000000" w:themeColor="text1"/>
              </w:rPr>
              <w:t>91.9%</w:t>
            </w:r>
          </w:p>
        </w:tc>
        <w:tc>
          <w:tcPr>
            <w:tcW w:w="1221" w:type="dxa"/>
            <w:tcBorders>
              <w:top w:val="single" w:sz="8" w:space="0" w:color="auto"/>
              <w:left w:val="single" w:sz="8" w:space="0" w:color="auto"/>
              <w:bottom w:val="single" w:sz="8" w:space="0" w:color="auto"/>
              <w:right w:val="single" w:sz="8" w:space="0" w:color="auto"/>
            </w:tcBorders>
            <w:tcMar>
              <w:left w:w="108" w:type="dxa"/>
              <w:right w:w="108" w:type="dxa"/>
            </w:tcMar>
          </w:tcPr>
          <w:p w14:paraId="17AC322D" w14:textId="45515502"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w:t>
            </w:r>
          </w:p>
        </w:tc>
        <w:tc>
          <w:tcPr>
            <w:tcW w:w="1183" w:type="dxa"/>
            <w:tcBorders>
              <w:top w:val="single" w:sz="8" w:space="0" w:color="auto"/>
              <w:left w:val="single" w:sz="8" w:space="0" w:color="auto"/>
              <w:bottom w:val="single" w:sz="8" w:space="0" w:color="auto"/>
              <w:right w:val="single" w:sz="8" w:space="0" w:color="auto"/>
            </w:tcBorders>
            <w:tcMar>
              <w:left w:w="108" w:type="dxa"/>
              <w:right w:w="108" w:type="dxa"/>
            </w:tcMar>
          </w:tcPr>
          <w:p w14:paraId="1F7A46C8" w14:textId="0DA093DB"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81.9%</w:t>
            </w:r>
          </w:p>
        </w:tc>
        <w:tc>
          <w:tcPr>
            <w:tcW w:w="1162" w:type="dxa"/>
            <w:tcBorders>
              <w:top w:val="single" w:sz="8" w:space="0" w:color="auto"/>
              <w:left w:val="single" w:sz="8" w:space="0" w:color="auto"/>
              <w:bottom w:val="single" w:sz="8" w:space="0" w:color="auto"/>
              <w:right w:val="single" w:sz="8" w:space="0" w:color="auto"/>
            </w:tcBorders>
            <w:shd w:val="clear" w:color="auto" w:fill="FFE599" w:themeFill="accent4" w:themeFillTint="66"/>
            <w:tcMar>
              <w:left w:w="108" w:type="dxa"/>
              <w:right w:w="108" w:type="dxa"/>
            </w:tcMar>
          </w:tcPr>
          <w:p w14:paraId="1C8908BF" w14:textId="21AFB624" w:rsidR="78FB741A" w:rsidRDefault="78FB741A" w:rsidP="78FB741A">
            <w:pPr>
              <w:rPr>
                <w:rFonts w:asciiTheme="minorHAnsi" w:eastAsiaTheme="minorEastAsia" w:hAnsiTheme="minorHAnsi" w:cstheme="minorBidi"/>
                <w:color w:val="000000" w:themeColor="text1"/>
              </w:rPr>
            </w:pPr>
            <w:r w:rsidRPr="78FB741A">
              <w:rPr>
                <w:rFonts w:asciiTheme="minorHAnsi" w:eastAsiaTheme="minorEastAsia" w:hAnsiTheme="minorHAnsi" w:cstheme="minorBidi"/>
                <w:color w:val="000000" w:themeColor="text1"/>
              </w:rPr>
              <w:t>6.4%</w:t>
            </w:r>
          </w:p>
        </w:tc>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04B8A3C1" w14:textId="0DD062A5" w:rsidR="78FB741A" w:rsidRDefault="78FB741A" w:rsidP="78FB741A">
            <w:pPr>
              <w:rPr>
                <w:rFonts w:asciiTheme="minorHAnsi" w:eastAsiaTheme="minorEastAsia" w:hAnsiTheme="minorHAnsi" w:cstheme="minorBidi"/>
              </w:rPr>
            </w:pPr>
            <w:r w:rsidRPr="78FB741A">
              <w:rPr>
                <w:rFonts w:asciiTheme="minorHAnsi" w:eastAsiaTheme="minorEastAsia" w:hAnsiTheme="minorHAnsi" w:cstheme="minorBidi"/>
              </w:rPr>
              <w:t>3.5%</w:t>
            </w:r>
          </w:p>
        </w:tc>
      </w:tr>
    </w:tbl>
    <w:p w14:paraId="339154C6" w14:textId="77777777" w:rsidR="00F02F8C" w:rsidRPr="00DF3BC9" w:rsidRDefault="00F02F8C" w:rsidP="00F02F8C">
      <w:pPr>
        <w:spacing w:before="120" w:after="0"/>
        <w:rPr>
          <w:rFonts w:eastAsia="Times New Roman" w:cstheme="minorHAnsi"/>
          <w:sz w:val="18"/>
          <w:szCs w:val="18"/>
          <w:lang w:eastAsia="en-AU"/>
        </w:rPr>
      </w:pPr>
      <w:r w:rsidRPr="00DF3BC9">
        <w:rPr>
          <w:rFonts w:eastAsia="Times New Roman" w:cstheme="minorHAnsi"/>
          <w:sz w:val="18"/>
          <w:szCs w:val="18"/>
          <w:lang w:eastAsia="en-AU"/>
        </w:rPr>
        <w:t>Note: Export utilisation data is incomplete due to the need to exchange data with partners. Totals may not add due to rounding.</w:t>
      </w:r>
    </w:p>
    <w:p w14:paraId="3F36FE13" w14:textId="6FF6AE64" w:rsidR="001618B5" w:rsidRPr="004A7C8A" w:rsidRDefault="001618B5" w:rsidP="004A7C8A">
      <w:pPr>
        <w:pStyle w:val="ListParagraph"/>
        <w:numPr>
          <w:ilvl w:val="0"/>
          <w:numId w:val="0"/>
        </w:numPr>
        <w:rPr>
          <w:b/>
          <w:bCs/>
          <w:i/>
          <w:iCs/>
        </w:rPr>
      </w:pPr>
      <w:r>
        <w:rPr>
          <w:b/>
          <w:bCs/>
          <w:i/>
          <w:iCs/>
        </w:rPr>
        <w:t>Trade balance with CPTPP members</w:t>
      </w:r>
    </w:p>
    <w:p w14:paraId="7341E891" w14:textId="5E3EA68B" w:rsidR="00AD0CDC" w:rsidRDefault="00D75E5D" w:rsidP="000920EB">
      <w:pPr>
        <w:pStyle w:val="ListParagraph"/>
        <w:numPr>
          <w:ilvl w:val="0"/>
          <w:numId w:val="5"/>
        </w:numPr>
        <w:ind w:left="0" w:firstLine="0"/>
      </w:pPr>
      <w:r>
        <w:t xml:space="preserve">Since the </w:t>
      </w:r>
      <w:r w:rsidR="00E26D78">
        <w:t>Agreement’s</w:t>
      </w:r>
      <w:r>
        <w:t xml:space="preserve"> entry into force, </w:t>
      </w:r>
      <w:r w:rsidR="00037F3B">
        <w:t xml:space="preserve">Australia’s </w:t>
      </w:r>
      <w:r w:rsidR="00DE4A73">
        <w:t xml:space="preserve">goods and services </w:t>
      </w:r>
      <w:r w:rsidR="00F14E7D">
        <w:t xml:space="preserve">trade </w:t>
      </w:r>
      <w:r w:rsidR="00DE4A73">
        <w:t xml:space="preserve">balance </w:t>
      </w:r>
      <w:r w:rsidR="00E26D78">
        <w:t xml:space="preserve">with CPTPP members </w:t>
      </w:r>
      <w:r w:rsidR="00815CD2">
        <w:t xml:space="preserve">has </w:t>
      </w:r>
      <w:r w:rsidR="00DE4A73">
        <w:t>increased by</w:t>
      </w:r>
      <w:r w:rsidR="00614E30">
        <w:t xml:space="preserve"> </w:t>
      </w:r>
      <w:r w:rsidR="0030343A">
        <w:t>164</w:t>
      </w:r>
      <w:r w:rsidR="002C73CA">
        <w:t> </w:t>
      </w:r>
      <w:r w:rsidR="00614E30">
        <w:t>per</w:t>
      </w:r>
      <w:r w:rsidR="002C73CA">
        <w:t> </w:t>
      </w:r>
      <w:r w:rsidR="00614E30">
        <w:t xml:space="preserve">cent </w:t>
      </w:r>
      <w:r w:rsidR="004F33BA">
        <w:t>(</w:t>
      </w:r>
      <w:r w:rsidR="00A422D3">
        <w:t>$</w:t>
      </w:r>
      <w:r w:rsidR="00846A69">
        <w:t>19</w:t>
      </w:r>
      <w:r w:rsidR="00D64005">
        <w:t>.</w:t>
      </w:r>
      <w:r w:rsidR="00B734A3">
        <w:t>6</w:t>
      </w:r>
      <w:r w:rsidR="00D64005">
        <w:t xml:space="preserve"> billion in 20</w:t>
      </w:r>
      <w:r w:rsidR="00946511">
        <w:t>1</w:t>
      </w:r>
      <w:r w:rsidR="00846A69">
        <w:t>8</w:t>
      </w:r>
      <w:r w:rsidR="00D64005">
        <w:t xml:space="preserve"> to </w:t>
      </w:r>
      <w:r w:rsidR="00A422D3">
        <w:t>$</w:t>
      </w:r>
      <w:r w:rsidR="00946511">
        <w:t>51.5 billion in 2023)</w:t>
      </w:r>
      <w:r w:rsidR="003C14DF">
        <w:t>, despite a s</w:t>
      </w:r>
      <w:r w:rsidR="00792C4C">
        <w:t xml:space="preserve">harp dip in 2023 </w:t>
      </w:r>
      <w:r w:rsidR="00733C10">
        <w:t>(Chart</w:t>
      </w:r>
      <w:r w:rsidR="00792C4C">
        <w:t> </w:t>
      </w:r>
      <w:r w:rsidR="00733C10">
        <w:t>1)</w:t>
      </w:r>
      <w:r w:rsidR="00946511">
        <w:t>.</w:t>
      </w:r>
      <w:r w:rsidR="00E917C9">
        <w:t xml:space="preserve"> </w:t>
      </w:r>
    </w:p>
    <w:p w14:paraId="7483C27C" w14:textId="4D681D03" w:rsidR="00362C82" w:rsidRDefault="00AD0CDC" w:rsidP="000920EB">
      <w:pPr>
        <w:pStyle w:val="ListParagraph"/>
        <w:numPr>
          <w:ilvl w:val="0"/>
          <w:numId w:val="5"/>
        </w:numPr>
        <w:ind w:left="0" w:firstLine="0"/>
      </w:pPr>
      <w:r>
        <w:t>While this</w:t>
      </w:r>
      <w:r w:rsidR="002A2BBE">
        <w:t xml:space="preserve"> positive</w:t>
      </w:r>
      <w:r>
        <w:t xml:space="preserve"> movement could</w:t>
      </w:r>
      <w:r w:rsidR="002A2BBE">
        <w:t xml:space="preserve"> </w:t>
      </w:r>
      <w:r>
        <w:t>be</w:t>
      </w:r>
      <w:r w:rsidR="002A2BBE">
        <w:t>, in part,</w:t>
      </w:r>
      <w:r>
        <w:t xml:space="preserve"> attributed to </w:t>
      </w:r>
      <w:r w:rsidR="002A2BBE">
        <w:t>CPTPP, it has also been largely</w:t>
      </w:r>
      <w:r w:rsidR="004113EA">
        <w:t xml:space="preserve"> consistent with Australia’s overall trade balance</w:t>
      </w:r>
      <w:r w:rsidR="00CD5F07">
        <w:t>,</w:t>
      </w:r>
      <w:r w:rsidR="004113EA">
        <w:t xml:space="preserve"> which is</w:t>
      </w:r>
      <w:r w:rsidR="00F639B7">
        <w:t xml:space="preserve"> highly dependent on current commodity prices</w:t>
      </w:r>
      <w:r w:rsidR="004113EA">
        <w:t>.</w:t>
      </w:r>
      <w:r w:rsidR="00223C3B" w:rsidRPr="00C072D4">
        <w:rPr>
          <w:vertAlign w:val="superscript"/>
        </w:rPr>
        <w:footnoteReference w:id="27"/>
      </w:r>
    </w:p>
    <w:p w14:paraId="582D4219" w14:textId="170962AF" w:rsidR="746EADB1" w:rsidRDefault="746EADB1" w:rsidP="746EADB1"/>
    <w:p w14:paraId="2BC4266F" w14:textId="1982DD01" w:rsidR="746EADB1" w:rsidRDefault="746EADB1" w:rsidP="746EADB1"/>
    <w:p w14:paraId="4AB7C537" w14:textId="7DD14FCD" w:rsidR="746EADB1" w:rsidRDefault="746EADB1" w:rsidP="746EADB1"/>
    <w:p w14:paraId="78DF58B5" w14:textId="5D1E6674" w:rsidR="746EADB1" w:rsidRDefault="746EADB1" w:rsidP="746EADB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362C82" w14:paraId="25B6D7DC" w14:textId="77777777" w:rsidTr="002A2BBE">
        <w:tc>
          <w:tcPr>
            <w:tcW w:w="8312" w:type="dxa"/>
          </w:tcPr>
          <w:p w14:paraId="7DC911A5" w14:textId="3B850641" w:rsidR="00362C82" w:rsidRPr="00F7483A" w:rsidRDefault="00362C82" w:rsidP="00AA02B2">
            <w:pPr>
              <w:keepNext/>
              <w:spacing w:after="120"/>
              <w:rPr>
                <w:rFonts w:asciiTheme="minorHAnsi" w:hAnsiTheme="minorHAnsi" w:cstheme="minorHAnsi"/>
                <w:b/>
                <w:bCs/>
              </w:rPr>
            </w:pPr>
            <w:r w:rsidRPr="000839B8">
              <w:rPr>
                <w:rFonts w:asciiTheme="minorHAnsi" w:eastAsiaTheme="minorEastAsia" w:hAnsiTheme="minorHAnsi" w:cstheme="minorBidi"/>
                <w:b/>
                <w:bCs/>
                <w:i/>
                <w:iCs/>
                <w:sz w:val="22"/>
                <w:szCs w:val="22"/>
                <w:lang w:eastAsia="en-US"/>
              </w:rPr>
              <w:lastRenderedPageBreak/>
              <w:t xml:space="preserve">Chart </w:t>
            </w:r>
            <w:r w:rsidR="00733C10" w:rsidRPr="000839B8">
              <w:rPr>
                <w:rFonts w:asciiTheme="minorHAnsi" w:eastAsiaTheme="minorEastAsia" w:hAnsiTheme="minorHAnsi" w:cstheme="minorBidi"/>
                <w:b/>
                <w:bCs/>
                <w:i/>
                <w:iCs/>
                <w:sz w:val="22"/>
                <w:szCs w:val="22"/>
                <w:lang w:eastAsia="en-US"/>
              </w:rPr>
              <w:t>1:</w:t>
            </w:r>
            <w:r w:rsidRPr="000839B8">
              <w:rPr>
                <w:rFonts w:asciiTheme="minorHAnsi" w:eastAsiaTheme="minorEastAsia" w:hAnsiTheme="minorHAnsi" w:cstheme="minorBidi"/>
                <w:b/>
                <w:bCs/>
                <w:i/>
                <w:iCs/>
                <w:sz w:val="22"/>
                <w:szCs w:val="22"/>
                <w:lang w:eastAsia="en-US"/>
              </w:rPr>
              <w:t xml:space="preserve"> Australia’s total goods and services balance with CPTPP economies</w:t>
            </w:r>
            <w:r w:rsidR="00431426" w:rsidRPr="000839B8">
              <w:rPr>
                <w:rFonts w:asciiTheme="minorHAnsi" w:eastAsiaTheme="minorEastAsia" w:hAnsiTheme="minorHAnsi" w:cstheme="minorBidi"/>
                <w:b/>
                <w:bCs/>
                <w:i/>
                <w:iCs/>
                <w:sz w:val="22"/>
                <w:szCs w:val="22"/>
                <w:lang w:eastAsia="en-US"/>
              </w:rPr>
              <w:t xml:space="preserve"> (</w:t>
            </w:r>
            <w:r w:rsidR="00396498">
              <w:rPr>
                <w:rFonts w:asciiTheme="minorHAnsi" w:eastAsiaTheme="minorEastAsia" w:hAnsiTheme="minorHAnsi" w:cstheme="minorBidi"/>
                <w:b/>
                <w:bCs/>
                <w:i/>
                <w:iCs/>
                <w:sz w:val="22"/>
                <w:szCs w:val="22"/>
                <w:lang w:eastAsia="en-US"/>
              </w:rPr>
              <w:t>$</w:t>
            </w:r>
            <w:r w:rsidR="00431426" w:rsidRPr="000839B8">
              <w:rPr>
                <w:rFonts w:asciiTheme="minorHAnsi" w:eastAsiaTheme="minorEastAsia" w:hAnsiTheme="minorHAnsi" w:cstheme="minorBidi"/>
                <w:b/>
                <w:bCs/>
                <w:i/>
                <w:iCs/>
                <w:sz w:val="22"/>
                <w:szCs w:val="22"/>
                <w:lang w:eastAsia="en-US"/>
              </w:rPr>
              <w:t xml:space="preserve"> million)</w:t>
            </w:r>
          </w:p>
        </w:tc>
      </w:tr>
      <w:tr w:rsidR="00362C82" w14:paraId="2BED5793" w14:textId="77777777" w:rsidTr="002A2BBE">
        <w:tc>
          <w:tcPr>
            <w:tcW w:w="8312" w:type="dxa"/>
          </w:tcPr>
          <w:p w14:paraId="7283E291" w14:textId="675A27A3" w:rsidR="00362C82" w:rsidRDefault="00362C82" w:rsidP="00AA02B2">
            <w:pPr>
              <w:keepNext/>
            </w:pPr>
            <w:r>
              <w:rPr>
                <w:noProof/>
              </w:rPr>
              <mc:AlternateContent>
                <mc:Choice Requires="wps">
                  <w:drawing>
                    <wp:anchor distT="0" distB="0" distL="114300" distR="114300" simplePos="0" relativeHeight="251658240" behindDoc="0" locked="0" layoutInCell="1" allowOverlap="1" wp14:anchorId="432C6EA9" wp14:editId="0F30D725">
                      <wp:simplePos x="0" y="0"/>
                      <wp:positionH relativeFrom="column">
                        <wp:posOffset>1936750</wp:posOffset>
                      </wp:positionH>
                      <wp:positionV relativeFrom="paragraph">
                        <wp:posOffset>613410</wp:posOffset>
                      </wp:positionV>
                      <wp:extent cx="0" cy="2127250"/>
                      <wp:effectExtent l="0" t="0" r="38100" b="25400"/>
                      <wp:wrapNone/>
                      <wp:docPr id="447804074" name="Straight Connector 447804074"/>
                      <wp:cNvGraphicFramePr/>
                      <a:graphic xmlns:a="http://schemas.openxmlformats.org/drawingml/2006/main">
                        <a:graphicData uri="http://schemas.microsoft.com/office/word/2010/wordprocessingShape">
                          <wps:wsp>
                            <wps:cNvCnPr/>
                            <wps:spPr>
                              <a:xfrm flipV="1">
                                <a:off x="0" y="0"/>
                                <a:ext cx="0" cy="21272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10CC0223" id="Straight Connector 447804074" o:spid="_x0000_s1026" style="position:absolute;flip:y;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5pt,48.3pt" to="152.5pt,2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" strokecolor="black [3200]">
                      <v:stroke dashstyle="dash"/>
                    </v:line>
                  </w:pict>
                </mc:Fallback>
              </mc:AlternateContent>
            </w:r>
            <w:r w:rsidR="00A11BE7">
              <w:rPr>
                <w:noProof/>
              </w:rPr>
              <w:drawing>
                <wp:inline distT="0" distB="0" distL="0" distR="0" wp14:anchorId="4B93DE68" wp14:editId="244432B6">
                  <wp:extent cx="5279390" cy="2871470"/>
                  <wp:effectExtent l="0" t="0" r="0" b="5080"/>
                  <wp:docPr id="105583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9390" cy="2871470"/>
                          </a:xfrm>
                          <a:prstGeom prst="rect">
                            <a:avLst/>
                          </a:prstGeom>
                          <a:noFill/>
                        </pic:spPr>
                      </pic:pic>
                    </a:graphicData>
                  </a:graphic>
                </wp:inline>
              </w:drawing>
            </w:r>
          </w:p>
          <w:p w14:paraId="4897D81A" w14:textId="77777777" w:rsidR="00362C82" w:rsidRPr="002779DC" w:rsidRDefault="00362C82" w:rsidP="00AA02B2">
            <w:pPr>
              <w:keepNext/>
              <w:spacing w:before="120"/>
              <w:rPr>
                <w:rFonts w:asciiTheme="minorHAnsi" w:hAnsiTheme="minorHAnsi" w:cstheme="minorHAnsi"/>
                <w:sz w:val="18"/>
                <w:szCs w:val="18"/>
              </w:rPr>
            </w:pPr>
            <w:r w:rsidRPr="002779DC">
              <w:rPr>
                <w:rFonts w:asciiTheme="minorHAnsi" w:hAnsiTheme="minorHAnsi" w:cstheme="minorHAnsi"/>
                <w:sz w:val="18"/>
                <w:szCs w:val="18"/>
              </w:rPr>
              <w:t xml:space="preserve">Note: chart reflects current prices, goods recorded on a recorded trade basis, services on a balance of payments basis. </w:t>
            </w:r>
          </w:p>
          <w:p w14:paraId="044A2801" w14:textId="3358F5B5" w:rsidR="00362C82" w:rsidRDefault="00551ABF" w:rsidP="00AA02B2">
            <w:pPr>
              <w:keepNext/>
              <w:spacing w:before="120"/>
            </w:pPr>
            <w:r w:rsidRPr="00551ABF">
              <w:rPr>
                <w:rFonts w:asciiTheme="minorHAnsi" w:hAnsiTheme="minorHAnsi" w:cstheme="minorHAnsi"/>
                <w:sz w:val="18"/>
                <w:szCs w:val="18"/>
              </w:rPr>
              <w:t>Source: ABS Balance of Payments and International Investment Position (June 2024) and International Trade: Supplementary Information, Calendar Year.</w:t>
            </w:r>
          </w:p>
        </w:tc>
      </w:tr>
    </w:tbl>
    <w:p w14:paraId="08699897" w14:textId="04E6D864" w:rsidR="00393139" w:rsidRPr="009E28FF" w:rsidRDefault="00393139" w:rsidP="009E28FF">
      <w:pPr>
        <w:pStyle w:val="ListParagraph"/>
        <w:numPr>
          <w:ilvl w:val="0"/>
          <w:numId w:val="0"/>
        </w:numPr>
        <w:rPr>
          <w:b/>
          <w:bCs/>
          <w:i/>
          <w:iCs/>
        </w:rPr>
      </w:pPr>
      <w:r>
        <w:rPr>
          <w:b/>
          <w:bCs/>
          <w:i/>
          <w:iCs/>
        </w:rPr>
        <w:t>Goods and services exports</w:t>
      </w:r>
    </w:p>
    <w:p w14:paraId="01E4B100" w14:textId="6FC352DF" w:rsidR="006271F6" w:rsidRDefault="006812C7" w:rsidP="000920EB">
      <w:pPr>
        <w:pStyle w:val="ListParagraph"/>
        <w:numPr>
          <w:ilvl w:val="0"/>
          <w:numId w:val="5"/>
        </w:numPr>
        <w:ind w:left="0" w:firstLine="0"/>
      </w:pPr>
      <w:r>
        <w:t>T</w:t>
      </w:r>
      <w:r w:rsidR="00846C9B">
        <w:t xml:space="preserve">here has been </w:t>
      </w:r>
      <w:r w:rsidR="000A361A">
        <w:t>a</w:t>
      </w:r>
      <w:r w:rsidR="00A82A1B">
        <w:t xml:space="preserve"> </w:t>
      </w:r>
      <w:r w:rsidR="000A361A">
        <w:t>net</w:t>
      </w:r>
      <w:r w:rsidR="00846C9B">
        <w:t xml:space="preserve"> increase in Australia’s goods and services </w:t>
      </w:r>
      <w:r w:rsidR="00036562">
        <w:t>export</w:t>
      </w:r>
      <w:r w:rsidR="00A52F6A">
        <w:t>s</w:t>
      </w:r>
      <w:r w:rsidR="00846C9B">
        <w:t xml:space="preserve"> </w:t>
      </w:r>
      <w:r w:rsidR="0067783E">
        <w:t>to CPTPP members</w:t>
      </w:r>
      <w:r>
        <w:t xml:space="preserve"> since </w:t>
      </w:r>
      <w:r w:rsidR="00E567F7">
        <w:t>CPTPP</w:t>
      </w:r>
      <w:r>
        <w:t>’s entry into force</w:t>
      </w:r>
      <w:r w:rsidR="0067783E">
        <w:t xml:space="preserve"> </w:t>
      </w:r>
      <w:r w:rsidR="00831BA4">
        <w:t>(Chart</w:t>
      </w:r>
      <w:r w:rsidR="008C78FF">
        <w:t> </w:t>
      </w:r>
      <w:r>
        <w:t>2</w:t>
      </w:r>
      <w:r w:rsidR="00831BA4">
        <w:t>)</w:t>
      </w:r>
      <w:r w:rsidR="001C40B0">
        <w:t>,</w:t>
      </w:r>
      <w:r w:rsidR="00CC7436">
        <w:t xml:space="preserve"> </w:t>
      </w:r>
      <w:r w:rsidR="00EC5B1A">
        <w:t>d</w:t>
      </w:r>
      <w:r w:rsidR="00FA376D">
        <w:t xml:space="preserve">espite a decline in exports in 2020 (due to </w:t>
      </w:r>
      <w:r w:rsidR="00340206">
        <w:t>COVID</w:t>
      </w:r>
      <w:r w:rsidR="008B1928">
        <w:t>-19</w:t>
      </w:r>
      <w:r w:rsidR="003159D4">
        <w:t>-</w:t>
      </w:r>
      <w:r w:rsidR="00FA376D">
        <w:t>related disruptions</w:t>
      </w:r>
      <w:r w:rsidR="002A6819">
        <w:t>)</w:t>
      </w:r>
      <w:r w:rsidR="00767499">
        <w:t>.</w:t>
      </w:r>
      <w:r w:rsidR="00896704" w:rsidRPr="00C072D4">
        <w:rPr>
          <w:vertAlign w:val="superscript"/>
        </w:rPr>
        <w:footnoteReference w:id="28"/>
      </w:r>
      <w:r w:rsidR="00DE4466" w:rsidRPr="00C072D4">
        <w:rPr>
          <w:vertAlign w:val="superscript"/>
        </w:rPr>
        <w:t xml:space="preserve"> </w:t>
      </w:r>
      <w:r w:rsidR="00B10A82">
        <w:t>T</w:t>
      </w:r>
      <w:r w:rsidR="00554FE4">
        <w:t xml:space="preserve">he </w:t>
      </w:r>
      <w:r w:rsidR="005A2DA3">
        <w:t xml:space="preserve">annual </w:t>
      </w:r>
      <w:r w:rsidR="00554FE4">
        <w:t xml:space="preserve">average value of Australia’s goods and services exports </w:t>
      </w:r>
      <w:r w:rsidR="005A2DA3">
        <w:t xml:space="preserve">in the </w:t>
      </w:r>
      <w:r w:rsidR="00554FE4">
        <w:t>201</w:t>
      </w:r>
      <w:r w:rsidR="00D67EC8">
        <w:t>4</w:t>
      </w:r>
      <w:r w:rsidR="00554FE4">
        <w:t>-18</w:t>
      </w:r>
      <w:r w:rsidR="005A2DA3">
        <w:t xml:space="preserve"> period</w:t>
      </w:r>
      <w:r w:rsidR="00554FE4">
        <w:t xml:space="preserve"> was </w:t>
      </w:r>
      <w:r w:rsidR="00A422D3">
        <w:t>$</w:t>
      </w:r>
      <w:r w:rsidR="001F11A3">
        <w:t>9</w:t>
      </w:r>
      <w:r w:rsidR="00AC606D">
        <w:t>1</w:t>
      </w:r>
      <w:r w:rsidR="007B5189">
        <w:t>.</w:t>
      </w:r>
      <w:r w:rsidR="00AC606D">
        <w:t>3</w:t>
      </w:r>
      <w:r w:rsidR="0027141F">
        <w:t> </w:t>
      </w:r>
      <w:r w:rsidR="00554FE4">
        <w:t xml:space="preserve">billion, compared to an average of </w:t>
      </w:r>
      <w:r w:rsidR="00A422D3">
        <w:t>$</w:t>
      </w:r>
      <w:r w:rsidR="004E795B">
        <w:t>1</w:t>
      </w:r>
      <w:r w:rsidR="009E6BC6">
        <w:t>41</w:t>
      </w:r>
      <w:r w:rsidR="00554FE4">
        <w:t xml:space="preserve"> billion in</w:t>
      </w:r>
      <w:r w:rsidR="00F307D4">
        <w:t xml:space="preserve"> the</w:t>
      </w:r>
      <w:r w:rsidR="00554FE4">
        <w:t xml:space="preserve"> 201</w:t>
      </w:r>
      <w:r w:rsidR="009E6BC6">
        <w:t>9</w:t>
      </w:r>
      <w:r w:rsidR="00554FE4">
        <w:t>-23</w:t>
      </w:r>
      <w:r w:rsidR="00F307D4">
        <w:t xml:space="preserve"> period</w:t>
      </w:r>
      <w:r w:rsidR="00554FE4">
        <w:t xml:space="preserve"> (an increase of </w:t>
      </w:r>
      <w:r w:rsidR="00A44BA7">
        <w:t>5</w:t>
      </w:r>
      <w:r w:rsidR="00AC606D">
        <w:t>4</w:t>
      </w:r>
      <w:r w:rsidR="001B0D79">
        <w:t>.</w:t>
      </w:r>
      <w:r w:rsidR="00AC606D">
        <w:t>6</w:t>
      </w:r>
      <w:r w:rsidR="00554FE4">
        <w:t xml:space="preserve"> per cent)</w:t>
      </w:r>
      <w:r w:rsidR="00B10A82">
        <w:t xml:space="preserve"> (Chart 3)</w:t>
      </w:r>
      <w:r w:rsidR="00CC7436">
        <w:t>.</w:t>
      </w:r>
    </w:p>
    <w:p w14:paraId="44544111" w14:textId="6CF34FDB" w:rsidR="0089614E" w:rsidRDefault="00D56B7E" w:rsidP="000920EB">
      <w:pPr>
        <w:pStyle w:val="ListParagraph"/>
        <w:numPr>
          <w:ilvl w:val="0"/>
          <w:numId w:val="5"/>
        </w:numPr>
        <w:ind w:left="0" w:firstLine="0"/>
      </w:pPr>
      <w:r>
        <w:t>F</w:t>
      </w:r>
      <w:r w:rsidR="0089614E">
        <w:t xml:space="preserve">actors such as the removal of further tariffs over time in existing FTAs and the </w:t>
      </w:r>
      <w:r w:rsidR="00C26D0C">
        <w:t xml:space="preserve">entry into force </w:t>
      </w:r>
      <w:r w:rsidR="0089614E">
        <w:t>of RCEP in 2022</w:t>
      </w:r>
      <w:r w:rsidR="00146C0C">
        <w:t xml:space="preserve"> (</w:t>
      </w:r>
      <w:r w:rsidR="00C420A1">
        <w:t xml:space="preserve">to </w:t>
      </w:r>
      <w:r w:rsidR="00146C0C">
        <w:t xml:space="preserve">which many CPTPP members are </w:t>
      </w:r>
      <w:r w:rsidR="00C420A1">
        <w:t>parties</w:t>
      </w:r>
      <w:r w:rsidR="00146C0C">
        <w:t>)</w:t>
      </w:r>
      <w:r w:rsidR="0089614E">
        <w:t xml:space="preserve"> </w:t>
      </w:r>
      <w:r w:rsidR="005D0C8C">
        <w:t>could</w:t>
      </w:r>
      <w:r w:rsidR="0089614E">
        <w:t xml:space="preserve"> have also contributed to this result.</w:t>
      </w:r>
    </w:p>
    <w:tbl>
      <w:tblPr>
        <w:tblStyle w:val="TableGrid"/>
        <w:tblW w:w="8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0"/>
        <w:gridCol w:w="76"/>
      </w:tblGrid>
      <w:tr w:rsidR="008F63E1" w14:paraId="2B31EEE8" w14:textId="77777777" w:rsidTr="00440ED0">
        <w:trPr>
          <w:gridAfter w:val="1"/>
          <w:wAfter w:w="76" w:type="dxa"/>
        </w:trPr>
        <w:tc>
          <w:tcPr>
            <w:tcW w:w="8480" w:type="dxa"/>
          </w:tcPr>
          <w:p w14:paraId="4CF001D3" w14:textId="6FFDB12B" w:rsidR="008F63E1" w:rsidRPr="00CA7B88" w:rsidRDefault="00DB4632" w:rsidP="00AA02B2">
            <w:pPr>
              <w:keepNext/>
              <w:spacing w:after="120"/>
              <w:rPr>
                <w:rFonts w:asciiTheme="minorHAnsi" w:eastAsiaTheme="minorEastAsia" w:hAnsiTheme="minorHAnsi" w:cstheme="minorBidi"/>
                <w:b/>
                <w:bCs/>
                <w:i/>
                <w:iCs/>
                <w:sz w:val="22"/>
                <w:szCs w:val="22"/>
                <w:lang w:eastAsia="en-US"/>
              </w:rPr>
            </w:pPr>
            <w:r w:rsidRPr="00CA7B88">
              <w:rPr>
                <w:rFonts w:asciiTheme="minorHAnsi" w:eastAsiaTheme="minorEastAsia" w:hAnsiTheme="minorHAnsi" w:cstheme="minorBidi"/>
                <w:b/>
                <w:bCs/>
                <w:i/>
                <w:iCs/>
                <w:sz w:val="22"/>
                <w:szCs w:val="22"/>
                <w:lang w:eastAsia="en-US"/>
              </w:rPr>
              <w:lastRenderedPageBreak/>
              <w:t xml:space="preserve">Chart </w:t>
            </w:r>
            <w:r w:rsidR="002A4FE7" w:rsidRPr="00CA7B88">
              <w:rPr>
                <w:rFonts w:asciiTheme="minorHAnsi" w:eastAsiaTheme="minorEastAsia" w:hAnsiTheme="minorHAnsi" w:cstheme="minorBidi"/>
                <w:b/>
                <w:bCs/>
                <w:i/>
                <w:iCs/>
                <w:sz w:val="22"/>
                <w:szCs w:val="22"/>
                <w:lang w:eastAsia="en-US"/>
              </w:rPr>
              <w:t>2</w:t>
            </w:r>
            <w:r w:rsidRPr="00CA7B88">
              <w:rPr>
                <w:rFonts w:asciiTheme="minorHAnsi" w:eastAsiaTheme="minorEastAsia" w:hAnsiTheme="minorHAnsi" w:cstheme="minorBidi"/>
                <w:b/>
                <w:bCs/>
                <w:i/>
                <w:iCs/>
                <w:sz w:val="22"/>
                <w:szCs w:val="22"/>
                <w:lang w:eastAsia="en-US"/>
              </w:rPr>
              <w:t xml:space="preserve">: </w:t>
            </w:r>
            <w:r w:rsidR="00F75AB2" w:rsidRPr="00CA7B88">
              <w:rPr>
                <w:rFonts w:asciiTheme="minorHAnsi" w:eastAsiaTheme="minorEastAsia" w:hAnsiTheme="minorHAnsi" w:cstheme="minorBidi"/>
                <w:b/>
                <w:bCs/>
                <w:i/>
                <w:iCs/>
                <w:sz w:val="22"/>
                <w:szCs w:val="22"/>
                <w:lang w:eastAsia="en-US"/>
              </w:rPr>
              <w:t>Goods and services e</w:t>
            </w:r>
            <w:r w:rsidR="003D2A3A" w:rsidRPr="00CA7B88">
              <w:rPr>
                <w:rFonts w:asciiTheme="minorHAnsi" w:eastAsiaTheme="minorEastAsia" w:hAnsiTheme="minorHAnsi" w:cstheme="minorBidi"/>
                <w:b/>
                <w:bCs/>
                <w:i/>
                <w:iCs/>
                <w:sz w:val="22"/>
                <w:szCs w:val="22"/>
                <w:lang w:eastAsia="en-US"/>
              </w:rPr>
              <w:t xml:space="preserve">xports to CPTPP </w:t>
            </w:r>
            <w:r w:rsidR="004E23F8" w:rsidRPr="00CA7B88">
              <w:rPr>
                <w:rFonts w:asciiTheme="minorHAnsi" w:eastAsiaTheme="minorEastAsia" w:hAnsiTheme="minorHAnsi" w:cstheme="minorBidi"/>
                <w:b/>
                <w:bCs/>
                <w:i/>
                <w:iCs/>
                <w:sz w:val="22"/>
                <w:szCs w:val="22"/>
                <w:lang w:eastAsia="en-US"/>
              </w:rPr>
              <w:t>economies</w:t>
            </w:r>
            <w:r w:rsidR="00E82F15" w:rsidRPr="00CA7B88">
              <w:rPr>
                <w:rFonts w:asciiTheme="minorHAnsi" w:eastAsiaTheme="minorEastAsia" w:hAnsiTheme="minorHAnsi" w:cstheme="minorBidi"/>
                <w:b/>
                <w:bCs/>
                <w:i/>
                <w:iCs/>
                <w:sz w:val="22"/>
                <w:szCs w:val="22"/>
                <w:lang w:eastAsia="en-US"/>
              </w:rPr>
              <w:t xml:space="preserve"> (</w:t>
            </w:r>
            <w:r w:rsidR="00A422D3">
              <w:rPr>
                <w:rFonts w:asciiTheme="minorHAnsi" w:eastAsiaTheme="minorEastAsia" w:hAnsiTheme="minorHAnsi" w:cstheme="minorBidi"/>
                <w:b/>
                <w:bCs/>
                <w:i/>
                <w:iCs/>
                <w:sz w:val="22"/>
                <w:szCs w:val="22"/>
                <w:lang w:eastAsia="en-US"/>
              </w:rPr>
              <w:t>$</w:t>
            </w:r>
            <w:r w:rsidR="00E82F15" w:rsidRPr="00CA7B88">
              <w:rPr>
                <w:rFonts w:asciiTheme="minorHAnsi" w:eastAsiaTheme="minorEastAsia" w:hAnsiTheme="minorHAnsi" w:cstheme="minorBidi"/>
                <w:b/>
                <w:bCs/>
                <w:i/>
                <w:iCs/>
                <w:sz w:val="22"/>
                <w:szCs w:val="22"/>
                <w:lang w:eastAsia="en-US"/>
              </w:rPr>
              <w:t xml:space="preserve"> billion)</w:t>
            </w:r>
          </w:p>
          <w:p w14:paraId="6A1A4D67" w14:textId="1744E004" w:rsidR="00C67C5C" w:rsidRPr="00CA7B88" w:rsidRDefault="00A11BE7" w:rsidP="00AA02B2">
            <w:pPr>
              <w:keepNext/>
              <w:spacing w:before="120"/>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0CE5E49E" wp14:editId="2380979B">
                  <wp:extent cx="5170170" cy="2840990"/>
                  <wp:effectExtent l="0" t="0" r="0" b="0"/>
                  <wp:docPr id="982161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70170" cy="2840990"/>
                          </a:xfrm>
                          <a:prstGeom prst="rect">
                            <a:avLst/>
                          </a:prstGeom>
                          <a:noFill/>
                        </pic:spPr>
                      </pic:pic>
                    </a:graphicData>
                  </a:graphic>
                </wp:inline>
              </w:drawing>
            </w:r>
          </w:p>
          <w:p w14:paraId="603D4FF9" w14:textId="2B074A1F" w:rsidR="00C67C5C" w:rsidRPr="00CA7B88" w:rsidRDefault="00D14283" w:rsidP="00AA02B2">
            <w:pPr>
              <w:keepNext/>
              <w:spacing w:before="120"/>
              <w:rPr>
                <w:rFonts w:asciiTheme="minorHAnsi" w:hAnsiTheme="minorHAnsi" w:cstheme="minorHAnsi"/>
                <w:sz w:val="18"/>
                <w:szCs w:val="18"/>
              </w:rPr>
            </w:pPr>
            <w:r w:rsidRPr="00CA7B88">
              <w:rPr>
                <w:rFonts w:asciiTheme="minorHAnsi" w:hAnsiTheme="minorHAnsi" w:cstheme="minorHAnsi"/>
                <w:sz w:val="18"/>
                <w:szCs w:val="18"/>
              </w:rPr>
              <w:t xml:space="preserve">Source: </w:t>
            </w:r>
            <w:r w:rsidR="00794462" w:rsidRPr="00CA7B88">
              <w:rPr>
                <w:rFonts w:asciiTheme="minorHAnsi" w:hAnsiTheme="minorHAnsi" w:cstheme="minorHAnsi"/>
                <w:sz w:val="18"/>
                <w:szCs w:val="18"/>
              </w:rPr>
              <w:t>ABS</w:t>
            </w:r>
            <w:r w:rsidR="000E759A" w:rsidRPr="00CA7B88">
              <w:rPr>
                <w:rFonts w:asciiTheme="minorHAnsi" w:hAnsiTheme="minorHAnsi" w:cstheme="minorHAnsi"/>
                <w:sz w:val="18"/>
                <w:szCs w:val="18"/>
              </w:rPr>
              <w:t xml:space="preserve"> Balance </w:t>
            </w:r>
            <w:r w:rsidR="00351B07" w:rsidRPr="00CA7B88">
              <w:rPr>
                <w:rFonts w:asciiTheme="minorHAnsi" w:hAnsiTheme="minorHAnsi" w:cstheme="minorHAnsi"/>
                <w:sz w:val="18"/>
                <w:szCs w:val="18"/>
              </w:rPr>
              <w:t xml:space="preserve">of Payments and International </w:t>
            </w:r>
            <w:r w:rsidR="00475FBC" w:rsidRPr="00CA7B88">
              <w:rPr>
                <w:rFonts w:asciiTheme="minorHAnsi" w:hAnsiTheme="minorHAnsi" w:cstheme="minorHAnsi"/>
                <w:sz w:val="18"/>
                <w:szCs w:val="18"/>
              </w:rPr>
              <w:t>Investment Position</w:t>
            </w:r>
            <w:r w:rsidR="00710CA8" w:rsidRPr="00CA7B88">
              <w:rPr>
                <w:rFonts w:asciiTheme="minorHAnsi" w:hAnsiTheme="minorHAnsi" w:cstheme="minorHAnsi"/>
                <w:sz w:val="18"/>
                <w:szCs w:val="18"/>
              </w:rPr>
              <w:t xml:space="preserve"> (June 2024) an</w:t>
            </w:r>
            <w:r w:rsidR="005B7A09" w:rsidRPr="00CA7B88">
              <w:rPr>
                <w:rFonts w:asciiTheme="minorHAnsi" w:hAnsiTheme="minorHAnsi" w:cstheme="minorHAnsi"/>
                <w:sz w:val="18"/>
                <w:szCs w:val="18"/>
              </w:rPr>
              <w:t>d International Trade: Suppl</w:t>
            </w:r>
            <w:r w:rsidR="00E33508" w:rsidRPr="00CA7B88">
              <w:rPr>
                <w:rFonts w:asciiTheme="minorHAnsi" w:hAnsiTheme="minorHAnsi" w:cstheme="minorHAnsi"/>
                <w:sz w:val="18"/>
                <w:szCs w:val="18"/>
              </w:rPr>
              <w:t>ementary Information, Calendar Year</w:t>
            </w:r>
            <w:r w:rsidR="00C878F8" w:rsidRPr="00CA7B88">
              <w:rPr>
                <w:rFonts w:asciiTheme="minorHAnsi" w:hAnsiTheme="minorHAnsi" w:cstheme="minorHAnsi"/>
                <w:sz w:val="18"/>
                <w:szCs w:val="18"/>
              </w:rPr>
              <w:t>.</w:t>
            </w:r>
          </w:p>
        </w:tc>
      </w:tr>
      <w:tr w:rsidR="002629EC" w14:paraId="6CEC5542" w14:textId="77777777" w:rsidTr="00440ED0">
        <w:trPr>
          <w:cantSplit/>
        </w:trPr>
        <w:tc>
          <w:tcPr>
            <w:tcW w:w="8556" w:type="dxa"/>
            <w:gridSpan w:val="2"/>
          </w:tcPr>
          <w:p w14:paraId="02BB77B7" w14:textId="6818A080" w:rsidR="00C14422" w:rsidRPr="002629EC" w:rsidRDefault="002629EC" w:rsidP="00AA02B2">
            <w:pPr>
              <w:keepNext/>
              <w:rPr>
                <w:b/>
                <w:bCs/>
              </w:rPr>
            </w:pPr>
            <w:r w:rsidRPr="00CA7B88">
              <w:rPr>
                <w:rFonts w:asciiTheme="minorHAnsi" w:eastAsiaTheme="minorEastAsia" w:hAnsiTheme="minorHAnsi" w:cstheme="minorBidi"/>
                <w:b/>
                <w:bCs/>
                <w:i/>
                <w:iCs/>
                <w:sz w:val="22"/>
                <w:szCs w:val="22"/>
                <w:lang w:eastAsia="en-US"/>
              </w:rPr>
              <w:t xml:space="preserve">Chart </w:t>
            </w:r>
            <w:r w:rsidR="002A4FE7" w:rsidRPr="00CA7B88">
              <w:rPr>
                <w:rFonts w:asciiTheme="minorHAnsi" w:eastAsiaTheme="minorEastAsia" w:hAnsiTheme="minorHAnsi" w:cstheme="minorBidi"/>
                <w:b/>
                <w:bCs/>
                <w:i/>
                <w:iCs/>
                <w:sz w:val="22"/>
                <w:szCs w:val="22"/>
                <w:lang w:eastAsia="en-US"/>
              </w:rPr>
              <w:t>3</w:t>
            </w:r>
            <w:r w:rsidRPr="00CA7B88">
              <w:rPr>
                <w:rFonts w:asciiTheme="minorHAnsi" w:eastAsiaTheme="minorEastAsia" w:hAnsiTheme="minorHAnsi" w:cstheme="minorBidi"/>
                <w:b/>
                <w:bCs/>
                <w:i/>
                <w:iCs/>
                <w:sz w:val="22"/>
                <w:szCs w:val="22"/>
                <w:lang w:eastAsia="en-US"/>
              </w:rPr>
              <w:t xml:space="preserve">: </w:t>
            </w:r>
            <w:r w:rsidR="00C56A07" w:rsidRPr="00CA7B88">
              <w:rPr>
                <w:rFonts w:asciiTheme="minorHAnsi" w:eastAsiaTheme="minorEastAsia" w:hAnsiTheme="minorHAnsi" w:cstheme="minorBidi"/>
                <w:b/>
                <w:bCs/>
                <w:i/>
                <w:iCs/>
                <w:sz w:val="22"/>
                <w:szCs w:val="22"/>
                <w:lang w:eastAsia="en-US"/>
              </w:rPr>
              <w:t>Average goods and services</w:t>
            </w:r>
            <w:r w:rsidR="00F0458E" w:rsidRPr="00CA7B88">
              <w:rPr>
                <w:rFonts w:asciiTheme="minorHAnsi" w:eastAsiaTheme="minorEastAsia" w:hAnsiTheme="minorHAnsi" w:cstheme="minorBidi"/>
                <w:b/>
                <w:bCs/>
                <w:i/>
                <w:iCs/>
                <w:sz w:val="22"/>
                <w:szCs w:val="22"/>
                <w:lang w:eastAsia="en-US"/>
              </w:rPr>
              <w:t xml:space="preserve"> exports to CPTPP </w:t>
            </w:r>
            <w:r w:rsidR="00A525D1" w:rsidRPr="00CA7B88">
              <w:rPr>
                <w:rFonts w:asciiTheme="minorHAnsi" w:eastAsiaTheme="minorEastAsia" w:hAnsiTheme="minorHAnsi" w:cstheme="minorBidi"/>
                <w:b/>
                <w:bCs/>
                <w:i/>
                <w:iCs/>
                <w:sz w:val="22"/>
                <w:szCs w:val="22"/>
                <w:lang w:eastAsia="en-US"/>
              </w:rPr>
              <w:t>economies</w:t>
            </w:r>
            <w:r w:rsidR="002A5C5A" w:rsidRPr="00CA7B88">
              <w:rPr>
                <w:rFonts w:asciiTheme="minorHAnsi" w:eastAsiaTheme="minorEastAsia" w:hAnsiTheme="minorHAnsi" w:cstheme="minorBidi"/>
                <w:b/>
                <w:bCs/>
                <w:i/>
                <w:iCs/>
                <w:sz w:val="22"/>
                <w:szCs w:val="22"/>
                <w:lang w:eastAsia="en-US"/>
              </w:rPr>
              <w:t xml:space="preserve"> (</w:t>
            </w:r>
            <w:r w:rsidR="00A422D3">
              <w:rPr>
                <w:rFonts w:asciiTheme="minorHAnsi" w:eastAsiaTheme="minorEastAsia" w:hAnsiTheme="minorHAnsi" w:cstheme="minorBidi"/>
                <w:b/>
                <w:bCs/>
                <w:i/>
                <w:iCs/>
                <w:sz w:val="22"/>
                <w:szCs w:val="22"/>
                <w:lang w:eastAsia="en-US"/>
              </w:rPr>
              <w:t>$</w:t>
            </w:r>
            <w:r w:rsidR="002A5C5A" w:rsidRPr="00CA7B88">
              <w:rPr>
                <w:rFonts w:asciiTheme="minorHAnsi" w:eastAsiaTheme="minorEastAsia" w:hAnsiTheme="minorHAnsi" w:cstheme="minorBidi"/>
                <w:b/>
                <w:bCs/>
                <w:i/>
                <w:iCs/>
                <w:sz w:val="22"/>
                <w:szCs w:val="22"/>
                <w:lang w:eastAsia="en-US"/>
              </w:rPr>
              <w:t xml:space="preserve"> billion)</w:t>
            </w:r>
          </w:p>
        </w:tc>
      </w:tr>
      <w:tr w:rsidR="002629EC" w14:paraId="43727FA0" w14:textId="77777777" w:rsidTr="008A458B">
        <w:trPr>
          <w:cantSplit/>
        </w:trPr>
        <w:tc>
          <w:tcPr>
            <w:tcW w:w="8556" w:type="dxa"/>
            <w:gridSpan w:val="2"/>
          </w:tcPr>
          <w:p w14:paraId="3B321E87" w14:textId="592485F1" w:rsidR="002629EC" w:rsidRDefault="003172B9" w:rsidP="00AA02B2">
            <w:pPr>
              <w:pStyle w:val="ListParagraph"/>
              <w:keepNext/>
              <w:numPr>
                <w:ilvl w:val="0"/>
                <w:numId w:val="0"/>
              </w:numPr>
            </w:pPr>
            <w:r>
              <w:rPr>
                <w:noProof/>
              </w:rPr>
              <mc:AlternateContent>
                <mc:Choice Requires="wps">
                  <w:drawing>
                    <wp:anchor distT="0" distB="0" distL="114300" distR="114300" simplePos="0" relativeHeight="251658241" behindDoc="0" locked="0" layoutInCell="1" allowOverlap="1" wp14:anchorId="7031BED6" wp14:editId="26F1FCE9">
                      <wp:simplePos x="0" y="0"/>
                      <wp:positionH relativeFrom="column">
                        <wp:posOffset>2867024</wp:posOffset>
                      </wp:positionH>
                      <wp:positionV relativeFrom="paragraph">
                        <wp:posOffset>321310</wp:posOffset>
                      </wp:positionV>
                      <wp:extent cx="9525" cy="1600200"/>
                      <wp:effectExtent l="0" t="0" r="28575" b="19050"/>
                      <wp:wrapNone/>
                      <wp:docPr id="2018919375" name="Straight Connector 1"/>
                      <wp:cNvGraphicFramePr/>
                      <a:graphic xmlns:a="http://schemas.openxmlformats.org/drawingml/2006/main">
                        <a:graphicData uri="http://schemas.microsoft.com/office/word/2010/wordprocessingShape">
                          <wps:wsp>
                            <wps:cNvCnPr/>
                            <wps:spPr>
                              <a:xfrm>
                                <a:off x="0" y="0"/>
                                <a:ext cx="9525" cy="160020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8289358" id="Straight Connector 1"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75pt,25.3pt" to="226.5pt,1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" strokecolor="black [3213]" strokeweight="1pt">
                      <v:stroke dashstyle="3 1" joinstyle="miter"/>
                    </v:line>
                  </w:pict>
                </mc:Fallback>
              </mc:AlternateContent>
            </w:r>
            <w:r w:rsidR="00DA3CC8">
              <w:rPr>
                <w:noProof/>
              </w:rPr>
              <w:t xml:space="preserve"> </w:t>
            </w:r>
            <w:r w:rsidR="00A11BE7">
              <w:rPr>
                <w:noProof/>
              </w:rPr>
              <w:drawing>
                <wp:inline distT="0" distB="0" distL="0" distR="0" wp14:anchorId="77621A56" wp14:editId="38315F5F">
                  <wp:extent cx="5078095" cy="2329180"/>
                  <wp:effectExtent l="0" t="0" r="8255" b="0"/>
                  <wp:docPr id="19929263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78095" cy="2329180"/>
                          </a:xfrm>
                          <a:prstGeom prst="rect">
                            <a:avLst/>
                          </a:prstGeom>
                          <a:noFill/>
                        </pic:spPr>
                      </pic:pic>
                    </a:graphicData>
                  </a:graphic>
                </wp:inline>
              </w:drawing>
            </w:r>
          </w:p>
          <w:p w14:paraId="09DD989B" w14:textId="63F7E5FD" w:rsidR="00F34F80" w:rsidRPr="003819E8" w:rsidRDefault="00543DE3" w:rsidP="00AA02B2">
            <w:pPr>
              <w:keepNext/>
              <w:spacing w:before="120"/>
            </w:pPr>
            <w:r w:rsidRPr="003819E8">
              <w:rPr>
                <w:rFonts w:asciiTheme="minorHAnsi" w:hAnsiTheme="minorHAnsi" w:cstheme="minorHAnsi"/>
                <w:sz w:val="18"/>
                <w:szCs w:val="18"/>
              </w:rPr>
              <w:t>Note</w:t>
            </w:r>
            <w:r w:rsidR="00084568" w:rsidRPr="003819E8">
              <w:rPr>
                <w:rFonts w:asciiTheme="minorHAnsi" w:hAnsiTheme="minorHAnsi" w:cstheme="minorHAnsi"/>
                <w:sz w:val="18"/>
                <w:szCs w:val="18"/>
              </w:rPr>
              <w:t xml:space="preserve">: </w:t>
            </w:r>
            <w:r w:rsidR="003D665B" w:rsidRPr="003819E8">
              <w:rPr>
                <w:rFonts w:asciiTheme="minorHAnsi" w:hAnsiTheme="minorHAnsi" w:cstheme="minorHAnsi"/>
                <w:sz w:val="18"/>
                <w:szCs w:val="18"/>
              </w:rPr>
              <w:t>Average p</w:t>
            </w:r>
            <w:r w:rsidR="00084568" w:rsidRPr="003819E8">
              <w:rPr>
                <w:rFonts w:asciiTheme="minorHAnsi" w:hAnsiTheme="minorHAnsi" w:cstheme="minorHAnsi"/>
                <w:sz w:val="18"/>
                <w:szCs w:val="18"/>
              </w:rPr>
              <w:t xml:space="preserve">eriod is </w:t>
            </w:r>
            <w:r w:rsidR="002D36E5">
              <w:rPr>
                <w:rFonts w:asciiTheme="minorHAnsi" w:hAnsiTheme="minorHAnsi" w:cstheme="minorHAnsi"/>
                <w:sz w:val="18"/>
                <w:szCs w:val="18"/>
              </w:rPr>
              <w:t>calculated</w:t>
            </w:r>
            <w:r w:rsidR="00084568" w:rsidRPr="003819E8">
              <w:rPr>
                <w:rFonts w:asciiTheme="minorHAnsi" w:hAnsiTheme="minorHAnsi" w:cstheme="minorHAnsi"/>
                <w:sz w:val="18"/>
                <w:szCs w:val="18"/>
              </w:rPr>
              <w:t xml:space="preserve"> by </w:t>
            </w:r>
            <w:r w:rsidR="009E23A2">
              <w:rPr>
                <w:rFonts w:asciiTheme="minorHAnsi" w:hAnsiTheme="minorHAnsi" w:cstheme="minorHAnsi"/>
                <w:sz w:val="18"/>
                <w:szCs w:val="18"/>
              </w:rPr>
              <w:t xml:space="preserve">data available </w:t>
            </w:r>
            <w:r w:rsidR="00084568" w:rsidRPr="003819E8">
              <w:rPr>
                <w:rFonts w:asciiTheme="minorHAnsi" w:hAnsiTheme="minorHAnsi" w:cstheme="minorHAnsi"/>
                <w:sz w:val="18"/>
                <w:szCs w:val="18"/>
              </w:rPr>
              <w:t>pre- and post- entry into force of CPTPP</w:t>
            </w:r>
            <w:r w:rsidR="00E6155D" w:rsidRPr="003819E8">
              <w:rPr>
                <w:rFonts w:asciiTheme="minorHAnsi" w:hAnsiTheme="minorHAnsi" w:cstheme="minorHAnsi"/>
                <w:sz w:val="18"/>
                <w:szCs w:val="18"/>
              </w:rPr>
              <w:t xml:space="preserve"> (3</w:t>
            </w:r>
            <w:r w:rsidR="00AD0756" w:rsidRPr="003819E8">
              <w:rPr>
                <w:rFonts w:asciiTheme="minorHAnsi" w:hAnsiTheme="minorHAnsi" w:cstheme="minorHAnsi"/>
                <w:sz w:val="18"/>
                <w:szCs w:val="18"/>
              </w:rPr>
              <w:t>0 December 2018)</w:t>
            </w:r>
            <w:r w:rsidR="00084568" w:rsidRPr="003819E8">
              <w:rPr>
                <w:rFonts w:asciiTheme="minorHAnsi" w:hAnsiTheme="minorHAnsi" w:cstheme="minorHAnsi"/>
                <w:sz w:val="18"/>
                <w:szCs w:val="18"/>
              </w:rPr>
              <w:t>.</w:t>
            </w:r>
            <w:r w:rsidR="00AD0756" w:rsidRPr="003819E8">
              <w:t xml:space="preserve"> </w:t>
            </w:r>
            <w:r w:rsidR="00084568" w:rsidRPr="003819E8">
              <w:t xml:space="preserve"> </w:t>
            </w:r>
          </w:p>
          <w:p w14:paraId="418FC482" w14:textId="463CCD79" w:rsidR="00084568" w:rsidRPr="00084568" w:rsidRDefault="00084568" w:rsidP="00AA02B2">
            <w:pPr>
              <w:keepNext/>
              <w:spacing w:before="120"/>
              <w:rPr>
                <w:i/>
                <w:iCs/>
              </w:rPr>
            </w:pPr>
            <w:r w:rsidRPr="00CA7B88">
              <w:rPr>
                <w:rFonts w:asciiTheme="minorHAnsi" w:hAnsiTheme="minorHAnsi" w:cstheme="minorHAnsi"/>
                <w:sz w:val="18"/>
                <w:szCs w:val="18"/>
              </w:rPr>
              <w:t xml:space="preserve">Source: </w:t>
            </w:r>
            <w:r w:rsidR="005C0562" w:rsidRPr="00CA7B88">
              <w:rPr>
                <w:rFonts w:asciiTheme="minorHAnsi" w:hAnsiTheme="minorHAnsi" w:cstheme="minorHAnsi"/>
                <w:sz w:val="18"/>
                <w:szCs w:val="18"/>
              </w:rPr>
              <w:t>ABS</w:t>
            </w:r>
            <w:r w:rsidR="00A419E9">
              <w:rPr>
                <w:rFonts w:asciiTheme="minorHAnsi" w:hAnsiTheme="minorHAnsi" w:cstheme="minorHAnsi"/>
                <w:sz w:val="18"/>
                <w:szCs w:val="18"/>
              </w:rPr>
              <w:t>,</w:t>
            </w:r>
            <w:r w:rsidR="00BA1C30" w:rsidRPr="00CA7B88">
              <w:rPr>
                <w:rFonts w:asciiTheme="minorHAnsi" w:hAnsiTheme="minorHAnsi" w:cstheme="minorHAnsi"/>
                <w:sz w:val="18"/>
                <w:szCs w:val="18"/>
              </w:rPr>
              <w:t xml:space="preserve"> Australia’s </w:t>
            </w:r>
            <w:r w:rsidR="00AD7018" w:rsidRPr="00CA7B88">
              <w:rPr>
                <w:rFonts w:asciiTheme="minorHAnsi" w:hAnsiTheme="minorHAnsi" w:cstheme="minorHAnsi"/>
                <w:sz w:val="18"/>
                <w:szCs w:val="18"/>
              </w:rPr>
              <w:t>g</w:t>
            </w:r>
            <w:r w:rsidR="00BA1C30" w:rsidRPr="00CA7B88">
              <w:rPr>
                <w:rFonts w:asciiTheme="minorHAnsi" w:hAnsiTheme="minorHAnsi" w:cstheme="minorHAnsi"/>
                <w:sz w:val="18"/>
                <w:szCs w:val="18"/>
              </w:rPr>
              <w:t xml:space="preserve">oods and </w:t>
            </w:r>
            <w:r w:rsidR="00AD7018" w:rsidRPr="00CA7B88">
              <w:rPr>
                <w:rFonts w:asciiTheme="minorHAnsi" w:hAnsiTheme="minorHAnsi" w:cstheme="minorHAnsi"/>
                <w:sz w:val="18"/>
                <w:szCs w:val="18"/>
              </w:rPr>
              <w:t>s</w:t>
            </w:r>
            <w:r w:rsidR="00BA1C30" w:rsidRPr="00CA7B88">
              <w:rPr>
                <w:rFonts w:asciiTheme="minorHAnsi" w:hAnsiTheme="minorHAnsi" w:cstheme="minorHAnsi"/>
                <w:sz w:val="18"/>
                <w:szCs w:val="18"/>
              </w:rPr>
              <w:t xml:space="preserve">ervices </w:t>
            </w:r>
            <w:r w:rsidR="00002D85" w:rsidRPr="00CA7B88">
              <w:rPr>
                <w:rFonts w:asciiTheme="minorHAnsi" w:hAnsiTheme="minorHAnsi" w:cstheme="minorHAnsi"/>
                <w:sz w:val="18"/>
                <w:szCs w:val="18"/>
              </w:rPr>
              <w:t xml:space="preserve">exports, </w:t>
            </w:r>
            <w:r w:rsidR="00AD7018" w:rsidRPr="00CA7B88">
              <w:rPr>
                <w:rFonts w:asciiTheme="minorHAnsi" w:hAnsiTheme="minorHAnsi" w:cstheme="minorHAnsi"/>
                <w:sz w:val="18"/>
                <w:szCs w:val="18"/>
              </w:rPr>
              <w:t>c</w:t>
            </w:r>
            <w:r w:rsidR="00002D85" w:rsidRPr="00CA7B88">
              <w:rPr>
                <w:rFonts w:asciiTheme="minorHAnsi" w:hAnsiTheme="minorHAnsi" w:cstheme="minorHAnsi"/>
                <w:sz w:val="18"/>
                <w:szCs w:val="18"/>
              </w:rPr>
              <w:t>urrent prices</w:t>
            </w:r>
            <w:r w:rsidR="00AD7018" w:rsidRPr="00CA7B88">
              <w:rPr>
                <w:rFonts w:asciiTheme="minorHAnsi" w:hAnsiTheme="minorHAnsi" w:cstheme="minorHAnsi"/>
                <w:sz w:val="18"/>
                <w:szCs w:val="18"/>
              </w:rPr>
              <w:t>.</w:t>
            </w:r>
          </w:p>
        </w:tc>
      </w:tr>
    </w:tbl>
    <w:p w14:paraId="3081E76E" w14:textId="74034FC5" w:rsidR="001B6DF5" w:rsidRDefault="00BF3A82" w:rsidP="001B6DF5">
      <w:pPr>
        <w:pStyle w:val="ListParagraph"/>
        <w:numPr>
          <w:ilvl w:val="0"/>
          <w:numId w:val="0"/>
        </w:numPr>
      </w:pPr>
      <w:r>
        <w:rPr>
          <w:b/>
          <w:bCs/>
          <w:i/>
          <w:iCs/>
        </w:rPr>
        <w:t>I</w:t>
      </w:r>
      <w:r w:rsidR="001B6DF5">
        <w:rPr>
          <w:b/>
          <w:bCs/>
          <w:i/>
          <w:iCs/>
        </w:rPr>
        <w:t>mpact on s</w:t>
      </w:r>
      <w:r w:rsidR="001B6DF5" w:rsidRPr="002A7154">
        <w:rPr>
          <w:b/>
          <w:bCs/>
          <w:i/>
          <w:iCs/>
        </w:rPr>
        <w:t>ervice</w:t>
      </w:r>
      <w:r w:rsidR="00AA2E94">
        <w:rPr>
          <w:b/>
          <w:bCs/>
          <w:i/>
          <w:iCs/>
        </w:rPr>
        <w:t>s</w:t>
      </w:r>
      <w:r w:rsidR="001B6DF5" w:rsidRPr="002A7154">
        <w:rPr>
          <w:b/>
          <w:bCs/>
          <w:i/>
          <w:iCs/>
        </w:rPr>
        <w:t xml:space="preserve"> exports</w:t>
      </w:r>
    </w:p>
    <w:p w14:paraId="0439DF8F" w14:textId="16B64CAF" w:rsidR="0094498D" w:rsidRDefault="00E551F2" w:rsidP="000920EB">
      <w:pPr>
        <w:pStyle w:val="ListParagraph"/>
        <w:numPr>
          <w:ilvl w:val="0"/>
          <w:numId w:val="5"/>
        </w:numPr>
        <w:ind w:left="0" w:firstLine="0"/>
      </w:pPr>
      <w:r>
        <w:t xml:space="preserve">Prior to CPTPP entering into force, </w:t>
      </w:r>
      <w:r w:rsidR="00E80669">
        <w:t xml:space="preserve">the value of </w:t>
      </w:r>
      <w:r>
        <w:t>Australia’s service</w:t>
      </w:r>
      <w:r w:rsidR="00AA2E94">
        <w:t>s</w:t>
      </w:r>
      <w:r>
        <w:t xml:space="preserve"> exports to</w:t>
      </w:r>
      <w:r w:rsidR="006E2CA5">
        <w:t xml:space="preserve"> CPTPP</w:t>
      </w:r>
      <w:r>
        <w:t xml:space="preserve"> members was $</w:t>
      </w:r>
      <w:r w:rsidR="00144DE0">
        <w:t>18.8</w:t>
      </w:r>
      <w:r>
        <w:t xml:space="preserve"> billion in 2018</w:t>
      </w:r>
      <w:r w:rsidR="00B64D63">
        <w:t>.</w:t>
      </w:r>
      <w:r w:rsidR="00D900BE">
        <w:t xml:space="preserve"> The</w:t>
      </w:r>
      <w:r w:rsidR="00546B91">
        <w:t xml:space="preserve"> average</w:t>
      </w:r>
      <w:r w:rsidR="00216D02">
        <w:t xml:space="preserve"> </w:t>
      </w:r>
      <w:r w:rsidR="00357A00">
        <w:t xml:space="preserve">value of </w:t>
      </w:r>
      <w:r w:rsidR="00216D02">
        <w:t>total</w:t>
      </w:r>
      <w:r w:rsidR="00D900BE">
        <w:t xml:space="preserve"> annual services exports to CPTPP members was $17.1 billion</w:t>
      </w:r>
      <w:r w:rsidR="00B64D63">
        <w:t xml:space="preserve"> </w:t>
      </w:r>
      <w:r w:rsidR="00D900BE">
        <w:t xml:space="preserve">in the </w:t>
      </w:r>
      <w:r w:rsidR="00165F6F">
        <w:t>2014-18</w:t>
      </w:r>
      <w:r w:rsidR="00D900BE">
        <w:t xml:space="preserve"> period. </w:t>
      </w:r>
      <w:r w:rsidR="004C38E8">
        <w:t>T</w:t>
      </w:r>
      <w:r w:rsidR="001C5987">
        <w:t>his value</w:t>
      </w:r>
      <w:r>
        <w:t xml:space="preserve"> decreased by 6.8 per cent after CPTPP entered into force, with service</w:t>
      </w:r>
      <w:r w:rsidR="006644FB">
        <w:t>s</w:t>
      </w:r>
      <w:r>
        <w:t xml:space="preserve"> exports in the 2019-23 period valued at $15.9 billion (Table 3).</w:t>
      </w:r>
      <w:r w:rsidR="009B5441">
        <w:t xml:space="preserve"> </w:t>
      </w:r>
    </w:p>
    <w:p w14:paraId="5AE5A2E0" w14:textId="73E8675F" w:rsidR="00E551F2" w:rsidRDefault="00E85913" w:rsidP="000920EB">
      <w:pPr>
        <w:pStyle w:val="ListParagraph"/>
        <w:numPr>
          <w:ilvl w:val="0"/>
          <w:numId w:val="5"/>
        </w:numPr>
        <w:ind w:left="0" w:firstLine="0"/>
      </w:pPr>
      <w:r>
        <w:t xml:space="preserve">However, this overall reduction can be misleading because there was a significant drop in services exports during both </w:t>
      </w:r>
      <w:r w:rsidRPr="009B5441">
        <w:t>2020 and 2021</w:t>
      </w:r>
      <w:r>
        <w:t xml:space="preserve"> (Table 3)</w:t>
      </w:r>
      <w:r w:rsidRPr="009B5441">
        <w:t xml:space="preserve">, which </w:t>
      </w:r>
      <w:r>
        <w:t>can be attributed to the impact on trade of the</w:t>
      </w:r>
      <w:r w:rsidRPr="009B5441">
        <w:t xml:space="preserve"> COVID-19 pandemic.</w:t>
      </w:r>
    </w:p>
    <w:p w14:paraId="12C5DA8D" w14:textId="7037D175" w:rsidR="00E551F2" w:rsidRDefault="00297B66" w:rsidP="000920EB">
      <w:pPr>
        <w:pStyle w:val="ListParagraph"/>
        <w:numPr>
          <w:ilvl w:val="0"/>
          <w:numId w:val="5"/>
        </w:numPr>
        <w:ind w:left="0" w:firstLine="0"/>
      </w:pPr>
      <w:r>
        <w:lastRenderedPageBreak/>
        <w:t>With</w:t>
      </w:r>
      <w:r w:rsidR="00E551F2">
        <w:t xml:space="preserve"> Australia’s new FTA partner</w:t>
      </w:r>
      <w:r w:rsidR="00163909">
        <w:t xml:space="preserve"> Mexico,</w:t>
      </w:r>
      <w:r w:rsidR="00E73E88">
        <w:t xml:space="preserve"> our </w:t>
      </w:r>
      <w:r w:rsidR="00E551F2">
        <w:t>a</w:t>
      </w:r>
      <w:r w:rsidR="00E551F2" w:rsidRPr="00732835">
        <w:t>verage</w:t>
      </w:r>
      <w:r w:rsidR="00E551F2">
        <w:t xml:space="preserve"> annual value of service</w:t>
      </w:r>
      <w:r w:rsidR="00C56B3D">
        <w:t>s</w:t>
      </w:r>
      <w:r w:rsidR="00E551F2" w:rsidRPr="00732835">
        <w:t xml:space="preserve"> exports </w:t>
      </w:r>
      <w:r w:rsidR="00E551F2">
        <w:t xml:space="preserve">in the </w:t>
      </w:r>
      <w:r w:rsidR="00E551F2" w:rsidRPr="00732835">
        <w:t>2014</w:t>
      </w:r>
      <w:r w:rsidR="00E551F2">
        <w:t>-</w:t>
      </w:r>
      <w:r w:rsidR="00E551F2" w:rsidRPr="00732835">
        <w:t>18</w:t>
      </w:r>
      <w:r w:rsidR="00E551F2">
        <w:t xml:space="preserve"> period</w:t>
      </w:r>
      <w:r w:rsidR="00E551F2" w:rsidRPr="00732835">
        <w:t xml:space="preserve"> w</w:t>
      </w:r>
      <w:r w:rsidR="00E551F2">
        <w:t>as</w:t>
      </w:r>
      <w:r w:rsidR="00E551F2" w:rsidRPr="00732835">
        <w:t xml:space="preserve"> valued at $</w:t>
      </w:r>
      <w:r w:rsidR="00E551F2">
        <w:t>113</w:t>
      </w:r>
      <w:r w:rsidR="00E551F2" w:rsidRPr="00732835">
        <w:t xml:space="preserve"> million. This increased </w:t>
      </w:r>
      <w:r w:rsidR="00E551F2" w:rsidRPr="007569BC">
        <w:t xml:space="preserve">by </w:t>
      </w:r>
      <w:r w:rsidR="00E551F2">
        <w:t>24</w:t>
      </w:r>
      <w:r w:rsidR="00E551F2" w:rsidRPr="00732835">
        <w:t>.</w:t>
      </w:r>
      <w:r w:rsidR="00E551F2">
        <w:t>3</w:t>
      </w:r>
      <w:r w:rsidR="00E551F2" w:rsidRPr="00732835">
        <w:t xml:space="preserve"> per cent following</w:t>
      </w:r>
      <w:r w:rsidR="00C56B3D">
        <w:t xml:space="preserve"> the</w:t>
      </w:r>
      <w:r w:rsidR="00E551F2" w:rsidRPr="00732835">
        <w:t xml:space="preserve"> entry into force of CPTPP, with the average value of Australia’s exports to Mexico </w:t>
      </w:r>
      <w:r w:rsidR="00E551F2">
        <w:t>in</w:t>
      </w:r>
      <w:r w:rsidR="00E551F2" w:rsidRPr="00732835">
        <w:t xml:space="preserve"> </w:t>
      </w:r>
      <w:r w:rsidR="00E551F2">
        <w:t xml:space="preserve">the </w:t>
      </w:r>
      <w:r w:rsidR="00E551F2" w:rsidRPr="00732835">
        <w:t>2019</w:t>
      </w:r>
      <w:r w:rsidR="00E551F2">
        <w:t>-</w:t>
      </w:r>
      <w:r w:rsidR="00E551F2" w:rsidRPr="00732835">
        <w:t>23</w:t>
      </w:r>
      <w:r w:rsidR="00E551F2">
        <w:t xml:space="preserve"> period</w:t>
      </w:r>
      <w:r w:rsidR="00E551F2" w:rsidRPr="00732835">
        <w:t xml:space="preserve"> valued at $</w:t>
      </w:r>
      <w:r w:rsidR="00E551F2">
        <w:t>141</w:t>
      </w:r>
      <w:r w:rsidR="00E551F2" w:rsidRPr="00732835">
        <w:t xml:space="preserve"> million. </w:t>
      </w:r>
    </w:p>
    <w:p w14:paraId="37F80BA8" w14:textId="5130A87D" w:rsidR="00C027D0" w:rsidRDefault="001B6DF5" w:rsidP="000920EB">
      <w:pPr>
        <w:pStyle w:val="ListParagraph"/>
        <w:numPr>
          <w:ilvl w:val="0"/>
          <w:numId w:val="5"/>
        </w:numPr>
        <w:ind w:left="0" w:firstLine="0"/>
      </w:pPr>
      <w:r>
        <w:t>From 201</w:t>
      </w:r>
      <w:r w:rsidR="00890D42">
        <w:t>9</w:t>
      </w:r>
      <w:r w:rsidR="00F07897">
        <w:t>-</w:t>
      </w:r>
      <w:r>
        <w:t xml:space="preserve">23, there </w:t>
      </w:r>
      <w:r w:rsidR="00E551F2">
        <w:t>were</w:t>
      </w:r>
      <w:r w:rsidR="00C027D0">
        <w:t xml:space="preserve"> mixed gains </w:t>
      </w:r>
      <w:r>
        <w:t>in Australian service</w:t>
      </w:r>
      <w:r w:rsidR="000413E6">
        <w:t>s</w:t>
      </w:r>
      <w:r>
        <w:t xml:space="preserve"> exports to </w:t>
      </w:r>
      <w:r w:rsidR="00365806">
        <w:t xml:space="preserve">CPTPP </w:t>
      </w:r>
      <w:r>
        <w:t>members</w:t>
      </w:r>
      <w:r w:rsidR="001E4006">
        <w:t xml:space="preserve"> from ASEAN countries</w:t>
      </w:r>
      <w:r>
        <w:t xml:space="preserve">. </w:t>
      </w:r>
      <w:r w:rsidR="00C027D0">
        <w:t>Average annual service</w:t>
      </w:r>
      <w:r w:rsidR="009C4E06">
        <w:t>s</w:t>
      </w:r>
      <w:r w:rsidR="00C027D0">
        <w:t xml:space="preserve"> exports to Brunei Darussalam grew from $60.4 million in the 2013-18 period to $61.0 million in the 2019-23 period, an increase of </w:t>
      </w:r>
      <w:r w:rsidR="0005602E">
        <w:t>about 1</w:t>
      </w:r>
      <w:r w:rsidR="00C027D0">
        <w:t xml:space="preserve"> per cent.</w:t>
      </w:r>
      <w:r w:rsidR="00C027D0" w:rsidRPr="00C072D4">
        <w:rPr>
          <w:vertAlign w:val="superscript"/>
        </w:rPr>
        <w:footnoteReference w:id="29"/>
      </w:r>
      <w:r w:rsidR="00C027D0">
        <w:t xml:space="preserve"> Annual service</w:t>
      </w:r>
      <w:r w:rsidR="009C4E06">
        <w:t>s</w:t>
      </w:r>
      <w:r w:rsidR="00C027D0">
        <w:t xml:space="preserve"> exports to </w:t>
      </w:r>
      <w:r w:rsidR="00C027D0" w:rsidRPr="002A7154">
        <w:t>Vietnam</w:t>
      </w:r>
      <w:r w:rsidR="00C027D0">
        <w:t xml:space="preserve"> increased</w:t>
      </w:r>
      <w:r w:rsidR="00C027D0" w:rsidRPr="00FB7A56">
        <w:t xml:space="preserve"> </w:t>
      </w:r>
      <w:r w:rsidR="00C027D0">
        <w:t xml:space="preserve">on average </w:t>
      </w:r>
      <w:r w:rsidR="00024A53">
        <w:t>from $1.</w:t>
      </w:r>
      <w:r w:rsidR="003A37FF">
        <w:t>5</w:t>
      </w:r>
      <w:r w:rsidR="00024A53">
        <w:t xml:space="preserve"> billion </w:t>
      </w:r>
      <w:r w:rsidR="00C027D0">
        <w:t>for the 2014-18 period to $1.</w:t>
      </w:r>
      <w:r w:rsidR="003A37FF">
        <w:t>7</w:t>
      </w:r>
      <w:r w:rsidR="00C027D0">
        <w:t xml:space="preserve"> billion during the 2019-23 period, an increase of 14.2 per cent. For Singapore, annual exports </w:t>
      </w:r>
      <w:r w:rsidR="007959B4">
        <w:t>reduced</w:t>
      </w:r>
      <w:r w:rsidR="00C027D0">
        <w:t xml:space="preserve"> from $</w:t>
      </w:r>
      <w:r w:rsidR="007959B4">
        <w:t>4</w:t>
      </w:r>
      <w:r w:rsidR="00C027D0">
        <w:t>.</w:t>
      </w:r>
      <w:r w:rsidR="007959B4">
        <w:t>7</w:t>
      </w:r>
      <w:r w:rsidR="00C027D0">
        <w:t xml:space="preserve"> billion (2014-2018 period) to $</w:t>
      </w:r>
      <w:r w:rsidR="007959B4">
        <w:t>4.</w:t>
      </w:r>
      <w:r w:rsidR="00095B48">
        <w:t>4</w:t>
      </w:r>
      <w:r w:rsidR="00C027D0">
        <w:t xml:space="preserve"> billion (2018-2023 period), a</w:t>
      </w:r>
      <w:r w:rsidR="007959B4">
        <w:t xml:space="preserve"> dec</w:t>
      </w:r>
      <w:r w:rsidR="00C027D0">
        <w:t xml:space="preserve">rease of </w:t>
      </w:r>
      <w:r w:rsidR="007959B4">
        <w:t>7.</w:t>
      </w:r>
      <w:r w:rsidR="00095B48">
        <w:t>6</w:t>
      </w:r>
      <w:r w:rsidR="00C027D0">
        <w:t xml:space="preserve"> per cent. Australian exports to Malaysia followed a similar trajectory with annual </w:t>
      </w:r>
      <w:r w:rsidR="007959B4">
        <w:t>service</w:t>
      </w:r>
      <w:r w:rsidR="00C027D0">
        <w:t>s exports averaging $</w:t>
      </w:r>
      <w:r w:rsidR="007959B4">
        <w:t>2</w:t>
      </w:r>
      <w:r w:rsidR="00C027D0">
        <w:t>.</w:t>
      </w:r>
      <w:r w:rsidR="00095B48">
        <w:t>5</w:t>
      </w:r>
      <w:r w:rsidR="00C027D0">
        <w:t xml:space="preserve"> billion in the 2014-2018 period and </w:t>
      </w:r>
      <w:r w:rsidR="007959B4">
        <w:t>reducing</w:t>
      </w:r>
      <w:r w:rsidR="00C027D0">
        <w:t xml:space="preserve"> to $</w:t>
      </w:r>
      <w:r w:rsidR="007959B4">
        <w:t>1.85</w:t>
      </w:r>
      <w:r w:rsidR="00C027D0">
        <w:t xml:space="preserve"> billion in the 2019-2023 period, a </w:t>
      </w:r>
      <w:r w:rsidR="007959B4">
        <w:t>dec</w:t>
      </w:r>
      <w:r w:rsidR="00C027D0">
        <w:t xml:space="preserve">rease of </w:t>
      </w:r>
      <w:r w:rsidR="007959B4">
        <w:t>24</w:t>
      </w:r>
      <w:r w:rsidR="00C027D0">
        <w:t>.</w:t>
      </w:r>
      <w:r w:rsidR="007959B4">
        <w:t>7</w:t>
      </w:r>
      <w:r w:rsidR="00C027D0">
        <w:t xml:space="preserve"> per cent.</w:t>
      </w:r>
      <w:r w:rsidR="00C027D0" w:rsidRPr="00C072D4">
        <w:rPr>
          <w:vertAlign w:val="superscript"/>
        </w:rPr>
        <w:footnoteReference w:id="30"/>
      </w:r>
    </w:p>
    <w:p w14:paraId="0F00E5F0" w14:textId="1F2F5A5F" w:rsidR="001B6DF5" w:rsidRPr="00394EFE" w:rsidRDefault="007959B4" w:rsidP="000920EB">
      <w:pPr>
        <w:pStyle w:val="ListParagraph"/>
        <w:numPr>
          <w:ilvl w:val="0"/>
          <w:numId w:val="5"/>
        </w:numPr>
        <w:ind w:left="0" w:firstLine="0"/>
      </w:pPr>
      <w:r>
        <w:t>Service</w:t>
      </w:r>
      <w:r w:rsidR="00BE55DD">
        <w:t>s</w:t>
      </w:r>
      <w:r>
        <w:t xml:space="preserve"> exports to other existing bilateral FTA partners from 2019 to 2023 also saw mixed gains. To Chile, average annual services exports grew from $222 million in the 2014-18 period to $262 million in the 2019-23 period, an increase of 17.9 per cent.</w:t>
      </w:r>
      <w:r w:rsidRPr="00C072D4">
        <w:rPr>
          <w:vertAlign w:val="superscript"/>
        </w:rPr>
        <w:footnoteReference w:id="31"/>
      </w:r>
      <w:r w:rsidRPr="00C072D4">
        <w:rPr>
          <w:vertAlign w:val="superscript"/>
        </w:rPr>
        <w:t xml:space="preserve"> </w:t>
      </w:r>
      <w:r>
        <w:t>Exports to Peru rose from an average value of $69.2 million in the 2014-18 period to $87.6 million in the 2019-23 period, an increase of 26.6 per cent.</w:t>
      </w:r>
      <w:r w:rsidRPr="00B1641A">
        <w:rPr>
          <w:vertAlign w:val="superscript"/>
        </w:rPr>
        <w:footnoteReference w:id="32"/>
      </w:r>
      <w:r w:rsidRPr="00B1641A">
        <w:rPr>
          <w:vertAlign w:val="superscript"/>
        </w:rPr>
        <w:t xml:space="preserve"> </w:t>
      </w:r>
      <w:r>
        <w:t xml:space="preserve">Australia’s average annual exports to Japan was valued at $2.2 billion in the 2014-18 period and reduced to $1.7 billion in the 2019-23 period, a decrease of 21.1 per cent. </w:t>
      </w:r>
      <w:r w:rsidR="00826A9F">
        <w:t>T</w:t>
      </w:r>
      <w:r>
        <w:t>he average of our annual exports to New Zealand in the 2014-18 period was valued at $</w:t>
      </w:r>
      <w:r w:rsidR="0078495F">
        <w:t>4</w:t>
      </w:r>
      <w:r>
        <w:t>.</w:t>
      </w:r>
      <w:r w:rsidR="0078495F">
        <w:t>7</w:t>
      </w:r>
      <w:r>
        <w:t xml:space="preserve"> billion and grew to $</w:t>
      </w:r>
      <w:r w:rsidR="0078495F">
        <w:t>4.</w:t>
      </w:r>
      <w:r w:rsidR="00C824DF">
        <w:t>8</w:t>
      </w:r>
      <w:r>
        <w:t xml:space="preserve"> billion in the 2018-23 period, an increase of </w:t>
      </w:r>
      <w:r w:rsidR="0078495F">
        <w:t>0</w:t>
      </w:r>
      <w:r>
        <w:t>.</w:t>
      </w:r>
      <w:r w:rsidR="00C824DF">
        <w:t>5</w:t>
      </w:r>
      <w:r>
        <w:t xml:space="preserve"> per cent.</w:t>
      </w:r>
    </w:p>
    <w:p w14:paraId="06C10C40" w14:textId="2945781E" w:rsidR="002A4FE7" w:rsidRDefault="005727DF" w:rsidP="00AD4C36">
      <w:pPr>
        <w:pStyle w:val="ListParagraph"/>
        <w:numPr>
          <w:ilvl w:val="0"/>
          <w:numId w:val="0"/>
        </w:numPr>
      </w:pPr>
      <w:r>
        <w:rPr>
          <w:b/>
          <w:bCs/>
          <w:i/>
          <w:iCs/>
        </w:rPr>
        <w:t>I</w:t>
      </w:r>
      <w:r w:rsidR="0014521C">
        <w:rPr>
          <w:b/>
          <w:bCs/>
          <w:i/>
          <w:iCs/>
        </w:rPr>
        <w:t>mpact on g</w:t>
      </w:r>
      <w:r w:rsidR="002A4FE7">
        <w:rPr>
          <w:b/>
          <w:bCs/>
          <w:i/>
          <w:iCs/>
        </w:rPr>
        <w:t>o</w:t>
      </w:r>
      <w:r w:rsidR="002A4FE7" w:rsidRPr="002A7154">
        <w:rPr>
          <w:b/>
          <w:bCs/>
          <w:i/>
          <w:iCs/>
        </w:rPr>
        <w:t>ods</w:t>
      </w:r>
      <w:r w:rsidR="002A4FE7">
        <w:rPr>
          <w:b/>
          <w:bCs/>
          <w:i/>
          <w:iCs/>
        </w:rPr>
        <w:t xml:space="preserve"> exports</w:t>
      </w:r>
    </w:p>
    <w:p w14:paraId="00851AE7" w14:textId="57FA3755" w:rsidR="00F73B83" w:rsidRDefault="002D72E0" w:rsidP="000920EB">
      <w:pPr>
        <w:pStyle w:val="ListParagraph"/>
        <w:numPr>
          <w:ilvl w:val="0"/>
          <w:numId w:val="5"/>
        </w:numPr>
        <w:ind w:left="0" w:firstLine="0"/>
      </w:pPr>
      <w:r>
        <w:t xml:space="preserve">Prior to CPTPP entering into force, Australia’s </w:t>
      </w:r>
      <w:r w:rsidR="00D9294B">
        <w:t xml:space="preserve">total </w:t>
      </w:r>
      <w:r w:rsidR="0016769F">
        <w:t xml:space="preserve">annual </w:t>
      </w:r>
      <w:r>
        <w:t xml:space="preserve">good exports to members </w:t>
      </w:r>
      <w:r w:rsidR="00BD7663">
        <w:t xml:space="preserve">were valued at </w:t>
      </w:r>
      <w:r w:rsidR="00842973">
        <w:t>$</w:t>
      </w:r>
      <w:r w:rsidR="006F6EE2">
        <w:t>98.1 billion in 2018.</w:t>
      </w:r>
      <w:r>
        <w:t xml:space="preserve"> </w:t>
      </w:r>
      <w:r w:rsidR="00F73B83">
        <w:t xml:space="preserve">Australia’s </w:t>
      </w:r>
      <w:r w:rsidR="006C45FD">
        <w:t xml:space="preserve">average </w:t>
      </w:r>
      <w:r w:rsidR="005727DF">
        <w:t xml:space="preserve">annual </w:t>
      </w:r>
      <w:r w:rsidR="00F73B83">
        <w:t>goods exports to CPTPP members</w:t>
      </w:r>
      <w:r w:rsidR="006C45FD">
        <w:t xml:space="preserve"> </w:t>
      </w:r>
      <w:r w:rsidR="00305B36">
        <w:t>in the 2014-18 period</w:t>
      </w:r>
      <w:r w:rsidR="006F6EE2">
        <w:t xml:space="preserve"> </w:t>
      </w:r>
      <w:r w:rsidR="00063505">
        <w:t xml:space="preserve">were </w:t>
      </w:r>
      <w:r w:rsidR="006F6EE2">
        <w:t xml:space="preserve">valued at </w:t>
      </w:r>
      <w:r w:rsidR="00CC4DBC">
        <w:t xml:space="preserve">$74.2 billion. This increased </w:t>
      </w:r>
      <w:r w:rsidR="000673D0">
        <w:t xml:space="preserve">by </w:t>
      </w:r>
      <w:r w:rsidR="00271925">
        <w:t>68.8</w:t>
      </w:r>
      <w:r w:rsidR="000673D0">
        <w:t xml:space="preserve"> per cent after CPTPP entered into force, with average goods exports </w:t>
      </w:r>
      <w:r w:rsidR="00305B36">
        <w:t xml:space="preserve">in the </w:t>
      </w:r>
      <w:r w:rsidR="000673D0">
        <w:t>2019</w:t>
      </w:r>
      <w:r w:rsidR="00305B36">
        <w:t>-</w:t>
      </w:r>
      <w:r w:rsidR="000673D0">
        <w:t>23</w:t>
      </w:r>
      <w:r w:rsidR="00305B36">
        <w:t xml:space="preserve"> period</w:t>
      </w:r>
      <w:r w:rsidR="000673D0">
        <w:t xml:space="preserve"> valued at $125 billion</w:t>
      </w:r>
      <w:r w:rsidR="00F73B83">
        <w:t xml:space="preserve"> (Table </w:t>
      </w:r>
      <w:r w:rsidR="00E812A5">
        <w:t>4</w:t>
      </w:r>
      <w:r w:rsidR="000673D0">
        <w:t>).</w:t>
      </w:r>
    </w:p>
    <w:p w14:paraId="5F592A73" w14:textId="39FD5F49" w:rsidR="00170781" w:rsidRDefault="00E551F2" w:rsidP="000920EB">
      <w:pPr>
        <w:pStyle w:val="ListParagraph"/>
        <w:numPr>
          <w:ilvl w:val="0"/>
          <w:numId w:val="5"/>
        </w:numPr>
        <w:ind w:left="0" w:firstLine="0"/>
      </w:pPr>
      <w:r>
        <w:t>The</w:t>
      </w:r>
      <w:r w:rsidR="00A42CFC">
        <w:t xml:space="preserve"> a</w:t>
      </w:r>
      <w:r w:rsidR="00675BD3" w:rsidRPr="00E551F2">
        <w:t>verage</w:t>
      </w:r>
      <w:r w:rsidR="00C50DD3">
        <w:t xml:space="preserve"> </w:t>
      </w:r>
      <w:r w:rsidR="00305B36">
        <w:t xml:space="preserve">annual </w:t>
      </w:r>
      <w:r w:rsidR="00C50DD3">
        <w:t>value of</w:t>
      </w:r>
      <w:r w:rsidR="0016769F">
        <w:t xml:space="preserve"> goods</w:t>
      </w:r>
      <w:r w:rsidR="00675BD3" w:rsidRPr="00E551F2">
        <w:t xml:space="preserve"> e</w:t>
      </w:r>
      <w:r w:rsidR="004F7571" w:rsidRPr="00E551F2">
        <w:t xml:space="preserve">xports to Mexico </w:t>
      </w:r>
      <w:r w:rsidR="00305B36">
        <w:t xml:space="preserve">in the </w:t>
      </w:r>
      <w:r w:rsidR="00675BD3" w:rsidRPr="00E551F2">
        <w:t>2014</w:t>
      </w:r>
      <w:r w:rsidR="0016769F">
        <w:t>-</w:t>
      </w:r>
      <w:r w:rsidR="00675BD3" w:rsidRPr="00E551F2">
        <w:t>18</w:t>
      </w:r>
      <w:r w:rsidR="0016769F">
        <w:t xml:space="preserve"> period</w:t>
      </w:r>
      <w:r w:rsidR="00675BD3" w:rsidRPr="00E551F2">
        <w:t xml:space="preserve"> w</w:t>
      </w:r>
      <w:r w:rsidR="00C50DD3">
        <w:t>as</w:t>
      </w:r>
      <w:r w:rsidR="00675BD3" w:rsidRPr="00E551F2">
        <w:t xml:space="preserve"> </w:t>
      </w:r>
      <w:r w:rsidR="00B617C4" w:rsidRPr="00E551F2">
        <w:t>$</w:t>
      </w:r>
      <w:r w:rsidR="008705A3" w:rsidRPr="00E551F2">
        <w:t>406</w:t>
      </w:r>
      <w:r w:rsidR="00B617C4" w:rsidRPr="00E551F2">
        <w:t xml:space="preserve"> million</w:t>
      </w:r>
      <w:r w:rsidR="008705A3" w:rsidRPr="00E551F2">
        <w:t>. This</w:t>
      </w:r>
      <w:r w:rsidR="00D92FC3" w:rsidRPr="00E551F2">
        <w:t xml:space="preserve"> increased </w:t>
      </w:r>
      <w:r w:rsidR="00D92FC3" w:rsidRPr="007569BC">
        <w:t>by</w:t>
      </w:r>
      <w:r w:rsidR="00271925" w:rsidRPr="007569BC">
        <w:t xml:space="preserve"> </w:t>
      </w:r>
      <w:r w:rsidR="00271925" w:rsidRPr="00E551F2">
        <w:t>31.2 per cent</w:t>
      </w:r>
      <w:r w:rsidR="008705A3" w:rsidRPr="00E551F2">
        <w:t xml:space="preserve"> following entry into force of CPTPP, </w:t>
      </w:r>
      <w:r w:rsidR="008705A3" w:rsidRPr="00E551F2">
        <w:lastRenderedPageBreak/>
        <w:t xml:space="preserve">with the average value of Australia’s exports to Mexico </w:t>
      </w:r>
      <w:r w:rsidR="0016769F">
        <w:t>in</w:t>
      </w:r>
      <w:r w:rsidR="008705A3" w:rsidRPr="00E551F2">
        <w:t xml:space="preserve"> </w:t>
      </w:r>
      <w:r w:rsidR="0016769F">
        <w:t xml:space="preserve">the </w:t>
      </w:r>
      <w:r w:rsidR="008705A3" w:rsidRPr="00E551F2">
        <w:t>2019</w:t>
      </w:r>
      <w:r w:rsidR="0016769F">
        <w:t>-</w:t>
      </w:r>
      <w:r w:rsidR="008705A3" w:rsidRPr="00E551F2">
        <w:t>23</w:t>
      </w:r>
      <w:r w:rsidR="0016769F">
        <w:t xml:space="preserve"> period</w:t>
      </w:r>
      <w:r w:rsidR="00A16693">
        <w:t xml:space="preserve"> </w:t>
      </w:r>
      <w:r w:rsidR="00733FA0">
        <w:t>worth</w:t>
      </w:r>
      <w:r w:rsidR="008705A3" w:rsidRPr="00E551F2">
        <w:t xml:space="preserve"> $533 million</w:t>
      </w:r>
      <w:r w:rsidR="0002231F" w:rsidRPr="00E551F2">
        <w:t>.</w:t>
      </w:r>
      <w:r w:rsidR="008705A3" w:rsidRPr="00E551F2">
        <w:t xml:space="preserve"> </w:t>
      </w:r>
    </w:p>
    <w:p w14:paraId="57998140" w14:textId="36BFE1DB" w:rsidR="00BF7DBB" w:rsidRDefault="00170781" w:rsidP="000920EB">
      <w:pPr>
        <w:pStyle w:val="ListParagraph"/>
        <w:numPr>
          <w:ilvl w:val="0"/>
          <w:numId w:val="5"/>
        </w:numPr>
        <w:ind w:left="0" w:firstLine="0"/>
      </w:pPr>
      <w:r>
        <w:t xml:space="preserve">Likewise, </w:t>
      </w:r>
      <w:r w:rsidR="00F1324F">
        <w:t xml:space="preserve">goods exports to Canada also increased following </w:t>
      </w:r>
      <w:r w:rsidR="00DC6A29">
        <w:t xml:space="preserve">the entry into force of CPTPP. </w:t>
      </w:r>
      <w:r w:rsidR="003B280D">
        <w:t xml:space="preserve">The value of </w:t>
      </w:r>
      <w:r w:rsidR="00DC6A29">
        <w:t xml:space="preserve">Australia’s exports </w:t>
      </w:r>
      <w:r w:rsidR="00E551F2">
        <w:t xml:space="preserve">in the </w:t>
      </w:r>
      <w:r w:rsidR="00FF354F">
        <w:t>2014</w:t>
      </w:r>
      <w:r w:rsidR="00E551F2">
        <w:t>-</w:t>
      </w:r>
      <w:r w:rsidR="00FF354F">
        <w:t>18</w:t>
      </w:r>
      <w:r w:rsidR="00E551F2">
        <w:t xml:space="preserve"> period</w:t>
      </w:r>
      <w:r w:rsidR="00A81456">
        <w:t xml:space="preserve"> </w:t>
      </w:r>
      <w:r w:rsidR="00FF354F">
        <w:t>averaged $1.6 billion</w:t>
      </w:r>
      <w:r w:rsidR="00A81456">
        <w:t xml:space="preserve"> annually</w:t>
      </w:r>
      <w:r w:rsidR="00FF354F">
        <w:t xml:space="preserve">. </w:t>
      </w:r>
      <w:r w:rsidR="00A81456">
        <w:t xml:space="preserve">After entry into force, </w:t>
      </w:r>
      <w:r w:rsidR="00E551F2">
        <w:t>this value increas</w:t>
      </w:r>
      <w:r w:rsidR="00742FF7">
        <w:t xml:space="preserve">ed by </w:t>
      </w:r>
      <w:r w:rsidR="0002267F">
        <w:t>45.7 per cent</w:t>
      </w:r>
      <w:r w:rsidR="00286433">
        <w:t xml:space="preserve"> for the</w:t>
      </w:r>
      <w:r w:rsidR="0026511C">
        <w:t xml:space="preserve"> </w:t>
      </w:r>
      <w:r w:rsidR="00F73B83">
        <w:t>201</w:t>
      </w:r>
      <w:r w:rsidR="00742819">
        <w:t>9</w:t>
      </w:r>
      <w:r w:rsidR="00E551F2">
        <w:t>-23 p</w:t>
      </w:r>
      <w:r w:rsidR="00286433">
        <w:t xml:space="preserve">eriod </w:t>
      </w:r>
      <w:r w:rsidR="007F12CF">
        <w:t xml:space="preserve">and was </w:t>
      </w:r>
      <w:r w:rsidR="00F829E6">
        <w:t>worth</w:t>
      </w:r>
      <w:r w:rsidR="007F12CF">
        <w:t xml:space="preserve"> $2.</w:t>
      </w:r>
      <w:r w:rsidR="008B0B8E">
        <w:t>4</w:t>
      </w:r>
      <w:r w:rsidR="007F12CF">
        <w:t xml:space="preserve"> billion</w:t>
      </w:r>
      <w:r w:rsidR="00FB3B81">
        <w:t>.</w:t>
      </w:r>
    </w:p>
    <w:p w14:paraId="1387510F" w14:textId="1E2259E0" w:rsidR="00F73B83" w:rsidRDefault="00F73B83" w:rsidP="000920EB">
      <w:pPr>
        <w:pStyle w:val="ListParagraph"/>
        <w:numPr>
          <w:ilvl w:val="0"/>
          <w:numId w:val="5"/>
        </w:numPr>
        <w:ind w:left="0" w:firstLine="0"/>
      </w:pPr>
      <w:r>
        <w:t>From 201</w:t>
      </w:r>
      <w:r w:rsidR="00856201">
        <w:t>9</w:t>
      </w:r>
      <w:r w:rsidR="00226B05">
        <w:t>-2</w:t>
      </w:r>
      <w:r>
        <w:t>3, there was also a rise in Australian goods exports to ASEAN CPTPP members</w:t>
      </w:r>
      <w:r w:rsidR="0082239E">
        <w:t>.</w:t>
      </w:r>
      <w:r w:rsidR="00FD2E49" w:rsidRPr="00827532">
        <w:rPr>
          <w:vertAlign w:val="superscript"/>
        </w:rPr>
        <w:footnoteReference w:id="33"/>
      </w:r>
      <w:r w:rsidRPr="00827532">
        <w:rPr>
          <w:vertAlign w:val="superscript"/>
        </w:rPr>
        <w:t xml:space="preserve"> </w:t>
      </w:r>
      <w:r w:rsidR="00EA1A35">
        <w:t xml:space="preserve">The average value of </w:t>
      </w:r>
      <w:r w:rsidR="008F42DD">
        <w:t>annual g</w:t>
      </w:r>
      <w:r>
        <w:t xml:space="preserve">oods exports to Brunei </w:t>
      </w:r>
      <w:r w:rsidR="00413177">
        <w:t xml:space="preserve">Darussalam </w:t>
      </w:r>
      <w:r w:rsidR="008F42DD">
        <w:t xml:space="preserve">grew from </w:t>
      </w:r>
      <w:r w:rsidR="00A87F06">
        <w:t>$44.8 million</w:t>
      </w:r>
      <w:r w:rsidR="00E551F2">
        <w:t xml:space="preserve"> in the </w:t>
      </w:r>
      <w:r w:rsidR="001B122E">
        <w:t>2013</w:t>
      </w:r>
      <w:r w:rsidR="00E551F2">
        <w:t>-1</w:t>
      </w:r>
      <w:r w:rsidR="001B122E">
        <w:t>8</w:t>
      </w:r>
      <w:r w:rsidR="00E551F2">
        <w:t xml:space="preserve"> period</w:t>
      </w:r>
      <w:r w:rsidR="001B122E">
        <w:t xml:space="preserve"> to </w:t>
      </w:r>
      <w:r w:rsidR="00E36377">
        <w:t>$405 million</w:t>
      </w:r>
      <w:r w:rsidR="00E551F2">
        <w:t xml:space="preserve"> in the</w:t>
      </w:r>
      <w:r w:rsidR="00E36377">
        <w:t xml:space="preserve"> </w:t>
      </w:r>
      <w:r w:rsidR="004F32B7">
        <w:t>2019</w:t>
      </w:r>
      <w:r w:rsidR="00E551F2">
        <w:t>-</w:t>
      </w:r>
      <w:r w:rsidR="004F32B7">
        <w:t>23</w:t>
      </w:r>
      <w:r w:rsidR="00E551F2">
        <w:t xml:space="preserve"> period</w:t>
      </w:r>
      <w:r w:rsidR="004F32B7">
        <w:t xml:space="preserve">, an </w:t>
      </w:r>
      <w:r>
        <w:t xml:space="preserve">increase </w:t>
      </w:r>
      <w:r w:rsidR="004F32B7">
        <w:t>of 806 per cent</w:t>
      </w:r>
      <w:r w:rsidR="00C46FA4">
        <w:t>.</w:t>
      </w:r>
      <w:r w:rsidR="003F14C0" w:rsidRPr="00827532">
        <w:rPr>
          <w:vertAlign w:val="superscript"/>
        </w:rPr>
        <w:footnoteReference w:id="34"/>
      </w:r>
      <w:r w:rsidR="0058072D" w:rsidRPr="00827532">
        <w:rPr>
          <w:vertAlign w:val="superscript"/>
        </w:rPr>
        <w:t xml:space="preserve"> </w:t>
      </w:r>
      <w:r w:rsidR="00122E0E">
        <w:t>Similarly,</w:t>
      </w:r>
      <w:r w:rsidR="00547B69">
        <w:t xml:space="preserve"> </w:t>
      </w:r>
      <w:r w:rsidR="00DA0D18">
        <w:t xml:space="preserve">the </w:t>
      </w:r>
      <w:r w:rsidR="000B36B5">
        <w:t>value of</w:t>
      </w:r>
      <w:r w:rsidR="0055683D">
        <w:t xml:space="preserve"> </w:t>
      </w:r>
      <w:r w:rsidR="00547B69">
        <w:t>annual</w:t>
      </w:r>
      <w:r w:rsidR="00122E0E">
        <w:t xml:space="preserve"> goods exports </w:t>
      </w:r>
      <w:r>
        <w:t xml:space="preserve">to </w:t>
      </w:r>
      <w:r w:rsidRPr="002A7154">
        <w:t>Vietnam</w:t>
      </w:r>
      <w:r>
        <w:t xml:space="preserve"> increased</w:t>
      </w:r>
      <w:r w:rsidRPr="00FB7A56">
        <w:t xml:space="preserve"> </w:t>
      </w:r>
      <w:r w:rsidR="004F32B7">
        <w:t xml:space="preserve">on average </w:t>
      </w:r>
      <w:r w:rsidR="00342538">
        <w:t>for the</w:t>
      </w:r>
      <w:r w:rsidR="004F32B7">
        <w:t xml:space="preserve"> 2014</w:t>
      </w:r>
      <w:r w:rsidR="00E551F2">
        <w:t>-</w:t>
      </w:r>
      <w:r w:rsidR="004F32B7">
        <w:t xml:space="preserve">18 </w:t>
      </w:r>
      <w:r w:rsidR="00342538">
        <w:t xml:space="preserve">period </w:t>
      </w:r>
      <w:r w:rsidR="004F32B7">
        <w:t xml:space="preserve">from </w:t>
      </w:r>
      <w:r w:rsidR="00704768">
        <w:t xml:space="preserve">$4.0 billion </w:t>
      </w:r>
      <w:r w:rsidR="00E83651">
        <w:t>to $9.</w:t>
      </w:r>
      <w:r w:rsidR="007F3F31">
        <w:t>7</w:t>
      </w:r>
      <w:r w:rsidR="00E83651">
        <w:t xml:space="preserve"> billion </w:t>
      </w:r>
      <w:r w:rsidR="00E551F2">
        <w:t>during the</w:t>
      </w:r>
      <w:r w:rsidR="00E83651">
        <w:t xml:space="preserve"> 2019</w:t>
      </w:r>
      <w:r w:rsidR="00E551F2">
        <w:t>-</w:t>
      </w:r>
      <w:r w:rsidR="00E83651">
        <w:t>23</w:t>
      </w:r>
      <w:r w:rsidR="00342538">
        <w:t xml:space="preserve"> period</w:t>
      </w:r>
      <w:r w:rsidR="00E83651">
        <w:t>, an increase of 141 per cent. For Singapore</w:t>
      </w:r>
      <w:r w:rsidR="00547B69">
        <w:t xml:space="preserve">, </w:t>
      </w:r>
      <w:r w:rsidR="001D7125">
        <w:t>the value of</w:t>
      </w:r>
      <w:r w:rsidR="00547B69">
        <w:t xml:space="preserve"> </w:t>
      </w:r>
      <w:r w:rsidR="002E316A">
        <w:t xml:space="preserve">annual </w:t>
      </w:r>
      <w:r w:rsidR="00777B93">
        <w:t>exports rose from $7.</w:t>
      </w:r>
      <w:r w:rsidR="007F3F31">
        <w:t>5</w:t>
      </w:r>
      <w:r w:rsidR="00777B93">
        <w:t xml:space="preserve"> billion (2014-2018</w:t>
      </w:r>
      <w:r w:rsidR="00E551F2">
        <w:t xml:space="preserve"> period</w:t>
      </w:r>
      <w:r w:rsidR="00777B93">
        <w:t xml:space="preserve">) to </w:t>
      </w:r>
      <w:r w:rsidR="002E316A">
        <w:t>$15.2 billion (2018-2023</w:t>
      </w:r>
      <w:r w:rsidR="00E551F2">
        <w:t xml:space="preserve"> period</w:t>
      </w:r>
      <w:r w:rsidR="002E316A">
        <w:t>)</w:t>
      </w:r>
      <w:r w:rsidR="00342538">
        <w:t xml:space="preserve">, an increase of 104 per cent. Australian exports to Malaysia followed a similar </w:t>
      </w:r>
      <w:r w:rsidR="00A335D0">
        <w:t>path</w:t>
      </w:r>
      <w:r w:rsidR="00342538">
        <w:t xml:space="preserve"> with annual goods exports </w:t>
      </w:r>
      <w:r w:rsidR="006254C5">
        <w:t xml:space="preserve">value </w:t>
      </w:r>
      <w:r w:rsidR="00342538">
        <w:t xml:space="preserve">averaging </w:t>
      </w:r>
      <w:r w:rsidR="001A4717">
        <w:t>$6.</w:t>
      </w:r>
      <w:r w:rsidR="00CF194C">
        <w:t>2</w:t>
      </w:r>
      <w:r w:rsidR="001A4717">
        <w:t xml:space="preserve"> billion </w:t>
      </w:r>
      <w:r w:rsidR="00E25FEC">
        <w:t xml:space="preserve">in the </w:t>
      </w:r>
      <w:r w:rsidR="001A4717">
        <w:t xml:space="preserve">2014-2018 period </w:t>
      </w:r>
      <w:r w:rsidR="00E25FEC">
        <w:t>and growing to $9.9 billion in the 2019-2023 period, an increase of 61.0 per cent</w:t>
      </w:r>
      <w:r w:rsidR="00413177">
        <w:t>.</w:t>
      </w:r>
      <w:r w:rsidR="00E343A7" w:rsidRPr="00394EFE">
        <w:t xml:space="preserve"> </w:t>
      </w:r>
      <w:r w:rsidR="00E343A7" w:rsidRPr="00827532">
        <w:rPr>
          <w:vertAlign w:val="superscript"/>
        </w:rPr>
        <w:footnoteReference w:id="35"/>
      </w:r>
    </w:p>
    <w:p w14:paraId="1DD10FFC" w14:textId="3D54B6CD" w:rsidR="00DF4407" w:rsidRPr="00DD2E78" w:rsidRDefault="00F73B83" w:rsidP="000920EB">
      <w:pPr>
        <w:pStyle w:val="ListParagraph"/>
        <w:numPr>
          <w:ilvl w:val="0"/>
          <w:numId w:val="5"/>
        </w:numPr>
        <w:ind w:left="0" w:firstLine="0"/>
      </w:pPr>
      <w:r>
        <w:t xml:space="preserve">Goods exports to other existing bilateral FTA partners </w:t>
      </w:r>
      <w:r w:rsidR="001574D8">
        <w:t xml:space="preserve">within the CPTPP membership </w:t>
      </w:r>
      <w:r>
        <w:t>from 201</w:t>
      </w:r>
      <w:r w:rsidR="00AB61E5">
        <w:t>9</w:t>
      </w:r>
      <w:r w:rsidR="002F2423">
        <w:t xml:space="preserve"> to 20</w:t>
      </w:r>
      <w:r>
        <w:t xml:space="preserve">23 </w:t>
      </w:r>
      <w:r w:rsidR="00BE3E28">
        <w:t>also sa</w:t>
      </w:r>
      <w:r>
        <w:t>w gains</w:t>
      </w:r>
      <w:r w:rsidR="004E7A4C">
        <w:t xml:space="preserve">. </w:t>
      </w:r>
      <w:r w:rsidR="00BE3E28">
        <w:t>To</w:t>
      </w:r>
      <w:r w:rsidR="004E7A4C">
        <w:t xml:space="preserve"> Chile, </w:t>
      </w:r>
      <w:r w:rsidR="00D8681B">
        <w:t>the value of</w:t>
      </w:r>
      <w:r w:rsidR="004E7A4C">
        <w:t xml:space="preserve"> average annual goods exports grew from </w:t>
      </w:r>
      <w:r w:rsidR="00AF5054">
        <w:t>$</w:t>
      </w:r>
      <w:r w:rsidR="00015D3B">
        <w:t xml:space="preserve">359 million in the 2014-18 period </w:t>
      </w:r>
      <w:r w:rsidR="00AF5054">
        <w:t>to $649 million in the 2019-23 period, an increase of 81 per cent.</w:t>
      </w:r>
      <w:r w:rsidR="00CC3381" w:rsidRPr="00827532">
        <w:rPr>
          <w:vertAlign w:val="superscript"/>
        </w:rPr>
        <w:footnoteReference w:id="36"/>
      </w:r>
      <w:r>
        <w:t xml:space="preserve"> </w:t>
      </w:r>
      <w:r w:rsidR="00080F17">
        <w:t>E</w:t>
      </w:r>
      <w:r>
        <w:t>xports to Peru r</w:t>
      </w:r>
      <w:r w:rsidR="00274B35">
        <w:t xml:space="preserve">ose from an average value of </w:t>
      </w:r>
      <w:r w:rsidR="008C40DB">
        <w:t xml:space="preserve">$132 million in the 2014-18 period to </w:t>
      </w:r>
      <w:r w:rsidR="000D7784">
        <w:t>$190 million in the 2019-23 period</w:t>
      </w:r>
      <w:r w:rsidR="007F3FD0">
        <w:t>, an increase of 43.5 per cent.</w:t>
      </w:r>
      <w:r w:rsidR="00DF4407" w:rsidRPr="00827532">
        <w:rPr>
          <w:vertAlign w:val="superscript"/>
        </w:rPr>
        <w:footnoteReference w:id="37"/>
      </w:r>
      <w:r>
        <w:t xml:space="preserve"> </w:t>
      </w:r>
      <w:r w:rsidR="00D6632A">
        <w:t xml:space="preserve">Australia’s average annual </w:t>
      </w:r>
      <w:r>
        <w:t xml:space="preserve">exports to Japan </w:t>
      </w:r>
      <w:r w:rsidR="00D6632A">
        <w:t>w</w:t>
      </w:r>
      <w:r w:rsidR="001574D8">
        <w:t>ere</w:t>
      </w:r>
      <w:r w:rsidR="00D6632A">
        <w:t xml:space="preserve"> valued at </w:t>
      </w:r>
      <w:r w:rsidR="002A21E0">
        <w:t>$45</w:t>
      </w:r>
      <w:r w:rsidR="000813D3">
        <w:t xml:space="preserve">.2 billion in the 2014-18 period and </w:t>
      </w:r>
      <w:r w:rsidR="00DD2E78">
        <w:t>grew to $74.6 billion in the 2019-23 period, an increase of 65.2 per cent.</w:t>
      </w:r>
      <w:r w:rsidR="000813D3">
        <w:t xml:space="preserve"> </w:t>
      </w:r>
      <w:r w:rsidR="00DD2E78">
        <w:t xml:space="preserve">Similarly, the average of our annual exports to New Zealand in the </w:t>
      </w:r>
      <w:r w:rsidR="00027821">
        <w:t xml:space="preserve">2014-18 period was valued at $8.8 billion and grew to </w:t>
      </w:r>
      <w:r w:rsidR="008C1B07">
        <w:t>$11.6 billion in the 2018-23 period, an increase of 31.9 per cent.</w:t>
      </w:r>
    </w:p>
    <w:p w14:paraId="618BA8A5" w14:textId="14255F77" w:rsidR="002A4FE7" w:rsidRPr="00DF4407" w:rsidRDefault="002A4FE7" w:rsidP="00D82CE0">
      <w:pPr>
        <w:tabs>
          <w:tab w:val="center" w:pos="4156"/>
        </w:tabs>
        <w:rPr>
          <w:lang w:eastAsia="en-AU"/>
        </w:rPr>
        <w:sectPr w:rsidR="002A4FE7" w:rsidRPr="00DF4407" w:rsidSect="00F90FFF">
          <w:footerReference w:type="default" r:id="rId17"/>
          <w:pgSz w:w="11906" w:h="16838"/>
          <w:pgMar w:top="1245" w:right="1797" w:bottom="1440" w:left="1797" w:header="567" w:footer="709" w:gutter="0"/>
          <w:pgNumType w:start="1"/>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98"/>
      </w:tblGrid>
      <w:tr w:rsidR="00561932" w14:paraId="226F8156" w14:textId="77777777" w:rsidTr="00F91D21">
        <w:tc>
          <w:tcPr>
            <w:tcW w:w="14143" w:type="dxa"/>
          </w:tcPr>
          <w:p w14:paraId="7599A583" w14:textId="7448CD4F" w:rsidR="00561932" w:rsidRPr="00617504" w:rsidRDefault="006C7673" w:rsidP="008A32F8">
            <w:pPr>
              <w:rPr>
                <w:rFonts w:asciiTheme="minorHAnsi" w:hAnsiTheme="minorHAnsi" w:cstheme="minorHAnsi"/>
                <w:sz w:val="24"/>
                <w:szCs w:val="24"/>
              </w:rPr>
            </w:pPr>
            <w:r w:rsidRPr="008A32F8">
              <w:rPr>
                <w:rFonts w:asciiTheme="minorHAnsi" w:eastAsiaTheme="minorEastAsia" w:hAnsiTheme="minorHAnsi" w:cstheme="minorBidi"/>
                <w:b/>
                <w:bCs/>
                <w:i/>
                <w:iCs/>
                <w:sz w:val="22"/>
                <w:szCs w:val="22"/>
                <w:lang w:eastAsia="en-US"/>
              </w:rPr>
              <w:lastRenderedPageBreak/>
              <w:t xml:space="preserve">Table </w:t>
            </w:r>
            <w:r w:rsidR="008A32F8" w:rsidRPr="008A32F8">
              <w:rPr>
                <w:rFonts w:asciiTheme="minorHAnsi" w:eastAsiaTheme="minorEastAsia" w:hAnsiTheme="minorHAnsi" w:cstheme="minorBidi"/>
                <w:b/>
                <w:bCs/>
                <w:i/>
                <w:iCs/>
                <w:sz w:val="22"/>
                <w:szCs w:val="22"/>
                <w:lang w:eastAsia="en-US"/>
              </w:rPr>
              <w:t>3</w:t>
            </w:r>
            <w:r w:rsidRPr="008A32F8">
              <w:rPr>
                <w:rFonts w:asciiTheme="minorHAnsi" w:eastAsiaTheme="minorEastAsia" w:hAnsiTheme="minorHAnsi" w:cstheme="minorBidi"/>
                <w:b/>
                <w:bCs/>
                <w:i/>
                <w:iCs/>
                <w:sz w:val="22"/>
                <w:szCs w:val="22"/>
                <w:lang w:eastAsia="en-US"/>
              </w:rPr>
              <w:t xml:space="preserve">: </w:t>
            </w:r>
            <w:r w:rsidR="00617504" w:rsidRPr="008A32F8">
              <w:rPr>
                <w:rFonts w:asciiTheme="minorHAnsi" w:eastAsiaTheme="minorEastAsia" w:hAnsiTheme="minorHAnsi" w:cstheme="minorBidi"/>
                <w:b/>
                <w:bCs/>
                <w:i/>
                <w:iCs/>
                <w:sz w:val="22"/>
                <w:szCs w:val="22"/>
                <w:lang w:eastAsia="en-US"/>
              </w:rPr>
              <w:t>Value of Australia’s</w:t>
            </w:r>
            <w:r w:rsidR="00377A11" w:rsidRPr="008A32F8">
              <w:rPr>
                <w:rFonts w:asciiTheme="minorHAnsi" w:eastAsiaTheme="minorEastAsia" w:hAnsiTheme="minorHAnsi" w:cstheme="minorBidi"/>
                <w:b/>
                <w:bCs/>
                <w:i/>
                <w:iCs/>
                <w:sz w:val="22"/>
                <w:szCs w:val="22"/>
                <w:lang w:eastAsia="en-US"/>
              </w:rPr>
              <w:t xml:space="preserve"> services</w:t>
            </w:r>
            <w:r w:rsidR="00617504" w:rsidRPr="008A32F8">
              <w:rPr>
                <w:rFonts w:asciiTheme="minorHAnsi" w:eastAsiaTheme="minorEastAsia" w:hAnsiTheme="minorHAnsi" w:cstheme="minorBidi"/>
                <w:b/>
                <w:bCs/>
                <w:i/>
                <w:iCs/>
                <w:sz w:val="22"/>
                <w:szCs w:val="22"/>
                <w:lang w:eastAsia="en-US"/>
              </w:rPr>
              <w:t xml:space="preserve"> exports to CPTPP economies</w:t>
            </w:r>
            <w:r w:rsidR="004D6642" w:rsidRPr="008A32F8">
              <w:rPr>
                <w:rFonts w:asciiTheme="minorHAnsi" w:eastAsiaTheme="minorEastAsia" w:hAnsiTheme="minorHAnsi" w:cstheme="minorBidi"/>
                <w:b/>
                <w:bCs/>
                <w:i/>
                <w:iCs/>
                <w:sz w:val="22"/>
                <w:szCs w:val="22"/>
                <w:lang w:eastAsia="en-US"/>
              </w:rPr>
              <w:t xml:space="preserve"> (</w:t>
            </w:r>
            <w:r w:rsidR="00A422D3">
              <w:rPr>
                <w:rFonts w:asciiTheme="minorHAnsi" w:eastAsiaTheme="minorEastAsia" w:hAnsiTheme="minorHAnsi" w:cstheme="minorBidi"/>
                <w:b/>
                <w:bCs/>
                <w:i/>
                <w:iCs/>
                <w:sz w:val="22"/>
                <w:szCs w:val="22"/>
                <w:lang w:eastAsia="en-US"/>
              </w:rPr>
              <w:t>$</w:t>
            </w:r>
            <w:r w:rsidR="004D6642" w:rsidRPr="008A32F8">
              <w:rPr>
                <w:rFonts w:asciiTheme="minorHAnsi" w:eastAsiaTheme="minorEastAsia" w:hAnsiTheme="minorHAnsi" w:cstheme="minorBidi"/>
                <w:b/>
                <w:bCs/>
                <w:i/>
                <w:iCs/>
                <w:sz w:val="22"/>
                <w:szCs w:val="22"/>
                <w:lang w:eastAsia="en-US"/>
              </w:rPr>
              <w:t>m)</w:t>
            </w:r>
          </w:p>
        </w:tc>
      </w:tr>
      <w:tr w:rsidR="00561932" w14:paraId="5D330C7A" w14:textId="77777777" w:rsidTr="00F91D21">
        <w:tc>
          <w:tcPr>
            <w:tcW w:w="14143" w:type="dxa"/>
          </w:tcPr>
          <w:p w14:paraId="2AC185B4" w14:textId="65525513" w:rsidR="00561932" w:rsidRDefault="006B45FF" w:rsidP="008A32F8">
            <w:pPr>
              <w:spacing w:before="120"/>
            </w:pPr>
            <w:r w:rsidRPr="008A32F8">
              <w:rPr>
                <w:rFonts w:cstheme="minorHAnsi"/>
                <w:noProof/>
                <w:sz w:val="18"/>
                <w:szCs w:val="18"/>
              </w:rPr>
              <w:drawing>
                <wp:anchor distT="0" distB="0" distL="114300" distR="114300" simplePos="0" relativeHeight="251658243" behindDoc="0" locked="0" layoutInCell="1" allowOverlap="1" wp14:anchorId="7784FC73" wp14:editId="6F90AFA9">
                  <wp:simplePos x="0" y="0"/>
                  <wp:positionH relativeFrom="column">
                    <wp:posOffset>-68097</wp:posOffset>
                  </wp:positionH>
                  <wp:positionV relativeFrom="page">
                    <wp:posOffset>65100</wp:posOffset>
                  </wp:positionV>
                  <wp:extent cx="9789160" cy="3232150"/>
                  <wp:effectExtent l="0" t="0" r="2540" b="6350"/>
                  <wp:wrapTopAndBottom/>
                  <wp:docPr id="439070890" name="Picture 6" descr="This table breaks down Australia's services exports (by value) to CPTPP members over the 2013-2023 period. New Zealand ($6.25 billion), Singapore ($5.51 billion), and Vietnam ($2.57 billion) were the three largest importers of Australian service exports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70890" name="Picture 6" descr="This table breaks down Australia's services exports (by value) to CPTPP members over the 2013-2023 period. New Zealand ($6.25 billion), Singapore ($5.51 billion), and Vietnam ($2.57 billion) were the three largest importers of Australian service exports in 20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89160" cy="3232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3F86" w:rsidRPr="008A32F8">
              <w:rPr>
                <w:rFonts w:asciiTheme="minorHAnsi" w:hAnsiTheme="minorHAnsi" w:cstheme="minorHAnsi"/>
                <w:sz w:val="18"/>
                <w:szCs w:val="18"/>
              </w:rPr>
              <w:t>Source: ABS Australia’s goods and services exports, current prices.</w:t>
            </w:r>
          </w:p>
        </w:tc>
      </w:tr>
    </w:tbl>
    <w:p w14:paraId="7F840462" w14:textId="7BBB0621" w:rsidR="00CB6CE0" w:rsidRDefault="00CB6CE0" w:rsidP="00CB6CE0"/>
    <w:p w14:paraId="12828CBB" w14:textId="19DFB5BF" w:rsidR="00CB6CE0" w:rsidRDefault="00CB6CE0" w:rsidP="00CB6CE0"/>
    <w:p w14:paraId="026D1BCF" w14:textId="77777777" w:rsidR="00181C94" w:rsidRDefault="00181C94" w:rsidP="00CB6CE0">
      <w:pPr>
        <w:sectPr w:rsidR="00181C94" w:rsidSect="00AF4A1D">
          <w:pgSz w:w="16838" w:h="11906" w:orient="landscape"/>
          <w:pgMar w:top="720" w:right="720" w:bottom="720" w:left="720" w:header="567"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0"/>
      </w:tblGrid>
      <w:tr w:rsidR="00E621B4" w14:paraId="2D748541" w14:textId="77777777" w:rsidTr="00AF4A1D">
        <w:trPr>
          <w:trHeight w:val="5166"/>
        </w:trPr>
        <w:tc>
          <w:tcPr>
            <w:tcW w:w="14323" w:type="dxa"/>
          </w:tcPr>
          <w:p w14:paraId="75CA579C" w14:textId="1FFCFF61" w:rsidR="00E621B4" w:rsidRPr="008A32F8" w:rsidRDefault="00E621B4" w:rsidP="008A32F8">
            <w:pPr>
              <w:rPr>
                <w:rFonts w:asciiTheme="minorHAnsi" w:eastAsiaTheme="minorEastAsia" w:hAnsiTheme="minorHAnsi" w:cstheme="minorBidi"/>
                <w:b/>
                <w:bCs/>
                <w:i/>
                <w:iCs/>
                <w:sz w:val="22"/>
                <w:szCs w:val="22"/>
                <w:lang w:eastAsia="en-US"/>
              </w:rPr>
            </w:pPr>
            <w:r w:rsidRPr="008A32F8">
              <w:rPr>
                <w:rFonts w:asciiTheme="minorHAnsi" w:eastAsiaTheme="minorEastAsia" w:hAnsiTheme="minorHAnsi" w:cstheme="minorBidi"/>
                <w:b/>
                <w:bCs/>
                <w:i/>
                <w:iCs/>
                <w:sz w:val="22"/>
                <w:szCs w:val="22"/>
                <w:lang w:eastAsia="en-US"/>
              </w:rPr>
              <w:lastRenderedPageBreak/>
              <w:t xml:space="preserve">Table </w:t>
            </w:r>
            <w:r w:rsidR="008A32F8">
              <w:rPr>
                <w:rFonts w:asciiTheme="minorHAnsi" w:eastAsiaTheme="minorEastAsia" w:hAnsiTheme="minorHAnsi" w:cstheme="minorBidi"/>
                <w:b/>
                <w:bCs/>
                <w:i/>
                <w:iCs/>
                <w:sz w:val="22"/>
                <w:szCs w:val="22"/>
                <w:lang w:eastAsia="en-US"/>
              </w:rPr>
              <w:t>4</w:t>
            </w:r>
            <w:r w:rsidRPr="008A32F8">
              <w:rPr>
                <w:rFonts w:asciiTheme="minorHAnsi" w:eastAsiaTheme="minorEastAsia" w:hAnsiTheme="minorHAnsi" w:cstheme="minorBidi"/>
                <w:b/>
                <w:bCs/>
                <w:i/>
                <w:iCs/>
                <w:sz w:val="22"/>
                <w:szCs w:val="22"/>
                <w:lang w:eastAsia="en-US"/>
              </w:rPr>
              <w:t>:</w:t>
            </w:r>
            <w:r w:rsidR="00AE3330" w:rsidRPr="008A32F8">
              <w:rPr>
                <w:rFonts w:asciiTheme="minorHAnsi" w:eastAsiaTheme="minorEastAsia" w:hAnsiTheme="minorHAnsi" w:cstheme="minorBidi"/>
                <w:b/>
                <w:bCs/>
                <w:i/>
                <w:iCs/>
                <w:sz w:val="22"/>
                <w:szCs w:val="22"/>
                <w:lang w:eastAsia="en-US"/>
              </w:rPr>
              <w:t xml:space="preserve"> </w:t>
            </w:r>
            <w:r w:rsidR="00617504" w:rsidRPr="008A32F8">
              <w:rPr>
                <w:rFonts w:asciiTheme="minorHAnsi" w:eastAsiaTheme="minorEastAsia" w:hAnsiTheme="minorHAnsi" w:cstheme="minorBidi"/>
                <w:b/>
                <w:bCs/>
                <w:i/>
                <w:iCs/>
                <w:sz w:val="22"/>
                <w:szCs w:val="22"/>
                <w:lang w:eastAsia="en-US"/>
              </w:rPr>
              <w:t>Value of Australia’s g</w:t>
            </w:r>
            <w:r w:rsidR="00AE3330" w:rsidRPr="008A32F8">
              <w:rPr>
                <w:rFonts w:asciiTheme="minorHAnsi" w:eastAsiaTheme="minorEastAsia" w:hAnsiTheme="minorHAnsi" w:cstheme="minorBidi"/>
                <w:b/>
                <w:bCs/>
                <w:i/>
                <w:iCs/>
                <w:sz w:val="22"/>
                <w:szCs w:val="22"/>
                <w:lang w:eastAsia="en-US"/>
              </w:rPr>
              <w:t xml:space="preserve">oods </w:t>
            </w:r>
            <w:r w:rsidR="00EE349F" w:rsidRPr="008A32F8">
              <w:rPr>
                <w:rFonts w:asciiTheme="minorHAnsi" w:eastAsiaTheme="minorEastAsia" w:hAnsiTheme="minorHAnsi" w:cstheme="minorBidi"/>
                <w:b/>
                <w:bCs/>
                <w:i/>
                <w:iCs/>
                <w:sz w:val="22"/>
                <w:szCs w:val="22"/>
                <w:lang w:eastAsia="en-US"/>
              </w:rPr>
              <w:t>e</w:t>
            </w:r>
            <w:r w:rsidR="00AE3330" w:rsidRPr="008A32F8">
              <w:rPr>
                <w:rFonts w:asciiTheme="minorHAnsi" w:eastAsiaTheme="minorEastAsia" w:hAnsiTheme="minorHAnsi" w:cstheme="minorBidi"/>
                <w:b/>
                <w:bCs/>
                <w:i/>
                <w:iCs/>
                <w:sz w:val="22"/>
                <w:szCs w:val="22"/>
                <w:lang w:eastAsia="en-US"/>
              </w:rPr>
              <w:t>xport</w:t>
            </w:r>
            <w:r w:rsidR="00617504" w:rsidRPr="008A32F8">
              <w:rPr>
                <w:rFonts w:asciiTheme="minorHAnsi" w:eastAsiaTheme="minorEastAsia" w:hAnsiTheme="minorHAnsi" w:cstheme="minorBidi"/>
                <w:b/>
                <w:bCs/>
                <w:i/>
                <w:iCs/>
                <w:sz w:val="22"/>
                <w:szCs w:val="22"/>
                <w:lang w:eastAsia="en-US"/>
              </w:rPr>
              <w:t>s to CPTPP economies</w:t>
            </w:r>
            <w:r w:rsidR="004D6642" w:rsidRPr="008A32F8">
              <w:rPr>
                <w:rFonts w:asciiTheme="minorHAnsi" w:eastAsiaTheme="minorEastAsia" w:hAnsiTheme="minorHAnsi" w:cstheme="minorBidi"/>
                <w:b/>
                <w:bCs/>
                <w:i/>
                <w:iCs/>
                <w:sz w:val="22"/>
                <w:szCs w:val="22"/>
                <w:lang w:eastAsia="en-US"/>
              </w:rPr>
              <w:t xml:space="preserve"> (</w:t>
            </w:r>
            <w:r w:rsidR="00A422D3">
              <w:rPr>
                <w:rFonts w:asciiTheme="minorHAnsi" w:eastAsiaTheme="minorEastAsia" w:hAnsiTheme="minorHAnsi" w:cstheme="minorBidi"/>
                <w:b/>
                <w:bCs/>
                <w:i/>
                <w:iCs/>
                <w:sz w:val="22"/>
                <w:szCs w:val="22"/>
                <w:lang w:eastAsia="en-US"/>
              </w:rPr>
              <w:t>$</w:t>
            </w:r>
            <w:r w:rsidR="004D6642" w:rsidRPr="008A32F8">
              <w:rPr>
                <w:rFonts w:asciiTheme="minorHAnsi" w:eastAsiaTheme="minorEastAsia" w:hAnsiTheme="minorHAnsi" w:cstheme="minorBidi"/>
                <w:b/>
                <w:bCs/>
                <w:i/>
                <w:iCs/>
                <w:sz w:val="22"/>
                <w:szCs w:val="22"/>
                <w:lang w:eastAsia="en-US"/>
              </w:rPr>
              <w:t>m)</w:t>
            </w:r>
          </w:p>
          <w:p w14:paraId="5DC01863" w14:textId="07156996" w:rsidR="00D7591F" w:rsidRPr="00E621B4" w:rsidRDefault="008424DB" w:rsidP="00CB6CE0">
            <w:pPr>
              <w:rPr>
                <w:b/>
                <w:bCs/>
              </w:rPr>
            </w:pPr>
            <w:r w:rsidRPr="008424DB">
              <w:rPr>
                <w:noProof/>
              </w:rPr>
              <w:drawing>
                <wp:inline distT="0" distB="0" distL="0" distR="0" wp14:anchorId="5B8043E8" wp14:editId="13989599">
                  <wp:extent cx="9546965" cy="3067050"/>
                  <wp:effectExtent l="0" t="0" r="0" b="0"/>
                  <wp:docPr id="576424939" name="Picture 11" descr="This table breaks down Australia's goods exports (by value) to CPTPP members over the 2013-2023 period. Japan ($87.7 billion), Singapore ($17.3 billion), and New Zealand ($12.8 billion) were the three largest importers of Australian goods exports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424939" name="Picture 11" descr="This table breaks down Australia's goods exports (by value) to CPTPP members over the 2013-2023 period. Japan ($87.7 billion), Singapore ($17.3 billion), and New Zealand ($12.8 billion) were the three largest importers of Australian goods exports in 20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87313" cy="3080012"/>
                          </a:xfrm>
                          <a:prstGeom prst="rect">
                            <a:avLst/>
                          </a:prstGeom>
                          <a:noFill/>
                          <a:ln>
                            <a:noFill/>
                          </a:ln>
                        </pic:spPr>
                      </pic:pic>
                    </a:graphicData>
                  </a:graphic>
                </wp:inline>
              </w:drawing>
            </w:r>
          </w:p>
        </w:tc>
      </w:tr>
      <w:tr w:rsidR="00E621B4" w14:paraId="39A7B2A6" w14:textId="77777777" w:rsidTr="00AF4A1D">
        <w:trPr>
          <w:trHeight w:val="177"/>
        </w:trPr>
        <w:tc>
          <w:tcPr>
            <w:tcW w:w="14323" w:type="dxa"/>
          </w:tcPr>
          <w:p w14:paraId="6A28C8AE" w14:textId="2DA7C0A0" w:rsidR="00025581" w:rsidRPr="00F072E1" w:rsidRDefault="00A53F86" w:rsidP="00CB6CE0">
            <w:pPr>
              <w:rPr>
                <w:rFonts w:asciiTheme="minorHAnsi" w:hAnsiTheme="minorHAnsi" w:cstheme="minorHAnsi"/>
              </w:rPr>
            </w:pPr>
            <w:r w:rsidRPr="00F072E1">
              <w:rPr>
                <w:rFonts w:asciiTheme="minorHAnsi" w:hAnsiTheme="minorHAnsi" w:cstheme="minorHAnsi"/>
              </w:rPr>
              <w:t>Source: ABS Australia’s goods and services exports, current prices.</w:t>
            </w:r>
            <w:r w:rsidR="004D6642" w:rsidRPr="00F072E1">
              <w:rPr>
                <w:rFonts w:asciiTheme="minorHAnsi" w:hAnsiTheme="minorHAnsi" w:cstheme="minorHAnsi"/>
              </w:rPr>
              <w:t xml:space="preserve"> </w:t>
            </w:r>
            <w:r w:rsidR="00030BA0" w:rsidRPr="00F072E1">
              <w:rPr>
                <w:rFonts w:asciiTheme="minorHAnsi" w:hAnsiTheme="minorHAnsi" w:cstheme="minorHAnsi"/>
              </w:rPr>
              <w:t>Analysis prepared by DFAT</w:t>
            </w:r>
            <w:r w:rsidR="004D6642" w:rsidRPr="00F072E1">
              <w:rPr>
                <w:rFonts w:asciiTheme="minorHAnsi" w:hAnsiTheme="minorHAnsi" w:cstheme="minorHAnsi"/>
              </w:rPr>
              <w:t>.</w:t>
            </w:r>
          </w:p>
        </w:tc>
      </w:tr>
      <w:tr w:rsidR="00867F4E" w14:paraId="44BEE08F" w14:textId="77777777" w:rsidTr="00AF4A1D">
        <w:trPr>
          <w:trHeight w:val="177"/>
        </w:trPr>
        <w:tc>
          <w:tcPr>
            <w:tcW w:w="14323" w:type="dxa"/>
          </w:tcPr>
          <w:p w14:paraId="65FD62A9" w14:textId="77777777" w:rsidR="00867F4E" w:rsidRDefault="00867F4E" w:rsidP="00CB6CE0">
            <w:pPr>
              <w:rPr>
                <w:i/>
                <w:iCs/>
              </w:rPr>
            </w:pPr>
          </w:p>
        </w:tc>
      </w:tr>
      <w:tr w:rsidR="00867F4E" w14:paraId="2796D89A" w14:textId="77777777" w:rsidTr="00AF4A1D">
        <w:trPr>
          <w:trHeight w:val="177"/>
        </w:trPr>
        <w:tc>
          <w:tcPr>
            <w:tcW w:w="14323" w:type="dxa"/>
          </w:tcPr>
          <w:p w14:paraId="34331AC5" w14:textId="682E3DCC" w:rsidR="00867F4E" w:rsidRDefault="00867F4E" w:rsidP="00CB6CE0">
            <w:pPr>
              <w:rPr>
                <w:i/>
                <w:iCs/>
              </w:rPr>
            </w:pPr>
          </w:p>
        </w:tc>
      </w:tr>
    </w:tbl>
    <w:p w14:paraId="3A0D9CF0" w14:textId="55A9A49A" w:rsidR="00E621B4" w:rsidRDefault="00E621B4" w:rsidP="00CB6CE0">
      <w:pPr>
        <w:sectPr w:rsidR="00E621B4" w:rsidSect="00AF4A1D">
          <w:pgSz w:w="16838" w:h="11906" w:orient="landscape"/>
          <w:pgMar w:top="720" w:right="720" w:bottom="720" w:left="720" w:header="567" w:footer="709" w:gutter="0"/>
          <w:cols w:space="708"/>
          <w:docGrid w:linePitch="360"/>
        </w:sectPr>
      </w:pPr>
    </w:p>
    <w:p w14:paraId="2B518727" w14:textId="4046BD11" w:rsidR="006D6F75" w:rsidRPr="00531A67" w:rsidRDefault="00531A67" w:rsidP="00531A67">
      <w:pPr>
        <w:ind w:left="360" w:hanging="360"/>
        <w:rPr>
          <w:b/>
          <w:bCs/>
          <w:i/>
          <w:iCs/>
        </w:rPr>
      </w:pPr>
      <w:r>
        <w:rPr>
          <w:b/>
          <w:bCs/>
          <w:i/>
          <w:iCs/>
        </w:rPr>
        <w:lastRenderedPageBreak/>
        <w:t>K</w:t>
      </w:r>
      <w:r w:rsidR="006D6F75" w:rsidRPr="00531A67">
        <w:rPr>
          <w:b/>
          <w:bCs/>
          <w:i/>
          <w:iCs/>
        </w:rPr>
        <w:t xml:space="preserve">ey agricultural and processed food exports  </w:t>
      </w:r>
    </w:p>
    <w:p w14:paraId="7C7F7A77" w14:textId="15C4612C" w:rsidR="00DA22F5" w:rsidRDefault="006D6F75" w:rsidP="000920EB">
      <w:pPr>
        <w:pStyle w:val="ListParagraph"/>
        <w:keepNext/>
        <w:widowControl w:val="0"/>
        <w:numPr>
          <w:ilvl w:val="0"/>
          <w:numId w:val="5"/>
        </w:numPr>
        <w:suppressAutoHyphens/>
        <w:spacing w:after="0"/>
        <w:ind w:left="0" w:firstLine="0"/>
      </w:pPr>
      <w:r w:rsidRPr="00136039">
        <w:t xml:space="preserve">Table </w:t>
      </w:r>
      <w:r w:rsidR="00EE5D88">
        <w:t>5</w:t>
      </w:r>
      <w:r w:rsidRPr="008433EB">
        <w:t xml:space="preserve"> outlines the key market access outcomes for agricultural products under </w:t>
      </w:r>
      <w:r w:rsidR="00E91A53" w:rsidRPr="008433EB">
        <w:t>CP</w:t>
      </w:r>
      <w:r w:rsidR="00961019" w:rsidRPr="008433EB">
        <w:t>T</w:t>
      </w:r>
      <w:r w:rsidR="00E91A53" w:rsidRPr="008433EB">
        <w:t>TP</w:t>
      </w:r>
      <w:r w:rsidRPr="008433EB">
        <w:t>, including a comparison between the value of exports in 201</w:t>
      </w:r>
      <w:r w:rsidR="000B1037">
        <w:t>8</w:t>
      </w:r>
      <w:r w:rsidRPr="008433EB">
        <w:t xml:space="preserve"> (before </w:t>
      </w:r>
      <w:r w:rsidR="003F4BE0" w:rsidRPr="008433EB">
        <w:t>CPTPP</w:t>
      </w:r>
      <w:r w:rsidRPr="008433EB">
        <w:t xml:space="preserve"> ent</w:t>
      </w:r>
      <w:r w:rsidR="00765B53">
        <w:t>ered</w:t>
      </w:r>
      <w:r w:rsidR="004F36AE">
        <w:t xml:space="preserve"> </w:t>
      </w:r>
      <w:r w:rsidR="00DD63B2">
        <w:t>i</w:t>
      </w:r>
      <w:r w:rsidRPr="008433EB">
        <w:t>nto force) and 20</w:t>
      </w:r>
      <w:r w:rsidR="00E91A53" w:rsidRPr="008433EB">
        <w:t>2</w:t>
      </w:r>
      <w:r w:rsidR="000B1037">
        <w:t>3.</w:t>
      </w:r>
      <w:r w:rsidRPr="00053C51">
        <w:rPr>
          <w:vertAlign w:val="superscript"/>
        </w:rPr>
        <w:t xml:space="preserve"> </w:t>
      </w:r>
      <w:r w:rsidRPr="008433EB">
        <w:t xml:space="preserve"> </w:t>
      </w:r>
    </w:p>
    <w:p w14:paraId="0007B485" w14:textId="3EB0BE2D" w:rsidR="00937FD4" w:rsidRPr="00AA02B2" w:rsidRDefault="00DA22F5" w:rsidP="00AA02B2">
      <w:pPr>
        <w:rPr>
          <w:rFonts w:eastAsia="Times New Roman" w:cstheme="minorHAnsi"/>
          <w:sz w:val="24"/>
          <w:szCs w:val="24"/>
          <w:lang w:eastAsia="en-AU"/>
        </w:rPr>
      </w:pPr>
      <w:r>
        <w:br w:type="page"/>
      </w:r>
    </w:p>
    <w:tbl>
      <w:tblPr>
        <w:tblStyle w:val="TableGrid"/>
        <w:tblW w:w="0" w:type="auto"/>
        <w:tblLook w:val="04A0" w:firstRow="1" w:lastRow="0" w:firstColumn="1" w:lastColumn="0" w:noHBand="0" w:noVBand="1"/>
        <w:tblDescription w:val="This table summarises the key agricultural market access outcomes for Australia."/>
      </w:tblPr>
      <w:tblGrid>
        <w:gridCol w:w="1531"/>
        <w:gridCol w:w="7495"/>
      </w:tblGrid>
      <w:tr w:rsidR="00AA02B2" w:rsidRPr="00932FEA" w14:paraId="25C40942" w14:textId="77777777" w:rsidTr="00AA02B2">
        <w:trPr>
          <w:cantSplit/>
          <w:trHeight w:val="248"/>
        </w:trPr>
        <w:tc>
          <w:tcPr>
            <w:tcW w:w="0" w:type="auto"/>
            <w:gridSpan w:val="2"/>
            <w:tcBorders>
              <w:top w:val="nil"/>
              <w:left w:val="nil"/>
              <w:right w:val="nil"/>
            </w:tcBorders>
          </w:tcPr>
          <w:p w14:paraId="7BB339F9" w14:textId="15ECDD7E" w:rsidR="00AA02B2" w:rsidRPr="00932FEA" w:rsidRDefault="00AA02B2" w:rsidP="00AA02B2">
            <w:pPr>
              <w:pStyle w:val="Body"/>
              <w:keepNext/>
              <w:suppressAutoHyphens/>
              <w:rPr>
                <w:rFonts w:asciiTheme="minorHAnsi" w:hAnsiTheme="minorHAnsi" w:cstheme="minorHAnsi"/>
                <w:b/>
                <w:bCs/>
                <w:color w:val="auto"/>
                <w:u w:color="414042"/>
                <w:lang w:val="en-AU"/>
              </w:rPr>
            </w:pPr>
            <w:r w:rsidRPr="00AA02B2">
              <w:rPr>
                <w:rFonts w:asciiTheme="minorHAnsi" w:hAnsiTheme="minorHAnsi" w:cstheme="minorHAnsi"/>
                <w:b/>
                <w:bCs/>
                <w:i/>
                <w:iCs/>
                <w:color w:val="auto"/>
                <w:u w:color="414042"/>
                <w:lang w:val="en-AU"/>
              </w:rPr>
              <w:lastRenderedPageBreak/>
              <w:t>Table 5: Key agricultural market access outcomes for Australia</w:t>
            </w:r>
          </w:p>
        </w:tc>
      </w:tr>
      <w:tr w:rsidR="00937FD4" w:rsidRPr="00932FEA" w14:paraId="1AF5A982" w14:textId="77777777" w:rsidTr="00AA02B2">
        <w:trPr>
          <w:cantSplit/>
          <w:trHeight w:val="248"/>
        </w:trPr>
        <w:tc>
          <w:tcPr>
            <w:tcW w:w="0" w:type="auto"/>
            <w:shd w:val="clear" w:color="auto" w:fill="E7E6E6" w:themeFill="background2"/>
          </w:tcPr>
          <w:p w14:paraId="42A505A4" w14:textId="77777777" w:rsidR="00937FD4" w:rsidRPr="00932FEA" w:rsidRDefault="00937FD4" w:rsidP="00AA02B2">
            <w:pPr>
              <w:pStyle w:val="Body"/>
              <w:keepNext/>
              <w:suppressAutoHyphens/>
              <w:jc w:val="center"/>
              <w:rPr>
                <w:rFonts w:asciiTheme="minorHAnsi" w:hAnsiTheme="minorHAnsi" w:cstheme="minorHAnsi"/>
                <w:color w:val="auto"/>
                <w:lang w:val="en-AU"/>
              </w:rPr>
            </w:pPr>
            <w:r w:rsidRPr="00932FEA">
              <w:rPr>
                <w:rFonts w:asciiTheme="minorHAnsi" w:hAnsiTheme="minorHAnsi" w:cstheme="minorHAnsi"/>
                <w:b/>
                <w:bCs/>
                <w:color w:val="auto"/>
                <w:u w:color="414042"/>
                <w:lang w:val="en-AU"/>
              </w:rPr>
              <w:t>Sector</w:t>
            </w:r>
          </w:p>
        </w:tc>
        <w:tc>
          <w:tcPr>
            <w:tcW w:w="0" w:type="auto"/>
            <w:shd w:val="clear" w:color="auto" w:fill="E7E6E6" w:themeFill="background2"/>
          </w:tcPr>
          <w:p w14:paraId="4FD64EAD" w14:textId="77777777" w:rsidR="00937FD4" w:rsidRPr="00932FEA" w:rsidRDefault="00937FD4" w:rsidP="00AA02B2">
            <w:pPr>
              <w:pStyle w:val="Body"/>
              <w:keepNext/>
              <w:suppressAutoHyphens/>
              <w:jc w:val="center"/>
              <w:rPr>
                <w:rFonts w:asciiTheme="minorHAnsi" w:hAnsiTheme="minorHAnsi" w:cstheme="minorHAnsi"/>
                <w:color w:val="auto"/>
                <w:lang w:val="en-AU"/>
              </w:rPr>
            </w:pPr>
            <w:r w:rsidRPr="00932FEA">
              <w:rPr>
                <w:rFonts w:asciiTheme="minorHAnsi" w:hAnsiTheme="minorHAnsi" w:cstheme="minorHAnsi"/>
                <w:b/>
                <w:bCs/>
                <w:color w:val="auto"/>
                <w:u w:color="414042"/>
                <w:lang w:val="en-AU"/>
              </w:rPr>
              <w:t>Summary Outcomes</w:t>
            </w:r>
          </w:p>
        </w:tc>
      </w:tr>
      <w:tr w:rsidR="00937FD4" w:rsidRPr="00932FEA" w14:paraId="6074A3CD" w14:textId="77777777" w:rsidTr="00AA02B2">
        <w:trPr>
          <w:cantSplit/>
          <w:trHeight w:val="5996"/>
        </w:trPr>
        <w:tc>
          <w:tcPr>
            <w:tcW w:w="0" w:type="auto"/>
          </w:tcPr>
          <w:p w14:paraId="55B0789F" w14:textId="77777777" w:rsidR="00937FD4" w:rsidRPr="00932FEA" w:rsidRDefault="00937FD4" w:rsidP="00AA02B2">
            <w:pPr>
              <w:pStyle w:val="Body"/>
              <w:keepNext/>
              <w:suppressAutoHyphens/>
              <w:spacing w:after="200"/>
              <w:rPr>
                <w:rFonts w:asciiTheme="minorHAnsi" w:hAnsiTheme="minorHAnsi" w:cstheme="minorHAnsi"/>
                <w:color w:val="auto"/>
                <w:lang w:val="en-AU"/>
              </w:rPr>
            </w:pPr>
            <w:r w:rsidRPr="00932FEA">
              <w:rPr>
                <w:rFonts w:asciiTheme="minorHAnsi" w:hAnsiTheme="minorHAnsi" w:cstheme="minorHAnsi"/>
                <w:b/>
                <w:bCs/>
                <w:color w:val="auto"/>
                <w:u w:color="414042"/>
                <w:lang w:val="en-AU"/>
              </w:rPr>
              <w:t>Beef</w:t>
            </w:r>
          </w:p>
        </w:tc>
        <w:tc>
          <w:tcPr>
            <w:tcW w:w="0" w:type="auto"/>
          </w:tcPr>
          <w:p w14:paraId="0A8200C0" w14:textId="77777777" w:rsidR="00372725" w:rsidRPr="00932FEA" w:rsidRDefault="00937FD4" w:rsidP="00AA02B2">
            <w:pPr>
              <w:pStyle w:val="Body"/>
              <w:keepNext/>
              <w:suppressAutoHyphens/>
              <w:rPr>
                <w:rFonts w:asciiTheme="minorHAnsi" w:hAnsiTheme="minorHAnsi" w:cstheme="minorHAnsi"/>
                <w:color w:val="auto"/>
                <w:lang w:val="en-AU"/>
              </w:rPr>
            </w:pPr>
            <w:r w:rsidRPr="00932FEA">
              <w:rPr>
                <w:rFonts w:asciiTheme="minorHAnsi" w:hAnsiTheme="minorHAnsi" w:cstheme="minorHAnsi"/>
                <w:color w:val="auto"/>
                <w:lang w:val="en-AU"/>
              </w:rPr>
              <w:t xml:space="preserve">Beef </w:t>
            </w:r>
            <w:r w:rsidR="004255E1" w:rsidRPr="00932FEA">
              <w:rPr>
                <w:rFonts w:asciiTheme="minorHAnsi" w:hAnsiTheme="minorHAnsi" w:cstheme="minorHAnsi"/>
                <w:color w:val="auto"/>
                <w:lang w:val="en-AU"/>
              </w:rPr>
              <w:t>exports were</w:t>
            </w:r>
            <w:r w:rsidRPr="00932FEA">
              <w:rPr>
                <w:rFonts w:asciiTheme="minorHAnsi" w:hAnsiTheme="minorHAnsi" w:cstheme="minorHAnsi"/>
                <w:color w:val="auto"/>
                <w:lang w:val="en-AU"/>
              </w:rPr>
              <w:t xml:space="preserve"> worth </w:t>
            </w:r>
            <w:r w:rsidR="00A422D3" w:rsidRPr="00932FEA">
              <w:rPr>
                <w:rFonts w:asciiTheme="minorHAnsi" w:hAnsiTheme="minorHAnsi" w:cstheme="minorHAnsi"/>
                <w:color w:val="auto"/>
                <w:lang w:val="en-AU"/>
              </w:rPr>
              <w:t>$</w:t>
            </w:r>
            <w:r w:rsidR="008437AB" w:rsidRPr="00932FEA">
              <w:rPr>
                <w:rFonts w:asciiTheme="minorHAnsi" w:hAnsiTheme="minorHAnsi" w:cstheme="minorHAnsi"/>
                <w:color w:val="auto"/>
                <w:lang w:val="en-AU"/>
              </w:rPr>
              <w:t>11.5</w:t>
            </w:r>
            <w:r w:rsidRPr="00932FEA">
              <w:rPr>
                <w:rFonts w:asciiTheme="minorHAnsi" w:hAnsiTheme="minorHAnsi" w:cstheme="minorHAnsi"/>
                <w:color w:val="auto"/>
                <w:lang w:val="en-AU"/>
              </w:rPr>
              <w:t xml:space="preserve"> billion in 20</w:t>
            </w:r>
            <w:r w:rsidR="008437AB" w:rsidRPr="00932FEA">
              <w:rPr>
                <w:rFonts w:asciiTheme="minorHAnsi" w:hAnsiTheme="minorHAnsi" w:cstheme="minorHAnsi"/>
                <w:color w:val="auto"/>
                <w:lang w:val="en-AU"/>
              </w:rPr>
              <w:t>23</w:t>
            </w:r>
            <w:r w:rsidR="00B44C05" w:rsidRPr="00932FEA">
              <w:rPr>
                <w:rFonts w:asciiTheme="minorHAnsi" w:hAnsiTheme="minorHAnsi" w:cstheme="minorHAnsi"/>
                <w:color w:val="auto"/>
                <w:lang w:val="en-AU"/>
              </w:rPr>
              <w:t xml:space="preserve">, up from </w:t>
            </w:r>
            <w:r w:rsidR="00A422D3" w:rsidRPr="00932FEA">
              <w:rPr>
                <w:rFonts w:asciiTheme="minorHAnsi" w:hAnsiTheme="minorHAnsi" w:cstheme="minorHAnsi"/>
                <w:color w:val="auto"/>
                <w:lang w:val="en-AU"/>
              </w:rPr>
              <w:t>$</w:t>
            </w:r>
            <w:r w:rsidR="00B44C05" w:rsidRPr="00932FEA">
              <w:rPr>
                <w:rFonts w:asciiTheme="minorHAnsi" w:hAnsiTheme="minorHAnsi" w:cstheme="minorHAnsi"/>
                <w:color w:val="auto"/>
                <w:lang w:val="en-AU"/>
              </w:rPr>
              <w:t>8.7 billion in 201</w:t>
            </w:r>
            <w:r w:rsidR="004255E1" w:rsidRPr="00932FEA">
              <w:rPr>
                <w:rFonts w:asciiTheme="minorHAnsi" w:hAnsiTheme="minorHAnsi" w:cstheme="minorHAnsi"/>
                <w:color w:val="auto"/>
                <w:lang w:val="en-AU"/>
              </w:rPr>
              <w:t>8</w:t>
            </w:r>
            <w:r w:rsidRPr="00932FEA">
              <w:rPr>
                <w:rFonts w:asciiTheme="minorHAnsi" w:hAnsiTheme="minorHAnsi" w:cstheme="minorHAnsi"/>
                <w:color w:val="auto"/>
                <w:lang w:val="en-AU"/>
              </w:rPr>
              <w:t>.</w:t>
            </w:r>
            <w:r w:rsidR="007F4E40" w:rsidRPr="00932FEA">
              <w:rPr>
                <w:rFonts w:asciiTheme="minorHAnsi" w:hAnsiTheme="minorHAnsi" w:cstheme="minorHAnsi"/>
                <w:color w:val="auto"/>
                <w:lang w:val="en-AU"/>
              </w:rPr>
              <w:t xml:space="preserve"> In 2023, 20 per cent of Australia’s beef exports</w:t>
            </w:r>
            <w:r w:rsidR="00DE5278" w:rsidRPr="00932FEA">
              <w:rPr>
                <w:rFonts w:asciiTheme="minorHAnsi" w:hAnsiTheme="minorHAnsi" w:cstheme="minorHAnsi"/>
                <w:color w:val="auto"/>
                <w:lang w:val="en-AU"/>
              </w:rPr>
              <w:t xml:space="preserve"> went</w:t>
            </w:r>
            <w:r w:rsidR="007F4E40" w:rsidRPr="00932FEA">
              <w:rPr>
                <w:rFonts w:asciiTheme="minorHAnsi" w:hAnsiTheme="minorHAnsi" w:cstheme="minorHAnsi"/>
                <w:color w:val="auto"/>
                <w:lang w:val="en-AU"/>
              </w:rPr>
              <w:t xml:space="preserve"> to CPTPP markets, worth </w:t>
            </w:r>
            <w:r w:rsidR="00A422D3" w:rsidRPr="00932FEA">
              <w:rPr>
                <w:rFonts w:asciiTheme="minorHAnsi" w:hAnsiTheme="minorHAnsi" w:cstheme="minorHAnsi"/>
                <w:color w:val="auto"/>
                <w:lang w:val="en-AU"/>
              </w:rPr>
              <w:t>$</w:t>
            </w:r>
            <w:r w:rsidR="007F4E40" w:rsidRPr="00932FEA">
              <w:rPr>
                <w:rFonts w:asciiTheme="minorHAnsi" w:hAnsiTheme="minorHAnsi" w:cstheme="minorHAnsi"/>
                <w:color w:val="auto"/>
                <w:lang w:val="en-AU"/>
              </w:rPr>
              <w:t xml:space="preserve">2.5 billion. </w:t>
            </w:r>
          </w:p>
          <w:p w14:paraId="5914FB6D" w14:textId="77777777" w:rsidR="00372725" w:rsidRPr="00932FEA" w:rsidRDefault="00372725" w:rsidP="00AA02B2">
            <w:pPr>
              <w:pStyle w:val="Body"/>
              <w:keepNext/>
              <w:suppressAutoHyphens/>
              <w:rPr>
                <w:rFonts w:asciiTheme="minorHAnsi" w:hAnsiTheme="minorHAnsi" w:cstheme="minorHAnsi"/>
                <w:color w:val="auto"/>
                <w:lang w:val="en-AU"/>
              </w:rPr>
            </w:pPr>
          </w:p>
          <w:p w14:paraId="6E104FCA" w14:textId="38636B37" w:rsidR="00937FD4" w:rsidRPr="00932FEA" w:rsidRDefault="008437AB" w:rsidP="00AA02B2">
            <w:pPr>
              <w:pStyle w:val="Body"/>
              <w:keepNext/>
              <w:suppressAutoHyphens/>
              <w:rPr>
                <w:rFonts w:asciiTheme="minorHAnsi" w:eastAsia="Arial" w:hAnsiTheme="minorHAnsi" w:cstheme="minorHAnsi"/>
                <w:color w:val="auto"/>
              </w:rPr>
            </w:pPr>
            <w:r w:rsidRPr="00932FEA">
              <w:rPr>
                <w:rFonts w:asciiTheme="minorHAnsi" w:hAnsiTheme="minorHAnsi" w:cstheme="minorHAnsi"/>
                <w:color w:val="auto"/>
                <w:lang w:val="en-AU"/>
              </w:rPr>
              <w:t>CPTPP</w:t>
            </w:r>
            <w:r w:rsidR="00937FD4" w:rsidRPr="00932FEA">
              <w:rPr>
                <w:rFonts w:asciiTheme="minorHAnsi" w:hAnsiTheme="minorHAnsi" w:cstheme="minorHAnsi"/>
                <w:color w:val="auto"/>
                <w:lang w:val="en-AU"/>
              </w:rPr>
              <w:t xml:space="preserve"> market access outcomes for Australian beef producers and exporters include:</w:t>
            </w:r>
          </w:p>
          <w:p w14:paraId="02D1E508" w14:textId="6C58543E" w:rsidR="00937FD4" w:rsidRPr="00932FEA" w:rsidRDefault="00937FD4" w:rsidP="000920EB">
            <w:pPr>
              <w:pStyle w:val="ListParagraph"/>
              <w:keepNext/>
              <w:numPr>
                <w:ilvl w:val="0"/>
                <w:numId w:val="9"/>
              </w:numPr>
              <w:pBdr>
                <w:top w:val="nil"/>
                <w:left w:val="nil"/>
                <w:bottom w:val="nil"/>
                <w:right w:val="nil"/>
                <w:between w:val="nil"/>
                <w:bar w:val="nil"/>
              </w:pBdr>
              <w:suppressAutoHyphens/>
              <w:spacing w:before="0" w:after="0"/>
              <w:rPr>
                <w:u w:color="414042"/>
              </w:rPr>
            </w:pPr>
            <w:r w:rsidRPr="00932FEA">
              <w:rPr>
                <w:u w:color="414042"/>
              </w:rPr>
              <w:t xml:space="preserve">Japan’s beef tariffs will be reduced to 9 per cent within 15 years of entry into force of </w:t>
            </w:r>
            <w:r w:rsidR="00E567F7" w:rsidRPr="00932FEA">
              <w:rPr>
                <w:u w:color="414042"/>
              </w:rPr>
              <w:t>CPTPP</w:t>
            </w:r>
            <w:r w:rsidRPr="00932FEA">
              <w:rPr>
                <w:u w:color="414042"/>
              </w:rPr>
              <w:t xml:space="preserve">. Australian fresh, chilled and frozen beef exports to Japan were valued at </w:t>
            </w:r>
            <w:r w:rsidR="00A422D3" w:rsidRPr="00932FEA">
              <w:rPr>
                <w:u w:color="414042"/>
              </w:rPr>
              <w:t>$</w:t>
            </w:r>
            <w:r w:rsidR="008437AB" w:rsidRPr="00932FEA">
              <w:rPr>
                <w:u w:color="414042"/>
              </w:rPr>
              <w:t>1.8</w:t>
            </w:r>
            <w:r w:rsidRPr="00932FEA">
              <w:rPr>
                <w:u w:color="414042"/>
              </w:rPr>
              <w:t xml:space="preserve"> billion in </w:t>
            </w:r>
            <w:proofErr w:type="gramStart"/>
            <w:r w:rsidRPr="00932FEA">
              <w:rPr>
                <w:u w:color="414042"/>
              </w:rPr>
              <w:t>20</w:t>
            </w:r>
            <w:r w:rsidR="008437AB" w:rsidRPr="00932FEA">
              <w:rPr>
                <w:u w:color="414042"/>
              </w:rPr>
              <w:t>23</w:t>
            </w:r>
            <w:r w:rsidRPr="00932FEA">
              <w:rPr>
                <w:u w:color="414042"/>
              </w:rPr>
              <w:t>;</w:t>
            </w:r>
            <w:proofErr w:type="gramEnd"/>
            <w:r w:rsidRPr="00932FEA">
              <w:rPr>
                <w:u w:color="414042"/>
              </w:rPr>
              <w:t xml:space="preserve">  </w:t>
            </w:r>
          </w:p>
          <w:p w14:paraId="494C2611" w14:textId="0D096689" w:rsidR="00937FD4" w:rsidRPr="00932FEA" w:rsidRDefault="00937FD4" w:rsidP="000920EB">
            <w:pPr>
              <w:pStyle w:val="ListParagraph"/>
              <w:keepNext/>
              <w:numPr>
                <w:ilvl w:val="0"/>
                <w:numId w:val="9"/>
              </w:numPr>
              <w:pBdr>
                <w:top w:val="nil"/>
                <w:left w:val="nil"/>
                <w:bottom w:val="nil"/>
                <w:right w:val="nil"/>
                <w:between w:val="nil"/>
                <w:bar w:val="nil"/>
              </w:pBdr>
              <w:suppressAutoHyphens/>
              <w:spacing w:before="0" w:after="0"/>
              <w:rPr>
                <w:u w:color="414042"/>
              </w:rPr>
            </w:pPr>
            <w:proofErr w:type="gramStart"/>
            <w:r w:rsidRPr="00932FEA">
              <w:rPr>
                <w:u w:color="414042"/>
              </w:rPr>
              <w:t>The majority of</w:t>
            </w:r>
            <w:proofErr w:type="gramEnd"/>
            <w:r w:rsidRPr="00932FEA">
              <w:rPr>
                <w:u w:color="414042"/>
              </w:rPr>
              <w:t xml:space="preserve"> Japan’s tariffs on offal will be eliminated over 10 to 15 years </w:t>
            </w:r>
            <w:r w:rsidR="004A6EEE" w:rsidRPr="00932FEA">
              <w:rPr>
                <w:u w:color="414042"/>
              </w:rPr>
              <w:t>from</w:t>
            </w:r>
            <w:r w:rsidRPr="00932FEA">
              <w:rPr>
                <w:u w:color="414042"/>
              </w:rPr>
              <w:t xml:space="preserve"> entry into force of </w:t>
            </w:r>
            <w:r w:rsidR="00E567F7" w:rsidRPr="00932FEA">
              <w:rPr>
                <w:u w:color="414042"/>
              </w:rPr>
              <w:t>CPTPP</w:t>
            </w:r>
            <w:r w:rsidRPr="00932FEA">
              <w:rPr>
                <w:u w:color="414042"/>
              </w:rPr>
              <w:t>, and tariffs on cheek and head meat</w:t>
            </w:r>
            <w:r w:rsidR="004A6EEE" w:rsidRPr="00932FEA">
              <w:rPr>
                <w:u w:color="414042"/>
              </w:rPr>
              <w:t xml:space="preserve"> will</w:t>
            </w:r>
            <w:r w:rsidRPr="00932FEA">
              <w:rPr>
                <w:u w:color="414042"/>
              </w:rPr>
              <w:t xml:space="preserve"> significantly reduce to 9 per cent within 15 years of entry into force of </w:t>
            </w:r>
            <w:r w:rsidR="00E567F7" w:rsidRPr="00932FEA">
              <w:rPr>
                <w:u w:color="414042"/>
              </w:rPr>
              <w:t>CPTPP</w:t>
            </w:r>
            <w:r w:rsidRPr="00932FEA">
              <w:rPr>
                <w:u w:color="414042"/>
              </w:rPr>
              <w:t xml:space="preserve">.  Australian offal exports to Japan were valued at </w:t>
            </w:r>
            <w:r w:rsidR="00A422D3" w:rsidRPr="00932FEA">
              <w:rPr>
                <w:u w:color="414042"/>
              </w:rPr>
              <w:t>$</w:t>
            </w:r>
            <w:r w:rsidR="004A6EEE" w:rsidRPr="00932FEA">
              <w:rPr>
                <w:u w:color="414042"/>
              </w:rPr>
              <w:t>300</w:t>
            </w:r>
            <w:r w:rsidRPr="00932FEA">
              <w:rPr>
                <w:u w:color="414042"/>
              </w:rPr>
              <w:t xml:space="preserve"> million in </w:t>
            </w:r>
            <w:proofErr w:type="gramStart"/>
            <w:r w:rsidR="004A6EEE" w:rsidRPr="00932FEA">
              <w:rPr>
                <w:u w:color="414042"/>
              </w:rPr>
              <w:t>2023</w:t>
            </w:r>
            <w:r w:rsidRPr="00932FEA">
              <w:rPr>
                <w:u w:color="414042"/>
              </w:rPr>
              <w:t>;</w:t>
            </w:r>
            <w:proofErr w:type="gramEnd"/>
          </w:p>
          <w:p w14:paraId="095D42EE" w14:textId="75B85A4D" w:rsidR="00937FD4" w:rsidRPr="00932FEA" w:rsidRDefault="00937FD4" w:rsidP="000920EB">
            <w:pPr>
              <w:pStyle w:val="ListParagraph"/>
              <w:keepNext/>
              <w:numPr>
                <w:ilvl w:val="0"/>
                <w:numId w:val="9"/>
              </w:numPr>
              <w:pBdr>
                <w:top w:val="nil"/>
                <w:left w:val="nil"/>
                <w:bottom w:val="nil"/>
                <w:right w:val="nil"/>
                <w:between w:val="nil"/>
                <w:bar w:val="nil"/>
              </w:pBdr>
              <w:suppressAutoHyphens/>
              <w:spacing w:before="0" w:after="0"/>
              <w:rPr>
                <w:u w:color="414042"/>
              </w:rPr>
            </w:pPr>
            <w:r w:rsidRPr="00932FEA">
              <w:rPr>
                <w:u w:color="414042"/>
              </w:rPr>
              <w:t xml:space="preserve">Elimination of Japanese tariffs on processed meat products within 15 years of entry into force of </w:t>
            </w:r>
            <w:r w:rsidR="00E567F7" w:rsidRPr="00932FEA">
              <w:rPr>
                <w:u w:color="414042"/>
              </w:rPr>
              <w:t>CPTPP</w:t>
            </w:r>
            <w:r w:rsidRPr="00932FEA">
              <w:rPr>
                <w:u w:color="414042"/>
              </w:rPr>
              <w:t xml:space="preserve">.  Australian exports of these products to Japan were valued at </w:t>
            </w:r>
            <w:r w:rsidR="00A422D3" w:rsidRPr="00932FEA">
              <w:rPr>
                <w:u w:color="414042"/>
              </w:rPr>
              <w:t>$</w:t>
            </w:r>
            <w:r w:rsidR="00EA77BB" w:rsidRPr="00932FEA">
              <w:rPr>
                <w:u w:color="414042"/>
              </w:rPr>
              <w:t>41.9</w:t>
            </w:r>
            <w:r w:rsidRPr="00932FEA">
              <w:rPr>
                <w:u w:color="414042"/>
              </w:rPr>
              <w:t xml:space="preserve"> million in </w:t>
            </w:r>
            <w:proofErr w:type="gramStart"/>
            <w:r w:rsidR="00EA77BB" w:rsidRPr="00932FEA">
              <w:rPr>
                <w:u w:color="414042"/>
              </w:rPr>
              <w:t>2023</w:t>
            </w:r>
            <w:r w:rsidRPr="00932FEA">
              <w:rPr>
                <w:u w:color="414042"/>
              </w:rPr>
              <w:t>;</w:t>
            </w:r>
            <w:proofErr w:type="gramEnd"/>
            <w:r w:rsidRPr="00932FEA">
              <w:rPr>
                <w:u w:color="414042"/>
              </w:rPr>
              <w:t xml:space="preserve"> </w:t>
            </w:r>
          </w:p>
          <w:p w14:paraId="59DD6C64" w14:textId="07836C81" w:rsidR="00937FD4" w:rsidRPr="00932FEA" w:rsidRDefault="00937FD4" w:rsidP="000920EB">
            <w:pPr>
              <w:pStyle w:val="ListParagraph"/>
              <w:keepNext/>
              <w:numPr>
                <w:ilvl w:val="0"/>
                <w:numId w:val="9"/>
              </w:numPr>
              <w:pBdr>
                <w:top w:val="nil"/>
                <w:left w:val="nil"/>
                <w:bottom w:val="nil"/>
                <w:right w:val="nil"/>
                <w:between w:val="nil"/>
                <w:bar w:val="nil"/>
              </w:pBdr>
              <w:suppressAutoHyphens/>
              <w:spacing w:before="0" w:after="0"/>
              <w:rPr>
                <w:u w:color="414042"/>
              </w:rPr>
            </w:pPr>
            <w:r w:rsidRPr="00932FEA">
              <w:rPr>
                <w:u w:color="414042"/>
              </w:rPr>
              <w:t>Elimination of Canadian beef tariffs (</w:t>
            </w:r>
            <w:r w:rsidR="00EA77BB" w:rsidRPr="00932FEA">
              <w:rPr>
                <w:u w:color="414042"/>
              </w:rPr>
              <w:t xml:space="preserve">previously </w:t>
            </w:r>
            <w:r w:rsidRPr="00932FEA">
              <w:rPr>
                <w:u w:color="414042"/>
              </w:rPr>
              <w:t xml:space="preserve">26.5 per cent) within five years of entry into force of </w:t>
            </w:r>
            <w:r w:rsidR="00E567F7" w:rsidRPr="00932FEA">
              <w:rPr>
                <w:u w:color="414042"/>
              </w:rPr>
              <w:t>CPTPP</w:t>
            </w:r>
            <w:r w:rsidRPr="00932FEA">
              <w:rPr>
                <w:u w:color="414042"/>
              </w:rPr>
              <w:t xml:space="preserve">.  Australian beef exports to Canada were valued at more than </w:t>
            </w:r>
            <w:r w:rsidR="00A422D3" w:rsidRPr="00932FEA">
              <w:rPr>
                <w:u w:color="414042"/>
              </w:rPr>
              <w:t>$</w:t>
            </w:r>
            <w:r w:rsidR="00180755" w:rsidRPr="00932FEA">
              <w:rPr>
                <w:u w:color="414042"/>
              </w:rPr>
              <w:t>200</w:t>
            </w:r>
            <w:r w:rsidRPr="00932FEA">
              <w:rPr>
                <w:u w:color="414042"/>
              </w:rPr>
              <w:t xml:space="preserve"> million in </w:t>
            </w:r>
            <w:proofErr w:type="gramStart"/>
            <w:r w:rsidR="00180755" w:rsidRPr="00932FEA">
              <w:rPr>
                <w:u w:color="414042"/>
              </w:rPr>
              <w:t>2023</w:t>
            </w:r>
            <w:r w:rsidRPr="00932FEA">
              <w:rPr>
                <w:u w:color="414042"/>
              </w:rPr>
              <w:t>;</w:t>
            </w:r>
            <w:proofErr w:type="gramEnd"/>
          </w:p>
          <w:p w14:paraId="1381340C" w14:textId="3620C311" w:rsidR="00931903" w:rsidRPr="00932FEA" w:rsidRDefault="00931903" w:rsidP="000920EB">
            <w:pPr>
              <w:pStyle w:val="ListParagraph"/>
              <w:keepNext/>
              <w:numPr>
                <w:ilvl w:val="0"/>
                <w:numId w:val="9"/>
              </w:numPr>
              <w:pBdr>
                <w:top w:val="nil"/>
                <w:left w:val="nil"/>
                <w:bottom w:val="nil"/>
                <w:right w:val="nil"/>
                <w:between w:val="nil"/>
                <w:bar w:val="nil"/>
              </w:pBdr>
              <w:suppressAutoHyphens/>
              <w:spacing w:before="0" w:after="0"/>
              <w:rPr>
                <w:u w:color="414042"/>
              </w:rPr>
            </w:pPr>
            <w:r w:rsidRPr="00932FEA">
              <w:rPr>
                <w:u w:color="414042"/>
              </w:rPr>
              <w:t xml:space="preserve">Elimination of all Mexican tariffs on beef carcasses and cuts (previously up to 25 per cent) within 10 years of entry into force of </w:t>
            </w:r>
            <w:r w:rsidR="00E567F7" w:rsidRPr="00932FEA">
              <w:rPr>
                <w:u w:color="414042"/>
              </w:rPr>
              <w:t>CPTPP</w:t>
            </w:r>
            <w:r w:rsidRPr="00932FEA">
              <w:rPr>
                <w:u w:color="414042"/>
              </w:rPr>
              <w:t xml:space="preserve">. Australian exports of this product were valued at </w:t>
            </w:r>
            <w:r w:rsidR="00A422D3" w:rsidRPr="00932FEA">
              <w:rPr>
                <w:u w:color="414042"/>
              </w:rPr>
              <w:t>$</w:t>
            </w:r>
            <w:r w:rsidRPr="00932FEA">
              <w:rPr>
                <w:u w:color="414042"/>
              </w:rPr>
              <w:t xml:space="preserve">15.5 million in 2023; and </w:t>
            </w:r>
          </w:p>
          <w:p w14:paraId="33B1B477" w14:textId="3C6D2433" w:rsidR="00937FD4" w:rsidRPr="00932FEA" w:rsidRDefault="00931903" w:rsidP="000920EB">
            <w:pPr>
              <w:pStyle w:val="ListParagraph"/>
              <w:keepNext/>
              <w:numPr>
                <w:ilvl w:val="0"/>
                <w:numId w:val="9"/>
              </w:numPr>
              <w:pBdr>
                <w:top w:val="nil"/>
                <w:left w:val="nil"/>
                <w:bottom w:val="nil"/>
                <w:right w:val="nil"/>
                <w:between w:val="nil"/>
                <w:bar w:val="nil"/>
              </w:pBdr>
              <w:suppressAutoHyphens/>
              <w:spacing w:before="0" w:after="0"/>
              <w:rPr>
                <w:u w:color="414042"/>
              </w:rPr>
            </w:pPr>
            <w:r w:rsidRPr="00932FEA">
              <w:rPr>
                <w:u w:color="414042"/>
              </w:rPr>
              <w:t xml:space="preserve">Elimination of Mexico’s tariff (previously 20 per cent) on “other offal” (used for taco meat) from entry into force of </w:t>
            </w:r>
            <w:r w:rsidR="00E567F7" w:rsidRPr="00932FEA">
              <w:rPr>
                <w:u w:color="414042"/>
              </w:rPr>
              <w:t>CPTPP</w:t>
            </w:r>
            <w:r w:rsidRPr="00932FEA">
              <w:rPr>
                <w:u w:color="414042"/>
              </w:rPr>
              <w:t xml:space="preserve">. Australian exports of this product were valued at around </w:t>
            </w:r>
            <w:r w:rsidR="00A422D3" w:rsidRPr="00932FEA">
              <w:rPr>
                <w:u w:color="414042"/>
              </w:rPr>
              <w:t>$</w:t>
            </w:r>
            <w:r w:rsidRPr="00932FEA">
              <w:rPr>
                <w:u w:color="414042"/>
              </w:rPr>
              <w:t>9.7 million in 2023.</w:t>
            </w:r>
          </w:p>
        </w:tc>
      </w:tr>
      <w:tr w:rsidR="00937FD4" w:rsidRPr="00932FEA" w14:paraId="702366A6" w14:textId="77777777" w:rsidTr="00AA02B2">
        <w:trPr>
          <w:cantSplit/>
          <w:trHeight w:val="2721"/>
        </w:trPr>
        <w:tc>
          <w:tcPr>
            <w:tcW w:w="0" w:type="auto"/>
          </w:tcPr>
          <w:p w14:paraId="13F05560" w14:textId="77777777" w:rsidR="00937FD4" w:rsidRPr="00932FEA" w:rsidRDefault="00937FD4" w:rsidP="00AA02B2">
            <w:pPr>
              <w:pStyle w:val="Body"/>
              <w:keepNext/>
              <w:widowControl w:val="0"/>
              <w:suppressAutoHyphens/>
              <w:spacing w:after="200"/>
              <w:rPr>
                <w:rFonts w:asciiTheme="minorHAnsi" w:hAnsiTheme="minorHAnsi" w:cstheme="minorHAnsi"/>
                <w:color w:val="auto"/>
                <w:lang w:val="en-AU"/>
              </w:rPr>
            </w:pPr>
            <w:proofErr w:type="spellStart"/>
            <w:r w:rsidRPr="00932FEA">
              <w:rPr>
                <w:rFonts w:asciiTheme="minorHAnsi" w:hAnsiTheme="minorHAnsi" w:cstheme="minorHAnsi"/>
                <w:b/>
                <w:bCs/>
                <w:color w:val="auto"/>
                <w:u w:color="414042"/>
                <w:lang w:val="en-AU"/>
              </w:rPr>
              <w:t>Sheepmeat</w:t>
            </w:r>
            <w:proofErr w:type="spellEnd"/>
          </w:p>
        </w:tc>
        <w:tc>
          <w:tcPr>
            <w:tcW w:w="0" w:type="auto"/>
          </w:tcPr>
          <w:p w14:paraId="61597F23" w14:textId="0708F46B" w:rsidR="002F19E7" w:rsidRPr="00932FEA" w:rsidRDefault="002F19E7" w:rsidP="00AA02B2">
            <w:pPr>
              <w:pStyle w:val="Body"/>
              <w:keepNext/>
              <w:widowControl w:val="0"/>
              <w:suppressAutoHyphens/>
              <w:rPr>
                <w:rFonts w:asciiTheme="minorHAnsi" w:hAnsiTheme="minorHAnsi" w:cstheme="minorHAnsi"/>
                <w:color w:val="auto"/>
                <w:u w:color="414042"/>
                <w:lang w:val="en-AU"/>
              </w:rPr>
            </w:pPr>
            <w:r w:rsidRPr="00932FEA">
              <w:rPr>
                <w:rFonts w:asciiTheme="minorHAnsi" w:hAnsiTheme="minorHAnsi" w:cstheme="minorHAnsi"/>
                <w:color w:val="auto"/>
                <w:u w:color="414042"/>
                <w:lang w:val="en-AU"/>
              </w:rPr>
              <w:t xml:space="preserve">Australia exported around $629 million of lamb and mutton to </w:t>
            </w:r>
            <w:r w:rsidRPr="00932FEA">
              <w:rPr>
                <w:rFonts w:asciiTheme="minorHAnsi" w:hAnsiTheme="minorHAnsi" w:cstheme="minorHAnsi"/>
                <w:color w:val="auto"/>
                <w:u w:color="414042"/>
                <w:lang w:val="en-AU"/>
              </w:rPr>
              <w:br/>
              <w:t xml:space="preserve">CPTPP markets, representing 14 per cent of all </w:t>
            </w:r>
            <w:proofErr w:type="spellStart"/>
            <w:r w:rsidRPr="00932FEA">
              <w:rPr>
                <w:rFonts w:asciiTheme="minorHAnsi" w:hAnsiTheme="minorHAnsi" w:cstheme="minorHAnsi"/>
                <w:color w:val="auto"/>
                <w:u w:color="414042"/>
                <w:lang w:val="en-AU"/>
              </w:rPr>
              <w:t>sheepmeat</w:t>
            </w:r>
            <w:proofErr w:type="spellEnd"/>
            <w:r w:rsidRPr="00932FEA">
              <w:rPr>
                <w:rFonts w:asciiTheme="minorHAnsi" w:hAnsiTheme="minorHAnsi" w:cstheme="minorHAnsi"/>
                <w:color w:val="auto"/>
                <w:u w:color="414042"/>
                <w:lang w:val="en-AU"/>
              </w:rPr>
              <w:t xml:space="preserve"> exports in 2023. </w:t>
            </w:r>
            <w:r w:rsidR="00A01FC7" w:rsidRPr="00932FEA">
              <w:rPr>
                <w:rFonts w:asciiTheme="minorHAnsi" w:hAnsiTheme="minorHAnsi" w:cstheme="minorHAnsi"/>
                <w:color w:val="auto"/>
                <w:u w:color="414042"/>
                <w:lang w:val="en-AU"/>
              </w:rPr>
              <w:t>This is compared to $559 million in 2018, a total increase of 13 per cent.</w:t>
            </w:r>
          </w:p>
          <w:p w14:paraId="001D41F9" w14:textId="77777777" w:rsidR="00372725" w:rsidRPr="00932FEA" w:rsidRDefault="00372725" w:rsidP="00AA02B2">
            <w:pPr>
              <w:pStyle w:val="Body"/>
              <w:keepNext/>
              <w:widowControl w:val="0"/>
              <w:suppressAutoHyphens/>
              <w:rPr>
                <w:rFonts w:asciiTheme="minorHAnsi" w:hAnsiTheme="minorHAnsi" w:cstheme="minorHAnsi"/>
                <w:color w:val="auto"/>
                <w:u w:color="414042"/>
                <w:lang w:val="en-AU"/>
              </w:rPr>
            </w:pPr>
          </w:p>
          <w:p w14:paraId="416F4D03" w14:textId="77777777" w:rsidR="002F19E7" w:rsidRPr="00932FEA" w:rsidRDefault="002F19E7" w:rsidP="00AA02B2">
            <w:pPr>
              <w:pStyle w:val="Body"/>
              <w:keepNext/>
              <w:widowControl w:val="0"/>
              <w:suppressAutoHyphens/>
              <w:rPr>
                <w:rFonts w:asciiTheme="minorHAnsi" w:hAnsiTheme="minorHAnsi" w:cstheme="minorHAnsi"/>
                <w:color w:val="auto"/>
                <w:u w:color="414042"/>
                <w:lang w:val="en-AU"/>
              </w:rPr>
            </w:pPr>
            <w:r w:rsidRPr="00932FEA">
              <w:rPr>
                <w:rFonts w:asciiTheme="minorHAnsi" w:hAnsiTheme="minorHAnsi" w:cstheme="minorHAnsi"/>
                <w:color w:val="auto"/>
                <w:u w:color="414042"/>
                <w:lang w:val="en-AU"/>
              </w:rPr>
              <w:t>Key CPTPP market access outcomes include:</w:t>
            </w:r>
          </w:p>
          <w:p w14:paraId="65EA4A1F" w14:textId="4212857B" w:rsidR="002F19E7" w:rsidRPr="00932FEA" w:rsidRDefault="002F19E7" w:rsidP="000920EB">
            <w:pPr>
              <w:pStyle w:val="ListParagraph"/>
              <w:keepNext/>
              <w:widowControl w:val="0"/>
              <w:numPr>
                <w:ilvl w:val="0"/>
                <w:numId w:val="9"/>
              </w:numPr>
              <w:pBdr>
                <w:top w:val="nil"/>
                <w:left w:val="nil"/>
                <w:bottom w:val="nil"/>
                <w:right w:val="nil"/>
                <w:between w:val="nil"/>
                <w:bar w:val="nil"/>
              </w:pBdr>
              <w:suppressAutoHyphens/>
              <w:spacing w:before="0" w:after="0"/>
              <w:rPr>
                <w:u w:color="414042"/>
              </w:rPr>
            </w:pPr>
            <w:r w:rsidRPr="00932FEA">
              <w:rPr>
                <w:u w:color="414042"/>
              </w:rPr>
              <w:t xml:space="preserve">Tariffs on exports to Mexico will be eliminated within 8 years of entry into force of </w:t>
            </w:r>
            <w:r w:rsidR="00E567F7" w:rsidRPr="00932FEA">
              <w:rPr>
                <w:u w:color="414042"/>
              </w:rPr>
              <w:t>CPTPP</w:t>
            </w:r>
            <w:r w:rsidRPr="00932FEA">
              <w:rPr>
                <w:u w:color="414042"/>
              </w:rPr>
              <w:t xml:space="preserve">. Australia </w:t>
            </w:r>
            <w:proofErr w:type="spellStart"/>
            <w:r w:rsidRPr="00932FEA">
              <w:rPr>
                <w:u w:color="414042"/>
              </w:rPr>
              <w:t>sheepmeat</w:t>
            </w:r>
            <w:proofErr w:type="spellEnd"/>
            <w:r w:rsidRPr="00932FEA">
              <w:rPr>
                <w:u w:color="414042"/>
              </w:rPr>
              <w:t xml:space="preserve"> exports to Mexico were valued at $19.2 million in 2023, 57 per cent higher than 2022 levels; and</w:t>
            </w:r>
          </w:p>
          <w:p w14:paraId="51F2A13E" w14:textId="682A85E3" w:rsidR="00937FD4" w:rsidRPr="00932FEA" w:rsidRDefault="002F19E7" w:rsidP="000920EB">
            <w:pPr>
              <w:pStyle w:val="ListParagraph"/>
              <w:keepNext/>
              <w:widowControl w:val="0"/>
              <w:numPr>
                <w:ilvl w:val="0"/>
                <w:numId w:val="9"/>
              </w:numPr>
              <w:pBdr>
                <w:top w:val="nil"/>
                <w:left w:val="nil"/>
                <w:bottom w:val="nil"/>
                <w:right w:val="nil"/>
                <w:between w:val="nil"/>
                <w:bar w:val="nil"/>
              </w:pBdr>
              <w:suppressAutoHyphens/>
              <w:spacing w:before="0" w:after="0"/>
              <w:rPr>
                <w:rFonts w:eastAsia="Arial"/>
                <w:u w:color="414042"/>
              </w:rPr>
            </w:pPr>
            <w:r w:rsidRPr="00932FEA">
              <w:rPr>
                <w:u w:color="414042"/>
              </w:rPr>
              <w:t xml:space="preserve">Tariffs on </w:t>
            </w:r>
            <w:proofErr w:type="spellStart"/>
            <w:r w:rsidRPr="00932FEA">
              <w:rPr>
                <w:u w:color="414042"/>
              </w:rPr>
              <w:t>sheepmeat</w:t>
            </w:r>
            <w:proofErr w:type="spellEnd"/>
            <w:r w:rsidRPr="00932FEA">
              <w:rPr>
                <w:u w:color="414042"/>
              </w:rPr>
              <w:t xml:space="preserve"> exports to all other CPTPP countries were eliminated on entry into force.</w:t>
            </w:r>
          </w:p>
        </w:tc>
      </w:tr>
      <w:tr w:rsidR="00937FD4" w:rsidRPr="00932FEA" w14:paraId="263C32E0" w14:textId="77777777" w:rsidTr="00AA02B2">
        <w:trPr>
          <w:cantSplit/>
          <w:trHeight w:val="2154"/>
        </w:trPr>
        <w:tc>
          <w:tcPr>
            <w:tcW w:w="0" w:type="auto"/>
          </w:tcPr>
          <w:p w14:paraId="557060B6" w14:textId="77777777" w:rsidR="00937FD4" w:rsidRPr="00932FEA" w:rsidRDefault="00937FD4" w:rsidP="00AA02B2">
            <w:pPr>
              <w:pStyle w:val="Body"/>
              <w:keepNext/>
              <w:widowControl w:val="0"/>
              <w:suppressAutoHyphens/>
              <w:spacing w:after="200"/>
              <w:rPr>
                <w:rFonts w:asciiTheme="minorHAnsi" w:hAnsiTheme="minorHAnsi" w:cstheme="minorHAnsi"/>
                <w:color w:val="auto"/>
                <w:lang w:val="en-AU"/>
              </w:rPr>
            </w:pPr>
            <w:r w:rsidRPr="00932FEA">
              <w:rPr>
                <w:rFonts w:asciiTheme="minorHAnsi" w:hAnsiTheme="minorHAnsi" w:cstheme="minorHAnsi"/>
                <w:b/>
                <w:bCs/>
                <w:color w:val="auto"/>
                <w:u w:color="414042"/>
                <w:lang w:val="en-AU"/>
              </w:rPr>
              <w:lastRenderedPageBreak/>
              <w:t>Wool</w:t>
            </w:r>
          </w:p>
        </w:tc>
        <w:tc>
          <w:tcPr>
            <w:tcW w:w="0" w:type="auto"/>
          </w:tcPr>
          <w:p w14:paraId="2A20C58C" w14:textId="0A3C31CB" w:rsidR="00D44ABD" w:rsidRDefault="00D44ABD" w:rsidP="00AA02B2">
            <w:pPr>
              <w:pStyle w:val="Body"/>
              <w:keepNext/>
              <w:widowControl w:val="0"/>
              <w:suppressAutoHyphens/>
              <w:rPr>
                <w:rFonts w:asciiTheme="minorHAnsi" w:hAnsiTheme="minorHAnsi" w:cstheme="minorHAnsi"/>
                <w:color w:val="auto"/>
                <w:u w:color="414042"/>
                <w:lang w:val="en-AU"/>
              </w:rPr>
            </w:pPr>
            <w:r w:rsidRPr="00932FEA">
              <w:rPr>
                <w:rFonts w:asciiTheme="minorHAnsi" w:hAnsiTheme="minorHAnsi" w:cstheme="minorHAnsi"/>
                <w:color w:val="auto"/>
                <w:u w:color="414042"/>
                <w:lang w:val="en-AU"/>
              </w:rPr>
              <w:t xml:space="preserve">CPTPP eliminated all remaining tariffs on Australian raw wool exports to CPTPP </w:t>
            </w:r>
            <w:r w:rsidR="00A6519C">
              <w:rPr>
                <w:rFonts w:asciiTheme="minorHAnsi" w:hAnsiTheme="minorHAnsi" w:cstheme="minorHAnsi"/>
                <w:color w:val="auto"/>
                <w:u w:color="414042"/>
                <w:lang w:val="en-AU"/>
              </w:rPr>
              <w:t>markets</w:t>
            </w:r>
            <w:r w:rsidRPr="00932FEA">
              <w:rPr>
                <w:rFonts w:asciiTheme="minorHAnsi" w:hAnsiTheme="minorHAnsi" w:cstheme="minorHAnsi"/>
                <w:color w:val="auto"/>
                <w:u w:color="414042"/>
                <w:lang w:val="en-AU"/>
              </w:rPr>
              <w:t xml:space="preserve"> from entry into force of the Agreement.  </w:t>
            </w:r>
          </w:p>
          <w:p w14:paraId="533B0ABF" w14:textId="3D5F6C3C" w:rsidR="00937FD4" w:rsidRPr="00932FEA" w:rsidRDefault="00937FD4" w:rsidP="00AA02B2">
            <w:pPr>
              <w:pStyle w:val="Body"/>
              <w:keepNext/>
              <w:widowControl w:val="0"/>
              <w:suppressAutoHyphens/>
              <w:rPr>
                <w:rFonts w:asciiTheme="minorHAnsi" w:hAnsiTheme="minorHAnsi" w:cstheme="minorHAnsi"/>
                <w:color w:val="auto"/>
                <w:u w:color="414042"/>
                <w:lang w:val="en-AU"/>
              </w:rPr>
            </w:pPr>
            <w:r w:rsidRPr="00932FEA">
              <w:rPr>
                <w:rFonts w:asciiTheme="minorHAnsi" w:hAnsiTheme="minorHAnsi" w:cstheme="minorHAnsi"/>
                <w:color w:val="auto"/>
                <w:u w:color="414042"/>
                <w:lang w:val="en-AU"/>
              </w:rPr>
              <w:t xml:space="preserve">Total Australian exports of wool were valued at around $3 billion in </w:t>
            </w:r>
            <w:r w:rsidR="001B11B1" w:rsidRPr="00932FEA">
              <w:rPr>
                <w:rFonts w:asciiTheme="minorHAnsi" w:hAnsiTheme="minorHAnsi" w:cstheme="minorHAnsi"/>
                <w:color w:val="auto"/>
                <w:u w:color="414042"/>
                <w:lang w:val="en-AU"/>
              </w:rPr>
              <w:t>2023</w:t>
            </w:r>
            <w:r w:rsidRPr="00932FEA">
              <w:rPr>
                <w:rFonts w:asciiTheme="minorHAnsi" w:hAnsiTheme="minorHAnsi" w:cstheme="minorHAnsi"/>
                <w:color w:val="auto"/>
                <w:u w:color="414042"/>
                <w:lang w:val="en-AU"/>
              </w:rPr>
              <w:t xml:space="preserve">, </w:t>
            </w:r>
            <w:r w:rsidR="001B11B1" w:rsidRPr="00932FEA">
              <w:rPr>
                <w:rFonts w:asciiTheme="minorHAnsi" w:hAnsiTheme="minorHAnsi" w:cstheme="minorHAnsi"/>
                <w:color w:val="auto"/>
                <w:u w:color="414042"/>
                <w:lang w:val="en-AU"/>
              </w:rPr>
              <w:t>of which</w:t>
            </w:r>
            <w:r w:rsidRPr="00932FEA">
              <w:rPr>
                <w:rFonts w:asciiTheme="minorHAnsi" w:hAnsiTheme="minorHAnsi" w:cstheme="minorHAnsi"/>
                <w:color w:val="auto"/>
                <w:u w:color="414042"/>
                <w:lang w:val="en-AU"/>
              </w:rPr>
              <w:t xml:space="preserve"> wool exports to </w:t>
            </w:r>
            <w:r w:rsidR="00AC643D" w:rsidRPr="00932FEA">
              <w:rPr>
                <w:rFonts w:asciiTheme="minorHAnsi" w:hAnsiTheme="minorHAnsi" w:cstheme="minorHAnsi"/>
                <w:color w:val="auto"/>
                <w:u w:color="414042"/>
                <w:lang w:val="en-AU"/>
              </w:rPr>
              <w:t>CPTPP</w:t>
            </w:r>
            <w:r w:rsidRPr="00932FEA">
              <w:rPr>
                <w:rFonts w:asciiTheme="minorHAnsi" w:hAnsiTheme="minorHAnsi" w:cstheme="minorHAnsi"/>
                <w:color w:val="auto"/>
                <w:u w:color="414042"/>
                <w:lang w:val="en-AU"/>
              </w:rPr>
              <w:t xml:space="preserve"> </w:t>
            </w:r>
            <w:r w:rsidR="00232890">
              <w:rPr>
                <w:rFonts w:asciiTheme="minorHAnsi" w:hAnsiTheme="minorHAnsi" w:cstheme="minorHAnsi"/>
                <w:color w:val="auto"/>
                <w:u w:color="414042"/>
                <w:lang w:val="en-AU"/>
              </w:rPr>
              <w:t>market</w:t>
            </w:r>
            <w:r w:rsidR="00074F86">
              <w:rPr>
                <w:rFonts w:asciiTheme="minorHAnsi" w:hAnsiTheme="minorHAnsi" w:cstheme="minorHAnsi"/>
                <w:color w:val="auto"/>
                <w:u w:color="414042"/>
                <w:lang w:val="en-AU"/>
              </w:rPr>
              <w:t xml:space="preserve"> accounted for</w:t>
            </w:r>
            <w:r w:rsidRPr="00932FEA">
              <w:rPr>
                <w:rFonts w:asciiTheme="minorHAnsi" w:hAnsiTheme="minorHAnsi" w:cstheme="minorHAnsi"/>
                <w:color w:val="auto"/>
                <w:u w:color="414042"/>
                <w:lang w:val="en-AU"/>
              </w:rPr>
              <w:t xml:space="preserve"> </w:t>
            </w:r>
            <w:r w:rsidR="0096798C" w:rsidRPr="00932FEA">
              <w:rPr>
                <w:rFonts w:asciiTheme="minorHAnsi" w:hAnsiTheme="minorHAnsi" w:cstheme="minorHAnsi"/>
                <w:color w:val="auto"/>
                <w:u w:color="414042"/>
                <w:lang w:val="en-AU"/>
              </w:rPr>
              <w:t>$26.2</w:t>
            </w:r>
            <w:r w:rsidRPr="00932FEA">
              <w:rPr>
                <w:rFonts w:asciiTheme="minorHAnsi" w:hAnsiTheme="minorHAnsi" w:cstheme="minorHAnsi"/>
                <w:color w:val="auto"/>
                <w:u w:color="414042"/>
                <w:lang w:val="en-AU"/>
              </w:rPr>
              <w:t xml:space="preserve"> million.</w:t>
            </w:r>
            <w:r w:rsidR="00487583" w:rsidRPr="00932FEA">
              <w:rPr>
                <w:rFonts w:asciiTheme="minorHAnsi" w:hAnsiTheme="minorHAnsi" w:cstheme="minorHAnsi"/>
                <w:color w:val="auto"/>
                <w:u w:color="414042"/>
                <w:lang w:val="en-AU"/>
              </w:rPr>
              <w:t xml:space="preserve"> This is compared to $56 million in 2018, a total decrease of 53 per cent.</w:t>
            </w:r>
          </w:p>
          <w:p w14:paraId="1B18190E" w14:textId="77777777" w:rsidR="00937FD4" w:rsidRPr="00932FEA" w:rsidRDefault="00937FD4" w:rsidP="00AA02B2">
            <w:pPr>
              <w:pStyle w:val="Body"/>
              <w:keepNext/>
              <w:widowControl w:val="0"/>
              <w:suppressAutoHyphens/>
              <w:rPr>
                <w:rFonts w:asciiTheme="minorHAnsi" w:hAnsiTheme="minorHAnsi" w:cstheme="minorHAnsi"/>
                <w:color w:val="auto"/>
                <w:u w:color="414042"/>
                <w:lang w:val="en-AU"/>
              </w:rPr>
            </w:pPr>
          </w:p>
          <w:p w14:paraId="4DACE20A" w14:textId="77777777" w:rsidR="00671581" w:rsidRDefault="00671581" w:rsidP="00AA02B2">
            <w:pPr>
              <w:pStyle w:val="Body"/>
              <w:keepNext/>
              <w:widowControl w:val="0"/>
              <w:suppressAutoHyphens/>
              <w:rPr>
                <w:rFonts w:asciiTheme="minorHAnsi" w:hAnsiTheme="minorHAnsi" w:cstheme="minorHAnsi"/>
                <w:color w:val="auto"/>
                <w:u w:color="414042"/>
                <w:lang w:val="en-AU"/>
              </w:rPr>
            </w:pPr>
          </w:p>
          <w:p w14:paraId="0685F57F" w14:textId="4B3EEE53" w:rsidR="00937FD4" w:rsidRPr="00932FEA" w:rsidRDefault="00671581" w:rsidP="00AA02B2">
            <w:pPr>
              <w:pStyle w:val="Body"/>
              <w:keepNext/>
              <w:widowControl w:val="0"/>
              <w:suppressAutoHyphens/>
              <w:rPr>
                <w:rFonts w:asciiTheme="minorHAnsi" w:hAnsiTheme="minorHAnsi" w:cstheme="minorBidi"/>
                <w:color w:val="auto"/>
              </w:rPr>
            </w:pPr>
            <w:r w:rsidRPr="37DBC550">
              <w:rPr>
                <w:rFonts w:asciiTheme="minorHAnsi" w:hAnsiTheme="minorHAnsi" w:cstheme="minorBidi"/>
                <w:color w:val="auto"/>
              </w:rPr>
              <w:t>The rules of origin for textiles encourages greater demand for the Australian wool used to produce high quality yarns.</w:t>
            </w:r>
            <w:r w:rsidR="003A62AA" w:rsidRPr="37DBC550">
              <w:rPr>
                <w:rFonts w:asciiTheme="minorHAnsi" w:hAnsiTheme="minorHAnsi" w:cstheme="minorBidi"/>
                <w:color w:val="auto"/>
              </w:rPr>
              <w:t xml:space="preserve"> </w:t>
            </w:r>
            <w:r w:rsidR="00937FD4" w:rsidRPr="37DBC550">
              <w:rPr>
                <w:rFonts w:asciiTheme="minorHAnsi" w:hAnsiTheme="minorHAnsi" w:cstheme="minorBidi"/>
                <w:color w:val="auto"/>
              </w:rPr>
              <w:t xml:space="preserve">Products produced using Australian wool in Malaysia, Vietnam or any other </w:t>
            </w:r>
            <w:r w:rsidR="008B7024" w:rsidRPr="37DBC550">
              <w:rPr>
                <w:rFonts w:asciiTheme="minorHAnsi" w:hAnsiTheme="minorHAnsi" w:cstheme="minorBidi"/>
                <w:color w:val="auto"/>
              </w:rPr>
              <w:t>CPTPP</w:t>
            </w:r>
            <w:r w:rsidR="00937FD4" w:rsidRPr="37DBC550">
              <w:rPr>
                <w:rFonts w:asciiTheme="minorHAnsi" w:hAnsiTheme="minorHAnsi" w:cstheme="minorBidi"/>
                <w:color w:val="auto"/>
              </w:rPr>
              <w:t xml:space="preserve"> partner receive preferential treatment </w:t>
            </w:r>
            <w:r w:rsidR="0013180B" w:rsidRPr="37DBC550">
              <w:rPr>
                <w:rFonts w:asciiTheme="minorHAnsi" w:hAnsiTheme="minorHAnsi" w:cstheme="minorBidi"/>
                <w:color w:val="auto"/>
              </w:rPr>
              <w:t>in</w:t>
            </w:r>
            <w:r w:rsidR="00937FD4" w:rsidRPr="37DBC550">
              <w:rPr>
                <w:rFonts w:asciiTheme="minorHAnsi" w:hAnsiTheme="minorHAnsi" w:cstheme="minorBidi"/>
                <w:color w:val="auto"/>
              </w:rPr>
              <w:t xml:space="preserve"> </w:t>
            </w:r>
            <w:r w:rsidR="00E567F7" w:rsidRPr="37DBC550">
              <w:rPr>
                <w:rFonts w:asciiTheme="minorHAnsi" w:hAnsiTheme="minorHAnsi" w:cstheme="minorBidi"/>
                <w:color w:val="auto"/>
              </w:rPr>
              <w:t>CPTPP</w:t>
            </w:r>
            <w:r w:rsidR="00937FD4" w:rsidRPr="37DBC550">
              <w:rPr>
                <w:rFonts w:asciiTheme="minorHAnsi" w:hAnsiTheme="minorHAnsi" w:cstheme="minorBidi"/>
                <w:color w:val="auto"/>
              </w:rPr>
              <w:t xml:space="preserve"> </w:t>
            </w:r>
            <w:r w:rsidR="0013180B" w:rsidRPr="37DBC550">
              <w:rPr>
                <w:rFonts w:asciiTheme="minorHAnsi" w:hAnsiTheme="minorHAnsi" w:cstheme="minorBidi"/>
                <w:color w:val="auto"/>
              </w:rPr>
              <w:t>economies’ markets</w:t>
            </w:r>
            <w:r w:rsidR="00937FD4" w:rsidRPr="37DBC550">
              <w:rPr>
                <w:rFonts w:asciiTheme="minorHAnsi" w:hAnsiTheme="minorHAnsi" w:cstheme="minorBidi"/>
                <w:color w:val="auto"/>
              </w:rPr>
              <w:t xml:space="preserve">.  </w:t>
            </w:r>
          </w:p>
        </w:tc>
      </w:tr>
      <w:tr w:rsidR="00937FD4" w:rsidRPr="00932FEA" w14:paraId="2D145DFC" w14:textId="77777777" w:rsidTr="00AA02B2">
        <w:trPr>
          <w:cantSplit/>
          <w:trHeight w:val="3855"/>
        </w:trPr>
        <w:tc>
          <w:tcPr>
            <w:tcW w:w="0" w:type="auto"/>
          </w:tcPr>
          <w:p w14:paraId="7C13FDD9" w14:textId="77777777" w:rsidR="00937FD4" w:rsidRPr="00932FEA" w:rsidRDefault="00937FD4" w:rsidP="00AA02B2">
            <w:pPr>
              <w:pStyle w:val="Body"/>
              <w:keepNext/>
              <w:widowControl w:val="0"/>
              <w:suppressAutoHyphens/>
              <w:spacing w:after="200"/>
              <w:rPr>
                <w:rFonts w:asciiTheme="minorHAnsi" w:hAnsiTheme="minorHAnsi" w:cstheme="minorHAnsi"/>
                <w:color w:val="auto"/>
                <w:lang w:val="en-AU"/>
              </w:rPr>
            </w:pPr>
            <w:r w:rsidRPr="00932FEA">
              <w:rPr>
                <w:rFonts w:asciiTheme="minorHAnsi" w:hAnsiTheme="minorHAnsi" w:cstheme="minorHAnsi"/>
                <w:b/>
                <w:bCs/>
                <w:color w:val="auto"/>
                <w:u w:color="414042"/>
                <w:lang w:val="en-AU"/>
              </w:rPr>
              <w:t xml:space="preserve">Pork </w:t>
            </w:r>
          </w:p>
        </w:tc>
        <w:tc>
          <w:tcPr>
            <w:tcW w:w="0" w:type="auto"/>
          </w:tcPr>
          <w:p w14:paraId="25FE795A" w14:textId="6F572A9E" w:rsidR="00937FD4" w:rsidRPr="00932FEA" w:rsidRDefault="00937FD4" w:rsidP="00AA02B2">
            <w:pPr>
              <w:pStyle w:val="Body"/>
              <w:keepNext/>
              <w:widowControl w:val="0"/>
              <w:suppressAutoHyphens/>
              <w:rPr>
                <w:rFonts w:asciiTheme="minorHAnsi" w:hAnsiTheme="minorHAnsi" w:cstheme="minorHAnsi"/>
                <w:color w:val="auto"/>
                <w:u w:color="414042"/>
                <w:lang w:val="en-AU"/>
              </w:rPr>
            </w:pPr>
            <w:r w:rsidRPr="00932FEA">
              <w:rPr>
                <w:rFonts w:asciiTheme="minorHAnsi" w:hAnsiTheme="minorHAnsi" w:cstheme="minorHAnsi"/>
                <w:color w:val="auto"/>
                <w:u w:color="414042"/>
                <w:lang w:val="en-AU"/>
              </w:rPr>
              <w:t xml:space="preserve">In </w:t>
            </w:r>
            <w:r w:rsidR="002429B3" w:rsidRPr="00932FEA">
              <w:rPr>
                <w:rFonts w:asciiTheme="minorHAnsi" w:hAnsiTheme="minorHAnsi" w:cstheme="minorHAnsi"/>
                <w:color w:val="auto"/>
                <w:u w:color="414042"/>
                <w:lang w:val="en-AU"/>
              </w:rPr>
              <w:t>2023</w:t>
            </w:r>
            <w:r w:rsidRPr="00932FEA">
              <w:rPr>
                <w:rFonts w:asciiTheme="minorHAnsi" w:hAnsiTheme="minorHAnsi" w:cstheme="minorHAnsi"/>
                <w:color w:val="auto"/>
                <w:u w:color="414042"/>
                <w:lang w:val="en-AU"/>
              </w:rPr>
              <w:t xml:space="preserve">, </w:t>
            </w:r>
            <w:r w:rsidR="002429B3" w:rsidRPr="00932FEA">
              <w:rPr>
                <w:rFonts w:asciiTheme="minorHAnsi" w:hAnsiTheme="minorHAnsi" w:cstheme="minorHAnsi"/>
                <w:color w:val="auto"/>
                <w:u w:color="414042"/>
                <w:lang w:val="en-AU"/>
              </w:rPr>
              <w:t>67</w:t>
            </w:r>
            <w:r w:rsidRPr="00932FEA">
              <w:rPr>
                <w:rFonts w:asciiTheme="minorHAnsi" w:hAnsiTheme="minorHAnsi" w:cstheme="minorHAnsi"/>
                <w:color w:val="auto"/>
                <w:u w:color="414042"/>
                <w:lang w:val="en-AU"/>
              </w:rPr>
              <w:t xml:space="preserve"> per cent of Australia’s pork exports went to </w:t>
            </w:r>
            <w:r w:rsidR="008B7024" w:rsidRPr="00932FEA">
              <w:rPr>
                <w:rFonts w:asciiTheme="minorHAnsi" w:hAnsiTheme="minorHAnsi" w:cstheme="minorHAnsi"/>
                <w:color w:val="auto"/>
                <w:u w:color="414042"/>
                <w:lang w:val="en-AU"/>
              </w:rPr>
              <w:t>CPTPP</w:t>
            </w:r>
            <w:r w:rsidRPr="00932FEA">
              <w:rPr>
                <w:rFonts w:asciiTheme="minorHAnsi" w:hAnsiTheme="minorHAnsi" w:cstheme="minorHAnsi"/>
                <w:color w:val="auto"/>
                <w:u w:color="414042"/>
                <w:lang w:val="en-AU"/>
              </w:rPr>
              <w:t xml:space="preserve"> </w:t>
            </w:r>
            <w:r w:rsidR="00577942">
              <w:rPr>
                <w:rFonts w:asciiTheme="minorHAnsi" w:hAnsiTheme="minorHAnsi" w:cstheme="minorHAnsi"/>
                <w:color w:val="auto"/>
                <w:u w:color="414042"/>
                <w:lang w:val="en-AU"/>
              </w:rPr>
              <w:t>markets</w:t>
            </w:r>
            <w:r w:rsidRPr="00932FEA">
              <w:rPr>
                <w:rFonts w:asciiTheme="minorHAnsi" w:hAnsiTheme="minorHAnsi" w:cstheme="minorHAnsi"/>
                <w:color w:val="auto"/>
                <w:u w:color="414042"/>
                <w:lang w:val="en-AU"/>
              </w:rPr>
              <w:t xml:space="preserve">, valued at </w:t>
            </w:r>
            <w:r w:rsidR="002429B3" w:rsidRPr="00932FEA">
              <w:rPr>
                <w:rFonts w:asciiTheme="minorHAnsi" w:hAnsiTheme="minorHAnsi" w:cstheme="minorHAnsi"/>
                <w:color w:val="auto"/>
                <w:u w:color="414042"/>
                <w:lang w:val="en-AU"/>
              </w:rPr>
              <w:t>over</w:t>
            </w:r>
            <w:r w:rsidRPr="00932FEA">
              <w:rPr>
                <w:rFonts w:asciiTheme="minorHAnsi" w:hAnsiTheme="minorHAnsi" w:cstheme="minorHAnsi"/>
                <w:color w:val="auto"/>
                <w:u w:color="414042"/>
                <w:lang w:val="en-AU"/>
              </w:rPr>
              <w:t xml:space="preserve"> $</w:t>
            </w:r>
            <w:r w:rsidR="002429B3" w:rsidRPr="00932FEA">
              <w:rPr>
                <w:rFonts w:asciiTheme="minorHAnsi" w:hAnsiTheme="minorHAnsi" w:cstheme="minorHAnsi"/>
                <w:color w:val="auto"/>
                <w:u w:color="414042"/>
                <w:lang w:val="en-AU"/>
              </w:rPr>
              <w:t>130</w:t>
            </w:r>
            <w:r w:rsidRPr="00932FEA">
              <w:rPr>
                <w:rFonts w:asciiTheme="minorHAnsi" w:hAnsiTheme="minorHAnsi" w:cstheme="minorHAnsi"/>
                <w:color w:val="auto"/>
                <w:u w:color="414042"/>
                <w:lang w:val="en-AU"/>
              </w:rPr>
              <w:t xml:space="preserve"> million</w:t>
            </w:r>
            <w:r w:rsidR="001F3CA3" w:rsidRPr="00932FEA">
              <w:rPr>
                <w:rFonts w:asciiTheme="minorHAnsi" w:hAnsiTheme="minorHAnsi" w:cstheme="minorHAnsi"/>
                <w:color w:val="auto"/>
                <w:u w:color="414042"/>
                <w:lang w:val="en-AU"/>
              </w:rPr>
              <w:t xml:space="preserve">, compared to $89 million in 2018. </w:t>
            </w:r>
            <w:r w:rsidRPr="00932FEA">
              <w:rPr>
                <w:rFonts w:asciiTheme="minorHAnsi" w:hAnsiTheme="minorHAnsi" w:cstheme="minorHAnsi"/>
                <w:color w:val="auto"/>
                <w:u w:color="414042"/>
                <w:lang w:val="en-AU"/>
              </w:rPr>
              <w:t xml:space="preserve">Key </w:t>
            </w:r>
            <w:r w:rsidR="008B7024" w:rsidRPr="00932FEA">
              <w:rPr>
                <w:rFonts w:asciiTheme="minorHAnsi" w:hAnsiTheme="minorHAnsi" w:cstheme="minorHAnsi"/>
                <w:color w:val="auto"/>
                <w:u w:color="414042"/>
                <w:lang w:val="en-AU"/>
              </w:rPr>
              <w:t>CPTPP</w:t>
            </w:r>
            <w:r w:rsidRPr="00932FEA">
              <w:rPr>
                <w:rFonts w:asciiTheme="minorHAnsi" w:hAnsiTheme="minorHAnsi" w:cstheme="minorHAnsi"/>
                <w:color w:val="auto"/>
                <w:u w:color="414042"/>
                <w:lang w:val="en-AU"/>
              </w:rPr>
              <w:t xml:space="preserve"> market access gains for Australian pork producers and exporters include:</w:t>
            </w:r>
          </w:p>
          <w:p w14:paraId="2E822D90" w14:textId="010A5553" w:rsidR="00937FD4" w:rsidRPr="00932FEA" w:rsidRDefault="00937FD4" w:rsidP="000920EB">
            <w:pPr>
              <w:pStyle w:val="ListParagraph"/>
              <w:keepNext/>
              <w:widowControl w:val="0"/>
              <w:numPr>
                <w:ilvl w:val="0"/>
                <w:numId w:val="9"/>
              </w:numPr>
              <w:pBdr>
                <w:top w:val="nil"/>
                <w:left w:val="nil"/>
                <w:bottom w:val="nil"/>
                <w:right w:val="nil"/>
                <w:between w:val="nil"/>
                <w:bar w:val="nil"/>
              </w:pBdr>
              <w:suppressAutoHyphens/>
              <w:spacing w:before="0" w:after="0"/>
              <w:rPr>
                <w:u w:color="414042"/>
              </w:rPr>
            </w:pPr>
            <w:r w:rsidRPr="00932FEA">
              <w:rPr>
                <w:u w:color="414042"/>
              </w:rPr>
              <w:t xml:space="preserve">Building on JAEPA, elimination of the </w:t>
            </w:r>
            <w:r w:rsidRPr="00932FEA">
              <w:rPr>
                <w:i/>
                <w:u w:color="414042"/>
              </w:rPr>
              <w:t>ad valorem</w:t>
            </w:r>
            <w:r w:rsidRPr="00932FEA">
              <w:rPr>
                <w:u w:color="414042"/>
              </w:rPr>
              <w:t xml:space="preserve"> component of Japan’s pork tariffs within 10 years of entry into force of </w:t>
            </w:r>
            <w:proofErr w:type="gramStart"/>
            <w:r w:rsidR="00E567F7" w:rsidRPr="00932FEA">
              <w:rPr>
                <w:u w:color="414042"/>
              </w:rPr>
              <w:t>CPTPP</w:t>
            </w:r>
            <w:r w:rsidRPr="00932FEA">
              <w:rPr>
                <w:u w:color="414042"/>
              </w:rPr>
              <w:t>;</w:t>
            </w:r>
            <w:proofErr w:type="gramEnd"/>
          </w:p>
          <w:p w14:paraId="531ACC2C" w14:textId="0CE5F430" w:rsidR="00937FD4" w:rsidRPr="00932FEA" w:rsidRDefault="00937FD4" w:rsidP="000920EB">
            <w:pPr>
              <w:pStyle w:val="ListParagraph"/>
              <w:keepNext/>
              <w:widowControl w:val="0"/>
              <w:numPr>
                <w:ilvl w:val="0"/>
                <w:numId w:val="9"/>
              </w:numPr>
              <w:pBdr>
                <w:top w:val="nil"/>
                <w:left w:val="nil"/>
                <w:bottom w:val="nil"/>
                <w:right w:val="nil"/>
                <w:between w:val="nil"/>
                <w:bar w:val="nil"/>
              </w:pBdr>
              <w:suppressAutoHyphens/>
              <w:spacing w:before="0" w:after="0"/>
              <w:rPr>
                <w:u w:color="414042"/>
              </w:rPr>
            </w:pPr>
            <w:r w:rsidRPr="00932FEA">
              <w:rPr>
                <w:u w:color="414042"/>
              </w:rPr>
              <w:t xml:space="preserve">Building on JAEPA, a 90 per cent reduction in Japan’s specific tariff applied to pork cuts and carcasses within 10 years of entry into force of </w:t>
            </w:r>
            <w:proofErr w:type="gramStart"/>
            <w:r w:rsidR="00E567F7" w:rsidRPr="00932FEA">
              <w:rPr>
                <w:u w:color="414042"/>
              </w:rPr>
              <w:t>CPTPP</w:t>
            </w:r>
            <w:r w:rsidRPr="00932FEA">
              <w:rPr>
                <w:u w:color="414042"/>
              </w:rPr>
              <w:t>;</w:t>
            </w:r>
            <w:proofErr w:type="gramEnd"/>
          </w:p>
          <w:p w14:paraId="46178C2D" w14:textId="42BB10D5" w:rsidR="00937FD4" w:rsidRPr="00932FEA" w:rsidRDefault="00937FD4" w:rsidP="000920EB">
            <w:pPr>
              <w:pStyle w:val="ListParagraph"/>
              <w:keepNext/>
              <w:widowControl w:val="0"/>
              <w:numPr>
                <w:ilvl w:val="0"/>
                <w:numId w:val="9"/>
              </w:numPr>
              <w:pBdr>
                <w:top w:val="nil"/>
                <w:left w:val="nil"/>
                <w:bottom w:val="nil"/>
                <w:right w:val="nil"/>
                <w:between w:val="nil"/>
                <w:bar w:val="nil"/>
              </w:pBdr>
              <w:suppressAutoHyphens/>
              <w:spacing w:before="0" w:after="0"/>
              <w:rPr>
                <w:u w:color="414042"/>
              </w:rPr>
            </w:pPr>
            <w:r w:rsidRPr="00932FEA">
              <w:rPr>
                <w:u w:color="414042"/>
              </w:rPr>
              <w:t>Building on MAFTA and AANZFTA, elimination of all Malaysian pork tariffs within 15 years; and</w:t>
            </w:r>
          </w:p>
          <w:p w14:paraId="10696C2C" w14:textId="03B5DC78" w:rsidR="00937FD4" w:rsidRPr="00932FEA" w:rsidRDefault="00937FD4" w:rsidP="000920EB">
            <w:pPr>
              <w:pStyle w:val="ListParagraph"/>
              <w:keepNext/>
              <w:widowControl w:val="0"/>
              <w:numPr>
                <w:ilvl w:val="0"/>
                <w:numId w:val="9"/>
              </w:numPr>
              <w:pBdr>
                <w:top w:val="nil"/>
                <w:left w:val="nil"/>
                <w:bottom w:val="nil"/>
                <w:right w:val="nil"/>
                <w:between w:val="nil"/>
                <w:bar w:val="nil"/>
              </w:pBdr>
              <w:suppressAutoHyphens/>
              <w:spacing w:before="0" w:after="0"/>
              <w:rPr>
                <w:u w:color="414042"/>
              </w:rPr>
            </w:pPr>
            <w:r w:rsidRPr="00932FEA">
              <w:rPr>
                <w:u w:color="414042"/>
              </w:rPr>
              <w:t xml:space="preserve">Elimination of Mexico’s 20 per cent pork tariff on entry into force of </w:t>
            </w:r>
            <w:r w:rsidR="00E567F7" w:rsidRPr="00932FEA">
              <w:rPr>
                <w:u w:color="414042"/>
              </w:rPr>
              <w:t>CPTPP</w:t>
            </w:r>
            <w:r w:rsidRPr="00932FEA">
              <w:rPr>
                <w:u w:color="414042"/>
              </w:rPr>
              <w:t>.</w:t>
            </w:r>
          </w:p>
        </w:tc>
      </w:tr>
      <w:tr w:rsidR="00937FD4" w:rsidRPr="00932FEA" w14:paraId="07E118CA" w14:textId="77777777" w:rsidTr="00AA02B2">
        <w:trPr>
          <w:cantSplit/>
          <w:trHeight w:val="624"/>
        </w:trPr>
        <w:tc>
          <w:tcPr>
            <w:tcW w:w="0" w:type="auto"/>
          </w:tcPr>
          <w:p w14:paraId="1BC9F443" w14:textId="77777777" w:rsidR="00937FD4" w:rsidRPr="00932FEA" w:rsidRDefault="00937FD4" w:rsidP="00AA02B2">
            <w:pPr>
              <w:pStyle w:val="Body"/>
              <w:keepNext/>
              <w:widowControl w:val="0"/>
              <w:suppressAutoHyphens/>
              <w:spacing w:after="200"/>
              <w:rPr>
                <w:rFonts w:asciiTheme="minorHAnsi" w:hAnsiTheme="minorHAnsi" w:cstheme="minorHAnsi"/>
                <w:color w:val="auto"/>
                <w:lang w:val="en-AU"/>
              </w:rPr>
            </w:pPr>
            <w:r w:rsidRPr="00932FEA">
              <w:rPr>
                <w:rFonts w:asciiTheme="minorHAnsi" w:hAnsiTheme="minorHAnsi" w:cstheme="minorHAnsi"/>
                <w:b/>
                <w:bCs/>
                <w:color w:val="auto"/>
                <w:u w:color="414042"/>
                <w:lang w:val="en-AU"/>
              </w:rPr>
              <w:lastRenderedPageBreak/>
              <w:t>Cereals and grains</w:t>
            </w:r>
          </w:p>
        </w:tc>
        <w:tc>
          <w:tcPr>
            <w:tcW w:w="0" w:type="auto"/>
          </w:tcPr>
          <w:p w14:paraId="3468B433" w14:textId="02197B14" w:rsidR="009E2AD1" w:rsidRPr="00932FEA" w:rsidRDefault="0065272E" w:rsidP="00AA02B2">
            <w:pPr>
              <w:pStyle w:val="Body"/>
              <w:keepNext/>
              <w:widowControl w:val="0"/>
              <w:suppressAutoHyphens/>
              <w:rPr>
                <w:rFonts w:asciiTheme="minorHAnsi" w:hAnsiTheme="minorHAnsi" w:cstheme="minorHAnsi"/>
                <w:color w:val="auto"/>
                <w:u w:color="414042"/>
                <w:lang w:val="en-AU"/>
              </w:rPr>
            </w:pPr>
            <w:r w:rsidRPr="00932FEA">
              <w:rPr>
                <w:rFonts w:asciiTheme="minorHAnsi" w:hAnsiTheme="minorHAnsi" w:cstheme="minorHAnsi"/>
                <w:color w:val="auto"/>
                <w:u w:color="414042"/>
                <w:lang w:val="en-AU"/>
              </w:rPr>
              <w:t xml:space="preserve">Total Australian exports of cereals and grains were valued at around $18.9 billion in 2023, more than 20 per cent (or $3.9 billion) of which was exported to CPTPP </w:t>
            </w:r>
            <w:r w:rsidR="00B45425">
              <w:rPr>
                <w:rFonts w:asciiTheme="minorHAnsi" w:hAnsiTheme="minorHAnsi" w:cstheme="minorHAnsi"/>
                <w:color w:val="auto"/>
                <w:u w:color="414042"/>
                <w:lang w:val="en-AU"/>
              </w:rPr>
              <w:t>market</w:t>
            </w:r>
            <w:r w:rsidRPr="00932FEA">
              <w:rPr>
                <w:rFonts w:asciiTheme="minorHAnsi" w:hAnsiTheme="minorHAnsi" w:cstheme="minorHAnsi"/>
                <w:color w:val="auto"/>
                <w:u w:color="414042"/>
                <w:lang w:val="en-AU"/>
              </w:rPr>
              <w:t xml:space="preserve">s. </w:t>
            </w:r>
            <w:r w:rsidR="009E2AD1" w:rsidRPr="00932FEA">
              <w:rPr>
                <w:rFonts w:asciiTheme="minorHAnsi" w:hAnsiTheme="minorHAnsi" w:cstheme="minorHAnsi"/>
                <w:color w:val="auto"/>
                <w:u w:color="414042"/>
                <w:lang w:val="en-AU"/>
              </w:rPr>
              <w:t xml:space="preserve">This is in comparison to $1.4 billion worth of exports to CPTPP </w:t>
            </w:r>
            <w:r w:rsidR="004A33E8">
              <w:rPr>
                <w:rFonts w:asciiTheme="minorHAnsi" w:hAnsiTheme="minorHAnsi" w:cstheme="minorHAnsi"/>
                <w:color w:val="auto"/>
                <w:u w:color="414042"/>
                <w:lang w:val="en-AU"/>
              </w:rPr>
              <w:t>markets</w:t>
            </w:r>
            <w:r w:rsidR="009E2AD1" w:rsidRPr="00932FEA">
              <w:rPr>
                <w:rFonts w:asciiTheme="minorHAnsi" w:hAnsiTheme="minorHAnsi" w:cstheme="minorHAnsi"/>
                <w:color w:val="auto"/>
                <w:u w:color="414042"/>
                <w:lang w:val="en-AU"/>
              </w:rPr>
              <w:t xml:space="preserve"> in 2018.</w:t>
            </w:r>
          </w:p>
          <w:p w14:paraId="7EB7675A" w14:textId="4DA45549" w:rsidR="0065272E" w:rsidRPr="00932FEA" w:rsidRDefault="0065272E" w:rsidP="00AA02B2">
            <w:pPr>
              <w:pStyle w:val="Body"/>
              <w:keepNext/>
              <w:widowControl w:val="0"/>
              <w:suppressAutoHyphens/>
              <w:rPr>
                <w:rFonts w:asciiTheme="minorHAnsi" w:hAnsiTheme="minorHAnsi" w:cstheme="minorHAnsi"/>
                <w:color w:val="auto"/>
                <w:u w:color="414042"/>
                <w:lang w:val="en-AU"/>
              </w:rPr>
            </w:pPr>
            <w:r w:rsidRPr="00932FEA">
              <w:rPr>
                <w:rFonts w:asciiTheme="minorHAnsi" w:hAnsiTheme="minorHAnsi" w:cstheme="minorHAnsi"/>
                <w:color w:val="auto"/>
                <w:u w:color="414042"/>
                <w:lang w:val="en-AU"/>
              </w:rPr>
              <w:br/>
              <w:t xml:space="preserve">CPTPP market access outcomes for Australian cereals and grains producers and exporters include: </w:t>
            </w:r>
          </w:p>
          <w:p w14:paraId="5D04EC04" w14:textId="77777777" w:rsidR="0065272E" w:rsidRPr="00932FEA" w:rsidRDefault="0065272E" w:rsidP="000920EB">
            <w:pPr>
              <w:pStyle w:val="ListParagraph"/>
              <w:keepNext/>
              <w:widowControl w:val="0"/>
              <w:numPr>
                <w:ilvl w:val="0"/>
                <w:numId w:val="9"/>
              </w:numPr>
              <w:pBdr>
                <w:top w:val="nil"/>
                <w:left w:val="nil"/>
                <w:bottom w:val="nil"/>
                <w:right w:val="nil"/>
                <w:between w:val="nil"/>
                <w:bar w:val="nil"/>
              </w:pBdr>
              <w:suppressAutoHyphens/>
              <w:spacing w:before="0" w:after="0"/>
              <w:rPr>
                <w:u w:color="414042"/>
              </w:rPr>
            </w:pPr>
            <w:r w:rsidRPr="00932FEA">
              <w:rPr>
                <w:u w:color="414042"/>
              </w:rPr>
              <w:t>Significant market access improvements in Japan for wheat, barley and malt, building on JAEPA, including:</w:t>
            </w:r>
          </w:p>
          <w:p w14:paraId="20DF4D44" w14:textId="52C53EBF" w:rsidR="0065272E" w:rsidRPr="00932FEA" w:rsidRDefault="0065272E" w:rsidP="000920EB">
            <w:pPr>
              <w:pStyle w:val="ListParagraph"/>
              <w:keepNext/>
              <w:widowControl w:val="0"/>
              <w:numPr>
                <w:ilvl w:val="1"/>
                <w:numId w:val="9"/>
              </w:numPr>
              <w:pBdr>
                <w:top w:val="nil"/>
                <w:left w:val="nil"/>
                <w:bottom w:val="nil"/>
                <w:right w:val="nil"/>
                <w:between w:val="nil"/>
                <w:bar w:val="nil"/>
              </w:pBdr>
              <w:suppressAutoHyphens/>
              <w:spacing w:before="0" w:after="0"/>
              <w:rPr>
                <w:u w:color="414042"/>
              </w:rPr>
            </w:pPr>
            <w:r w:rsidRPr="00932FEA">
              <w:rPr>
                <w:u w:color="414042"/>
              </w:rPr>
              <w:t xml:space="preserve">reduction of the mark up on wheat and barley by 45 per cent within 8 years of entry into force of </w:t>
            </w:r>
            <w:proofErr w:type="gramStart"/>
            <w:r w:rsidR="00E567F7" w:rsidRPr="00932FEA">
              <w:rPr>
                <w:u w:color="414042"/>
              </w:rPr>
              <w:t>CPTPP</w:t>
            </w:r>
            <w:r w:rsidRPr="00932FEA">
              <w:rPr>
                <w:u w:color="414042"/>
              </w:rPr>
              <w:t>;</w:t>
            </w:r>
            <w:proofErr w:type="gramEnd"/>
          </w:p>
          <w:p w14:paraId="31A3EE30" w14:textId="77777777" w:rsidR="0065272E" w:rsidRPr="00932FEA" w:rsidRDefault="0065272E" w:rsidP="000920EB">
            <w:pPr>
              <w:pStyle w:val="ListParagraph"/>
              <w:keepNext/>
              <w:widowControl w:val="0"/>
              <w:numPr>
                <w:ilvl w:val="1"/>
                <w:numId w:val="9"/>
              </w:numPr>
              <w:pBdr>
                <w:top w:val="nil"/>
                <w:left w:val="nil"/>
                <w:bottom w:val="nil"/>
                <w:right w:val="nil"/>
                <w:between w:val="nil"/>
                <w:bar w:val="nil"/>
              </w:pBdr>
              <w:suppressAutoHyphens/>
              <w:spacing w:before="0" w:after="0"/>
              <w:rPr>
                <w:u w:color="414042"/>
              </w:rPr>
            </w:pPr>
            <w:r w:rsidRPr="00932FEA">
              <w:rPr>
                <w:u w:color="414042"/>
              </w:rPr>
              <w:t>the creation of new quota volumes for wheat and barley under the simultaneous buy-sell mechanism. Australia’s exports of these products to Japan were worth $1 billion in 2023; and</w:t>
            </w:r>
          </w:p>
          <w:p w14:paraId="78F58206" w14:textId="437DBE81" w:rsidR="0065272E" w:rsidRPr="00932FEA" w:rsidRDefault="0065272E" w:rsidP="000920EB">
            <w:pPr>
              <w:pStyle w:val="ListParagraph"/>
              <w:keepNext/>
              <w:widowControl w:val="0"/>
              <w:numPr>
                <w:ilvl w:val="1"/>
                <w:numId w:val="9"/>
              </w:numPr>
              <w:pBdr>
                <w:top w:val="nil"/>
                <w:left w:val="nil"/>
                <w:bottom w:val="nil"/>
                <w:right w:val="nil"/>
                <w:between w:val="nil"/>
                <w:bar w:val="nil"/>
              </w:pBdr>
              <w:suppressAutoHyphens/>
              <w:spacing w:before="0" w:after="0"/>
              <w:rPr>
                <w:u w:color="414042"/>
              </w:rPr>
            </w:pPr>
            <w:r w:rsidRPr="00932FEA">
              <w:rPr>
                <w:u w:color="414042"/>
              </w:rPr>
              <w:t xml:space="preserve">new quota access for </w:t>
            </w:r>
            <w:r w:rsidR="001C0CD3">
              <w:rPr>
                <w:u w:color="414042"/>
              </w:rPr>
              <w:t xml:space="preserve">Australian </w:t>
            </w:r>
            <w:r w:rsidRPr="00932FEA">
              <w:rPr>
                <w:u w:color="414042"/>
              </w:rPr>
              <w:t xml:space="preserve">malt </w:t>
            </w:r>
            <w:proofErr w:type="gramStart"/>
            <w:r w:rsidRPr="00932FEA">
              <w:rPr>
                <w:u w:color="414042"/>
              </w:rPr>
              <w:t>exports;</w:t>
            </w:r>
            <w:proofErr w:type="gramEnd"/>
          </w:p>
          <w:p w14:paraId="7D8A112B" w14:textId="0240FD66" w:rsidR="0065272E" w:rsidRPr="00932FEA" w:rsidRDefault="0065272E" w:rsidP="000920EB">
            <w:pPr>
              <w:pStyle w:val="ListParagraph"/>
              <w:keepNext/>
              <w:widowControl w:val="0"/>
              <w:numPr>
                <w:ilvl w:val="0"/>
                <w:numId w:val="9"/>
              </w:numPr>
              <w:pBdr>
                <w:top w:val="nil"/>
                <w:left w:val="nil"/>
                <w:bottom w:val="nil"/>
                <w:right w:val="nil"/>
                <w:between w:val="nil"/>
                <w:bar w:val="nil"/>
              </w:pBdr>
              <w:suppressAutoHyphens/>
              <w:spacing w:before="0" w:after="0"/>
              <w:rPr>
                <w:u w:color="414042"/>
              </w:rPr>
            </w:pPr>
            <w:r w:rsidRPr="00932FEA">
              <w:rPr>
                <w:u w:color="414042"/>
              </w:rPr>
              <w:t xml:space="preserve">Elimination of Mexican tariffs on wheat (previously 67 per cent) within 10 years of entry into force of </w:t>
            </w:r>
            <w:proofErr w:type="gramStart"/>
            <w:r w:rsidR="00E567F7" w:rsidRPr="00932FEA">
              <w:rPr>
                <w:u w:color="414042"/>
              </w:rPr>
              <w:t>CPTPP</w:t>
            </w:r>
            <w:r w:rsidRPr="00932FEA">
              <w:rPr>
                <w:u w:color="414042"/>
              </w:rPr>
              <w:t>;</w:t>
            </w:r>
            <w:proofErr w:type="gramEnd"/>
          </w:p>
          <w:p w14:paraId="34C19B87" w14:textId="1B8106BE" w:rsidR="0065272E" w:rsidRPr="00932FEA" w:rsidRDefault="0065272E" w:rsidP="000920EB">
            <w:pPr>
              <w:pStyle w:val="ListParagraph"/>
              <w:keepNext/>
              <w:widowControl w:val="0"/>
              <w:numPr>
                <w:ilvl w:val="0"/>
                <w:numId w:val="9"/>
              </w:numPr>
              <w:pBdr>
                <w:top w:val="nil"/>
                <w:left w:val="nil"/>
                <w:bottom w:val="nil"/>
                <w:right w:val="nil"/>
                <w:between w:val="nil"/>
                <w:bar w:val="nil"/>
              </w:pBdr>
              <w:suppressAutoHyphens/>
              <w:spacing w:before="0" w:after="0"/>
              <w:rPr>
                <w:u w:color="414042"/>
              </w:rPr>
            </w:pPr>
            <w:r w:rsidRPr="00932FEA">
              <w:rPr>
                <w:u w:color="414042"/>
              </w:rPr>
              <w:t xml:space="preserve">Elimination of Mexican tariffs on barley (previously 115 per cent) within 5 years of entry into force of </w:t>
            </w:r>
            <w:r w:rsidR="00E567F7" w:rsidRPr="00932FEA">
              <w:rPr>
                <w:u w:color="414042"/>
              </w:rPr>
              <w:t>CPTPP</w:t>
            </w:r>
            <w:r w:rsidRPr="00932FEA">
              <w:rPr>
                <w:u w:color="414042"/>
              </w:rPr>
              <w:t>; and</w:t>
            </w:r>
          </w:p>
          <w:p w14:paraId="1B374EDF" w14:textId="6B837936" w:rsidR="00937FD4" w:rsidRPr="00932FEA" w:rsidRDefault="0065272E" w:rsidP="000920EB">
            <w:pPr>
              <w:pStyle w:val="ListParagraph"/>
              <w:keepNext/>
              <w:widowControl w:val="0"/>
              <w:numPr>
                <w:ilvl w:val="0"/>
                <w:numId w:val="9"/>
              </w:numPr>
              <w:pBdr>
                <w:top w:val="nil"/>
                <w:left w:val="nil"/>
                <w:bottom w:val="nil"/>
                <w:right w:val="nil"/>
                <w:between w:val="nil"/>
                <w:bar w:val="nil"/>
              </w:pBdr>
              <w:suppressAutoHyphens/>
              <w:spacing w:before="0" w:after="0"/>
              <w:rPr>
                <w:rFonts w:eastAsia="Arial"/>
                <w:u w:color="414042"/>
              </w:rPr>
            </w:pPr>
            <w:r w:rsidRPr="00932FEA">
              <w:rPr>
                <w:u w:color="414042"/>
              </w:rPr>
              <w:t xml:space="preserve">Elimination of all Canadian tariffs on cereals and grains upon entry into force of </w:t>
            </w:r>
            <w:r w:rsidR="00E567F7" w:rsidRPr="00932FEA">
              <w:rPr>
                <w:u w:color="414042"/>
              </w:rPr>
              <w:t>CPTPP</w:t>
            </w:r>
            <w:r w:rsidRPr="00932FEA">
              <w:rPr>
                <w:u w:color="414042"/>
              </w:rPr>
              <w:t>.</w:t>
            </w:r>
          </w:p>
        </w:tc>
      </w:tr>
      <w:tr w:rsidR="00937FD4" w:rsidRPr="00932FEA" w14:paraId="473CCFAA" w14:textId="77777777" w:rsidTr="00AA02B2">
        <w:trPr>
          <w:cantSplit/>
          <w:trHeight w:val="1417"/>
        </w:trPr>
        <w:tc>
          <w:tcPr>
            <w:tcW w:w="0" w:type="auto"/>
          </w:tcPr>
          <w:p w14:paraId="37DDF684" w14:textId="77777777" w:rsidR="00937FD4" w:rsidRPr="00932FEA" w:rsidRDefault="00937FD4" w:rsidP="00AA02B2">
            <w:pPr>
              <w:pStyle w:val="Body"/>
              <w:keepNext/>
              <w:widowControl w:val="0"/>
              <w:suppressAutoHyphens/>
              <w:spacing w:after="200"/>
              <w:rPr>
                <w:rFonts w:asciiTheme="minorHAnsi" w:hAnsiTheme="minorHAnsi" w:cstheme="minorHAnsi"/>
                <w:color w:val="auto"/>
                <w:lang w:val="en-AU"/>
              </w:rPr>
            </w:pPr>
            <w:r w:rsidRPr="00932FEA">
              <w:rPr>
                <w:rFonts w:asciiTheme="minorHAnsi" w:hAnsiTheme="minorHAnsi" w:cstheme="minorHAnsi"/>
                <w:b/>
                <w:bCs/>
                <w:color w:val="auto"/>
                <w:u w:color="414042"/>
                <w:lang w:val="en-AU"/>
              </w:rPr>
              <w:lastRenderedPageBreak/>
              <w:t>Dairy</w:t>
            </w:r>
          </w:p>
        </w:tc>
        <w:tc>
          <w:tcPr>
            <w:tcW w:w="0" w:type="auto"/>
          </w:tcPr>
          <w:p w14:paraId="5CE0F303" w14:textId="6F33D55F" w:rsidR="007A09CB" w:rsidRPr="00932FEA" w:rsidRDefault="009C26F6" w:rsidP="00AA02B2">
            <w:pPr>
              <w:pStyle w:val="Body"/>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inorHAnsi" w:hAnsiTheme="minorHAnsi" w:cstheme="minorHAnsi"/>
                <w:color w:val="auto"/>
                <w:u w:color="414042"/>
                <w:lang w:val="en-AU"/>
              </w:rPr>
            </w:pPr>
            <w:r w:rsidRPr="00932FEA">
              <w:rPr>
                <w:rFonts w:asciiTheme="minorHAnsi" w:hAnsiTheme="minorHAnsi" w:cstheme="minorHAnsi"/>
                <w:color w:val="auto"/>
                <w:u w:color="414042"/>
                <w:lang w:val="en-AU"/>
              </w:rPr>
              <w:t xml:space="preserve">Total Australian dairy products exports were valued at more than $2.9 billion in 2023, and 31 per cent (valued at $919 million) was exported to CPTPP </w:t>
            </w:r>
            <w:r w:rsidR="00634FFE">
              <w:rPr>
                <w:rFonts w:asciiTheme="minorHAnsi" w:hAnsiTheme="minorHAnsi" w:cstheme="minorHAnsi"/>
                <w:color w:val="auto"/>
                <w:u w:color="414042"/>
                <w:lang w:val="en-AU"/>
              </w:rPr>
              <w:t>market</w:t>
            </w:r>
            <w:r w:rsidRPr="00932FEA">
              <w:rPr>
                <w:rFonts w:asciiTheme="minorHAnsi" w:hAnsiTheme="minorHAnsi" w:cstheme="minorHAnsi"/>
                <w:color w:val="auto"/>
                <w:u w:color="414042"/>
                <w:lang w:val="en-AU"/>
              </w:rPr>
              <w:t xml:space="preserve">s. </w:t>
            </w:r>
            <w:r w:rsidR="007A09CB" w:rsidRPr="00932FEA">
              <w:rPr>
                <w:rFonts w:asciiTheme="minorHAnsi" w:hAnsiTheme="minorHAnsi" w:cstheme="minorHAnsi"/>
                <w:color w:val="auto"/>
                <w:u w:color="414042"/>
                <w:lang w:val="en-AU"/>
              </w:rPr>
              <w:t>This is compared to $978 million in exports to CPTPP countries in 2018.</w:t>
            </w:r>
          </w:p>
          <w:p w14:paraId="1542C306" w14:textId="77777777" w:rsidR="007A09CB" w:rsidRPr="00932FEA" w:rsidRDefault="007A09CB" w:rsidP="00AA02B2">
            <w:pPr>
              <w:pStyle w:val="Body"/>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inorHAnsi" w:hAnsiTheme="minorHAnsi" w:cstheme="minorHAnsi"/>
                <w:color w:val="auto"/>
                <w:u w:color="414042"/>
                <w:lang w:val="en-AU"/>
              </w:rPr>
            </w:pPr>
          </w:p>
          <w:p w14:paraId="07BE0774" w14:textId="7DB00F83" w:rsidR="009C26F6" w:rsidRPr="00932FEA" w:rsidRDefault="009C26F6" w:rsidP="00AA02B2">
            <w:pPr>
              <w:pStyle w:val="Body"/>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inorHAnsi" w:hAnsiTheme="minorHAnsi" w:cstheme="minorHAnsi"/>
                <w:color w:val="auto"/>
                <w:u w:color="414042"/>
                <w:lang w:val="en-AU"/>
              </w:rPr>
            </w:pPr>
            <w:r w:rsidRPr="00932FEA">
              <w:rPr>
                <w:rFonts w:asciiTheme="minorHAnsi" w:hAnsiTheme="minorHAnsi" w:cstheme="minorHAnsi"/>
                <w:color w:val="auto"/>
                <w:u w:color="414042"/>
                <w:lang w:val="en-AU"/>
              </w:rPr>
              <w:t>Key CPTPP market access outcomes for Australian dairy producers and exporters include:</w:t>
            </w:r>
          </w:p>
          <w:p w14:paraId="203092AF" w14:textId="77777777" w:rsidR="009C26F6" w:rsidRPr="00932FEA" w:rsidRDefault="009C26F6" w:rsidP="000920EB">
            <w:pPr>
              <w:pStyle w:val="ListParagraph"/>
              <w:keepNext/>
              <w:widowControl w:val="0"/>
              <w:numPr>
                <w:ilvl w:val="0"/>
                <w:numId w:val="9"/>
              </w:numPr>
              <w:pBdr>
                <w:top w:val="nil"/>
                <w:left w:val="nil"/>
                <w:bottom w:val="nil"/>
                <w:right w:val="nil"/>
                <w:between w:val="nil"/>
                <w:bar w:val="nil"/>
              </w:pBdr>
              <w:suppressAutoHyphens/>
              <w:spacing w:before="0" w:after="0"/>
              <w:rPr>
                <w:u w:color="414042"/>
              </w:rPr>
            </w:pPr>
            <w:r w:rsidRPr="00932FEA">
              <w:rPr>
                <w:rFonts w:eastAsia="Arial"/>
                <w:u w:color="414042"/>
              </w:rPr>
              <w:t xml:space="preserve">Significant market access improvements in Japan for </w:t>
            </w:r>
            <w:r w:rsidRPr="00932FEA">
              <w:t>Australian</w:t>
            </w:r>
            <w:r w:rsidRPr="00932FEA">
              <w:rPr>
                <w:rFonts w:eastAsia="Arial"/>
                <w:u w:color="414042"/>
              </w:rPr>
              <w:t xml:space="preserve"> dairy.  Australian dairy exports to Japan were worth $397 million in 2023.  Building on JAEPA, outcomes include:</w:t>
            </w:r>
          </w:p>
          <w:p w14:paraId="0277F721" w14:textId="77777777" w:rsidR="009C26F6" w:rsidRPr="00932FEA" w:rsidRDefault="009C26F6" w:rsidP="000920EB">
            <w:pPr>
              <w:pStyle w:val="ListParagraph"/>
              <w:keepNext/>
              <w:widowControl w:val="0"/>
              <w:numPr>
                <w:ilvl w:val="1"/>
                <w:numId w:val="9"/>
              </w:numPr>
              <w:pBdr>
                <w:top w:val="nil"/>
                <w:left w:val="nil"/>
                <w:bottom w:val="nil"/>
                <w:right w:val="nil"/>
                <w:between w:val="nil"/>
                <w:bar w:val="nil"/>
              </w:pBdr>
              <w:suppressAutoHyphens/>
              <w:spacing w:before="0" w:after="0"/>
              <w:rPr>
                <w:rFonts w:eastAsia="Arial"/>
                <w:u w:color="414042"/>
              </w:rPr>
            </w:pPr>
            <w:r w:rsidRPr="00932FEA">
              <w:rPr>
                <w:rFonts w:eastAsia="Arial"/>
                <w:u w:color="414042"/>
              </w:rPr>
              <w:t xml:space="preserve">elimination of tariffs on certain cheese products, and tariff reductions and new quota allocations for remaining cheese </w:t>
            </w:r>
            <w:proofErr w:type="gramStart"/>
            <w:r w:rsidRPr="00932FEA">
              <w:rPr>
                <w:rFonts w:eastAsia="Arial"/>
                <w:u w:color="414042"/>
              </w:rPr>
              <w:t>products;</w:t>
            </w:r>
            <w:proofErr w:type="gramEnd"/>
          </w:p>
          <w:p w14:paraId="4F505F44" w14:textId="50877762" w:rsidR="009C26F6" w:rsidRPr="00932FEA" w:rsidRDefault="009C26F6" w:rsidP="000920EB">
            <w:pPr>
              <w:pStyle w:val="ListParagraph"/>
              <w:keepNext/>
              <w:widowControl w:val="0"/>
              <w:numPr>
                <w:ilvl w:val="1"/>
                <w:numId w:val="9"/>
              </w:numPr>
              <w:pBdr>
                <w:top w:val="nil"/>
                <w:left w:val="nil"/>
                <w:bottom w:val="nil"/>
                <w:right w:val="nil"/>
                <w:between w:val="nil"/>
                <w:bar w:val="nil"/>
              </w:pBdr>
              <w:suppressAutoHyphens/>
              <w:spacing w:before="0" w:after="0"/>
              <w:rPr>
                <w:rFonts w:eastAsia="Arial"/>
                <w:u w:color="414042"/>
              </w:rPr>
            </w:pPr>
            <w:r w:rsidRPr="00932FEA">
              <w:rPr>
                <w:rFonts w:eastAsia="Arial"/>
                <w:u w:color="414042"/>
              </w:rPr>
              <w:t xml:space="preserve">new quotas for butter and skim milk powder with the in-quota mark-up eliminated within 10 years of entry into force of </w:t>
            </w:r>
            <w:r w:rsidR="00E567F7" w:rsidRPr="00932FEA">
              <w:rPr>
                <w:rFonts w:eastAsia="Arial"/>
                <w:u w:color="414042"/>
              </w:rPr>
              <w:t>CPTPP</w:t>
            </w:r>
            <w:r w:rsidRPr="00932FEA">
              <w:rPr>
                <w:rFonts w:eastAsia="Arial"/>
                <w:u w:color="414042"/>
              </w:rPr>
              <w:t>; and</w:t>
            </w:r>
          </w:p>
          <w:p w14:paraId="596388F9" w14:textId="77777777" w:rsidR="009C26F6" w:rsidRPr="00932FEA" w:rsidRDefault="009C26F6" w:rsidP="000920EB">
            <w:pPr>
              <w:pStyle w:val="ListParagraph"/>
              <w:keepNext/>
              <w:widowControl w:val="0"/>
              <w:numPr>
                <w:ilvl w:val="1"/>
                <w:numId w:val="9"/>
              </w:numPr>
              <w:pBdr>
                <w:top w:val="nil"/>
                <w:left w:val="nil"/>
                <w:bottom w:val="nil"/>
                <w:right w:val="nil"/>
                <w:between w:val="nil"/>
                <w:bar w:val="nil"/>
              </w:pBdr>
              <w:suppressAutoHyphens/>
              <w:spacing w:before="0" w:after="0"/>
              <w:rPr>
                <w:rFonts w:eastAsia="Arial"/>
                <w:u w:color="414042"/>
              </w:rPr>
            </w:pPr>
            <w:r w:rsidRPr="00932FEA">
              <w:rPr>
                <w:rFonts w:eastAsia="Arial"/>
                <w:u w:color="414042"/>
              </w:rPr>
              <w:t xml:space="preserve">new quotas and tariff reductions for a range of dairy products including ice cream, whole milk powder, condensed milk, yoghurt and infant </w:t>
            </w:r>
            <w:proofErr w:type="gramStart"/>
            <w:r w:rsidRPr="00932FEA">
              <w:rPr>
                <w:rFonts w:eastAsia="Arial"/>
                <w:u w:color="414042"/>
              </w:rPr>
              <w:t>formula;</w:t>
            </w:r>
            <w:proofErr w:type="gramEnd"/>
          </w:p>
          <w:p w14:paraId="5A8A9E0F" w14:textId="6386C006" w:rsidR="009C26F6" w:rsidRPr="00932FEA" w:rsidRDefault="009C26F6" w:rsidP="000920EB">
            <w:pPr>
              <w:pStyle w:val="ListParagraph"/>
              <w:keepNext/>
              <w:widowControl w:val="0"/>
              <w:numPr>
                <w:ilvl w:val="0"/>
                <w:numId w:val="9"/>
              </w:numPr>
              <w:pBdr>
                <w:top w:val="nil"/>
                <w:left w:val="nil"/>
                <w:bottom w:val="nil"/>
                <w:right w:val="nil"/>
                <w:between w:val="nil"/>
                <w:bar w:val="nil"/>
              </w:pBdr>
              <w:suppressAutoHyphens/>
              <w:spacing w:before="0" w:after="0"/>
              <w:rPr>
                <w:u w:color="414042"/>
              </w:rPr>
            </w:pPr>
            <w:r w:rsidRPr="00932FEA">
              <w:t xml:space="preserve">Preferential access into the highly protected Canadian market with new quotas for dairy products including, cheese, milk powders and butter.  Tariffs on milk protein concentrates </w:t>
            </w:r>
            <w:r w:rsidR="00D00777">
              <w:t>were</w:t>
            </w:r>
            <w:r w:rsidRPr="00932FEA" w:rsidDel="00D00777">
              <w:t xml:space="preserve"> </w:t>
            </w:r>
            <w:r w:rsidRPr="00932FEA">
              <w:t xml:space="preserve">eliminated on entry into force; and </w:t>
            </w:r>
          </w:p>
          <w:p w14:paraId="274DCB88" w14:textId="12DE8AFB" w:rsidR="00937FD4" w:rsidRPr="00932FEA" w:rsidRDefault="009C26F6" w:rsidP="000920EB">
            <w:pPr>
              <w:pStyle w:val="ListParagraph"/>
              <w:keepNext/>
              <w:widowControl w:val="0"/>
              <w:numPr>
                <w:ilvl w:val="0"/>
                <w:numId w:val="9"/>
              </w:numPr>
              <w:pBdr>
                <w:top w:val="nil"/>
                <w:left w:val="nil"/>
                <w:bottom w:val="nil"/>
                <w:right w:val="nil"/>
                <w:between w:val="nil"/>
                <w:bar w:val="nil"/>
              </w:pBdr>
              <w:suppressAutoHyphens/>
              <w:spacing w:before="0" w:after="0"/>
              <w:rPr>
                <w:u w:color="414042"/>
              </w:rPr>
            </w:pPr>
            <w:r w:rsidRPr="00932FEA">
              <w:t>Mexico will create new quota access, including for butter, cheese and milk powders, and will eliminate tariffs on yoghurt.</w:t>
            </w:r>
          </w:p>
        </w:tc>
      </w:tr>
      <w:tr w:rsidR="00937FD4" w:rsidRPr="00932FEA" w14:paraId="1CB635A2" w14:textId="77777777" w:rsidTr="00AA02B2">
        <w:trPr>
          <w:cantSplit/>
          <w:trHeight w:val="265"/>
        </w:trPr>
        <w:tc>
          <w:tcPr>
            <w:tcW w:w="0" w:type="auto"/>
          </w:tcPr>
          <w:p w14:paraId="21321EDA" w14:textId="77777777" w:rsidR="00937FD4" w:rsidRPr="00932FEA" w:rsidRDefault="00937FD4" w:rsidP="00AA02B2">
            <w:pPr>
              <w:pStyle w:val="Body"/>
              <w:keepNext/>
              <w:widowControl w:val="0"/>
              <w:suppressAutoHyphens/>
              <w:spacing w:after="200"/>
              <w:rPr>
                <w:rFonts w:asciiTheme="minorHAnsi" w:eastAsia="Arial" w:hAnsiTheme="minorHAnsi" w:cstheme="minorHAnsi"/>
                <w:b/>
                <w:bCs/>
                <w:color w:val="auto"/>
                <w:u w:color="414042"/>
                <w:lang w:val="en-AU"/>
              </w:rPr>
            </w:pPr>
            <w:r w:rsidRPr="00932FEA">
              <w:rPr>
                <w:rFonts w:asciiTheme="minorHAnsi" w:hAnsiTheme="minorHAnsi" w:cstheme="minorHAnsi"/>
                <w:b/>
                <w:bCs/>
                <w:color w:val="auto"/>
                <w:u w:color="414042"/>
                <w:lang w:val="en-AU"/>
              </w:rPr>
              <w:t>Rice</w:t>
            </w:r>
          </w:p>
          <w:p w14:paraId="1AD6492B" w14:textId="77777777" w:rsidR="00937FD4" w:rsidRPr="00932FEA" w:rsidRDefault="00937FD4" w:rsidP="00AA02B2">
            <w:pPr>
              <w:pStyle w:val="Body"/>
              <w:keepNext/>
              <w:widowControl w:val="0"/>
              <w:suppressAutoHyphens/>
              <w:spacing w:after="200"/>
              <w:rPr>
                <w:rFonts w:asciiTheme="minorHAnsi" w:eastAsia="Arial" w:hAnsiTheme="minorHAnsi" w:cstheme="minorHAnsi"/>
                <w:b/>
                <w:bCs/>
                <w:color w:val="auto"/>
                <w:u w:color="414042"/>
                <w:lang w:val="en-AU"/>
              </w:rPr>
            </w:pPr>
          </w:p>
          <w:p w14:paraId="29C1C466" w14:textId="77777777" w:rsidR="00937FD4" w:rsidRPr="00932FEA" w:rsidRDefault="00937FD4" w:rsidP="00AA02B2">
            <w:pPr>
              <w:pStyle w:val="Body"/>
              <w:keepNext/>
              <w:widowControl w:val="0"/>
              <w:suppressAutoHyphens/>
              <w:spacing w:after="200"/>
              <w:rPr>
                <w:rFonts w:asciiTheme="minorHAnsi" w:hAnsiTheme="minorHAnsi" w:cstheme="minorHAnsi"/>
                <w:color w:val="auto"/>
                <w:lang w:val="en-AU"/>
              </w:rPr>
            </w:pPr>
          </w:p>
        </w:tc>
        <w:tc>
          <w:tcPr>
            <w:tcW w:w="0" w:type="auto"/>
          </w:tcPr>
          <w:p w14:paraId="3B9B59E9" w14:textId="3787EA17" w:rsidR="00F402D3" w:rsidRPr="00932FEA" w:rsidRDefault="00937FD4" w:rsidP="00AA02B2">
            <w:pPr>
              <w:pStyle w:val="Body"/>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inorHAnsi" w:hAnsiTheme="minorHAnsi" w:cstheme="minorHAnsi"/>
                <w:color w:val="auto"/>
                <w:u w:color="414042"/>
                <w:lang w:val="en-AU"/>
              </w:rPr>
            </w:pPr>
            <w:r w:rsidRPr="00932FEA">
              <w:rPr>
                <w:rFonts w:asciiTheme="minorHAnsi" w:hAnsiTheme="minorHAnsi" w:cstheme="minorHAnsi"/>
                <w:color w:val="auto"/>
                <w:u w:color="414042"/>
                <w:lang w:val="en-AU"/>
              </w:rPr>
              <w:t xml:space="preserve">Total Australian rice exports were estimated to be </w:t>
            </w:r>
            <w:r w:rsidR="000403DC">
              <w:rPr>
                <w:rFonts w:asciiTheme="minorHAnsi" w:hAnsiTheme="minorHAnsi" w:cstheme="minorHAnsi"/>
                <w:color w:val="auto"/>
                <w:u w:color="414042"/>
                <w:lang w:val="en-AU"/>
              </w:rPr>
              <w:t xml:space="preserve">worth </w:t>
            </w:r>
            <w:r w:rsidRPr="00932FEA">
              <w:rPr>
                <w:rFonts w:asciiTheme="minorHAnsi" w:hAnsiTheme="minorHAnsi" w:cstheme="minorHAnsi"/>
                <w:color w:val="auto"/>
                <w:u w:color="414042"/>
                <w:lang w:val="en-AU"/>
              </w:rPr>
              <w:t>$4</w:t>
            </w:r>
            <w:r w:rsidR="0099314B" w:rsidRPr="00932FEA">
              <w:rPr>
                <w:rFonts w:asciiTheme="minorHAnsi" w:hAnsiTheme="minorHAnsi" w:cstheme="minorHAnsi"/>
                <w:color w:val="auto"/>
                <w:u w:color="414042"/>
                <w:lang w:val="en-AU"/>
              </w:rPr>
              <w:t>09</w:t>
            </w:r>
            <w:r w:rsidRPr="00932FEA">
              <w:rPr>
                <w:rFonts w:asciiTheme="minorHAnsi" w:hAnsiTheme="minorHAnsi" w:cstheme="minorHAnsi"/>
                <w:color w:val="auto"/>
                <w:u w:color="414042"/>
                <w:lang w:val="en-AU"/>
              </w:rPr>
              <w:t xml:space="preserve"> million in </w:t>
            </w:r>
            <w:r w:rsidR="0099314B" w:rsidRPr="00932FEA">
              <w:rPr>
                <w:rFonts w:asciiTheme="minorHAnsi" w:hAnsiTheme="minorHAnsi" w:cstheme="minorHAnsi"/>
                <w:color w:val="auto"/>
                <w:u w:color="414042"/>
                <w:lang w:val="en-AU"/>
              </w:rPr>
              <w:t>2023</w:t>
            </w:r>
            <w:r w:rsidR="00F402D3" w:rsidRPr="00932FEA">
              <w:rPr>
                <w:rFonts w:asciiTheme="minorHAnsi" w:hAnsiTheme="minorHAnsi" w:cstheme="minorHAnsi"/>
                <w:color w:val="auto"/>
                <w:u w:color="414042"/>
                <w:lang w:val="en-AU"/>
              </w:rPr>
              <w:t>, up from $315 million in 2018. Despite additional access for rice exports to Japan, this has not yet been utilised by Australian exporters.</w:t>
            </w:r>
            <w:r w:rsidRPr="00932FEA">
              <w:rPr>
                <w:rFonts w:asciiTheme="minorHAnsi" w:hAnsiTheme="minorHAnsi" w:cstheme="minorHAnsi"/>
                <w:color w:val="auto"/>
                <w:u w:color="414042"/>
                <w:lang w:val="en-AU"/>
              </w:rPr>
              <w:t xml:space="preserve"> </w:t>
            </w:r>
          </w:p>
          <w:p w14:paraId="5EAF2CF0" w14:textId="77777777" w:rsidR="00F402D3" w:rsidRPr="00932FEA" w:rsidRDefault="00F402D3" w:rsidP="00AA02B2">
            <w:pPr>
              <w:pStyle w:val="Body"/>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inorHAnsi" w:hAnsiTheme="minorHAnsi" w:cstheme="minorHAnsi"/>
                <w:color w:val="auto"/>
                <w:u w:color="414042"/>
                <w:lang w:val="en-AU"/>
              </w:rPr>
            </w:pPr>
          </w:p>
          <w:p w14:paraId="0998455D" w14:textId="41AE819D" w:rsidR="00937FD4" w:rsidRPr="00932FEA" w:rsidRDefault="00937FD4" w:rsidP="00AA02B2">
            <w:pPr>
              <w:pStyle w:val="Body"/>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inorHAnsi" w:hAnsiTheme="minorHAnsi" w:cstheme="minorHAnsi"/>
                <w:u w:color="414042"/>
              </w:rPr>
            </w:pPr>
            <w:r w:rsidRPr="00932FEA">
              <w:rPr>
                <w:rFonts w:asciiTheme="minorHAnsi" w:hAnsiTheme="minorHAnsi" w:cstheme="minorHAnsi"/>
                <w:color w:val="auto"/>
                <w:u w:color="414042"/>
                <w:lang w:val="en-AU"/>
              </w:rPr>
              <w:t xml:space="preserve">Key </w:t>
            </w:r>
            <w:r w:rsidR="008B7024" w:rsidRPr="00932FEA">
              <w:rPr>
                <w:rFonts w:asciiTheme="minorHAnsi" w:hAnsiTheme="minorHAnsi" w:cstheme="minorHAnsi"/>
                <w:color w:val="auto"/>
                <w:u w:color="414042"/>
                <w:lang w:val="en-AU"/>
              </w:rPr>
              <w:t>CPTPP</w:t>
            </w:r>
            <w:r w:rsidRPr="00932FEA">
              <w:rPr>
                <w:rFonts w:asciiTheme="minorHAnsi" w:hAnsiTheme="minorHAnsi" w:cstheme="minorHAnsi"/>
                <w:color w:val="auto"/>
                <w:u w:color="414042"/>
                <w:lang w:val="en-AU"/>
              </w:rPr>
              <w:t xml:space="preserve"> market access outcomes include: </w:t>
            </w:r>
          </w:p>
          <w:p w14:paraId="31A9BF20" w14:textId="1247023B" w:rsidR="00937FD4" w:rsidRPr="00932FEA" w:rsidRDefault="00937FD4" w:rsidP="000920EB">
            <w:pPr>
              <w:pStyle w:val="ListParagraph"/>
              <w:keepNext/>
              <w:widowControl w:val="0"/>
              <w:numPr>
                <w:ilvl w:val="0"/>
                <w:numId w:val="14"/>
              </w:numPr>
              <w:pBdr>
                <w:top w:val="nil"/>
                <w:left w:val="nil"/>
                <w:bottom w:val="nil"/>
                <w:right w:val="nil"/>
                <w:between w:val="nil"/>
                <w:bar w:val="nil"/>
              </w:pBdr>
              <w:suppressAutoHyphens/>
              <w:spacing w:before="0" w:after="0"/>
              <w:rPr>
                <w:rFonts w:eastAsia="Arial"/>
                <w:u w:color="414042"/>
              </w:rPr>
            </w:pPr>
            <w:r w:rsidRPr="00932FEA">
              <w:rPr>
                <w:rFonts w:eastAsia="Arial"/>
                <w:u w:color="414042"/>
              </w:rPr>
              <w:t xml:space="preserve">For the first time since 1995, new quota access for Australia into Japan with a new 6,000 tonne quota from entry into force of </w:t>
            </w:r>
            <w:r w:rsidR="00E567F7" w:rsidRPr="00932FEA">
              <w:rPr>
                <w:rFonts w:eastAsia="Arial"/>
                <w:u w:color="414042"/>
              </w:rPr>
              <w:t>CPTPP</w:t>
            </w:r>
            <w:r w:rsidRPr="00932FEA">
              <w:rPr>
                <w:rFonts w:eastAsia="Arial"/>
                <w:u w:color="414042"/>
              </w:rPr>
              <w:t xml:space="preserve">, growing to 8,400 tonnes after 12 years, for Australian rice and rice flour exports.  Japan will also reduce tariffs on </w:t>
            </w:r>
            <w:proofErr w:type="gramStart"/>
            <w:r w:rsidRPr="00932FEA">
              <w:rPr>
                <w:rFonts w:eastAsia="Arial"/>
                <w:u w:color="414042"/>
              </w:rPr>
              <w:t>a number of</w:t>
            </w:r>
            <w:proofErr w:type="gramEnd"/>
            <w:r w:rsidRPr="00932FEA">
              <w:rPr>
                <w:rFonts w:eastAsia="Arial"/>
                <w:u w:color="414042"/>
              </w:rPr>
              <w:t xml:space="preserve"> rice preparation products; and</w:t>
            </w:r>
          </w:p>
          <w:p w14:paraId="58160D42" w14:textId="77777777" w:rsidR="00937FD4" w:rsidRPr="00932FEA" w:rsidRDefault="00937FD4" w:rsidP="000920EB">
            <w:pPr>
              <w:pStyle w:val="ListParagraph"/>
              <w:keepNext/>
              <w:widowControl w:val="0"/>
              <w:numPr>
                <w:ilvl w:val="0"/>
                <w:numId w:val="14"/>
              </w:numPr>
              <w:pBdr>
                <w:top w:val="nil"/>
                <w:left w:val="nil"/>
                <w:bottom w:val="nil"/>
                <w:right w:val="nil"/>
                <w:between w:val="nil"/>
                <w:bar w:val="nil"/>
              </w:pBdr>
              <w:suppressAutoHyphens/>
              <w:spacing w:before="0" w:after="0"/>
              <w:rPr>
                <w:rFonts w:eastAsia="Arial"/>
                <w:u w:color="414042"/>
              </w:rPr>
            </w:pPr>
            <w:r w:rsidRPr="00932FEA">
              <w:rPr>
                <w:rFonts w:eastAsia="Arial"/>
                <w:u w:color="414042"/>
              </w:rPr>
              <w:t>Improvements to Japan’s tendering process for rice.  Japan will now offer tenders 6 times a year, including an additional tender in May in line with Australia’s growing season.</w:t>
            </w:r>
          </w:p>
        </w:tc>
      </w:tr>
      <w:tr w:rsidR="00937FD4" w:rsidRPr="00932FEA" w14:paraId="4FEE1FF6" w14:textId="77777777" w:rsidTr="00AA02B2">
        <w:trPr>
          <w:cantSplit/>
          <w:trHeight w:val="561"/>
        </w:trPr>
        <w:tc>
          <w:tcPr>
            <w:tcW w:w="0" w:type="auto"/>
          </w:tcPr>
          <w:p w14:paraId="78C4864F" w14:textId="77777777" w:rsidR="00937FD4" w:rsidRPr="00932FEA" w:rsidRDefault="00937FD4" w:rsidP="00AA02B2">
            <w:pPr>
              <w:pStyle w:val="Body"/>
              <w:keepNext/>
              <w:widowControl w:val="0"/>
              <w:suppressAutoHyphens/>
              <w:spacing w:after="200"/>
              <w:rPr>
                <w:rFonts w:asciiTheme="minorHAnsi" w:hAnsiTheme="minorHAnsi" w:cstheme="minorHAnsi"/>
                <w:color w:val="auto"/>
                <w:lang w:val="en-AU"/>
              </w:rPr>
            </w:pPr>
            <w:r w:rsidRPr="00932FEA">
              <w:rPr>
                <w:rFonts w:asciiTheme="minorHAnsi" w:hAnsiTheme="minorHAnsi" w:cstheme="minorHAnsi"/>
                <w:b/>
                <w:bCs/>
                <w:color w:val="auto"/>
                <w:u w:color="414042"/>
                <w:lang w:val="en-AU"/>
              </w:rPr>
              <w:lastRenderedPageBreak/>
              <w:t xml:space="preserve">Sugar </w:t>
            </w:r>
          </w:p>
        </w:tc>
        <w:tc>
          <w:tcPr>
            <w:tcW w:w="0" w:type="auto"/>
          </w:tcPr>
          <w:p w14:paraId="7B0FA469" w14:textId="57A909AB" w:rsidR="00FE7803" w:rsidRPr="00932FEA" w:rsidRDefault="00FE7803" w:rsidP="00AA02B2">
            <w:pPr>
              <w:pStyle w:val="Body"/>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inorHAnsi" w:hAnsiTheme="minorHAnsi" w:cstheme="minorHAnsi"/>
                <w:color w:val="auto"/>
                <w:u w:color="414042"/>
                <w:lang w:val="en-AU"/>
              </w:rPr>
            </w:pPr>
            <w:r w:rsidRPr="00932FEA">
              <w:rPr>
                <w:rFonts w:asciiTheme="minorHAnsi" w:hAnsiTheme="minorHAnsi" w:cstheme="minorHAnsi"/>
                <w:color w:val="auto"/>
                <w:u w:color="414042"/>
                <w:lang w:val="en-AU"/>
              </w:rPr>
              <w:t xml:space="preserve">Total Australian exports of sugar were estimated to be </w:t>
            </w:r>
            <w:r w:rsidR="00451B52">
              <w:rPr>
                <w:rFonts w:asciiTheme="minorHAnsi" w:hAnsiTheme="minorHAnsi" w:cstheme="minorHAnsi"/>
                <w:color w:val="auto"/>
                <w:u w:color="414042"/>
                <w:lang w:val="en-AU"/>
              </w:rPr>
              <w:t>worth</w:t>
            </w:r>
            <w:r w:rsidRPr="00932FEA">
              <w:rPr>
                <w:rFonts w:asciiTheme="minorHAnsi" w:hAnsiTheme="minorHAnsi" w:cstheme="minorHAnsi"/>
                <w:color w:val="auto"/>
                <w:u w:color="414042"/>
                <w:lang w:val="en-AU"/>
              </w:rPr>
              <w:t xml:space="preserve"> $2.2 billion in 2023, compared to $1.8 billion in 2018, and around half of these exports (valued at $1.1 billion) went to CPTPP </w:t>
            </w:r>
            <w:r w:rsidR="00EF324B">
              <w:rPr>
                <w:rFonts w:asciiTheme="minorHAnsi" w:hAnsiTheme="minorHAnsi" w:cstheme="minorHAnsi"/>
                <w:color w:val="auto"/>
                <w:u w:color="414042"/>
                <w:lang w:val="en-AU"/>
              </w:rPr>
              <w:t>markets</w:t>
            </w:r>
            <w:r w:rsidRPr="00932FEA">
              <w:rPr>
                <w:rFonts w:asciiTheme="minorHAnsi" w:hAnsiTheme="minorHAnsi" w:cstheme="minorHAnsi"/>
                <w:color w:val="auto"/>
                <w:u w:color="414042"/>
                <w:lang w:val="en-AU"/>
              </w:rPr>
              <w:t xml:space="preserve">. CPTPP market access gains for Australian sugar producers and exporters include: </w:t>
            </w:r>
          </w:p>
          <w:p w14:paraId="22234A21" w14:textId="4D6CC4E3" w:rsidR="00FE7803" w:rsidRPr="00932FEA" w:rsidRDefault="00FE7803" w:rsidP="000920EB">
            <w:pPr>
              <w:pStyle w:val="ListParagraph"/>
              <w:keepNext/>
              <w:widowControl w:val="0"/>
              <w:numPr>
                <w:ilvl w:val="0"/>
                <w:numId w:val="14"/>
              </w:numPr>
              <w:pBdr>
                <w:top w:val="nil"/>
                <w:left w:val="nil"/>
                <w:bottom w:val="nil"/>
                <w:right w:val="nil"/>
                <w:between w:val="nil"/>
                <w:bar w:val="nil"/>
              </w:pBdr>
              <w:suppressAutoHyphens/>
              <w:spacing w:before="0" w:after="0"/>
              <w:rPr>
                <w:rFonts w:eastAsia="Arial"/>
                <w:u w:color="414042"/>
              </w:rPr>
            </w:pPr>
            <w:r w:rsidRPr="00932FEA">
              <w:rPr>
                <w:rFonts w:eastAsia="Arial"/>
                <w:u w:color="414042"/>
              </w:rPr>
              <w:t xml:space="preserve">Building on JAEPA, elimination of Japan’s tariff and reduction in the levy on high polarity sugar exports on entry into force of </w:t>
            </w:r>
            <w:r w:rsidR="00E567F7" w:rsidRPr="00932FEA">
              <w:rPr>
                <w:rFonts w:eastAsia="Arial"/>
                <w:u w:color="414042"/>
              </w:rPr>
              <w:t>CPTPP</w:t>
            </w:r>
            <w:r w:rsidRPr="00932FEA">
              <w:rPr>
                <w:rFonts w:eastAsia="Arial"/>
                <w:u w:color="414042"/>
              </w:rPr>
              <w:t>. In 2023, Australian sugar exports to Japan were estimated to be valued at $1</w:t>
            </w:r>
            <w:r w:rsidR="00843B49">
              <w:rPr>
                <w:rFonts w:eastAsia="Arial"/>
                <w:u w:color="414042"/>
              </w:rPr>
              <w:t xml:space="preserve"> </w:t>
            </w:r>
            <w:r w:rsidRPr="00932FEA">
              <w:rPr>
                <w:rFonts w:eastAsia="Arial"/>
                <w:u w:color="414042"/>
              </w:rPr>
              <w:t xml:space="preserve">billion, up from $364 million in </w:t>
            </w:r>
            <w:proofErr w:type="gramStart"/>
            <w:r w:rsidRPr="00932FEA">
              <w:rPr>
                <w:rFonts w:eastAsia="Arial"/>
                <w:u w:color="414042"/>
              </w:rPr>
              <w:t>2018;</w:t>
            </w:r>
            <w:proofErr w:type="gramEnd"/>
          </w:p>
          <w:p w14:paraId="3EDFA2BD" w14:textId="3BB27523" w:rsidR="00FE7803" w:rsidRPr="00932FEA" w:rsidRDefault="00FE7803" w:rsidP="000920EB">
            <w:pPr>
              <w:pStyle w:val="ListParagraph"/>
              <w:keepNext/>
              <w:widowControl w:val="0"/>
              <w:numPr>
                <w:ilvl w:val="0"/>
                <w:numId w:val="14"/>
              </w:numPr>
              <w:pBdr>
                <w:top w:val="nil"/>
                <w:left w:val="nil"/>
                <w:bottom w:val="nil"/>
                <w:right w:val="nil"/>
                <w:between w:val="nil"/>
                <w:bar w:val="nil"/>
              </w:pBdr>
              <w:suppressAutoHyphens/>
              <w:spacing w:before="0" w:after="0"/>
              <w:rPr>
                <w:rFonts w:eastAsia="Arial"/>
                <w:u w:color="414042"/>
              </w:rPr>
            </w:pPr>
            <w:r w:rsidRPr="00932FEA">
              <w:rPr>
                <w:rFonts w:eastAsia="Arial"/>
                <w:u w:color="414042"/>
              </w:rPr>
              <w:t>Elimination of Canada’s tariffs on refined sugar (currently C</w:t>
            </w:r>
            <w:r w:rsidR="00833D78">
              <w:rPr>
                <w:rFonts w:eastAsia="Arial"/>
                <w:u w:color="414042"/>
              </w:rPr>
              <w:t>A</w:t>
            </w:r>
            <w:r w:rsidRPr="00932FEA">
              <w:rPr>
                <w:rFonts w:eastAsia="Arial"/>
                <w:u w:color="414042"/>
              </w:rPr>
              <w:t>$30.86</w:t>
            </w:r>
            <w:r w:rsidR="00936DDA">
              <w:rPr>
                <w:rFonts w:eastAsia="Arial"/>
                <w:u w:color="414042"/>
              </w:rPr>
              <w:t xml:space="preserve"> per </w:t>
            </w:r>
            <w:r w:rsidRPr="00932FEA">
              <w:rPr>
                <w:rFonts w:eastAsia="Arial"/>
                <w:u w:color="414042"/>
              </w:rPr>
              <w:t xml:space="preserve">tonne) within 5 years of entry into force of </w:t>
            </w:r>
            <w:r w:rsidR="00E567F7" w:rsidRPr="00932FEA">
              <w:rPr>
                <w:rFonts w:eastAsia="Arial"/>
                <w:u w:color="414042"/>
              </w:rPr>
              <w:t>CPTPP</w:t>
            </w:r>
            <w:r w:rsidRPr="00932FEA">
              <w:rPr>
                <w:rFonts w:eastAsia="Arial"/>
                <w:u w:color="414042"/>
              </w:rPr>
              <w:t xml:space="preserve">. Australia already has duty free access for raw sugar into </w:t>
            </w:r>
            <w:proofErr w:type="gramStart"/>
            <w:r w:rsidRPr="00932FEA">
              <w:rPr>
                <w:rFonts w:eastAsia="Arial"/>
                <w:u w:color="414042"/>
              </w:rPr>
              <w:t>Canada;</w:t>
            </w:r>
            <w:proofErr w:type="gramEnd"/>
          </w:p>
          <w:p w14:paraId="247302D4" w14:textId="77777777" w:rsidR="00FE7803" w:rsidRPr="00932FEA" w:rsidRDefault="00FE7803" w:rsidP="000920EB">
            <w:pPr>
              <w:pStyle w:val="ListParagraph"/>
              <w:keepNext/>
              <w:widowControl w:val="0"/>
              <w:numPr>
                <w:ilvl w:val="0"/>
                <w:numId w:val="14"/>
              </w:numPr>
              <w:pBdr>
                <w:top w:val="nil"/>
                <w:left w:val="nil"/>
                <w:bottom w:val="nil"/>
                <w:right w:val="nil"/>
                <w:between w:val="nil"/>
                <w:bar w:val="nil"/>
              </w:pBdr>
              <w:suppressAutoHyphens/>
              <w:spacing w:before="0" w:after="0"/>
              <w:rPr>
                <w:rFonts w:eastAsia="Arial"/>
                <w:u w:color="414042"/>
              </w:rPr>
            </w:pPr>
            <w:r w:rsidRPr="00932FEA">
              <w:rPr>
                <w:rFonts w:eastAsia="Arial"/>
                <w:u w:color="414042"/>
              </w:rPr>
              <w:t>Mexico will also apportion Australia a guaranteed 7 per cent of any tariff rate quota for raw sugar in the years in which it is offered.  Australia is only the sixth country Mexico has offered</w:t>
            </w:r>
            <w:r w:rsidRPr="00932FEA">
              <w:t xml:space="preserve"> such an </w:t>
            </w:r>
            <w:proofErr w:type="gramStart"/>
            <w:r w:rsidRPr="00932FEA">
              <w:t>outcome;</w:t>
            </w:r>
            <w:proofErr w:type="gramEnd"/>
          </w:p>
          <w:p w14:paraId="6B405482" w14:textId="362ADB14" w:rsidR="00FE7803" w:rsidRPr="00932FEA" w:rsidRDefault="00FE7803" w:rsidP="000920EB">
            <w:pPr>
              <w:pStyle w:val="ListParagraph"/>
              <w:keepNext/>
              <w:widowControl w:val="0"/>
              <w:numPr>
                <w:ilvl w:val="0"/>
                <w:numId w:val="14"/>
              </w:numPr>
              <w:pBdr>
                <w:top w:val="nil"/>
                <w:left w:val="nil"/>
                <w:bottom w:val="nil"/>
                <w:right w:val="nil"/>
                <w:between w:val="nil"/>
                <w:bar w:val="nil"/>
              </w:pBdr>
              <w:suppressAutoHyphens/>
              <w:spacing w:before="0" w:after="0"/>
              <w:rPr>
                <w:rFonts w:eastAsia="Arial"/>
                <w:u w:color="414042"/>
              </w:rPr>
            </w:pPr>
            <w:r w:rsidRPr="00932FEA">
              <w:t xml:space="preserve">Elimination of in-quota tariffs on Vietnam’s WTO sugar quota </w:t>
            </w:r>
            <w:r w:rsidR="00183572">
              <w:t>within 11 years</w:t>
            </w:r>
            <w:r w:rsidR="00602CB3">
              <w:t xml:space="preserve"> of entry into force</w:t>
            </w:r>
            <w:r w:rsidRPr="00932FEA">
              <w:t>; and</w:t>
            </w:r>
          </w:p>
          <w:p w14:paraId="60156A9F" w14:textId="1DF6E2BC" w:rsidR="00937FD4" w:rsidRPr="00932FEA" w:rsidRDefault="00FE7803" w:rsidP="000920EB">
            <w:pPr>
              <w:pStyle w:val="ListParagraph"/>
              <w:keepNext/>
              <w:widowControl w:val="0"/>
              <w:numPr>
                <w:ilvl w:val="0"/>
                <w:numId w:val="14"/>
              </w:numPr>
              <w:pBdr>
                <w:top w:val="nil"/>
                <w:left w:val="nil"/>
                <w:bottom w:val="nil"/>
                <w:right w:val="nil"/>
                <w:between w:val="nil"/>
                <w:bar w:val="nil"/>
              </w:pBdr>
              <w:suppressAutoHyphens/>
              <w:spacing w:before="0" w:after="0"/>
              <w:rPr>
                <w:rFonts w:eastAsia="Arial"/>
                <w:u w:color="414042"/>
              </w:rPr>
            </w:pPr>
            <w:r w:rsidRPr="00932FEA">
              <w:rPr>
                <w:rFonts w:eastAsia="Arial"/>
                <w:u w:color="414042"/>
              </w:rPr>
              <w:t>Malaysia has committed to allow Australia to engage in the wholesale distribution of refined sugar in Malaysia for use in the food and beverage industry.</w:t>
            </w:r>
          </w:p>
        </w:tc>
      </w:tr>
      <w:tr w:rsidR="00937FD4" w:rsidRPr="00932FEA" w14:paraId="1BE8B5A3" w14:textId="77777777" w:rsidTr="00AA02B2">
        <w:trPr>
          <w:cantSplit/>
          <w:trHeight w:val="2946"/>
        </w:trPr>
        <w:tc>
          <w:tcPr>
            <w:tcW w:w="0" w:type="auto"/>
          </w:tcPr>
          <w:p w14:paraId="40BDE707" w14:textId="77777777" w:rsidR="00937FD4" w:rsidRPr="00932FEA" w:rsidRDefault="00937FD4" w:rsidP="00AA02B2">
            <w:pPr>
              <w:pStyle w:val="Body"/>
              <w:keepNext/>
              <w:widowControl w:val="0"/>
              <w:suppressAutoHyphens/>
              <w:spacing w:after="200"/>
              <w:rPr>
                <w:rFonts w:asciiTheme="minorHAnsi" w:hAnsiTheme="minorHAnsi" w:cstheme="minorHAnsi"/>
                <w:color w:val="auto"/>
                <w:lang w:val="en-AU"/>
              </w:rPr>
            </w:pPr>
            <w:r w:rsidRPr="00932FEA">
              <w:rPr>
                <w:rFonts w:asciiTheme="minorHAnsi" w:hAnsiTheme="minorHAnsi" w:cstheme="minorHAnsi"/>
                <w:b/>
                <w:bCs/>
                <w:color w:val="auto"/>
                <w:u w:color="414042"/>
                <w:lang w:val="en-AU"/>
              </w:rPr>
              <w:t>Cotton</w:t>
            </w:r>
          </w:p>
        </w:tc>
        <w:tc>
          <w:tcPr>
            <w:tcW w:w="0" w:type="auto"/>
          </w:tcPr>
          <w:p w14:paraId="78123DFF" w14:textId="211C228B" w:rsidR="0084656E" w:rsidRPr="00932FEA" w:rsidRDefault="0084656E" w:rsidP="00AA02B2">
            <w:pPr>
              <w:pStyle w:val="Body"/>
              <w:keepNext/>
              <w:widowControl w:val="0"/>
              <w:suppressAutoHyphens/>
              <w:rPr>
                <w:rFonts w:asciiTheme="minorHAnsi" w:hAnsiTheme="minorHAnsi" w:cstheme="minorHAnsi"/>
                <w:color w:val="auto"/>
                <w:u w:color="414042"/>
                <w:lang w:val="en-AU"/>
              </w:rPr>
            </w:pPr>
            <w:r w:rsidRPr="00932FEA">
              <w:rPr>
                <w:rFonts w:asciiTheme="minorHAnsi" w:hAnsiTheme="minorHAnsi" w:cstheme="minorHAnsi"/>
                <w:color w:val="auto"/>
                <w:u w:color="414042"/>
                <w:lang w:val="en-AU"/>
              </w:rPr>
              <w:t>Total Australian exports of cotton were valued at $1.9 billion in 2023</w:t>
            </w:r>
            <w:r w:rsidR="00C86448">
              <w:rPr>
                <w:rFonts w:asciiTheme="minorHAnsi" w:hAnsiTheme="minorHAnsi" w:cstheme="minorHAnsi"/>
                <w:color w:val="auto"/>
                <w:u w:color="414042"/>
                <w:lang w:val="en-AU"/>
              </w:rPr>
              <w:t xml:space="preserve"> (</w:t>
            </w:r>
            <w:r w:rsidRPr="00932FEA">
              <w:rPr>
                <w:rFonts w:asciiTheme="minorHAnsi" w:hAnsiTheme="minorHAnsi" w:cstheme="minorHAnsi"/>
                <w:color w:val="auto"/>
                <w:u w:color="414042"/>
                <w:lang w:val="en-AU"/>
              </w:rPr>
              <w:t xml:space="preserve">44 per cent of which were sent to CPTPP </w:t>
            </w:r>
            <w:r w:rsidR="00C86448">
              <w:rPr>
                <w:rFonts w:asciiTheme="minorHAnsi" w:hAnsiTheme="minorHAnsi" w:cstheme="minorHAnsi"/>
                <w:color w:val="auto"/>
                <w:u w:color="414042"/>
                <w:lang w:val="en-AU"/>
              </w:rPr>
              <w:t>market</w:t>
            </w:r>
            <w:r w:rsidR="00C86448" w:rsidRPr="00932FEA">
              <w:rPr>
                <w:rFonts w:asciiTheme="minorHAnsi" w:hAnsiTheme="minorHAnsi" w:cstheme="minorHAnsi"/>
                <w:color w:val="auto"/>
                <w:u w:color="414042"/>
                <w:lang w:val="en-AU"/>
              </w:rPr>
              <w:t>s</w:t>
            </w:r>
            <w:r w:rsidR="00C86448">
              <w:rPr>
                <w:rFonts w:asciiTheme="minorHAnsi" w:hAnsiTheme="minorHAnsi" w:cstheme="minorHAnsi"/>
                <w:color w:val="auto"/>
                <w:u w:color="414042"/>
                <w:lang w:val="en-AU"/>
              </w:rPr>
              <w:t>)</w:t>
            </w:r>
            <w:r w:rsidRPr="00932FEA">
              <w:rPr>
                <w:rFonts w:asciiTheme="minorHAnsi" w:hAnsiTheme="minorHAnsi" w:cstheme="minorHAnsi"/>
                <w:color w:val="auto"/>
                <w:u w:color="414042"/>
                <w:lang w:val="en-AU"/>
              </w:rPr>
              <w:t>, compared to $532 million in 2018.</w:t>
            </w:r>
          </w:p>
          <w:p w14:paraId="631F152F" w14:textId="77777777" w:rsidR="00937FD4" w:rsidRPr="00932FEA" w:rsidRDefault="00937FD4" w:rsidP="00AA02B2">
            <w:pPr>
              <w:pStyle w:val="Body"/>
              <w:keepNext/>
              <w:widowControl w:val="0"/>
              <w:suppressAutoHyphens/>
              <w:rPr>
                <w:rFonts w:asciiTheme="minorHAnsi" w:hAnsiTheme="minorHAnsi" w:cstheme="minorHAnsi"/>
                <w:color w:val="auto"/>
                <w:u w:color="414042"/>
                <w:lang w:val="en-AU"/>
              </w:rPr>
            </w:pPr>
          </w:p>
          <w:p w14:paraId="3A7C8B9C" w14:textId="57A5E60A" w:rsidR="00937FD4" w:rsidRPr="00932FEA" w:rsidRDefault="00937FD4" w:rsidP="00AA02B2">
            <w:pPr>
              <w:pStyle w:val="Body"/>
              <w:keepNext/>
              <w:widowControl w:val="0"/>
              <w:suppressAutoHyphens/>
              <w:rPr>
                <w:rFonts w:asciiTheme="minorHAnsi" w:hAnsiTheme="minorHAnsi" w:cstheme="minorHAnsi"/>
                <w:color w:val="auto"/>
                <w:lang w:val="en-AU"/>
              </w:rPr>
            </w:pPr>
            <w:r w:rsidRPr="00932FEA">
              <w:rPr>
                <w:rFonts w:asciiTheme="minorHAnsi" w:hAnsiTheme="minorHAnsi" w:cstheme="minorHAnsi"/>
                <w:color w:val="auto"/>
                <w:u w:color="414042"/>
                <w:lang w:val="en-AU"/>
              </w:rPr>
              <w:t xml:space="preserve">All tariffs on Australian cotton exports will be eliminated under </w:t>
            </w:r>
            <w:r w:rsidR="00E567F7" w:rsidRPr="00932FEA">
              <w:rPr>
                <w:rFonts w:asciiTheme="minorHAnsi" w:hAnsiTheme="minorHAnsi" w:cstheme="minorHAnsi"/>
                <w:color w:val="auto"/>
                <w:u w:color="414042"/>
                <w:lang w:val="en-AU"/>
              </w:rPr>
              <w:t>CPTPP</w:t>
            </w:r>
            <w:r w:rsidRPr="00932FEA">
              <w:rPr>
                <w:rFonts w:asciiTheme="minorHAnsi" w:hAnsiTheme="minorHAnsi" w:cstheme="minorHAnsi"/>
                <w:color w:val="auto"/>
                <w:u w:color="414042"/>
                <w:lang w:val="en-AU"/>
              </w:rPr>
              <w:t xml:space="preserve">, with most eliminated from entry into force. Australian cotton producers will also benefit from creation of new regional supply chains into the Japanese consumer market.  For example, clothing produced in Vietnam from Australian cotton will benefit from the elimination of Japanese tariffs on cotton products over 10 to 15 years – encouraging greater demand for Australian cotton in </w:t>
            </w:r>
            <w:r w:rsidR="00E567F7" w:rsidRPr="00932FEA">
              <w:rPr>
                <w:rFonts w:asciiTheme="minorHAnsi" w:hAnsiTheme="minorHAnsi" w:cstheme="minorHAnsi"/>
                <w:color w:val="auto"/>
                <w:u w:color="414042"/>
                <w:lang w:val="en-AU"/>
              </w:rPr>
              <w:t>CPTPP</w:t>
            </w:r>
            <w:r w:rsidRPr="00932FEA">
              <w:rPr>
                <w:rFonts w:asciiTheme="minorHAnsi" w:hAnsiTheme="minorHAnsi" w:cstheme="minorHAnsi"/>
                <w:color w:val="auto"/>
                <w:u w:color="414042"/>
                <w:lang w:val="en-AU"/>
              </w:rPr>
              <w:t xml:space="preserve"> region.</w:t>
            </w:r>
          </w:p>
        </w:tc>
      </w:tr>
      <w:tr w:rsidR="00743B01" w:rsidRPr="00932FEA" w14:paraId="107AAF0C" w14:textId="77777777" w:rsidTr="00AA02B2">
        <w:trPr>
          <w:cantSplit/>
          <w:trHeight w:val="5329"/>
        </w:trPr>
        <w:tc>
          <w:tcPr>
            <w:tcW w:w="0" w:type="auto"/>
          </w:tcPr>
          <w:p w14:paraId="68F4E34A" w14:textId="77777777" w:rsidR="00743B01" w:rsidRPr="00932FEA" w:rsidRDefault="00743B01" w:rsidP="00AA02B2">
            <w:pPr>
              <w:pStyle w:val="Body"/>
              <w:keepNext/>
              <w:widowControl w:val="0"/>
              <w:suppressAutoHyphens/>
              <w:spacing w:after="200"/>
              <w:rPr>
                <w:rFonts w:asciiTheme="minorHAnsi" w:hAnsiTheme="minorHAnsi" w:cstheme="minorHAnsi"/>
                <w:color w:val="auto"/>
                <w:lang w:val="en-AU"/>
              </w:rPr>
            </w:pPr>
            <w:r w:rsidRPr="00932FEA">
              <w:rPr>
                <w:rFonts w:asciiTheme="minorHAnsi" w:hAnsiTheme="minorHAnsi" w:cstheme="minorHAnsi"/>
                <w:b/>
                <w:bCs/>
                <w:color w:val="auto"/>
                <w:u w:color="414042"/>
                <w:lang w:val="en-AU"/>
              </w:rPr>
              <w:lastRenderedPageBreak/>
              <w:t xml:space="preserve">Wine </w:t>
            </w:r>
          </w:p>
        </w:tc>
        <w:tc>
          <w:tcPr>
            <w:tcW w:w="0" w:type="auto"/>
          </w:tcPr>
          <w:p w14:paraId="53F5C098" w14:textId="1276FCAE" w:rsidR="00743B01" w:rsidRPr="00932FEA" w:rsidRDefault="00743B01" w:rsidP="00AA02B2">
            <w:pPr>
              <w:pStyle w:val="Body"/>
              <w:keepNext/>
              <w:widowControl w:val="0"/>
              <w:suppressAutoHyphens/>
              <w:rPr>
                <w:rFonts w:asciiTheme="minorHAnsi" w:hAnsiTheme="minorHAnsi" w:cstheme="minorHAnsi"/>
                <w:color w:val="auto"/>
                <w:u w:color="414042"/>
                <w:lang w:val="en-AU"/>
              </w:rPr>
            </w:pPr>
            <w:r w:rsidRPr="00932FEA">
              <w:rPr>
                <w:rFonts w:asciiTheme="minorHAnsi" w:hAnsiTheme="minorHAnsi" w:cstheme="minorHAnsi"/>
                <w:color w:val="auto"/>
                <w:u w:color="414042"/>
                <w:lang w:val="en-AU"/>
              </w:rPr>
              <w:t xml:space="preserve">Total Australian wine exports were valued at more than $2 billion in 2023, down from $2.9 billion in 2018, and around 24 per cent of these exports (valued at $485 million) went to CPTPP </w:t>
            </w:r>
            <w:r w:rsidR="004E0FEE">
              <w:rPr>
                <w:rFonts w:asciiTheme="minorHAnsi" w:hAnsiTheme="minorHAnsi" w:cstheme="minorHAnsi"/>
                <w:color w:val="auto"/>
                <w:u w:color="414042"/>
                <w:lang w:val="en-AU"/>
              </w:rPr>
              <w:t>economie</w:t>
            </w:r>
            <w:r w:rsidRPr="00932FEA">
              <w:rPr>
                <w:rFonts w:asciiTheme="minorHAnsi" w:hAnsiTheme="minorHAnsi" w:cstheme="minorHAnsi"/>
                <w:color w:val="auto"/>
                <w:u w:color="414042"/>
                <w:lang w:val="en-AU"/>
              </w:rPr>
              <w:t xml:space="preserve">s.  CPTPP market access gains for Australian wine producers and exporters include: </w:t>
            </w:r>
          </w:p>
          <w:p w14:paraId="15EA60E9" w14:textId="0B4A73F4" w:rsidR="00743B01" w:rsidRPr="00932FEA" w:rsidRDefault="00743B01" w:rsidP="000920EB">
            <w:pPr>
              <w:pStyle w:val="ListParagraph"/>
              <w:keepNext/>
              <w:widowControl w:val="0"/>
              <w:numPr>
                <w:ilvl w:val="0"/>
                <w:numId w:val="14"/>
              </w:numPr>
              <w:suppressAutoHyphens/>
              <w:spacing w:before="0" w:after="0"/>
              <w:rPr>
                <w:rFonts w:eastAsia="Arial"/>
                <w:u w:color="414042"/>
              </w:rPr>
            </w:pPr>
            <w:r w:rsidRPr="00932FEA">
              <w:rPr>
                <w:rFonts w:eastAsia="Arial"/>
                <w:u w:color="414042"/>
              </w:rPr>
              <w:t>Elimination of Canada’s tariffs (</w:t>
            </w:r>
            <w:r w:rsidR="00BF31A0">
              <w:rPr>
                <w:rFonts w:eastAsia="Arial"/>
                <w:u w:color="414042"/>
              </w:rPr>
              <w:t>from</w:t>
            </w:r>
            <w:r w:rsidRPr="00932FEA">
              <w:rPr>
                <w:rFonts w:eastAsia="Arial"/>
                <w:u w:color="414042"/>
              </w:rPr>
              <w:t xml:space="preserve"> 1.87 c</w:t>
            </w:r>
            <w:r w:rsidR="007C73C2">
              <w:rPr>
                <w:rFonts w:eastAsia="Arial"/>
                <w:u w:color="414042"/>
              </w:rPr>
              <w:t xml:space="preserve">ents per </w:t>
            </w:r>
            <w:r w:rsidRPr="00932FEA">
              <w:rPr>
                <w:rFonts w:eastAsia="Arial"/>
                <w:u w:color="414042"/>
              </w:rPr>
              <w:t xml:space="preserve">litre </w:t>
            </w:r>
            <w:r w:rsidR="00BB4322">
              <w:rPr>
                <w:rFonts w:eastAsia="Arial"/>
                <w:u w:color="414042"/>
              </w:rPr>
              <w:t>to</w:t>
            </w:r>
            <w:r w:rsidRPr="00932FEA">
              <w:rPr>
                <w:rFonts w:eastAsia="Arial"/>
                <w:u w:color="414042"/>
              </w:rPr>
              <w:t xml:space="preserve"> 4.68 </w:t>
            </w:r>
            <w:r w:rsidR="00422D0F">
              <w:rPr>
                <w:rFonts w:eastAsia="Arial"/>
                <w:u w:color="414042"/>
              </w:rPr>
              <w:t xml:space="preserve">cents per </w:t>
            </w:r>
            <w:r w:rsidRPr="00932FEA">
              <w:rPr>
                <w:rFonts w:eastAsia="Arial"/>
                <w:u w:color="414042"/>
              </w:rPr>
              <w:t xml:space="preserve">litre) upon entry into force of </w:t>
            </w:r>
            <w:r w:rsidR="00E567F7" w:rsidRPr="00932FEA">
              <w:rPr>
                <w:rFonts w:eastAsia="Arial"/>
                <w:u w:color="414042"/>
              </w:rPr>
              <w:t>CPTPP</w:t>
            </w:r>
            <w:r w:rsidRPr="00932FEA">
              <w:rPr>
                <w:rFonts w:eastAsia="Arial"/>
                <w:u w:color="414042"/>
              </w:rPr>
              <w:t xml:space="preserve">.  Australian wine exports to Canada were valued at $142 million in 2023, down from $208 million in </w:t>
            </w:r>
            <w:proofErr w:type="gramStart"/>
            <w:r w:rsidRPr="00932FEA">
              <w:rPr>
                <w:rFonts w:eastAsia="Arial"/>
                <w:u w:color="414042"/>
              </w:rPr>
              <w:t>2018;</w:t>
            </w:r>
            <w:proofErr w:type="gramEnd"/>
            <w:r w:rsidRPr="00932FEA">
              <w:rPr>
                <w:rFonts w:eastAsia="Arial"/>
                <w:u w:color="414042"/>
              </w:rPr>
              <w:t xml:space="preserve"> </w:t>
            </w:r>
          </w:p>
          <w:p w14:paraId="5B948E61" w14:textId="380DB272" w:rsidR="00743B01" w:rsidRPr="00932FEA" w:rsidRDefault="00743B01" w:rsidP="000920EB">
            <w:pPr>
              <w:pStyle w:val="ListParagraph"/>
              <w:keepNext/>
              <w:widowControl w:val="0"/>
              <w:numPr>
                <w:ilvl w:val="0"/>
                <w:numId w:val="14"/>
              </w:numPr>
              <w:suppressAutoHyphens/>
              <w:spacing w:before="0" w:after="0"/>
              <w:rPr>
                <w:rFonts w:eastAsia="Arial"/>
                <w:u w:color="414042"/>
              </w:rPr>
            </w:pPr>
            <w:r w:rsidRPr="00932FEA">
              <w:rPr>
                <w:rFonts w:eastAsia="Arial"/>
                <w:u w:color="414042"/>
              </w:rPr>
              <w:t xml:space="preserve">Elimination of Malaysian tariffs within 15 years of entry into force of </w:t>
            </w:r>
            <w:r w:rsidR="00E567F7" w:rsidRPr="00932FEA">
              <w:rPr>
                <w:rFonts w:eastAsia="Arial"/>
                <w:u w:color="414042"/>
              </w:rPr>
              <w:t>CPTPP</w:t>
            </w:r>
            <w:r w:rsidRPr="00932FEA">
              <w:rPr>
                <w:rFonts w:eastAsia="Arial"/>
                <w:u w:color="414042"/>
              </w:rPr>
              <w:t xml:space="preserve">.  Australian wine exports to Malaysia were valued at $42 million in 2023, up from $34 million in </w:t>
            </w:r>
            <w:proofErr w:type="gramStart"/>
            <w:r w:rsidRPr="00932FEA">
              <w:rPr>
                <w:rFonts w:eastAsia="Arial"/>
                <w:u w:color="414042"/>
              </w:rPr>
              <w:t>2018;</w:t>
            </w:r>
            <w:proofErr w:type="gramEnd"/>
            <w:r w:rsidRPr="00932FEA">
              <w:rPr>
                <w:rFonts w:eastAsia="Arial"/>
                <w:u w:color="414042"/>
              </w:rPr>
              <w:t xml:space="preserve">  </w:t>
            </w:r>
          </w:p>
          <w:p w14:paraId="6D2700DE" w14:textId="50E94353" w:rsidR="00743B01" w:rsidRPr="00932FEA" w:rsidRDefault="00743B01" w:rsidP="000920EB">
            <w:pPr>
              <w:pStyle w:val="ListParagraph"/>
              <w:keepNext/>
              <w:widowControl w:val="0"/>
              <w:numPr>
                <w:ilvl w:val="0"/>
                <w:numId w:val="14"/>
              </w:numPr>
              <w:suppressAutoHyphens/>
              <w:spacing w:before="0" w:after="0"/>
              <w:rPr>
                <w:rFonts w:eastAsia="Arial"/>
                <w:u w:color="414042"/>
              </w:rPr>
            </w:pPr>
            <w:r w:rsidRPr="00932FEA">
              <w:rPr>
                <w:rFonts w:eastAsia="Arial"/>
                <w:u w:color="414042"/>
              </w:rPr>
              <w:t xml:space="preserve">Elimination of Vietnamese tariffs within 11 years of entry into force of </w:t>
            </w:r>
            <w:r w:rsidR="00E567F7" w:rsidRPr="00932FEA">
              <w:rPr>
                <w:rFonts w:eastAsia="Arial"/>
                <w:u w:color="414042"/>
              </w:rPr>
              <w:t>CPTPP</w:t>
            </w:r>
            <w:r w:rsidRPr="00932FEA">
              <w:rPr>
                <w:rFonts w:eastAsia="Arial"/>
                <w:u w:color="414042"/>
              </w:rPr>
              <w:t>.  Australian wine exports to Vietnam were valued at $11.4 million in 2023, up from $6.65 million in 2018; and</w:t>
            </w:r>
          </w:p>
          <w:p w14:paraId="4B21B5C2" w14:textId="2F2121E8" w:rsidR="00743B01" w:rsidRPr="00932FEA" w:rsidRDefault="00743B01" w:rsidP="000920EB">
            <w:pPr>
              <w:pStyle w:val="ListParagraph"/>
              <w:keepNext/>
              <w:widowControl w:val="0"/>
              <w:numPr>
                <w:ilvl w:val="0"/>
                <w:numId w:val="14"/>
              </w:numPr>
              <w:pBdr>
                <w:top w:val="nil"/>
                <w:left w:val="nil"/>
                <w:bottom w:val="nil"/>
                <w:right w:val="nil"/>
                <w:between w:val="nil"/>
                <w:bar w:val="nil"/>
              </w:pBdr>
              <w:suppressAutoHyphens/>
              <w:spacing w:before="0" w:after="0"/>
              <w:rPr>
                <w:rFonts w:eastAsia="Arial Unicode MS"/>
                <w:u w:color="414042"/>
              </w:rPr>
            </w:pPr>
            <w:r w:rsidRPr="00932FEA">
              <w:rPr>
                <w:rFonts w:eastAsia="Arial"/>
                <w:u w:color="414042"/>
              </w:rPr>
              <w:t xml:space="preserve">Elimination of Mexican tariffs (currently 20 per cent) within 3 years of entry into force of </w:t>
            </w:r>
            <w:r w:rsidR="00E567F7" w:rsidRPr="00932FEA">
              <w:rPr>
                <w:rFonts w:eastAsia="Arial"/>
                <w:u w:color="414042"/>
              </w:rPr>
              <w:t>CPTPP</w:t>
            </w:r>
            <w:r w:rsidRPr="00932FEA">
              <w:rPr>
                <w:rFonts w:eastAsia="Arial"/>
                <w:u w:color="414042"/>
              </w:rPr>
              <w:t xml:space="preserve"> for higher quality wine and elimination of all tariffs within 10 years of entry into force of </w:t>
            </w:r>
            <w:r w:rsidR="00E567F7" w:rsidRPr="00932FEA">
              <w:rPr>
                <w:rFonts w:eastAsia="Arial"/>
                <w:u w:color="414042"/>
              </w:rPr>
              <w:t>CPTPP</w:t>
            </w:r>
            <w:r w:rsidRPr="00932FEA">
              <w:rPr>
                <w:rFonts w:eastAsia="Arial"/>
                <w:u w:color="414042"/>
              </w:rPr>
              <w:t xml:space="preserve"> for all wine.</w:t>
            </w:r>
          </w:p>
        </w:tc>
      </w:tr>
      <w:tr w:rsidR="00486066" w:rsidRPr="00932FEA" w14:paraId="39C5F9E7" w14:textId="77777777" w:rsidTr="00AA02B2">
        <w:trPr>
          <w:cantSplit/>
          <w:trHeight w:val="6064"/>
        </w:trPr>
        <w:tc>
          <w:tcPr>
            <w:tcW w:w="0" w:type="auto"/>
          </w:tcPr>
          <w:p w14:paraId="1C3D5C11" w14:textId="77777777" w:rsidR="00486066" w:rsidRPr="00932FEA" w:rsidRDefault="00486066" w:rsidP="00AA02B2">
            <w:pPr>
              <w:pStyle w:val="Body"/>
              <w:keepNext/>
              <w:widowControl w:val="0"/>
              <w:suppressAutoHyphens/>
              <w:spacing w:after="200"/>
              <w:rPr>
                <w:rFonts w:asciiTheme="minorHAnsi" w:hAnsiTheme="minorHAnsi" w:cstheme="minorHAnsi"/>
                <w:color w:val="auto"/>
                <w:lang w:val="en-AU"/>
              </w:rPr>
            </w:pPr>
            <w:r w:rsidRPr="00932FEA">
              <w:rPr>
                <w:rFonts w:asciiTheme="minorHAnsi" w:hAnsiTheme="minorHAnsi" w:cstheme="minorHAnsi"/>
                <w:b/>
                <w:bCs/>
                <w:color w:val="auto"/>
                <w:u w:color="414042"/>
                <w:lang w:val="en-AU"/>
              </w:rPr>
              <w:t xml:space="preserve">Horticulture </w:t>
            </w:r>
          </w:p>
        </w:tc>
        <w:tc>
          <w:tcPr>
            <w:tcW w:w="0" w:type="auto"/>
          </w:tcPr>
          <w:p w14:paraId="77E3E30E" w14:textId="77777777" w:rsidR="00486066" w:rsidRPr="00932FEA" w:rsidRDefault="00486066" w:rsidP="00AA02B2">
            <w:pPr>
              <w:pStyle w:val="Body"/>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inorHAnsi" w:hAnsiTheme="minorHAnsi" w:cstheme="minorHAnsi"/>
                <w:color w:val="auto"/>
                <w:u w:color="414042"/>
                <w:lang w:val="en-AU"/>
              </w:rPr>
            </w:pPr>
            <w:r w:rsidRPr="00932FEA">
              <w:rPr>
                <w:rFonts w:asciiTheme="minorHAnsi" w:hAnsiTheme="minorHAnsi" w:cstheme="minorHAnsi"/>
                <w:color w:val="auto"/>
                <w:u w:color="414042"/>
                <w:lang w:val="en-AU"/>
              </w:rPr>
              <w:t xml:space="preserve">Total Australian horticulture exports were valued at $5.6 billion in 2023, up from $3.3 billion in 2018 and 14 per cent of these exports (valued at $762 million) went to CPTPP countries.  CPTPP market access outcomes for Australian horticultural producers and exporters include: </w:t>
            </w:r>
          </w:p>
          <w:p w14:paraId="7C8A8D96" w14:textId="74B5189D" w:rsidR="00486066" w:rsidRPr="00932FEA" w:rsidRDefault="00486066" w:rsidP="000920EB">
            <w:pPr>
              <w:pStyle w:val="ListParagraph"/>
              <w:keepNext/>
              <w:widowControl w:val="0"/>
              <w:numPr>
                <w:ilvl w:val="0"/>
                <w:numId w:val="14"/>
              </w:numPr>
              <w:suppressAutoHyphens/>
              <w:spacing w:before="0" w:after="0"/>
              <w:rPr>
                <w:rFonts w:eastAsia="Arial"/>
                <w:u w:color="414042"/>
              </w:rPr>
            </w:pPr>
            <w:r w:rsidRPr="00932FEA">
              <w:rPr>
                <w:rFonts w:eastAsia="Arial"/>
                <w:u w:color="414042"/>
              </w:rPr>
              <w:t>Building on JAEPA, Japan extended the period by which oranges will face the lower “out of season” tariff (corresponding to the main growing season in Australia) to an 8</w:t>
            </w:r>
            <w:r w:rsidR="0055761C">
              <w:rPr>
                <w:rFonts w:eastAsia="Arial"/>
                <w:u w:color="414042"/>
              </w:rPr>
              <w:t>-</w:t>
            </w:r>
            <w:r w:rsidRPr="00932FEA">
              <w:rPr>
                <w:rFonts w:eastAsia="Arial"/>
                <w:u w:color="414042"/>
              </w:rPr>
              <w:t xml:space="preserve">month period </w:t>
            </w:r>
            <w:r w:rsidR="001379A2">
              <w:rPr>
                <w:rFonts w:eastAsia="Arial"/>
                <w:u w:color="414042"/>
              </w:rPr>
              <w:t>annually</w:t>
            </w:r>
            <w:r w:rsidR="006C69D2">
              <w:rPr>
                <w:rFonts w:eastAsia="Arial"/>
                <w:u w:color="414042"/>
              </w:rPr>
              <w:t xml:space="preserve"> </w:t>
            </w:r>
            <w:r w:rsidRPr="00932FEA">
              <w:rPr>
                <w:rFonts w:eastAsia="Arial"/>
                <w:u w:color="414042"/>
              </w:rPr>
              <w:t>(from 1 April to 30 November</w:t>
            </w:r>
            <w:proofErr w:type="gramStart"/>
            <w:r w:rsidRPr="00932FEA">
              <w:rPr>
                <w:rFonts w:eastAsia="Arial"/>
                <w:u w:color="414042"/>
              </w:rPr>
              <w:t>), and</w:t>
            </w:r>
            <w:proofErr w:type="gramEnd"/>
            <w:r w:rsidRPr="00932FEA">
              <w:rPr>
                <w:rFonts w:eastAsia="Arial"/>
                <w:u w:color="414042"/>
              </w:rPr>
              <w:t xml:space="preserve"> will eliminate that tariff over 6 years.  The higher “in season” tariff will be eliminated over 7 years.  Australian orange exports to Japan were valued at $80 million in 2023, up from $69 million in </w:t>
            </w:r>
            <w:proofErr w:type="gramStart"/>
            <w:r w:rsidRPr="00932FEA">
              <w:rPr>
                <w:rFonts w:eastAsia="Arial"/>
                <w:u w:color="414042"/>
              </w:rPr>
              <w:t>2018;</w:t>
            </w:r>
            <w:proofErr w:type="gramEnd"/>
          </w:p>
          <w:p w14:paraId="6A66BD48" w14:textId="21F568A7" w:rsidR="00486066" w:rsidRPr="00932FEA" w:rsidRDefault="00486066" w:rsidP="000920EB">
            <w:pPr>
              <w:pStyle w:val="ListParagraph"/>
              <w:keepNext/>
              <w:widowControl w:val="0"/>
              <w:numPr>
                <w:ilvl w:val="0"/>
                <w:numId w:val="14"/>
              </w:numPr>
              <w:suppressAutoHyphens/>
              <w:spacing w:before="0" w:after="0"/>
              <w:rPr>
                <w:rFonts w:eastAsia="Arial"/>
                <w:u w:color="414042"/>
              </w:rPr>
            </w:pPr>
            <w:r w:rsidRPr="00932FEA">
              <w:rPr>
                <w:rFonts w:eastAsia="Arial"/>
                <w:u w:color="414042"/>
              </w:rPr>
              <w:t xml:space="preserve">Japan will also eliminate all tariffs on fruit juices within 10 years of entry into force of </w:t>
            </w:r>
            <w:r w:rsidR="00E567F7" w:rsidRPr="00932FEA">
              <w:rPr>
                <w:rFonts w:eastAsia="Arial"/>
                <w:u w:color="414042"/>
              </w:rPr>
              <w:t>CPTPP</w:t>
            </w:r>
            <w:r w:rsidRPr="00932FEA">
              <w:rPr>
                <w:rFonts w:eastAsia="Arial"/>
                <w:u w:color="414042"/>
              </w:rPr>
              <w:t xml:space="preserve">, building on the quota arrangements achieved under JAEPA.  Australian fruit juice exports to Japan were valued at $25 million in 2023, up from $10 million in </w:t>
            </w:r>
            <w:proofErr w:type="gramStart"/>
            <w:r w:rsidRPr="00932FEA">
              <w:rPr>
                <w:rFonts w:eastAsia="Arial"/>
                <w:u w:color="414042"/>
              </w:rPr>
              <w:t>2018;</w:t>
            </w:r>
            <w:proofErr w:type="gramEnd"/>
          </w:p>
          <w:p w14:paraId="027874DC" w14:textId="0240E6F4" w:rsidR="00486066" w:rsidRPr="00932FEA" w:rsidRDefault="00486066" w:rsidP="000920EB">
            <w:pPr>
              <w:pStyle w:val="ListParagraph"/>
              <w:keepNext/>
              <w:widowControl w:val="0"/>
              <w:numPr>
                <w:ilvl w:val="0"/>
                <w:numId w:val="14"/>
              </w:numPr>
              <w:suppressAutoHyphens/>
              <w:spacing w:before="0" w:after="0"/>
              <w:rPr>
                <w:rFonts w:eastAsia="Arial"/>
                <w:u w:color="414042"/>
              </w:rPr>
            </w:pPr>
            <w:r w:rsidRPr="00932FEA">
              <w:rPr>
                <w:rFonts w:eastAsia="Arial"/>
                <w:u w:color="414042"/>
              </w:rPr>
              <w:t xml:space="preserve">Elimination of all Canada’s horticulture tariffs upon entry into force of </w:t>
            </w:r>
            <w:r w:rsidR="00E567F7" w:rsidRPr="00932FEA">
              <w:rPr>
                <w:rFonts w:eastAsia="Arial"/>
                <w:u w:color="414042"/>
              </w:rPr>
              <w:t>CPTPP</w:t>
            </w:r>
            <w:r w:rsidRPr="00932FEA">
              <w:rPr>
                <w:rFonts w:eastAsia="Arial"/>
                <w:u w:color="414042"/>
              </w:rPr>
              <w:t>.  Australian horticultural exports to Canada were valued at $39 million in 2023, up from $31 million in 2018; and</w:t>
            </w:r>
          </w:p>
          <w:p w14:paraId="58DFB49F" w14:textId="124AD7AD" w:rsidR="00486066" w:rsidRPr="00932FEA" w:rsidRDefault="00486066" w:rsidP="000920EB">
            <w:pPr>
              <w:pStyle w:val="ListParagraph"/>
              <w:keepNext/>
              <w:widowControl w:val="0"/>
              <w:numPr>
                <w:ilvl w:val="0"/>
                <w:numId w:val="14"/>
              </w:numPr>
              <w:pBdr>
                <w:top w:val="nil"/>
                <w:left w:val="nil"/>
                <w:bottom w:val="nil"/>
                <w:right w:val="nil"/>
                <w:between w:val="nil"/>
                <w:bar w:val="nil"/>
              </w:pBdr>
              <w:suppressAutoHyphens/>
              <w:spacing w:before="0" w:after="0"/>
              <w:rPr>
                <w:rFonts w:eastAsia="Arial"/>
                <w:u w:color="414042"/>
              </w:rPr>
            </w:pPr>
            <w:r w:rsidRPr="00932FEA">
              <w:rPr>
                <w:rFonts w:eastAsia="Arial"/>
                <w:u w:color="414042"/>
              </w:rPr>
              <w:t xml:space="preserve">Elimination of most of Mexico’s horticulture tariffs upon entry into force of </w:t>
            </w:r>
            <w:r w:rsidR="00E567F7" w:rsidRPr="00932FEA">
              <w:rPr>
                <w:rFonts w:eastAsia="Arial"/>
                <w:u w:color="414042"/>
              </w:rPr>
              <w:t>CPTPP</w:t>
            </w:r>
            <w:r w:rsidRPr="00932FEA">
              <w:rPr>
                <w:rFonts w:eastAsia="Arial"/>
                <w:u w:color="414042"/>
              </w:rPr>
              <w:t xml:space="preserve"> and elimination of all tariffs within 15 years of entry into force.</w:t>
            </w:r>
          </w:p>
        </w:tc>
      </w:tr>
      <w:tr w:rsidR="00486066" w:rsidRPr="00932FEA" w14:paraId="4083E98C" w14:textId="77777777" w:rsidTr="00AA02B2">
        <w:trPr>
          <w:cantSplit/>
          <w:trHeight w:val="3402"/>
        </w:trPr>
        <w:tc>
          <w:tcPr>
            <w:tcW w:w="0" w:type="auto"/>
          </w:tcPr>
          <w:p w14:paraId="293EFDFC" w14:textId="77777777" w:rsidR="00486066" w:rsidRPr="00932FEA" w:rsidRDefault="00486066" w:rsidP="00AA02B2">
            <w:pPr>
              <w:pStyle w:val="Body"/>
              <w:keepNext/>
              <w:widowControl w:val="0"/>
              <w:suppressAutoHyphens/>
              <w:spacing w:after="200"/>
              <w:rPr>
                <w:rFonts w:asciiTheme="minorHAnsi" w:hAnsiTheme="minorHAnsi" w:cstheme="minorHAnsi"/>
                <w:color w:val="auto"/>
                <w:lang w:val="en-AU"/>
              </w:rPr>
            </w:pPr>
            <w:r w:rsidRPr="00932FEA">
              <w:rPr>
                <w:rFonts w:asciiTheme="minorHAnsi" w:hAnsiTheme="minorHAnsi" w:cstheme="minorHAnsi"/>
                <w:b/>
                <w:bCs/>
                <w:color w:val="auto"/>
                <w:u w:color="414042"/>
                <w:lang w:val="en-AU"/>
              </w:rPr>
              <w:lastRenderedPageBreak/>
              <w:t>Seafood</w:t>
            </w:r>
          </w:p>
        </w:tc>
        <w:tc>
          <w:tcPr>
            <w:tcW w:w="0" w:type="auto"/>
          </w:tcPr>
          <w:p w14:paraId="2C4C542D" w14:textId="331C17BA" w:rsidR="001A2005" w:rsidRPr="00932FEA" w:rsidRDefault="001A2005" w:rsidP="00AA02B2">
            <w:pPr>
              <w:pStyle w:val="Body"/>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inorHAnsi" w:hAnsiTheme="minorHAnsi" w:cstheme="minorHAnsi"/>
                <w:color w:val="auto"/>
                <w:u w:color="414042"/>
                <w:lang w:val="en-AU"/>
              </w:rPr>
            </w:pPr>
            <w:r w:rsidRPr="00932FEA">
              <w:rPr>
                <w:rFonts w:asciiTheme="minorHAnsi" w:hAnsiTheme="minorHAnsi" w:cstheme="minorHAnsi"/>
                <w:color w:val="auto"/>
                <w:u w:color="414042"/>
                <w:lang w:val="en-AU"/>
              </w:rPr>
              <w:t xml:space="preserve">Australia’s total seafood exports in 2023 were worth nearly $1.3 billion, down from $1.4 billion in 2018, with 30 per cent of exports going to CPTPP </w:t>
            </w:r>
            <w:r w:rsidR="00F33EEB">
              <w:rPr>
                <w:rFonts w:asciiTheme="minorHAnsi" w:hAnsiTheme="minorHAnsi" w:cstheme="minorHAnsi"/>
                <w:color w:val="auto"/>
                <w:u w:color="414042"/>
                <w:lang w:val="en-AU"/>
              </w:rPr>
              <w:t>market</w:t>
            </w:r>
            <w:r w:rsidRPr="00932FEA">
              <w:rPr>
                <w:rFonts w:asciiTheme="minorHAnsi" w:hAnsiTheme="minorHAnsi" w:cstheme="minorHAnsi"/>
                <w:color w:val="auto"/>
                <w:u w:color="414042"/>
                <w:lang w:val="en-AU"/>
              </w:rPr>
              <w:t xml:space="preserve">s valued at $395 million.  CPTPP market access outcomes for Australian seafood producers and exporters include: </w:t>
            </w:r>
          </w:p>
          <w:p w14:paraId="07461BE4" w14:textId="38FAC0DD" w:rsidR="001A2005" w:rsidRPr="00932FEA" w:rsidRDefault="001A2005" w:rsidP="000920EB">
            <w:pPr>
              <w:pStyle w:val="ListParagraph"/>
              <w:keepNext/>
              <w:widowControl w:val="0"/>
              <w:numPr>
                <w:ilvl w:val="0"/>
                <w:numId w:val="14"/>
              </w:numPr>
              <w:pBdr>
                <w:top w:val="nil"/>
                <w:left w:val="nil"/>
                <w:bottom w:val="nil"/>
                <w:right w:val="nil"/>
                <w:between w:val="nil"/>
                <w:bar w:val="nil"/>
              </w:pBdr>
              <w:suppressAutoHyphens/>
              <w:spacing w:before="0" w:after="0"/>
              <w:rPr>
                <w:rFonts w:eastAsia="Arial"/>
                <w:u w:color="414042"/>
              </w:rPr>
            </w:pPr>
            <w:r w:rsidRPr="00932FEA">
              <w:rPr>
                <w:rFonts w:eastAsia="Arial"/>
                <w:u w:color="414042"/>
              </w:rPr>
              <w:t xml:space="preserve">All Japanese seafood tariffs will be eliminated within 15 years of entry into force of </w:t>
            </w:r>
            <w:proofErr w:type="gramStart"/>
            <w:r w:rsidR="00E567F7" w:rsidRPr="00932FEA">
              <w:rPr>
                <w:rFonts w:eastAsia="Arial"/>
                <w:u w:color="414042"/>
              </w:rPr>
              <w:t>CPTPP</w:t>
            </w:r>
            <w:r w:rsidRPr="00932FEA">
              <w:rPr>
                <w:rFonts w:eastAsia="Arial"/>
                <w:u w:color="414042"/>
              </w:rPr>
              <w:t>;</w:t>
            </w:r>
            <w:proofErr w:type="gramEnd"/>
          </w:p>
          <w:p w14:paraId="27A8AFA1" w14:textId="663BE314" w:rsidR="001A2005" w:rsidRPr="00932FEA" w:rsidRDefault="001A2005" w:rsidP="000920EB">
            <w:pPr>
              <w:pStyle w:val="ListParagraph"/>
              <w:keepNext/>
              <w:widowControl w:val="0"/>
              <w:numPr>
                <w:ilvl w:val="0"/>
                <w:numId w:val="14"/>
              </w:numPr>
              <w:pBdr>
                <w:top w:val="nil"/>
                <w:left w:val="nil"/>
                <w:bottom w:val="nil"/>
                <w:right w:val="nil"/>
                <w:between w:val="nil"/>
                <w:bar w:val="nil"/>
              </w:pBdr>
              <w:suppressAutoHyphens/>
              <w:spacing w:before="0" w:after="0"/>
              <w:rPr>
                <w:rFonts w:eastAsia="Arial"/>
                <w:u w:color="414042"/>
              </w:rPr>
            </w:pPr>
            <w:r w:rsidRPr="00932FEA">
              <w:rPr>
                <w:rFonts w:eastAsia="Arial"/>
                <w:u w:color="414042"/>
              </w:rPr>
              <w:t xml:space="preserve">All Vietnamese seafood tariffs will be eliminated on entry into force of </w:t>
            </w:r>
            <w:proofErr w:type="gramStart"/>
            <w:r w:rsidR="00E567F7" w:rsidRPr="00932FEA">
              <w:rPr>
                <w:rFonts w:eastAsia="Arial"/>
                <w:u w:color="414042"/>
              </w:rPr>
              <w:t>CPTPP</w:t>
            </w:r>
            <w:r w:rsidRPr="00932FEA">
              <w:rPr>
                <w:rFonts w:eastAsia="Arial"/>
                <w:u w:color="414042"/>
              </w:rPr>
              <w:t>;</w:t>
            </w:r>
            <w:proofErr w:type="gramEnd"/>
          </w:p>
          <w:p w14:paraId="0D667701" w14:textId="22BBEC73" w:rsidR="001A2005" w:rsidRPr="00932FEA" w:rsidRDefault="001A2005" w:rsidP="000920EB">
            <w:pPr>
              <w:pStyle w:val="ListParagraph"/>
              <w:keepNext/>
              <w:widowControl w:val="0"/>
              <w:numPr>
                <w:ilvl w:val="0"/>
                <w:numId w:val="14"/>
              </w:numPr>
              <w:pBdr>
                <w:top w:val="nil"/>
                <w:left w:val="nil"/>
                <w:bottom w:val="nil"/>
                <w:right w:val="nil"/>
                <w:between w:val="nil"/>
                <w:bar w:val="nil"/>
              </w:pBdr>
              <w:suppressAutoHyphens/>
              <w:spacing w:before="0" w:after="0"/>
              <w:rPr>
                <w:rFonts w:eastAsia="Arial"/>
                <w:u w:color="414042"/>
              </w:rPr>
            </w:pPr>
            <w:r w:rsidRPr="00932FEA">
              <w:rPr>
                <w:rFonts w:eastAsia="Arial"/>
                <w:u w:color="414042"/>
              </w:rPr>
              <w:t xml:space="preserve">Canada will eliminate all tariffs on entry into force of </w:t>
            </w:r>
            <w:r w:rsidR="00E567F7" w:rsidRPr="00932FEA">
              <w:rPr>
                <w:rFonts w:eastAsia="Arial"/>
                <w:u w:color="414042"/>
              </w:rPr>
              <w:t>CPTPP</w:t>
            </w:r>
            <w:r w:rsidRPr="00932FEA">
              <w:rPr>
                <w:rFonts w:eastAsia="Arial"/>
                <w:u w:color="414042"/>
              </w:rPr>
              <w:t>; and</w:t>
            </w:r>
          </w:p>
          <w:p w14:paraId="77A0C930" w14:textId="7DF665BF" w:rsidR="00486066" w:rsidRPr="00932FEA" w:rsidRDefault="001A2005" w:rsidP="000920EB">
            <w:pPr>
              <w:pStyle w:val="ListParagraph"/>
              <w:keepNext/>
              <w:widowControl w:val="0"/>
              <w:numPr>
                <w:ilvl w:val="0"/>
                <w:numId w:val="14"/>
              </w:numPr>
              <w:pBdr>
                <w:top w:val="nil"/>
                <w:left w:val="nil"/>
                <w:bottom w:val="nil"/>
                <w:right w:val="nil"/>
                <w:between w:val="nil"/>
                <w:bar w:val="nil"/>
              </w:pBdr>
              <w:suppressAutoHyphens/>
              <w:spacing w:before="0" w:after="0"/>
              <w:rPr>
                <w:rFonts w:eastAsia="Arial"/>
                <w:u w:color="414042"/>
              </w:rPr>
            </w:pPr>
            <w:r w:rsidRPr="00932FEA">
              <w:rPr>
                <w:rFonts w:eastAsia="Arial"/>
                <w:u w:color="414042"/>
              </w:rPr>
              <w:t xml:space="preserve">Mexico’s seafood tariffs will be eliminated within 15 years of entry into force of </w:t>
            </w:r>
            <w:r w:rsidR="00E567F7" w:rsidRPr="00932FEA">
              <w:rPr>
                <w:rFonts w:eastAsia="Arial"/>
                <w:u w:color="414042"/>
              </w:rPr>
              <w:t>CPTPP</w:t>
            </w:r>
            <w:r w:rsidRPr="00932FEA">
              <w:rPr>
                <w:rFonts w:eastAsia="Arial"/>
                <w:u w:color="414042"/>
              </w:rPr>
              <w:t>, with the majority eliminated on entry into force.</w:t>
            </w:r>
          </w:p>
        </w:tc>
      </w:tr>
    </w:tbl>
    <w:p w14:paraId="1096E688" w14:textId="47263840" w:rsidR="00994A72" w:rsidRPr="00F072E1" w:rsidRDefault="009530C1" w:rsidP="00DE685E">
      <w:pPr>
        <w:spacing w:before="40" w:after="40"/>
        <w:rPr>
          <w:rFonts w:cstheme="minorHAnsi"/>
          <w:iCs/>
          <w:sz w:val="20"/>
          <w:szCs w:val="20"/>
        </w:rPr>
      </w:pPr>
      <w:r w:rsidRPr="00F072E1">
        <w:rPr>
          <w:rFonts w:cstheme="minorHAnsi"/>
          <w:iCs/>
          <w:sz w:val="20"/>
          <w:szCs w:val="20"/>
        </w:rPr>
        <w:t xml:space="preserve">Source: </w:t>
      </w:r>
      <w:r w:rsidR="00574D16" w:rsidRPr="00F072E1">
        <w:rPr>
          <w:rFonts w:cstheme="minorHAnsi"/>
          <w:iCs/>
          <w:sz w:val="20"/>
          <w:szCs w:val="20"/>
        </w:rPr>
        <w:t>CPTPP</w:t>
      </w:r>
      <w:r w:rsidR="009F7584" w:rsidRPr="00F072E1">
        <w:rPr>
          <w:rFonts w:cstheme="minorHAnsi"/>
          <w:iCs/>
          <w:sz w:val="20"/>
          <w:szCs w:val="20"/>
        </w:rPr>
        <w:t xml:space="preserve">, WTO, </w:t>
      </w:r>
      <w:r w:rsidR="00CA7893" w:rsidRPr="00F072E1">
        <w:rPr>
          <w:rFonts w:cstheme="minorHAnsi"/>
          <w:iCs/>
          <w:sz w:val="20"/>
          <w:szCs w:val="20"/>
        </w:rPr>
        <w:t>GACC</w:t>
      </w:r>
      <w:r w:rsidR="009F7584" w:rsidRPr="00F072E1">
        <w:rPr>
          <w:rFonts w:cstheme="minorHAnsi"/>
          <w:iCs/>
          <w:sz w:val="20"/>
          <w:szCs w:val="20"/>
        </w:rPr>
        <w:t>, ABS</w:t>
      </w:r>
    </w:p>
    <w:p w14:paraId="555AEC9B" w14:textId="57CB0D25" w:rsidR="002D6445" w:rsidRDefault="002D6445" w:rsidP="002D6445">
      <w:pPr>
        <w:pStyle w:val="NoSpacing"/>
      </w:pPr>
    </w:p>
    <w:p w14:paraId="23C431B0" w14:textId="77777777" w:rsidR="002D6445" w:rsidRDefault="002D6445" w:rsidP="002D6445">
      <w:pPr>
        <w:pStyle w:val="NoSpacing"/>
        <w:rPr>
          <w:rFonts w:eastAsiaTheme="majorEastAsia"/>
          <w:color w:val="0070C0"/>
          <w:sz w:val="28"/>
        </w:rPr>
      </w:pPr>
      <w:r>
        <w:br w:type="page"/>
      </w:r>
    </w:p>
    <w:p w14:paraId="10458900" w14:textId="6D6E8876" w:rsidR="00CC32F9" w:rsidRPr="00A90637" w:rsidRDefault="006D4AC5" w:rsidP="00A90637">
      <w:pPr>
        <w:ind w:left="360" w:hanging="360"/>
        <w:rPr>
          <w:b/>
          <w:bCs/>
          <w:i/>
          <w:iCs/>
        </w:rPr>
      </w:pPr>
      <w:r>
        <w:rPr>
          <w:b/>
          <w:bCs/>
          <w:i/>
          <w:iCs/>
        </w:rPr>
        <w:lastRenderedPageBreak/>
        <w:t>K</w:t>
      </w:r>
      <w:r w:rsidR="006D6F75" w:rsidRPr="00A90637">
        <w:rPr>
          <w:b/>
          <w:bCs/>
          <w:i/>
          <w:iCs/>
        </w:rPr>
        <w:t>ey resources, energy and industrial export</w:t>
      </w:r>
      <w:r>
        <w:rPr>
          <w:b/>
          <w:bCs/>
          <w:i/>
          <w:iCs/>
        </w:rPr>
        <w:t>s</w:t>
      </w:r>
    </w:p>
    <w:p w14:paraId="34065856" w14:textId="1338FCF2" w:rsidR="003F57B9" w:rsidRDefault="003F57B9" w:rsidP="000920EB">
      <w:pPr>
        <w:pStyle w:val="ListParagraph"/>
        <w:numPr>
          <w:ilvl w:val="0"/>
          <w:numId w:val="5"/>
        </w:numPr>
        <w:ind w:left="0" w:firstLine="0"/>
      </w:pPr>
      <w:r>
        <w:t xml:space="preserve">Australian exports of resources, energy, and manufactured products generally faced far lower tariff barriers than those facing agricultural goods. Nonetheless, </w:t>
      </w:r>
      <w:r w:rsidR="00E567F7">
        <w:t>CPTPP</w:t>
      </w:r>
      <w:r>
        <w:t xml:space="preserve"> eliminated all remaining tariffs on Australian exports of non-agricultural products to CPTPP economies and created new opportunities for Australian exports, </w:t>
      </w:r>
      <w:proofErr w:type="gramStart"/>
      <w:r>
        <w:t>with the exception of</w:t>
      </w:r>
      <w:proofErr w:type="gramEnd"/>
      <w:r>
        <w:t xml:space="preserve"> a remaining tariff rate quota on used vehicles </w:t>
      </w:r>
      <w:r w:rsidR="00E503E6">
        <w:t>in</w:t>
      </w:r>
      <w:r>
        <w:t>to Vietnam.</w:t>
      </w:r>
      <w:r w:rsidR="007A26FB" w:rsidRPr="00827532">
        <w:rPr>
          <w:vertAlign w:val="superscript"/>
        </w:rPr>
        <w:footnoteReference w:id="38"/>
      </w:r>
    </w:p>
    <w:p w14:paraId="7277AF29" w14:textId="6C17E0CE" w:rsidR="003F57B9" w:rsidRDefault="003F57B9" w:rsidP="000920EB">
      <w:pPr>
        <w:pStyle w:val="ListParagraph"/>
        <w:numPr>
          <w:ilvl w:val="0"/>
          <w:numId w:val="5"/>
        </w:numPr>
        <w:ind w:left="0" w:firstLine="0"/>
      </w:pPr>
      <w:r>
        <w:t xml:space="preserve">Australia’s exports of resources and energy products to </w:t>
      </w:r>
      <w:r w:rsidR="00E567F7">
        <w:t>CPTPP</w:t>
      </w:r>
      <w:r>
        <w:t xml:space="preserve"> economies were worth $98.5 billion in 2023, up by 72 per cent from 2018 ($57.4 billion). An analysis of the exports of mineral and fuel to CPTPP </w:t>
      </w:r>
      <w:r w:rsidR="00B12EE8">
        <w:t>economies</w:t>
      </w:r>
      <w:r>
        <w:t xml:space="preserve"> shows </w:t>
      </w:r>
      <w:r w:rsidR="00001BEC">
        <w:t xml:space="preserve">a </w:t>
      </w:r>
      <w:r>
        <w:t xml:space="preserve">gradual increase </w:t>
      </w:r>
      <w:r w:rsidR="00001BEC">
        <w:t>in</w:t>
      </w:r>
      <w:r>
        <w:t xml:space="preserve"> exports since the entry into force of the Agreement before experiencing a decline </w:t>
      </w:r>
      <w:r w:rsidR="00E406CC">
        <w:t>in</w:t>
      </w:r>
      <w:r>
        <w:t xml:space="preserve"> 2020 due to the </w:t>
      </w:r>
      <w:r w:rsidR="00340206">
        <w:t>COVID</w:t>
      </w:r>
      <w:r>
        <w:t>-19 pandemic. There was strong year on year growth from 2021</w:t>
      </w:r>
      <w:r w:rsidR="00921DCE">
        <w:t>-</w:t>
      </w:r>
      <w:r>
        <w:t>22 following a trending spike in global energy prices,</w:t>
      </w:r>
      <w:r w:rsidR="006D7D85" w:rsidRPr="00827532">
        <w:rPr>
          <w:vertAlign w:val="superscript"/>
        </w:rPr>
        <w:footnoteReference w:id="39"/>
      </w:r>
      <w:r>
        <w:t xml:space="preserve"> before dampening in 2023. </w:t>
      </w:r>
    </w:p>
    <w:p w14:paraId="7487A284" w14:textId="4075B8D9" w:rsidR="003F57B9" w:rsidRDefault="003F57B9" w:rsidP="000920EB">
      <w:pPr>
        <w:pStyle w:val="ListParagraph"/>
        <w:numPr>
          <w:ilvl w:val="0"/>
          <w:numId w:val="5"/>
        </w:numPr>
        <w:ind w:left="0" w:firstLine="0"/>
      </w:pPr>
      <w:r w:rsidRPr="002A3D50">
        <w:t xml:space="preserve">Chart </w:t>
      </w:r>
      <w:r w:rsidR="002A3D50" w:rsidRPr="002A3D50">
        <w:t>4</w:t>
      </w:r>
      <w:r>
        <w:t xml:space="preserve"> shows the steady growth of mineral and fuel exports to CPTPP economies.  </w:t>
      </w:r>
      <w:r w:rsidRPr="009632F9">
        <w:t xml:space="preserve">Japan was </w:t>
      </w:r>
      <w:r>
        <w:t>Australia’s largest</w:t>
      </w:r>
      <w:r w:rsidRPr="009632F9">
        <w:t xml:space="preserve"> </w:t>
      </w:r>
      <w:r>
        <w:t>export</w:t>
      </w:r>
      <w:r w:rsidRPr="009632F9">
        <w:t xml:space="preserve"> market</w:t>
      </w:r>
      <w:r>
        <w:t xml:space="preserve"> for</w:t>
      </w:r>
      <w:r w:rsidRPr="009632F9">
        <w:t xml:space="preserve"> Australian minerals and fuel, </w:t>
      </w:r>
      <w:r>
        <w:t xml:space="preserve">accounting for 74 per cent of exports in 2023, </w:t>
      </w:r>
      <w:r w:rsidRPr="009632F9">
        <w:t xml:space="preserve">followed by </w:t>
      </w:r>
      <w:r>
        <w:t>Singapore (11 per cent), Malaysia (6 per cent) and Vietnam (6 per cent)</w:t>
      </w:r>
      <w:r w:rsidRPr="009632F9">
        <w:t xml:space="preserve">. </w:t>
      </w:r>
    </w:p>
    <w:p w14:paraId="0C1000B8" w14:textId="732F32FF" w:rsidR="001318EC" w:rsidRPr="00B27691" w:rsidRDefault="001318EC" w:rsidP="001318EC">
      <w:pPr>
        <w:ind w:left="360" w:hanging="360"/>
        <w:rPr>
          <w:i/>
          <w:iCs/>
        </w:rPr>
      </w:pPr>
      <w:r w:rsidRPr="00B27691">
        <w:rPr>
          <w:b/>
          <w:bCs/>
          <w:i/>
          <w:iCs/>
        </w:rPr>
        <w:t xml:space="preserve">Chart 4: Australian </w:t>
      </w:r>
      <w:r w:rsidR="00DD799D">
        <w:rPr>
          <w:b/>
          <w:bCs/>
          <w:i/>
          <w:iCs/>
        </w:rPr>
        <w:t>m</w:t>
      </w:r>
      <w:r w:rsidRPr="00B27691">
        <w:rPr>
          <w:b/>
          <w:bCs/>
          <w:i/>
          <w:iCs/>
        </w:rPr>
        <w:t xml:space="preserve">ineral and </w:t>
      </w:r>
      <w:r w:rsidR="00DD799D">
        <w:rPr>
          <w:b/>
          <w:bCs/>
          <w:i/>
          <w:iCs/>
        </w:rPr>
        <w:t>f</w:t>
      </w:r>
      <w:r w:rsidRPr="00B27691">
        <w:rPr>
          <w:b/>
          <w:bCs/>
          <w:i/>
          <w:iCs/>
        </w:rPr>
        <w:t xml:space="preserve">uel </w:t>
      </w:r>
      <w:r w:rsidR="00DD799D">
        <w:rPr>
          <w:b/>
          <w:bCs/>
          <w:i/>
          <w:iCs/>
        </w:rPr>
        <w:t>e</w:t>
      </w:r>
      <w:r w:rsidRPr="00B27691">
        <w:rPr>
          <w:b/>
          <w:bCs/>
          <w:i/>
          <w:iCs/>
        </w:rPr>
        <w:t xml:space="preserve">xports to CPTPP </w:t>
      </w:r>
      <w:r w:rsidR="002F027A">
        <w:rPr>
          <w:b/>
          <w:bCs/>
          <w:i/>
          <w:iCs/>
        </w:rPr>
        <w:t>e</w:t>
      </w:r>
      <w:r w:rsidRPr="00B27691">
        <w:rPr>
          <w:b/>
          <w:bCs/>
          <w:i/>
          <w:iCs/>
        </w:rPr>
        <w:t>conomies (2013-23, $ billion)</w:t>
      </w:r>
    </w:p>
    <w:p w14:paraId="61D66A82" w14:textId="29E6CC62" w:rsidR="00343574" w:rsidRPr="001318EC" w:rsidRDefault="00A11BE7" w:rsidP="001318EC">
      <w:pPr>
        <w:pStyle w:val="ListParagraph"/>
        <w:numPr>
          <w:ilvl w:val="0"/>
          <w:numId w:val="0"/>
        </w:numPr>
        <w:ind w:left="360"/>
        <w:rPr>
          <w:highlight w:val="yellow"/>
        </w:rPr>
      </w:pPr>
      <w:r>
        <w:rPr>
          <w:noProof/>
          <w:highlight w:val="yellow"/>
        </w:rPr>
        <w:drawing>
          <wp:inline distT="0" distB="0" distL="0" distR="0" wp14:anchorId="0CFA4ECD" wp14:editId="56B2F17A">
            <wp:extent cx="5157470" cy="2974975"/>
            <wp:effectExtent l="0" t="0" r="5080" b="0"/>
            <wp:docPr id="16996218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57470" cy="2974975"/>
                    </a:xfrm>
                    <a:prstGeom prst="rect">
                      <a:avLst/>
                    </a:prstGeom>
                    <a:noFill/>
                  </pic:spPr>
                </pic:pic>
              </a:graphicData>
            </a:graphic>
          </wp:inline>
        </w:drawing>
      </w:r>
    </w:p>
    <w:p w14:paraId="599C02A1" w14:textId="515A957F" w:rsidR="001F25A3" w:rsidRPr="001F25A3" w:rsidRDefault="001F25A3" w:rsidP="007A524D">
      <w:pPr>
        <w:rPr>
          <w:b/>
          <w:bCs/>
          <w:i/>
          <w:iCs/>
        </w:rPr>
      </w:pPr>
      <w:r>
        <w:rPr>
          <w:b/>
          <w:bCs/>
          <w:i/>
          <w:iCs/>
        </w:rPr>
        <w:t>Goods and services imports</w:t>
      </w:r>
    </w:p>
    <w:p w14:paraId="018CD686" w14:textId="07A09E7E" w:rsidR="00841FDF" w:rsidRDefault="00E567F7" w:rsidP="000920EB">
      <w:pPr>
        <w:pStyle w:val="ListParagraph"/>
        <w:numPr>
          <w:ilvl w:val="0"/>
          <w:numId w:val="5"/>
        </w:numPr>
        <w:ind w:left="0" w:firstLine="0"/>
      </w:pPr>
      <w:r>
        <w:t>CPTPP</w:t>
      </w:r>
      <w:r w:rsidR="007F5A32" w:rsidRPr="007F5A32">
        <w:t xml:space="preserve"> benefited</w:t>
      </w:r>
      <w:r w:rsidR="00841FDF">
        <w:t xml:space="preserve"> consumers by </w:t>
      </w:r>
      <w:r w:rsidR="000C4C1F">
        <w:t xml:space="preserve">creating a </w:t>
      </w:r>
      <w:r w:rsidR="00841FDF">
        <w:t xml:space="preserve">greater choice of goods at lower prices. Australia’s final tariff offer to </w:t>
      </w:r>
      <w:r w:rsidR="008B7024">
        <w:t>CPTPP</w:t>
      </w:r>
      <w:r w:rsidR="00841FDF">
        <w:t xml:space="preserve"> </w:t>
      </w:r>
      <w:r w:rsidR="00EA640D">
        <w:t>members</w:t>
      </w:r>
      <w:r w:rsidR="00841FDF">
        <w:t xml:space="preserve"> on goods market access was plurilateral – </w:t>
      </w:r>
      <w:r w:rsidR="00162DE5">
        <w:lastRenderedPageBreak/>
        <w:t xml:space="preserve">which means </w:t>
      </w:r>
      <w:r w:rsidR="00841FDF">
        <w:t>the same offer was made to all members. Consistent with other Australian FTAs and our trade policy settings, Australia’s tariff elimination schedule was ambitious, with 93 per cent of all tariff lines eliminated or bound at zero tariff rates upon entry into force of the Agreement</w:t>
      </w:r>
      <w:r w:rsidR="007F5A32">
        <w:t>.</w:t>
      </w:r>
    </w:p>
    <w:p w14:paraId="48782420" w14:textId="7AE02FB7" w:rsidR="000A1E07" w:rsidRDefault="000A1E07" w:rsidP="000920EB">
      <w:pPr>
        <w:pStyle w:val="ListParagraph"/>
        <w:numPr>
          <w:ilvl w:val="0"/>
          <w:numId w:val="5"/>
        </w:numPr>
        <w:ind w:left="0" w:firstLine="0"/>
      </w:pPr>
      <w:r>
        <w:t>Virtually all Australian tariffs which were not eliminated immediately on entry into force were eliminated within th</w:t>
      </w:r>
      <w:r w:rsidR="00A43029">
        <w:t>e third o</w:t>
      </w:r>
      <w:r w:rsidR="00CE4DE2">
        <w:t>r</w:t>
      </w:r>
      <w:r w:rsidR="00A43029">
        <w:t xml:space="preserve"> fourth year</w:t>
      </w:r>
      <w:r>
        <w:t xml:space="preserve"> of the Agreement. Remaining Australian tariffs covered those sectors where Australia was seeking some level of protection against imports from CPTPP members. This included tariffs of mostly 5 per cent on plastics and rubber, textiles, clothing and footwear, iron and steel, motor vehicle components and some machinery</w:t>
      </w:r>
      <w:r w:rsidR="00CF61AC">
        <w:t>,</w:t>
      </w:r>
      <w:r>
        <w:t xml:space="preserve"> and furniture. The phased elimination of these tariffs align</w:t>
      </w:r>
      <w:r w:rsidR="001133C5">
        <w:t>ed</w:t>
      </w:r>
      <w:r>
        <w:t xml:space="preserve"> with existing FTAs and did not undercut any existing tariff phasing arrangements for sensitive products with existing FTA partners. The only tariff in Australia’s offering that was not eliminated immediately or due to be phased to elimination when </w:t>
      </w:r>
      <w:r w:rsidR="00E567F7">
        <w:t>CPTPP</w:t>
      </w:r>
      <w:r>
        <w:t xml:space="preserve"> </w:t>
      </w:r>
      <w:r w:rsidR="00CF61AC">
        <w:t>entered</w:t>
      </w:r>
      <w:r>
        <w:t xml:space="preserve"> into force was a $12,000 specific tariff on used car imports. However, this tariff was eliminated in August 2017</w:t>
      </w:r>
      <w:r w:rsidR="00932C16">
        <w:t>.</w:t>
      </w:r>
      <w:r w:rsidRPr="00B717EF">
        <w:rPr>
          <w:vertAlign w:val="superscript"/>
        </w:rPr>
        <w:footnoteReference w:id="40"/>
      </w:r>
      <w:r w:rsidRPr="00B717EF">
        <w:rPr>
          <w:vertAlign w:val="superscript"/>
        </w:rPr>
        <w:t xml:space="preserve">  </w:t>
      </w:r>
      <w:r>
        <w:t xml:space="preserve"> </w:t>
      </w:r>
    </w:p>
    <w:p w14:paraId="25A02284" w14:textId="2BF4B371" w:rsidR="001F25A3" w:rsidRDefault="001F25A3" w:rsidP="000920EB">
      <w:pPr>
        <w:pStyle w:val="ListParagraph"/>
        <w:numPr>
          <w:ilvl w:val="0"/>
          <w:numId w:val="5"/>
        </w:numPr>
        <w:ind w:left="0" w:firstLine="0"/>
      </w:pPr>
      <w:r>
        <w:t>There has been a s</w:t>
      </w:r>
      <w:r w:rsidR="00C110F4">
        <w:t>teady</w:t>
      </w:r>
      <w:r>
        <w:t xml:space="preserve"> increase in Australia’s goods and services </w:t>
      </w:r>
      <w:r w:rsidR="00C110F4">
        <w:t>imports from</w:t>
      </w:r>
      <w:r>
        <w:t xml:space="preserve"> CPTPP members since the </w:t>
      </w:r>
      <w:r w:rsidR="00C110F4">
        <w:t>Agreement’s</w:t>
      </w:r>
      <w:r>
        <w:t xml:space="preserve"> entry into force (Chart </w:t>
      </w:r>
      <w:r w:rsidR="006938AD">
        <w:t>5</w:t>
      </w:r>
      <w:r>
        <w:t>) despite a s</w:t>
      </w:r>
      <w:r w:rsidR="008665C6">
        <w:t>harp</w:t>
      </w:r>
      <w:r>
        <w:t xml:space="preserve"> decline in 2020 (due to </w:t>
      </w:r>
      <w:r w:rsidR="00340206">
        <w:t>COVID</w:t>
      </w:r>
      <w:r w:rsidR="008B1928">
        <w:t>-19</w:t>
      </w:r>
      <w:r>
        <w:t xml:space="preserve"> related </w:t>
      </w:r>
      <w:r w:rsidR="008665C6">
        <w:t xml:space="preserve">economic </w:t>
      </w:r>
      <w:r>
        <w:t xml:space="preserve">disruptions). The average value of Australia’s goods and services </w:t>
      </w:r>
      <w:r w:rsidR="00C110F4">
        <w:t>imports</w:t>
      </w:r>
      <w:r>
        <w:t xml:space="preserve"> </w:t>
      </w:r>
      <w:r w:rsidR="00662827">
        <w:t>in the f</w:t>
      </w:r>
      <w:r w:rsidR="00D95CA3">
        <w:t>ive</w:t>
      </w:r>
      <w:r w:rsidR="00304C28">
        <w:t>-</w:t>
      </w:r>
      <w:r w:rsidR="00662827">
        <w:t>year period before CPTPP entered into force (</w:t>
      </w:r>
      <w:r w:rsidR="00B805A2">
        <w:t>2014</w:t>
      </w:r>
      <w:r w:rsidR="00B92708">
        <w:t>-</w:t>
      </w:r>
      <w:r w:rsidR="00B805A2">
        <w:t xml:space="preserve">18) </w:t>
      </w:r>
      <w:r w:rsidR="00395288">
        <w:t xml:space="preserve">was worth </w:t>
      </w:r>
      <w:r w:rsidR="00C5067C">
        <w:t xml:space="preserve">an estimated </w:t>
      </w:r>
      <w:r w:rsidR="00192041">
        <w:t xml:space="preserve">$76.9 </w:t>
      </w:r>
      <w:r w:rsidR="007F4BDE">
        <w:t>billion</w:t>
      </w:r>
      <w:r w:rsidR="00B805A2">
        <w:t>.</w:t>
      </w:r>
      <w:r w:rsidR="00F57C00">
        <w:t xml:space="preserve"> </w:t>
      </w:r>
      <w:r w:rsidR="000D7D7F">
        <w:t xml:space="preserve">There was a significant increase in the </w:t>
      </w:r>
      <w:r w:rsidR="00ED49B6">
        <w:t xml:space="preserve">average </w:t>
      </w:r>
      <w:r w:rsidR="000D7D7F">
        <w:t xml:space="preserve">value of </w:t>
      </w:r>
      <w:r w:rsidR="00ED49B6">
        <w:t xml:space="preserve">services </w:t>
      </w:r>
      <w:r w:rsidR="00CB07F5">
        <w:t>imports</w:t>
      </w:r>
      <w:r w:rsidR="00ED49B6">
        <w:t xml:space="preserve"> </w:t>
      </w:r>
      <w:r w:rsidR="00CB07F5">
        <w:t>during</w:t>
      </w:r>
      <w:r w:rsidR="00ED49B6">
        <w:t xml:space="preserve"> the</w:t>
      </w:r>
      <w:r w:rsidR="00DA59B7">
        <w:t xml:space="preserve"> same</w:t>
      </w:r>
      <w:r w:rsidR="00ED49B6">
        <w:t xml:space="preserve"> </w:t>
      </w:r>
      <w:r w:rsidR="0019440A">
        <w:t>length</w:t>
      </w:r>
      <w:r w:rsidR="00ED49B6">
        <w:t xml:space="preserve"> period </w:t>
      </w:r>
      <w:r w:rsidR="00CE2C73">
        <w:t>after CPTPP entered into force</w:t>
      </w:r>
      <w:r w:rsidR="001D6C89">
        <w:t xml:space="preserve"> (2019-2023) </w:t>
      </w:r>
      <w:r>
        <w:t xml:space="preserve">of </w:t>
      </w:r>
      <w:r w:rsidR="00A422D3">
        <w:t>$</w:t>
      </w:r>
      <w:r w:rsidR="00530BFA">
        <w:t>92</w:t>
      </w:r>
      <w:r>
        <w:t>.</w:t>
      </w:r>
      <w:r w:rsidR="0087553D">
        <w:t>8</w:t>
      </w:r>
      <w:r>
        <w:t xml:space="preserve"> billion</w:t>
      </w:r>
      <w:r w:rsidR="003B2CC4">
        <w:t>,</w:t>
      </w:r>
      <w:r>
        <w:t xml:space="preserve"> an increase of </w:t>
      </w:r>
      <w:r w:rsidR="00CD62C1">
        <w:t>1</w:t>
      </w:r>
      <w:r w:rsidR="0000507D">
        <w:t>6.6</w:t>
      </w:r>
      <w:r>
        <w:t xml:space="preserve"> per cent (Chart </w:t>
      </w:r>
      <w:r w:rsidR="003A4340">
        <w:t>6</w:t>
      </w:r>
      <w:r>
        <w:t>).</w:t>
      </w:r>
    </w:p>
    <w:p w14:paraId="7261A49E" w14:textId="4FD0733B" w:rsidR="00107A37" w:rsidRDefault="001F25A3" w:rsidP="000920EB">
      <w:pPr>
        <w:pStyle w:val="ListParagraph"/>
        <w:numPr>
          <w:ilvl w:val="0"/>
          <w:numId w:val="5"/>
        </w:numPr>
        <w:ind w:left="0" w:firstLine="0"/>
      </w:pPr>
      <w:r>
        <w:t xml:space="preserve">In </w:t>
      </w:r>
      <w:r w:rsidR="009E5F78">
        <w:t>assessing</w:t>
      </w:r>
      <w:r>
        <w:t xml:space="preserve"> this outcome, it is noted that </w:t>
      </w:r>
      <w:r w:rsidR="009E5F78">
        <w:t xml:space="preserve">other </w:t>
      </w:r>
      <w:r>
        <w:t xml:space="preserve">factors such as the removal of further tariffs over time </w:t>
      </w:r>
      <w:r w:rsidR="00A86C68">
        <w:t>through</w:t>
      </w:r>
      <w:r>
        <w:t xml:space="preserve"> existing FTAs</w:t>
      </w:r>
      <w:r w:rsidR="009E5F78">
        <w:t>,</w:t>
      </w:r>
      <w:r>
        <w:t xml:space="preserve"> and the introduction of RCEP in 2022</w:t>
      </w:r>
      <w:r w:rsidR="009E5F78">
        <w:t>,</w:t>
      </w:r>
      <w:r>
        <w:t xml:space="preserve"> could have also contributed to this result.</w:t>
      </w:r>
    </w:p>
    <w:p w14:paraId="20657506" w14:textId="43259FA0" w:rsidR="006D7D85" w:rsidRDefault="006D7D85">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40"/>
        <w:gridCol w:w="86"/>
      </w:tblGrid>
      <w:tr w:rsidR="001F25A3" w14:paraId="0F780C05" w14:textId="77777777" w:rsidTr="001A209B">
        <w:trPr>
          <w:gridAfter w:val="1"/>
          <w:wAfter w:w="161" w:type="dxa"/>
        </w:trPr>
        <w:tc>
          <w:tcPr>
            <w:tcW w:w="8865" w:type="dxa"/>
          </w:tcPr>
          <w:p w14:paraId="77E3A9E2" w14:textId="2908124E" w:rsidR="001F25A3" w:rsidRPr="00B77441" w:rsidRDefault="001F25A3" w:rsidP="004317E7">
            <w:pPr>
              <w:pStyle w:val="ListParagraph"/>
              <w:numPr>
                <w:ilvl w:val="0"/>
                <w:numId w:val="0"/>
              </w:numPr>
              <w:rPr>
                <w:b/>
                <w:bCs/>
                <w:i/>
                <w:iCs/>
              </w:rPr>
            </w:pPr>
            <w:r w:rsidRPr="00B77441">
              <w:rPr>
                <w:b/>
                <w:bCs/>
                <w:i/>
                <w:iCs/>
              </w:rPr>
              <w:lastRenderedPageBreak/>
              <w:t xml:space="preserve">Chart </w:t>
            </w:r>
            <w:r w:rsidR="00B77441">
              <w:rPr>
                <w:b/>
                <w:bCs/>
                <w:i/>
                <w:iCs/>
              </w:rPr>
              <w:t>5</w:t>
            </w:r>
            <w:r w:rsidRPr="00B77441">
              <w:rPr>
                <w:b/>
                <w:bCs/>
                <w:i/>
                <w:iCs/>
              </w:rPr>
              <w:t xml:space="preserve">: Goods and services </w:t>
            </w:r>
            <w:r w:rsidR="00CD7A8E" w:rsidRPr="00B77441">
              <w:rPr>
                <w:b/>
                <w:bCs/>
                <w:i/>
                <w:iCs/>
              </w:rPr>
              <w:t>imports</w:t>
            </w:r>
            <w:r w:rsidRPr="00B77441">
              <w:rPr>
                <w:b/>
                <w:bCs/>
                <w:i/>
                <w:iCs/>
              </w:rPr>
              <w:t xml:space="preserve"> </w:t>
            </w:r>
            <w:r w:rsidR="00CD7A8E" w:rsidRPr="00B77441">
              <w:rPr>
                <w:b/>
                <w:bCs/>
                <w:i/>
                <w:iCs/>
              </w:rPr>
              <w:t>from</w:t>
            </w:r>
            <w:r w:rsidRPr="00B77441">
              <w:rPr>
                <w:b/>
                <w:bCs/>
                <w:i/>
                <w:iCs/>
              </w:rPr>
              <w:t xml:space="preserve"> CPTPP economies (</w:t>
            </w:r>
            <w:r w:rsidR="00A422D3" w:rsidRPr="00B77441">
              <w:rPr>
                <w:b/>
                <w:bCs/>
                <w:i/>
                <w:iCs/>
              </w:rPr>
              <w:t>$</w:t>
            </w:r>
            <w:r w:rsidRPr="00B77441">
              <w:rPr>
                <w:b/>
                <w:bCs/>
                <w:i/>
                <w:iCs/>
              </w:rPr>
              <w:t xml:space="preserve"> </w:t>
            </w:r>
            <w:r w:rsidR="00CD7A8E" w:rsidRPr="00B77441">
              <w:rPr>
                <w:b/>
                <w:bCs/>
                <w:i/>
                <w:iCs/>
              </w:rPr>
              <w:t>million</w:t>
            </w:r>
            <w:r w:rsidRPr="00B77441">
              <w:rPr>
                <w:b/>
                <w:bCs/>
                <w:i/>
                <w:iCs/>
              </w:rPr>
              <w:t>)</w:t>
            </w:r>
          </w:p>
          <w:p w14:paraId="73F929FA" w14:textId="50E6E630" w:rsidR="001F25A3" w:rsidRDefault="00A11BE7" w:rsidP="004317E7">
            <w:pPr>
              <w:pStyle w:val="ListParagraph"/>
              <w:numPr>
                <w:ilvl w:val="0"/>
                <w:numId w:val="0"/>
              </w:numPr>
              <w:rPr>
                <w:b/>
                <w:bCs/>
              </w:rPr>
            </w:pPr>
            <w:r>
              <w:rPr>
                <w:b/>
                <w:bCs/>
                <w:noProof/>
              </w:rPr>
              <w:drawing>
                <wp:inline distT="0" distB="0" distL="0" distR="0" wp14:anchorId="431EB52E" wp14:editId="75F4F1A3">
                  <wp:extent cx="5224780" cy="3091180"/>
                  <wp:effectExtent l="0" t="0" r="0" b="0"/>
                  <wp:docPr id="1736574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24780" cy="3091180"/>
                          </a:xfrm>
                          <a:prstGeom prst="rect">
                            <a:avLst/>
                          </a:prstGeom>
                          <a:noFill/>
                        </pic:spPr>
                      </pic:pic>
                    </a:graphicData>
                  </a:graphic>
                </wp:inline>
              </w:drawing>
            </w:r>
          </w:p>
          <w:p w14:paraId="38CC44CC" w14:textId="55A1AB4C" w:rsidR="001F25A3" w:rsidRPr="00C878F8" w:rsidRDefault="001F25A3" w:rsidP="004317E7">
            <w:pPr>
              <w:pStyle w:val="ListParagraph"/>
              <w:numPr>
                <w:ilvl w:val="0"/>
                <w:numId w:val="0"/>
              </w:numPr>
              <w:rPr>
                <w:i/>
                <w:iCs/>
              </w:rPr>
            </w:pPr>
            <w:r w:rsidRPr="00553B2D">
              <w:rPr>
                <w:sz w:val="20"/>
                <w:szCs w:val="20"/>
              </w:rPr>
              <w:t>Source: ABS</w:t>
            </w:r>
            <w:r w:rsidR="00FD7B63" w:rsidRPr="00553B2D">
              <w:rPr>
                <w:sz w:val="20"/>
                <w:szCs w:val="20"/>
              </w:rPr>
              <w:t xml:space="preserve"> Australia’s goods and services imports, current prices</w:t>
            </w:r>
            <w:r w:rsidR="00593058">
              <w:rPr>
                <w:sz w:val="20"/>
                <w:szCs w:val="20"/>
              </w:rPr>
              <w:t>.</w:t>
            </w:r>
          </w:p>
        </w:tc>
      </w:tr>
      <w:tr w:rsidR="001F25A3" w14:paraId="48795D69" w14:textId="77777777" w:rsidTr="00975F85">
        <w:trPr>
          <w:cantSplit/>
        </w:trPr>
        <w:tc>
          <w:tcPr>
            <w:tcW w:w="9026" w:type="dxa"/>
            <w:gridSpan w:val="2"/>
          </w:tcPr>
          <w:p w14:paraId="2ADF02C1" w14:textId="7BBAFDD0" w:rsidR="001F25A3" w:rsidRPr="002629EC" w:rsidRDefault="001F25A3" w:rsidP="004317E7">
            <w:pPr>
              <w:pStyle w:val="ListParagraph"/>
              <w:numPr>
                <w:ilvl w:val="0"/>
                <w:numId w:val="0"/>
              </w:numPr>
              <w:rPr>
                <w:b/>
                <w:bCs/>
              </w:rPr>
            </w:pPr>
            <w:r>
              <w:rPr>
                <w:b/>
                <w:bCs/>
              </w:rPr>
              <w:t xml:space="preserve">Chart </w:t>
            </w:r>
            <w:r w:rsidR="00200848">
              <w:rPr>
                <w:b/>
                <w:bCs/>
              </w:rPr>
              <w:t>6</w:t>
            </w:r>
            <w:r>
              <w:rPr>
                <w:b/>
                <w:bCs/>
              </w:rPr>
              <w:t xml:space="preserve">: Average </w:t>
            </w:r>
            <w:r w:rsidR="00833522">
              <w:rPr>
                <w:b/>
                <w:bCs/>
              </w:rPr>
              <w:t xml:space="preserve">value of </w:t>
            </w:r>
            <w:r>
              <w:rPr>
                <w:b/>
                <w:bCs/>
              </w:rPr>
              <w:t xml:space="preserve">goods and services </w:t>
            </w:r>
            <w:r w:rsidR="0071480C">
              <w:rPr>
                <w:b/>
                <w:bCs/>
              </w:rPr>
              <w:t>imports from</w:t>
            </w:r>
            <w:r>
              <w:rPr>
                <w:b/>
                <w:bCs/>
              </w:rPr>
              <w:t xml:space="preserve"> CPTPP economies (</w:t>
            </w:r>
            <w:r w:rsidR="00A422D3">
              <w:rPr>
                <w:b/>
                <w:bCs/>
              </w:rPr>
              <w:t>$</w:t>
            </w:r>
            <w:r>
              <w:rPr>
                <w:b/>
                <w:bCs/>
              </w:rPr>
              <w:t xml:space="preserve"> billion)</w:t>
            </w:r>
          </w:p>
        </w:tc>
      </w:tr>
      <w:tr w:rsidR="001F25A3" w14:paraId="16DD1BCC" w14:textId="77777777" w:rsidTr="00975F85">
        <w:trPr>
          <w:cantSplit/>
        </w:trPr>
        <w:tc>
          <w:tcPr>
            <w:tcW w:w="9026" w:type="dxa"/>
            <w:gridSpan w:val="2"/>
          </w:tcPr>
          <w:p w14:paraId="730160EE" w14:textId="6A8FD2A6" w:rsidR="001F25A3" w:rsidRDefault="003A4340" w:rsidP="004317E7">
            <w:pPr>
              <w:pStyle w:val="ListParagraph"/>
              <w:numPr>
                <w:ilvl w:val="0"/>
                <w:numId w:val="0"/>
              </w:numPr>
            </w:pPr>
            <w:r>
              <w:rPr>
                <w:noProof/>
              </w:rPr>
              <mc:AlternateContent>
                <mc:Choice Requires="wps">
                  <w:drawing>
                    <wp:anchor distT="0" distB="0" distL="114300" distR="114300" simplePos="0" relativeHeight="251658242" behindDoc="0" locked="0" layoutInCell="1" allowOverlap="1" wp14:anchorId="2478A0E3" wp14:editId="661048E3">
                      <wp:simplePos x="0" y="0"/>
                      <wp:positionH relativeFrom="column">
                        <wp:posOffset>3244850</wp:posOffset>
                      </wp:positionH>
                      <wp:positionV relativeFrom="paragraph">
                        <wp:posOffset>301625</wp:posOffset>
                      </wp:positionV>
                      <wp:extent cx="6350" cy="1776730"/>
                      <wp:effectExtent l="0" t="0" r="31750" b="33020"/>
                      <wp:wrapNone/>
                      <wp:docPr id="169858401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177673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D295A85" id="Straight Connector 4"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55.5pt,23.75pt" to="256pt,1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" strokecolor="black [3213]" strokeweight=".5pt">
                      <v:stroke dashstyle="dash" joinstyle="miter"/>
                      <o:lock v:ext="edit" shapetype="f"/>
                    </v:line>
                  </w:pict>
                </mc:Fallback>
              </mc:AlternateContent>
            </w:r>
            <w:r w:rsidR="00F91513">
              <w:rPr>
                <w:noProof/>
              </w:rPr>
              <w:t xml:space="preserve"> </w:t>
            </w:r>
            <w:r>
              <w:rPr>
                <w:noProof/>
              </w:rPr>
              <w:t xml:space="preserve"> </w:t>
            </w:r>
            <w:r w:rsidR="00A11BE7">
              <w:rPr>
                <w:noProof/>
              </w:rPr>
              <w:drawing>
                <wp:inline distT="0" distB="0" distL="0" distR="0" wp14:anchorId="646181B4" wp14:editId="2BEE2861">
                  <wp:extent cx="5736590" cy="2341245"/>
                  <wp:effectExtent l="0" t="0" r="0" b="1905"/>
                  <wp:docPr id="2454740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6590" cy="2341245"/>
                          </a:xfrm>
                          <a:prstGeom prst="rect">
                            <a:avLst/>
                          </a:prstGeom>
                          <a:noFill/>
                        </pic:spPr>
                      </pic:pic>
                    </a:graphicData>
                  </a:graphic>
                </wp:inline>
              </w:drawing>
            </w:r>
          </w:p>
          <w:p w14:paraId="16F077DC" w14:textId="77777777" w:rsidR="001F25A3" w:rsidRDefault="001F25A3" w:rsidP="004317E7">
            <w:pPr>
              <w:pStyle w:val="ListParagraph"/>
              <w:numPr>
                <w:ilvl w:val="0"/>
                <w:numId w:val="0"/>
              </w:numPr>
              <w:rPr>
                <w:i/>
                <w:iCs/>
                <w:sz w:val="20"/>
                <w:szCs w:val="20"/>
              </w:rPr>
            </w:pPr>
            <w:r w:rsidRPr="009B42E4">
              <w:rPr>
                <w:sz w:val="20"/>
                <w:szCs w:val="20"/>
              </w:rPr>
              <w:t>Note: Average period is separated by pre- and post- entry into force of CPTPP (30 December 2018</w:t>
            </w:r>
            <w:r>
              <w:rPr>
                <w:i/>
                <w:iCs/>
                <w:sz w:val="20"/>
                <w:szCs w:val="20"/>
              </w:rPr>
              <w:t>)</w:t>
            </w:r>
            <w:r w:rsidRPr="00084568">
              <w:rPr>
                <w:i/>
                <w:iCs/>
                <w:sz w:val="20"/>
                <w:szCs w:val="20"/>
              </w:rPr>
              <w:t>.</w:t>
            </w:r>
            <w:r>
              <w:rPr>
                <w:i/>
                <w:iCs/>
                <w:sz w:val="20"/>
                <w:szCs w:val="20"/>
              </w:rPr>
              <w:t xml:space="preserve"> </w:t>
            </w:r>
            <w:r w:rsidRPr="00084568">
              <w:rPr>
                <w:i/>
                <w:iCs/>
                <w:sz w:val="20"/>
                <w:szCs w:val="20"/>
              </w:rPr>
              <w:t xml:space="preserve"> </w:t>
            </w:r>
          </w:p>
          <w:p w14:paraId="2232EDE5" w14:textId="3F253A41" w:rsidR="001F25A3" w:rsidRPr="00553B2D" w:rsidRDefault="001F25A3" w:rsidP="004317E7">
            <w:pPr>
              <w:pStyle w:val="ListParagraph"/>
              <w:numPr>
                <w:ilvl w:val="0"/>
                <w:numId w:val="0"/>
              </w:numPr>
            </w:pPr>
            <w:r w:rsidRPr="00553B2D">
              <w:rPr>
                <w:sz w:val="20"/>
                <w:szCs w:val="20"/>
              </w:rPr>
              <w:t xml:space="preserve">Source: ABS Australia’s goods and services </w:t>
            </w:r>
            <w:r w:rsidR="00566203" w:rsidRPr="00553B2D">
              <w:rPr>
                <w:sz w:val="20"/>
                <w:szCs w:val="20"/>
              </w:rPr>
              <w:t>imports</w:t>
            </w:r>
            <w:r w:rsidRPr="00553B2D">
              <w:rPr>
                <w:sz w:val="20"/>
                <w:szCs w:val="20"/>
              </w:rPr>
              <w:t>, current prices.</w:t>
            </w:r>
          </w:p>
        </w:tc>
      </w:tr>
    </w:tbl>
    <w:p w14:paraId="2EF44C14" w14:textId="532F4CE1" w:rsidR="001F25A3" w:rsidRDefault="00AE5B0A" w:rsidP="009B42E4">
      <w:pPr>
        <w:pStyle w:val="ListParagraph"/>
        <w:numPr>
          <w:ilvl w:val="0"/>
          <w:numId w:val="0"/>
        </w:numPr>
      </w:pPr>
      <w:r>
        <w:rPr>
          <w:b/>
          <w:bCs/>
          <w:i/>
          <w:iCs/>
        </w:rPr>
        <w:t>I</w:t>
      </w:r>
      <w:r w:rsidR="006D5448">
        <w:rPr>
          <w:b/>
          <w:bCs/>
          <w:i/>
          <w:iCs/>
        </w:rPr>
        <w:t>mpact on g</w:t>
      </w:r>
      <w:r w:rsidR="001F25A3">
        <w:rPr>
          <w:b/>
          <w:bCs/>
          <w:i/>
          <w:iCs/>
        </w:rPr>
        <w:t>o</w:t>
      </w:r>
      <w:r w:rsidR="001F25A3" w:rsidRPr="002A7154">
        <w:rPr>
          <w:b/>
          <w:bCs/>
          <w:i/>
          <w:iCs/>
        </w:rPr>
        <w:t>ods</w:t>
      </w:r>
      <w:r w:rsidR="001F25A3">
        <w:rPr>
          <w:b/>
          <w:bCs/>
          <w:i/>
          <w:iCs/>
        </w:rPr>
        <w:t xml:space="preserve"> </w:t>
      </w:r>
      <w:r w:rsidR="00B67EC6">
        <w:rPr>
          <w:b/>
          <w:bCs/>
          <w:i/>
          <w:iCs/>
        </w:rPr>
        <w:t>import</w:t>
      </w:r>
      <w:r w:rsidR="001F25A3">
        <w:rPr>
          <w:b/>
          <w:bCs/>
          <w:i/>
          <w:iCs/>
        </w:rPr>
        <w:t>s</w:t>
      </w:r>
    </w:p>
    <w:p w14:paraId="6560C29D" w14:textId="4F57EC77" w:rsidR="00B01254" w:rsidRDefault="00B1597F" w:rsidP="00E11FD1">
      <w:pPr>
        <w:pStyle w:val="ListParagraph"/>
        <w:numPr>
          <w:ilvl w:val="0"/>
          <w:numId w:val="5"/>
        </w:numPr>
        <w:ind w:left="0" w:firstLine="0"/>
      </w:pPr>
      <w:r>
        <w:t xml:space="preserve">Australia’s </w:t>
      </w:r>
      <w:r w:rsidR="00FD6CE6">
        <w:t>total</w:t>
      </w:r>
      <w:r>
        <w:t xml:space="preserve"> goods imports from CPTPP members</w:t>
      </w:r>
      <w:r w:rsidR="00CD42DF">
        <w:t xml:space="preserve"> </w:t>
      </w:r>
      <w:proofErr w:type="gramStart"/>
      <w:r w:rsidR="00CD42DF">
        <w:t>was</w:t>
      </w:r>
      <w:proofErr w:type="gramEnd"/>
      <w:r w:rsidR="00CD42DF">
        <w:t xml:space="preserve"> valued at</w:t>
      </w:r>
      <w:r>
        <w:t xml:space="preserve"> $6</w:t>
      </w:r>
      <w:r w:rsidR="00461251">
        <w:t>8</w:t>
      </w:r>
      <w:r>
        <w:t>.</w:t>
      </w:r>
      <w:r w:rsidR="00461251">
        <w:t>1</w:t>
      </w:r>
      <w:r>
        <w:t xml:space="preserve"> billion </w:t>
      </w:r>
      <w:r w:rsidR="004D1205">
        <w:t>in 20</w:t>
      </w:r>
      <w:r w:rsidR="001D5F93">
        <w:t>1</w:t>
      </w:r>
      <w:r w:rsidR="00F47472">
        <w:t>8.</w:t>
      </w:r>
      <w:r w:rsidR="00EC0BEF">
        <w:t xml:space="preserve"> </w:t>
      </w:r>
      <w:r w:rsidR="000F5833">
        <w:t>Since entry into force, t</w:t>
      </w:r>
      <w:r w:rsidR="00BC5653">
        <w:t xml:space="preserve">he </w:t>
      </w:r>
      <w:r w:rsidR="00792DA5">
        <w:t xml:space="preserve">annual </w:t>
      </w:r>
      <w:r w:rsidR="00BC5653">
        <w:t>average value</w:t>
      </w:r>
      <w:r w:rsidR="00792DA5">
        <w:t xml:space="preserve"> of </w:t>
      </w:r>
      <w:r w:rsidR="009F2927">
        <w:t>goods imports</w:t>
      </w:r>
      <w:r w:rsidR="00D964E2">
        <w:t xml:space="preserve"> has </w:t>
      </w:r>
      <w:r w:rsidR="003406CB">
        <w:t>risen</w:t>
      </w:r>
      <w:r w:rsidR="0029248F">
        <w:t xml:space="preserve"> from </w:t>
      </w:r>
      <w:r w:rsidR="00825AFB">
        <w:t xml:space="preserve">$59.9 </w:t>
      </w:r>
      <w:r w:rsidR="00825AFB">
        <w:lastRenderedPageBreak/>
        <w:t>billion</w:t>
      </w:r>
      <w:r w:rsidR="009F2927">
        <w:t xml:space="preserve"> </w:t>
      </w:r>
      <w:r w:rsidR="001256C2">
        <w:t xml:space="preserve">in the 2014-18 period </w:t>
      </w:r>
      <w:r w:rsidR="003406CB">
        <w:t>to $74.1 billion in the 2019-23 period, an increase of 2</w:t>
      </w:r>
      <w:r w:rsidR="001635C6">
        <w:t>3.7 per cent</w:t>
      </w:r>
      <w:r w:rsidR="00E4638B">
        <w:t xml:space="preserve"> (Table 6)</w:t>
      </w:r>
      <w:r w:rsidR="00B717EF">
        <w:t>.</w:t>
      </w:r>
      <w:r w:rsidR="000F5417">
        <w:rPr>
          <w:rStyle w:val="FootnoteReference"/>
        </w:rPr>
        <w:footnoteReference w:id="41"/>
      </w:r>
      <w:r w:rsidR="00631D97">
        <w:t xml:space="preserve"> </w:t>
      </w:r>
      <w:r w:rsidR="00BC5653">
        <w:t xml:space="preserve"> </w:t>
      </w:r>
    </w:p>
    <w:p w14:paraId="4FB5C727" w14:textId="2C3E8077" w:rsidR="007574E9" w:rsidRDefault="0060365F" w:rsidP="000920EB">
      <w:pPr>
        <w:pStyle w:val="ListParagraph"/>
        <w:numPr>
          <w:ilvl w:val="0"/>
          <w:numId w:val="5"/>
        </w:numPr>
        <w:ind w:left="0" w:firstLine="0"/>
      </w:pPr>
      <w:r>
        <w:t>The ave</w:t>
      </w:r>
      <w:r w:rsidR="001C3763">
        <w:t>rage</w:t>
      </w:r>
      <w:r w:rsidR="0020689C">
        <w:t xml:space="preserve"> value of</w:t>
      </w:r>
      <w:r w:rsidR="001C3763">
        <w:t xml:space="preserve"> annual </w:t>
      </w:r>
      <w:r w:rsidR="007574E9">
        <w:t xml:space="preserve">goods </w:t>
      </w:r>
      <w:r w:rsidR="00B1597F">
        <w:t>imports</w:t>
      </w:r>
      <w:r>
        <w:t xml:space="preserve"> </w:t>
      </w:r>
      <w:r w:rsidR="0096436C">
        <w:t>from</w:t>
      </w:r>
      <w:r>
        <w:t xml:space="preserve"> Mexico</w:t>
      </w:r>
      <w:r w:rsidR="00157F8C">
        <w:t xml:space="preserve"> grew from </w:t>
      </w:r>
      <w:r w:rsidR="0020689C">
        <w:t>$2.</w:t>
      </w:r>
      <w:r w:rsidR="00B51653">
        <w:t>6</w:t>
      </w:r>
      <w:r w:rsidR="0020689C">
        <w:t xml:space="preserve"> billion</w:t>
      </w:r>
      <w:r w:rsidR="00157F8C">
        <w:t xml:space="preserve"> in the 2014-18 period t</w:t>
      </w:r>
      <w:r w:rsidR="007574E9">
        <w:t>o $3.</w:t>
      </w:r>
      <w:r w:rsidR="00B51653">
        <w:t>6</w:t>
      </w:r>
      <w:r w:rsidR="007574E9">
        <w:t xml:space="preserve"> billion in the 2019-23 period, an </w:t>
      </w:r>
      <w:r w:rsidR="00B1597F">
        <w:t>increase</w:t>
      </w:r>
      <w:r w:rsidR="007574E9">
        <w:t xml:space="preserve"> of</w:t>
      </w:r>
      <w:r w:rsidR="00C04671">
        <w:t xml:space="preserve"> 39.2 per cent. The</w:t>
      </w:r>
      <w:r w:rsidR="00157F8C">
        <w:t xml:space="preserve"> average value of </w:t>
      </w:r>
      <w:r w:rsidR="0096436C">
        <w:t>imports from</w:t>
      </w:r>
      <w:r w:rsidR="00C04671">
        <w:t xml:space="preserve"> Canada</w:t>
      </w:r>
      <w:r w:rsidR="0096436C">
        <w:t xml:space="preserve"> grew from $2.</w:t>
      </w:r>
      <w:r w:rsidR="00B51653">
        <w:t>2</w:t>
      </w:r>
      <w:r w:rsidR="0096436C">
        <w:t xml:space="preserve"> billion </w:t>
      </w:r>
      <w:r w:rsidR="00B437F3">
        <w:t xml:space="preserve">in the 2014-18 period </w:t>
      </w:r>
      <w:r w:rsidR="0096436C">
        <w:t xml:space="preserve">to </w:t>
      </w:r>
      <w:r w:rsidR="00B437F3">
        <w:t>$3.1 billion</w:t>
      </w:r>
      <w:r w:rsidR="00C04671">
        <w:t xml:space="preserve"> in the 20</w:t>
      </w:r>
      <w:r w:rsidR="00E11BBE">
        <w:t>19</w:t>
      </w:r>
      <w:r w:rsidR="00C04671">
        <w:t>-</w:t>
      </w:r>
      <w:r w:rsidR="00E11BBE">
        <w:t>23</w:t>
      </w:r>
      <w:r w:rsidR="00C04671">
        <w:t xml:space="preserve"> period</w:t>
      </w:r>
      <w:r w:rsidR="00E11BBE">
        <w:t xml:space="preserve">, an increase of 43.4 per cent. </w:t>
      </w:r>
      <w:r w:rsidR="00C04671">
        <w:t xml:space="preserve">  </w:t>
      </w:r>
    </w:p>
    <w:p w14:paraId="5A337E5B" w14:textId="513E274D" w:rsidR="001F25A3" w:rsidRDefault="002B031E" w:rsidP="00E11FD1">
      <w:pPr>
        <w:pStyle w:val="ListParagraph"/>
        <w:numPr>
          <w:ilvl w:val="0"/>
          <w:numId w:val="5"/>
        </w:numPr>
        <w:ind w:left="0" w:firstLine="0"/>
      </w:pPr>
      <w:r>
        <w:t xml:space="preserve"> </w:t>
      </w:r>
      <w:r w:rsidR="006032AD">
        <w:t>Between</w:t>
      </w:r>
      <w:r w:rsidR="001F25A3">
        <w:t xml:space="preserve"> 201</w:t>
      </w:r>
      <w:r w:rsidR="00172DBC">
        <w:t>9</w:t>
      </w:r>
      <w:r w:rsidR="006032AD">
        <w:t xml:space="preserve"> and 20</w:t>
      </w:r>
      <w:r w:rsidR="001F25A3">
        <w:t xml:space="preserve">23, there was also a rise </w:t>
      </w:r>
      <w:r w:rsidR="0007074D">
        <w:t>in the average</w:t>
      </w:r>
      <w:r w:rsidR="00E9595D">
        <w:t xml:space="preserve"> annual</w:t>
      </w:r>
      <w:r w:rsidR="0007074D">
        <w:t xml:space="preserve"> value of </w:t>
      </w:r>
      <w:r w:rsidR="001F25A3">
        <w:t xml:space="preserve">goods </w:t>
      </w:r>
      <w:r w:rsidR="000E0E9C">
        <w:t>imports from</w:t>
      </w:r>
      <w:r w:rsidR="001F25A3">
        <w:t xml:space="preserve"> ASEAN</w:t>
      </w:r>
      <w:r w:rsidR="0007074D">
        <w:t xml:space="preserve"> CPTPP economies</w:t>
      </w:r>
      <w:r w:rsidR="00055040">
        <w:t xml:space="preserve"> to Australia</w:t>
      </w:r>
      <w:r w:rsidR="001F25A3">
        <w:t xml:space="preserve">. </w:t>
      </w:r>
      <w:r w:rsidR="00A65BD3">
        <w:t>The average value of g</w:t>
      </w:r>
      <w:r w:rsidR="001F25A3">
        <w:t xml:space="preserve">oods </w:t>
      </w:r>
      <w:r w:rsidR="000E0E9C">
        <w:t>imports from</w:t>
      </w:r>
      <w:r w:rsidR="001F25A3">
        <w:t xml:space="preserve"> </w:t>
      </w:r>
      <w:r w:rsidR="0014698F">
        <w:t>Brunei Darussalam</w:t>
      </w:r>
      <w:r w:rsidR="001F25A3">
        <w:t xml:space="preserve"> </w:t>
      </w:r>
      <w:r w:rsidR="00A65BD3">
        <w:t xml:space="preserve">rose from </w:t>
      </w:r>
      <w:r w:rsidR="00275BE9">
        <w:t>$539 million in the 2014-18 period to $2.4 billion in the 2019-23 period</w:t>
      </w:r>
      <w:r w:rsidR="00815E6B">
        <w:t>, an increase of 353 per cent.</w:t>
      </w:r>
      <w:r w:rsidR="00431E34" w:rsidRPr="00E11FD1">
        <w:footnoteReference w:id="42"/>
      </w:r>
      <w:r w:rsidR="001F25A3" w:rsidRPr="00FB7A56">
        <w:t xml:space="preserve"> </w:t>
      </w:r>
      <w:r w:rsidR="00815E6B">
        <w:t>I</w:t>
      </w:r>
      <w:r w:rsidR="002850AF">
        <w:t>mports</w:t>
      </w:r>
      <w:r w:rsidR="001F25A3" w:rsidRPr="00FB7A56">
        <w:t xml:space="preserve"> </w:t>
      </w:r>
      <w:r w:rsidR="00AE5287">
        <w:t>from</w:t>
      </w:r>
      <w:r w:rsidR="001F25A3">
        <w:t xml:space="preserve"> </w:t>
      </w:r>
      <w:r w:rsidR="001F25A3" w:rsidRPr="002A7154">
        <w:t>Vietnam</w:t>
      </w:r>
      <w:r w:rsidR="001F25A3">
        <w:t xml:space="preserve"> increased</w:t>
      </w:r>
      <w:r w:rsidR="001F25A3" w:rsidRPr="00FB7A56">
        <w:t xml:space="preserve"> </w:t>
      </w:r>
      <w:r w:rsidR="00A26201">
        <w:t xml:space="preserve">53.5 </w:t>
      </w:r>
      <w:r w:rsidR="001F25A3" w:rsidRPr="00FB7A56">
        <w:t>per cent</w:t>
      </w:r>
      <w:r w:rsidR="001F25A3">
        <w:t xml:space="preserve"> </w:t>
      </w:r>
      <w:r w:rsidR="00A26201">
        <w:t xml:space="preserve">from $5.0 billion in the 2014-18 period to $7.7 billion in the 2019-23 period. </w:t>
      </w:r>
      <w:r w:rsidR="00591614">
        <w:t>From Singapore, our imports grew 35.2 per cent from</w:t>
      </w:r>
      <w:r w:rsidR="000C20BD">
        <w:t xml:space="preserve"> an annual average of</w:t>
      </w:r>
      <w:r w:rsidR="00591614">
        <w:t xml:space="preserve"> $9.8 billion in the 2014-18 period to </w:t>
      </w:r>
      <w:r w:rsidR="000C20BD">
        <w:t>$13.3 billion in the 2019-23 period. Likewise,</w:t>
      </w:r>
      <w:r w:rsidR="00544910">
        <w:t xml:space="preserve"> </w:t>
      </w:r>
      <w:r w:rsidR="002B0C0D">
        <w:t xml:space="preserve">goods imports from Malaysia increased 27.1 per </w:t>
      </w:r>
      <w:r w:rsidR="00544910">
        <w:t xml:space="preserve">from </w:t>
      </w:r>
      <w:r w:rsidR="00135ECE">
        <w:t>$11.0 billion in the 2014-18 period to $14.0 billion in the 2019-23 period.</w:t>
      </w:r>
      <w:r w:rsidR="00E132FF" w:rsidRPr="00B717EF">
        <w:rPr>
          <w:vertAlign w:val="superscript"/>
        </w:rPr>
        <w:footnoteReference w:id="43"/>
      </w:r>
    </w:p>
    <w:p w14:paraId="04834407" w14:textId="56C15D90" w:rsidR="001F25A3" w:rsidRDefault="002C0E31" w:rsidP="00E11FD1">
      <w:pPr>
        <w:pStyle w:val="ListParagraph"/>
        <w:numPr>
          <w:ilvl w:val="0"/>
          <w:numId w:val="5"/>
        </w:numPr>
        <w:ind w:left="0" w:firstLine="0"/>
      </w:pPr>
      <w:r>
        <w:t>The average</w:t>
      </w:r>
      <w:r w:rsidR="00E9595D">
        <w:t xml:space="preserve"> annual</w:t>
      </w:r>
      <w:r>
        <w:t xml:space="preserve"> value of g</w:t>
      </w:r>
      <w:r w:rsidR="001F25A3">
        <w:t xml:space="preserve">oods </w:t>
      </w:r>
      <w:r w:rsidR="00E16745">
        <w:t>imports from</w:t>
      </w:r>
      <w:r w:rsidR="001F25A3">
        <w:t xml:space="preserve"> other existing bilateral FTA partners </w:t>
      </w:r>
      <w:r w:rsidR="00E379B8">
        <w:t xml:space="preserve">within the CPTPP membership </w:t>
      </w:r>
      <w:r w:rsidR="00711543">
        <w:t xml:space="preserve">in the period </w:t>
      </w:r>
      <w:r w:rsidR="00E51073">
        <w:t>between</w:t>
      </w:r>
      <w:r w:rsidR="001F25A3">
        <w:t xml:space="preserve"> 201</w:t>
      </w:r>
      <w:r w:rsidR="00E144AC">
        <w:t>9</w:t>
      </w:r>
      <w:r w:rsidR="00E51073">
        <w:t xml:space="preserve"> and 20</w:t>
      </w:r>
      <w:r w:rsidR="001F25A3">
        <w:t xml:space="preserve">23 saw </w:t>
      </w:r>
      <w:r w:rsidR="0080162F">
        <w:t xml:space="preserve">mixed </w:t>
      </w:r>
      <w:r w:rsidR="001F25A3">
        <w:t>gains</w:t>
      </w:r>
      <w:r w:rsidR="00275CCB">
        <w:t>.</w:t>
      </w:r>
      <w:r w:rsidR="001F25A3">
        <w:t xml:space="preserve"> </w:t>
      </w:r>
      <w:r w:rsidR="00275CCB">
        <w:t>I</w:t>
      </w:r>
      <w:r w:rsidR="00711543">
        <w:t xml:space="preserve">n the period after entry into force of the Agreement, </w:t>
      </w:r>
      <w:r w:rsidR="007F2E98">
        <w:t>i</w:t>
      </w:r>
      <w:r w:rsidR="006D223A">
        <w:t>mport</w:t>
      </w:r>
      <w:r w:rsidR="001F25A3">
        <w:t xml:space="preserve">s </w:t>
      </w:r>
      <w:r w:rsidR="0057183C">
        <w:t>from</w:t>
      </w:r>
      <w:r w:rsidR="001F25A3">
        <w:t xml:space="preserve"> Chile </w:t>
      </w:r>
      <w:r w:rsidR="0057183C">
        <w:t>decreas</w:t>
      </w:r>
      <w:r w:rsidR="00275CCB">
        <w:t>ed</w:t>
      </w:r>
      <w:r w:rsidR="001F25A3">
        <w:t xml:space="preserve"> </w:t>
      </w:r>
      <w:r w:rsidR="00E144AC">
        <w:t>2</w:t>
      </w:r>
      <w:r w:rsidR="009000E8">
        <w:t>2.6</w:t>
      </w:r>
      <w:r w:rsidR="001F25A3">
        <w:t xml:space="preserve"> per cent</w:t>
      </w:r>
      <w:r w:rsidR="009000E8">
        <w:t xml:space="preserve"> from a value of </w:t>
      </w:r>
      <w:r w:rsidR="00AE5425">
        <w:t>$653 million in the 2014-18 period to $506 million in the 2019-23 period.</w:t>
      </w:r>
      <w:r w:rsidR="00161BA7" w:rsidRPr="00B717EF">
        <w:rPr>
          <w:vertAlign w:val="superscript"/>
        </w:rPr>
        <w:footnoteReference w:id="44"/>
      </w:r>
      <w:r w:rsidR="001F25A3" w:rsidRPr="00E11FD1">
        <w:t xml:space="preserve"> </w:t>
      </w:r>
      <w:r w:rsidR="00460836">
        <w:t>I</w:t>
      </w:r>
      <w:r w:rsidR="006D223A">
        <w:t>mpor</w:t>
      </w:r>
      <w:r w:rsidR="001F25A3">
        <w:t xml:space="preserve">ts </w:t>
      </w:r>
      <w:r w:rsidR="00A74AD9">
        <w:t>from</w:t>
      </w:r>
      <w:r w:rsidR="001F25A3">
        <w:t xml:space="preserve"> Peru </w:t>
      </w:r>
      <w:r w:rsidR="00A74AD9">
        <w:t>decreas</w:t>
      </w:r>
      <w:r w:rsidR="00275CCB">
        <w:t>ed</w:t>
      </w:r>
      <w:r w:rsidR="001F25A3">
        <w:t xml:space="preserve"> </w:t>
      </w:r>
      <w:r w:rsidR="00460836">
        <w:t>31.</w:t>
      </w:r>
      <w:r w:rsidR="00243D04">
        <w:t>8</w:t>
      </w:r>
      <w:r w:rsidR="001F25A3">
        <w:t xml:space="preserve"> per cent</w:t>
      </w:r>
      <w:r w:rsidR="00066302">
        <w:t xml:space="preserve"> from a value</w:t>
      </w:r>
      <w:r w:rsidR="00E9595D">
        <w:t xml:space="preserve"> of </w:t>
      </w:r>
      <w:r w:rsidR="00007BFC">
        <w:t>$263 million in the 2014-18 period to $179 million in the 2019-23 period.</w:t>
      </w:r>
      <w:r w:rsidR="00AE6EFA" w:rsidRPr="00B717EF">
        <w:rPr>
          <w:vertAlign w:val="superscript"/>
        </w:rPr>
        <w:footnoteReference w:id="45"/>
      </w:r>
      <w:r w:rsidR="00007BFC" w:rsidRPr="00B717EF">
        <w:rPr>
          <w:vertAlign w:val="superscript"/>
        </w:rPr>
        <w:t xml:space="preserve"> </w:t>
      </w:r>
      <w:r w:rsidR="00007BFC">
        <w:t xml:space="preserve">Australia’s imports from </w:t>
      </w:r>
      <w:r w:rsidR="00135919">
        <w:t>Japan</w:t>
      </w:r>
      <w:r w:rsidR="002C6A69">
        <w:t xml:space="preserve"> </w:t>
      </w:r>
      <w:r w:rsidR="00135919">
        <w:t>increased</w:t>
      </w:r>
      <w:r w:rsidR="002C6A69">
        <w:t xml:space="preserve"> by </w:t>
      </w:r>
      <w:r w:rsidR="00243D04">
        <w:t>10.0</w:t>
      </w:r>
      <w:r w:rsidR="002C6A69">
        <w:t xml:space="preserve"> per cent from the annual average of $2</w:t>
      </w:r>
      <w:r w:rsidR="00115846">
        <w:t>0.1 billion</w:t>
      </w:r>
      <w:r w:rsidR="002C6A69">
        <w:t xml:space="preserve"> </w:t>
      </w:r>
      <w:r w:rsidR="00115846">
        <w:t>i</w:t>
      </w:r>
      <w:r w:rsidR="002C6A69">
        <w:t xml:space="preserve">n the 2014-18 period to </w:t>
      </w:r>
      <w:r w:rsidR="00115846">
        <w:t xml:space="preserve">$22.1 billion in the 2019-23 period. Our </w:t>
      </w:r>
      <w:r w:rsidR="006D223A">
        <w:t>imports</w:t>
      </w:r>
      <w:r w:rsidR="001F25A3">
        <w:t xml:space="preserve"> </w:t>
      </w:r>
      <w:r w:rsidR="006D223A">
        <w:t xml:space="preserve">from </w:t>
      </w:r>
      <w:r w:rsidR="001F25A3">
        <w:t xml:space="preserve">New Zealand </w:t>
      </w:r>
      <w:r w:rsidR="00D22649">
        <w:t>reduced from $7.</w:t>
      </w:r>
      <w:r w:rsidR="00243D04">
        <w:t>8</w:t>
      </w:r>
      <w:r w:rsidR="00D22649">
        <w:t xml:space="preserve"> billion in the 2014-18 period to $7.2 billion in the 2019-23 period, a decrease of 7.</w:t>
      </w:r>
      <w:r w:rsidR="00243D04">
        <w:t>2</w:t>
      </w:r>
      <w:r w:rsidR="00D22649">
        <w:t xml:space="preserve"> per cent. </w:t>
      </w:r>
    </w:p>
    <w:p w14:paraId="71EC3E18" w14:textId="2950F0D8" w:rsidR="00116657" w:rsidRDefault="00E379B8" w:rsidP="00116657">
      <w:r>
        <w:rPr>
          <w:rFonts w:eastAsia="Times New Roman" w:cstheme="minorHAnsi"/>
          <w:b/>
          <w:bCs/>
          <w:i/>
          <w:iCs/>
          <w:sz w:val="24"/>
          <w:szCs w:val="24"/>
          <w:lang w:eastAsia="en-AU"/>
        </w:rPr>
        <w:t>I</w:t>
      </w:r>
      <w:r w:rsidR="00B019B0">
        <w:rPr>
          <w:rFonts w:eastAsia="Times New Roman" w:cstheme="minorHAnsi"/>
          <w:b/>
          <w:bCs/>
          <w:i/>
          <w:iCs/>
          <w:sz w:val="24"/>
          <w:szCs w:val="24"/>
          <w:lang w:eastAsia="en-AU"/>
        </w:rPr>
        <w:t>mpact on service</w:t>
      </w:r>
      <w:r w:rsidR="005429C5">
        <w:rPr>
          <w:rFonts w:eastAsia="Times New Roman" w:cstheme="minorHAnsi"/>
          <w:b/>
          <w:bCs/>
          <w:i/>
          <w:iCs/>
          <w:sz w:val="24"/>
          <w:szCs w:val="24"/>
          <w:lang w:eastAsia="en-AU"/>
        </w:rPr>
        <w:t>s</w:t>
      </w:r>
      <w:r w:rsidR="00B019B0">
        <w:rPr>
          <w:rFonts w:eastAsia="Times New Roman" w:cstheme="minorHAnsi"/>
          <w:b/>
          <w:bCs/>
          <w:i/>
          <w:iCs/>
          <w:sz w:val="24"/>
          <w:szCs w:val="24"/>
          <w:lang w:eastAsia="en-AU"/>
        </w:rPr>
        <w:t xml:space="preserve"> </w:t>
      </w:r>
      <w:r w:rsidR="00116657">
        <w:rPr>
          <w:rFonts w:eastAsia="Times New Roman" w:cstheme="minorHAnsi"/>
          <w:b/>
          <w:bCs/>
          <w:i/>
          <w:iCs/>
          <w:sz w:val="24"/>
          <w:szCs w:val="24"/>
          <w:lang w:eastAsia="en-AU"/>
        </w:rPr>
        <w:t>imports</w:t>
      </w:r>
    </w:p>
    <w:p w14:paraId="45B58162" w14:textId="6C140673" w:rsidR="00EB4553" w:rsidRDefault="00EB4553" w:rsidP="003057D5">
      <w:pPr>
        <w:pStyle w:val="ListParagraph"/>
        <w:numPr>
          <w:ilvl w:val="0"/>
          <w:numId w:val="5"/>
        </w:numPr>
        <w:ind w:left="0" w:firstLine="0"/>
      </w:pPr>
      <w:r>
        <w:t xml:space="preserve">Australia’s services imports from CPTPP members </w:t>
      </w:r>
      <w:r w:rsidR="009C7F01">
        <w:t>were</w:t>
      </w:r>
      <w:r>
        <w:t xml:space="preserve"> </w:t>
      </w:r>
      <w:r w:rsidR="005537F9">
        <w:t>worth</w:t>
      </w:r>
      <w:r>
        <w:t xml:space="preserve"> $</w:t>
      </w:r>
      <w:r w:rsidR="00664D38">
        <w:t>22</w:t>
      </w:r>
      <w:r>
        <w:t>.</w:t>
      </w:r>
      <w:r w:rsidR="00664D38">
        <w:t>1</w:t>
      </w:r>
      <w:r>
        <w:t xml:space="preserve"> billion in 2018. Since entry into force, the annual average value of</w:t>
      </w:r>
      <w:r w:rsidR="00DD4EF4">
        <w:t xml:space="preserve"> services</w:t>
      </w:r>
      <w:r w:rsidDel="00DD4EF4">
        <w:t xml:space="preserve"> </w:t>
      </w:r>
      <w:r>
        <w:t xml:space="preserve">imports </w:t>
      </w:r>
      <w:r w:rsidR="00C96AC0">
        <w:t>fell</w:t>
      </w:r>
      <w:r>
        <w:t xml:space="preserve"> from $</w:t>
      </w:r>
      <w:r w:rsidR="00DD4EF4">
        <w:t>19.7</w:t>
      </w:r>
      <w:r>
        <w:t xml:space="preserve"> billion in </w:t>
      </w:r>
      <w:r>
        <w:lastRenderedPageBreak/>
        <w:t>the 2014-18 period to $</w:t>
      </w:r>
      <w:r w:rsidR="00DD4EF4">
        <w:t>18</w:t>
      </w:r>
      <w:r>
        <w:t>.</w:t>
      </w:r>
      <w:r w:rsidR="00DD4EF4">
        <w:t>7</w:t>
      </w:r>
      <w:r>
        <w:t xml:space="preserve"> billion in the 2019-23 period, a</w:t>
      </w:r>
      <w:r w:rsidR="00DD4EF4">
        <w:t xml:space="preserve"> de</w:t>
      </w:r>
      <w:r>
        <w:t xml:space="preserve">crease of </w:t>
      </w:r>
      <w:r w:rsidR="00DD4EF4">
        <w:t>5.0</w:t>
      </w:r>
      <w:r>
        <w:t xml:space="preserve"> per cent (Table 6)</w:t>
      </w:r>
      <w:r w:rsidR="00660A72">
        <w:t>.</w:t>
      </w:r>
      <w:r w:rsidRPr="00C96EF7">
        <w:rPr>
          <w:vertAlign w:val="superscript"/>
        </w:rPr>
        <w:footnoteReference w:id="46"/>
      </w:r>
      <w:r w:rsidRPr="00C96EF7">
        <w:rPr>
          <w:vertAlign w:val="superscript"/>
        </w:rPr>
        <w:t xml:space="preserve"> </w:t>
      </w:r>
      <w:r>
        <w:t xml:space="preserve"> </w:t>
      </w:r>
    </w:p>
    <w:p w14:paraId="5F316B89" w14:textId="19D53EC8" w:rsidR="00EB4553" w:rsidRDefault="00EB4553" w:rsidP="000920EB">
      <w:pPr>
        <w:pStyle w:val="ListParagraph"/>
        <w:numPr>
          <w:ilvl w:val="0"/>
          <w:numId w:val="5"/>
        </w:numPr>
        <w:ind w:left="0" w:firstLine="0"/>
      </w:pPr>
      <w:r>
        <w:t xml:space="preserve">The average value of annual </w:t>
      </w:r>
      <w:r w:rsidR="000E020F">
        <w:t xml:space="preserve">services </w:t>
      </w:r>
      <w:r>
        <w:t xml:space="preserve">imports from Mexico </w:t>
      </w:r>
      <w:r w:rsidR="000E020F">
        <w:t>reduced</w:t>
      </w:r>
      <w:r>
        <w:t xml:space="preserve"> from $</w:t>
      </w:r>
      <w:r w:rsidR="000E020F">
        <w:t>179</w:t>
      </w:r>
      <w:r>
        <w:t xml:space="preserve"> </w:t>
      </w:r>
      <w:r w:rsidR="000E020F">
        <w:t>m</w:t>
      </w:r>
      <w:r>
        <w:t>illion in the 2014-18 period to $</w:t>
      </w:r>
      <w:r w:rsidR="002C0869">
        <w:t>106 m</w:t>
      </w:r>
      <w:r>
        <w:t>illion in the 2019-23 period, a</w:t>
      </w:r>
      <w:r w:rsidR="002C0869">
        <w:t xml:space="preserve"> dec</w:t>
      </w:r>
      <w:r>
        <w:t xml:space="preserve">rease of </w:t>
      </w:r>
      <w:r w:rsidR="002C0869">
        <w:t>4</w:t>
      </w:r>
      <w:r w:rsidR="008104F0">
        <w:t>0</w:t>
      </w:r>
      <w:r w:rsidR="002C0869">
        <w:t>.</w:t>
      </w:r>
      <w:r w:rsidR="008104F0">
        <w:t>8</w:t>
      </w:r>
      <w:r>
        <w:t xml:space="preserve"> per</w:t>
      </w:r>
      <w:r w:rsidR="008104F0">
        <w:t> </w:t>
      </w:r>
      <w:r>
        <w:t xml:space="preserve">cent. The average value of imports from Canada </w:t>
      </w:r>
      <w:r w:rsidR="008104F0">
        <w:t>reduced</w:t>
      </w:r>
      <w:r>
        <w:t xml:space="preserve"> from $</w:t>
      </w:r>
      <w:r w:rsidR="00DD5E64">
        <w:t>1</w:t>
      </w:r>
      <w:r>
        <w:t>.</w:t>
      </w:r>
      <w:r w:rsidR="00DD5E64">
        <w:t>8</w:t>
      </w:r>
      <w:r>
        <w:t xml:space="preserve"> billion in the 2014-18 period to $</w:t>
      </w:r>
      <w:r w:rsidR="00DD5E64">
        <w:t>1</w:t>
      </w:r>
      <w:r>
        <w:t>.</w:t>
      </w:r>
      <w:r w:rsidR="008D6C1F">
        <w:t>6</w:t>
      </w:r>
      <w:r>
        <w:t xml:space="preserve"> billion in the 2019-23 period, a</w:t>
      </w:r>
      <w:r w:rsidR="00DD5E64">
        <w:t xml:space="preserve"> de</w:t>
      </w:r>
      <w:r>
        <w:t xml:space="preserve">crease of </w:t>
      </w:r>
      <w:r w:rsidR="00DD5E64">
        <w:t>15</w:t>
      </w:r>
      <w:r>
        <w:t>.</w:t>
      </w:r>
      <w:r w:rsidR="00DD5E64">
        <w:t>5</w:t>
      </w:r>
      <w:r>
        <w:t xml:space="preserve"> per cent.   </w:t>
      </w:r>
    </w:p>
    <w:p w14:paraId="05F745EF" w14:textId="2C7BEFC6" w:rsidR="00EB4553" w:rsidRDefault="00EB4553" w:rsidP="003057D5">
      <w:pPr>
        <w:pStyle w:val="ListParagraph"/>
        <w:numPr>
          <w:ilvl w:val="0"/>
          <w:numId w:val="5"/>
        </w:numPr>
        <w:ind w:left="0" w:firstLine="0"/>
      </w:pPr>
      <w:r>
        <w:t xml:space="preserve"> Between 2019 and 2023, there w</w:t>
      </w:r>
      <w:r w:rsidR="00ED7B06">
        <w:t>ere mixed gains</w:t>
      </w:r>
      <w:r>
        <w:t xml:space="preserve"> in the average annual value of </w:t>
      </w:r>
      <w:r w:rsidR="00E7095A">
        <w:t>services</w:t>
      </w:r>
      <w:r>
        <w:t xml:space="preserve"> imports from ASEAN </w:t>
      </w:r>
      <w:r w:rsidR="00ED7B06">
        <w:t xml:space="preserve">CPTPP </w:t>
      </w:r>
      <w:r w:rsidR="00A71A4B">
        <w:t>members</w:t>
      </w:r>
      <w:r>
        <w:t xml:space="preserve"> to Australia. The average value of</w:t>
      </w:r>
      <w:r w:rsidDel="00A71A4B">
        <w:t xml:space="preserve"> </w:t>
      </w:r>
      <w:r w:rsidR="00A71A4B">
        <w:t>services</w:t>
      </w:r>
      <w:r>
        <w:t xml:space="preserve"> imports from Brunei Darussalam </w:t>
      </w:r>
      <w:r w:rsidR="00A71A4B">
        <w:t>decreased</w:t>
      </w:r>
      <w:r>
        <w:t xml:space="preserve"> from $</w:t>
      </w:r>
      <w:r w:rsidR="00A71A4B">
        <w:t>62</w:t>
      </w:r>
      <w:r w:rsidR="00EF5FBE">
        <w:t>.4</w:t>
      </w:r>
      <w:r>
        <w:t xml:space="preserve"> million in the 2014-18 period to $</w:t>
      </w:r>
      <w:r w:rsidR="00EF5FBE">
        <w:t>29.8</w:t>
      </w:r>
      <w:r>
        <w:t xml:space="preserve"> </w:t>
      </w:r>
      <w:r w:rsidR="00EF5FBE">
        <w:t>m</w:t>
      </w:r>
      <w:r>
        <w:t>illion in the 2019-23 period, a</w:t>
      </w:r>
      <w:r w:rsidR="00EF5FBE">
        <w:t xml:space="preserve"> de</w:t>
      </w:r>
      <w:r>
        <w:t>crease of</w:t>
      </w:r>
      <w:r w:rsidR="00EF5FBE">
        <w:t xml:space="preserve"> 52.2</w:t>
      </w:r>
      <w:r w:rsidDel="00EF5FBE">
        <w:t xml:space="preserve"> </w:t>
      </w:r>
      <w:r>
        <w:t>per cent.</w:t>
      </w:r>
      <w:r w:rsidRPr="00C95911">
        <w:rPr>
          <w:vertAlign w:val="superscript"/>
        </w:rPr>
        <w:footnoteReference w:id="47"/>
      </w:r>
      <w:r w:rsidRPr="00FB7A56">
        <w:t xml:space="preserve"> </w:t>
      </w:r>
      <w:r>
        <w:t>Imports</w:t>
      </w:r>
      <w:r w:rsidRPr="00FB7A56">
        <w:t xml:space="preserve"> </w:t>
      </w:r>
      <w:r>
        <w:t xml:space="preserve">from </w:t>
      </w:r>
      <w:r w:rsidRPr="002A7154">
        <w:t>Vietnam</w:t>
      </w:r>
      <w:r>
        <w:t xml:space="preserve"> </w:t>
      </w:r>
      <w:r w:rsidR="00EC1063">
        <w:t>de</w:t>
      </w:r>
      <w:r>
        <w:t>creased</w:t>
      </w:r>
      <w:r w:rsidRPr="00FB7A56">
        <w:t xml:space="preserve"> </w:t>
      </w:r>
      <w:r w:rsidR="00EC1063">
        <w:t>28</w:t>
      </w:r>
      <w:r>
        <w:t xml:space="preserve">.5 </w:t>
      </w:r>
      <w:r w:rsidRPr="00FB7A56">
        <w:t>per cent</w:t>
      </w:r>
      <w:r>
        <w:t xml:space="preserve"> from $</w:t>
      </w:r>
      <w:r w:rsidR="00EC1063">
        <w:t>1</w:t>
      </w:r>
      <w:r>
        <w:t>.3 billion in the 2014-18 period to $</w:t>
      </w:r>
      <w:r w:rsidR="00EC1063">
        <w:t>941</w:t>
      </w:r>
      <w:r>
        <w:t xml:space="preserve"> </w:t>
      </w:r>
      <w:r w:rsidR="00EC1063">
        <w:t>m</w:t>
      </w:r>
      <w:r>
        <w:t xml:space="preserve">illion in the 2019-23 period. From Singapore, our imports grew </w:t>
      </w:r>
      <w:r w:rsidR="000A2B19">
        <w:t>0</w:t>
      </w:r>
      <w:r>
        <w:t>.</w:t>
      </w:r>
      <w:r w:rsidR="00E45001">
        <w:t>6</w:t>
      </w:r>
      <w:r>
        <w:t xml:space="preserve"> per cent from an annual average of $</w:t>
      </w:r>
      <w:r w:rsidR="000A2B19">
        <w:t>6</w:t>
      </w:r>
      <w:r>
        <w:t>.</w:t>
      </w:r>
      <w:r w:rsidR="00E45001">
        <w:t>3</w:t>
      </w:r>
      <w:r>
        <w:t xml:space="preserve"> billion in the 2014-18 period to $</w:t>
      </w:r>
      <w:r w:rsidR="000A2B19">
        <w:t>6</w:t>
      </w:r>
      <w:r>
        <w:t xml:space="preserve">.3 billion in the 2019-23 period. Likewise, </w:t>
      </w:r>
      <w:r w:rsidR="009D4DEE">
        <w:t>services</w:t>
      </w:r>
      <w:r>
        <w:t xml:space="preserve"> imports from Malaysia </w:t>
      </w:r>
      <w:r w:rsidR="00EC1BC9">
        <w:t xml:space="preserve">have not </w:t>
      </w:r>
      <w:r w:rsidR="0051074D">
        <w:t xml:space="preserve">fluctuated significantly, </w:t>
      </w:r>
      <w:r w:rsidR="00C43552">
        <w:t>but have grown marginally at a rate of 0.05 per cent from $</w:t>
      </w:r>
      <w:r w:rsidR="00C43552" w:rsidDel="009A47F7">
        <w:t>1</w:t>
      </w:r>
      <w:r w:rsidR="00C43552">
        <w:t>.1</w:t>
      </w:r>
      <w:r w:rsidR="00772F51">
        <w:t>0</w:t>
      </w:r>
      <w:r w:rsidR="00D52F24">
        <w:t>6</w:t>
      </w:r>
      <w:r w:rsidR="00C43552">
        <w:t xml:space="preserve"> billion in the 2014-18 period to $1.1</w:t>
      </w:r>
      <w:r w:rsidR="00D52F24">
        <w:t>07</w:t>
      </w:r>
      <w:r w:rsidR="00C43552">
        <w:t xml:space="preserve"> billion in the 2019-23 period.</w:t>
      </w:r>
      <w:r w:rsidR="00C43552" w:rsidRPr="00C95911">
        <w:rPr>
          <w:vertAlign w:val="superscript"/>
        </w:rPr>
        <w:footnoteReference w:id="48"/>
      </w:r>
    </w:p>
    <w:p w14:paraId="7A428929" w14:textId="7DCA55C8" w:rsidR="00EB4553" w:rsidRDefault="00EB4553" w:rsidP="003057D5">
      <w:pPr>
        <w:pStyle w:val="ListParagraph"/>
        <w:numPr>
          <w:ilvl w:val="0"/>
          <w:numId w:val="5"/>
        </w:numPr>
        <w:ind w:left="0" w:firstLine="0"/>
      </w:pPr>
      <w:r>
        <w:t xml:space="preserve">The average annual value of </w:t>
      </w:r>
      <w:r w:rsidR="00E7095A">
        <w:t>services</w:t>
      </w:r>
      <w:r>
        <w:t xml:space="preserve"> imports from </w:t>
      </w:r>
      <w:r w:rsidR="009029F0">
        <w:t>CPTPP members where there are</w:t>
      </w:r>
      <w:r>
        <w:t xml:space="preserve"> existing bilateral FTA</w:t>
      </w:r>
      <w:r w:rsidR="009029F0">
        <w:t>s</w:t>
      </w:r>
      <w:r>
        <w:t xml:space="preserve"> in </w:t>
      </w:r>
      <w:r w:rsidR="009029F0">
        <w:t xml:space="preserve">place </w:t>
      </w:r>
      <w:r w:rsidR="00E24F68">
        <w:t xml:space="preserve">also </w:t>
      </w:r>
      <w:r>
        <w:t>saw mixed gains</w:t>
      </w:r>
      <w:r w:rsidR="00FA0860">
        <w:t xml:space="preserve"> </w:t>
      </w:r>
      <w:r>
        <w:t>in the 2</w:t>
      </w:r>
      <w:r w:rsidR="00457CB2">
        <w:t>019-</w:t>
      </w:r>
      <w:r>
        <w:t>23</w:t>
      </w:r>
      <w:r w:rsidR="00457CB2">
        <w:t xml:space="preserve"> period</w:t>
      </w:r>
      <w:r>
        <w:t xml:space="preserve">. </w:t>
      </w:r>
      <w:r w:rsidR="00D56AA5">
        <w:t>I</w:t>
      </w:r>
      <w:r>
        <w:t xml:space="preserve">mports from Chile decreased </w:t>
      </w:r>
      <w:r w:rsidR="00E24F68">
        <w:t>49.9</w:t>
      </w:r>
      <w:r>
        <w:t xml:space="preserve"> per cent from a</w:t>
      </w:r>
      <w:r w:rsidR="00B122CD">
        <w:t>n average</w:t>
      </w:r>
      <w:r>
        <w:t xml:space="preserve"> value of $</w:t>
      </w:r>
      <w:r w:rsidR="00FF689A">
        <w:t>290</w:t>
      </w:r>
      <w:r>
        <w:t xml:space="preserve"> million in the 2014-18 period to $</w:t>
      </w:r>
      <w:r w:rsidR="00FF689A">
        <w:t>145</w:t>
      </w:r>
      <w:r w:rsidR="004E52D8">
        <w:t>.2</w:t>
      </w:r>
      <w:r>
        <w:t xml:space="preserve"> million in the 2019-23 period.</w:t>
      </w:r>
      <w:r w:rsidRPr="00AB058C">
        <w:rPr>
          <w:vertAlign w:val="superscript"/>
        </w:rPr>
        <w:footnoteReference w:id="49"/>
      </w:r>
      <w:r w:rsidRPr="00AB058C">
        <w:rPr>
          <w:vertAlign w:val="superscript"/>
        </w:rPr>
        <w:t xml:space="preserve"> </w:t>
      </w:r>
      <w:r>
        <w:t xml:space="preserve">Imports from Peru decreased </w:t>
      </w:r>
      <w:r w:rsidR="00FF689A">
        <w:t>60</w:t>
      </w:r>
      <w:r>
        <w:t>.</w:t>
      </w:r>
      <w:r w:rsidR="00FF689A">
        <w:t>2</w:t>
      </w:r>
      <w:r>
        <w:t xml:space="preserve"> per cent from a value of $</w:t>
      </w:r>
      <w:r w:rsidR="005B3F71">
        <w:t>152</w:t>
      </w:r>
      <w:r w:rsidR="0024444A">
        <w:t>.4</w:t>
      </w:r>
      <w:r>
        <w:t xml:space="preserve"> million in the 2014-18 period to $</w:t>
      </w:r>
      <w:r w:rsidR="005B3F71">
        <w:t>60.6</w:t>
      </w:r>
      <w:r>
        <w:t xml:space="preserve"> million in the 2019-23 period.</w:t>
      </w:r>
      <w:r w:rsidR="000413CA" w:rsidRPr="00AB058C">
        <w:rPr>
          <w:vertAlign w:val="superscript"/>
        </w:rPr>
        <w:footnoteReference w:id="50"/>
      </w:r>
      <w:r w:rsidRPr="00AB058C">
        <w:rPr>
          <w:vertAlign w:val="superscript"/>
        </w:rPr>
        <w:t xml:space="preserve"> </w:t>
      </w:r>
      <w:r>
        <w:t xml:space="preserve">Australia’s imports from Japan </w:t>
      </w:r>
      <w:r w:rsidR="005B3F71">
        <w:t>de</w:t>
      </w:r>
      <w:r>
        <w:t xml:space="preserve">creased by </w:t>
      </w:r>
      <w:r w:rsidR="00BE5D68">
        <w:t>7</w:t>
      </w:r>
      <w:r>
        <w:t>.</w:t>
      </w:r>
      <w:r w:rsidR="008E1CD0">
        <w:t>7</w:t>
      </w:r>
      <w:r>
        <w:t xml:space="preserve"> per cent from the annual average of $</w:t>
      </w:r>
      <w:r w:rsidR="00473748">
        <w:t>3</w:t>
      </w:r>
      <w:r>
        <w:t>.</w:t>
      </w:r>
      <w:r w:rsidR="00473748">
        <w:t>4</w:t>
      </w:r>
      <w:r>
        <w:t xml:space="preserve"> billion in the 2014-18 period to $</w:t>
      </w:r>
      <w:r w:rsidR="00473748">
        <w:t>3</w:t>
      </w:r>
      <w:r>
        <w:t>.</w:t>
      </w:r>
      <w:r w:rsidR="006A0736">
        <w:t>2</w:t>
      </w:r>
      <w:r>
        <w:t xml:space="preserve"> billion in the 2019-23 period. </w:t>
      </w:r>
      <w:r w:rsidR="009E19EC">
        <w:t>I</w:t>
      </w:r>
      <w:r>
        <w:t xml:space="preserve">mports </w:t>
      </w:r>
      <w:r w:rsidR="009E19EC">
        <w:t>from</w:t>
      </w:r>
      <w:r>
        <w:t xml:space="preserve"> New Zealand </w:t>
      </w:r>
      <w:r w:rsidR="001F3245">
        <w:t>increased</w:t>
      </w:r>
      <w:r>
        <w:t xml:space="preserve"> from $</w:t>
      </w:r>
      <w:r w:rsidR="00805064">
        <w:t>5</w:t>
      </w:r>
      <w:r>
        <w:t>.</w:t>
      </w:r>
      <w:r w:rsidR="00805064">
        <w:t>0</w:t>
      </w:r>
      <w:r>
        <w:t xml:space="preserve"> billion in the 2014-18 period to $</w:t>
      </w:r>
      <w:r w:rsidR="00805064">
        <w:t>5</w:t>
      </w:r>
      <w:r>
        <w:t>.</w:t>
      </w:r>
      <w:r w:rsidR="00566D2D">
        <w:t>3</w:t>
      </w:r>
      <w:r>
        <w:t xml:space="preserve"> billion in the 2019-23 period, a decrease of 7.</w:t>
      </w:r>
      <w:r w:rsidR="00A55A2C">
        <w:t>7</w:t>
      </w:r>
      <w:r>
        <w:t xml:space="preserve"> per cent. </w:t>
      </w:r>
    </w:p>
    <w:p w14:paraId="1C7BC623" w14:textId="1F15F2FE" w:rsidR="001257EA" w:rsidRDefault="001257EA" w:rsidP="001257EA">
      <w:pPr>
        <w:sectPr w:rsidR="001257EA" w:rsidSect="006B18E4">
          <w:pgSz w:w="11906" w:h="16838"/>
          <w:pgMar w:top="1440" w:right="1440" w:bottom="1440" w:left="1440" w:header="567"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98"/>
      </w:tblGrid>
      <w:tr w:rsidR="00C04C24" w:rsidRPr="006C7673" w14:paraId="2F43ED4D" w14:textId="77777777" w:rsidTr="002B3709">
        <w:trPr>
          <w:trHeight w:val="450"/>
        </w:trPr>
        <w:tc>
          <w:tcPr>
            <w:tcW w:w="15398" w:type="dxa"/>
          </w:tcPr>
          <w:p w14:paraId="17478EF4" w14:textId="1135876A" w:rsidR="00C04C24" w:rsidRPr="006C7673" w:rsidRDefault="00A06CF4">
            <w:pPr>
              <w:rPr>
                <w:rFonts w:asciiTheme="minorHAnsi" w:hAnsiTheme="minorHAnsi" w:cstheme="minorHAnsi"/>
                <w:b/>
                <w:sz w:val="24"/>
                <w:szCs w:val="24"/>
              </w:rPr>
            </w:pPr>
            <w:r>
              <w:lastRenderedPageBreak/>
              <w:br w:type="page"/>
            </w:r>
            <w:r w:rsidR="00C04C24" w:rsidRPr="002B3709">
              <w:rPr>
                <w:rFonts w:asciiTheme="minorHAnsi" w:hAnsiTheme="minorHAnsi" w:cstheme="minorHAnsi"/>
                <w:b/>
                <w:bCs/>
                <w:sz w:val="22"/>
                <w:szCs w:val="22"/>
              </w:rPr>
              <w:t xml:space="preserve">Table </w:t>
            </w:r>
            <w:r w:rsidR="0033522F">
              <w:rPr>
                <w:rFonts w:asciiTheme="minorHAnsi" w:hAnsiTheme="minorHAnsi" w:cstheme="minorHAnsi"/>
                <w:b/>
                <w:bCs/>
                <w:sz w:val="22"/>
                <w:szCs w:val="22"/>
              </w:rPr>
              <w:t>6</w:t>
            </w:r>
            <w:r w:rsidR="00C04C24" w:rsidRPr="002B3709">
              <w:rPr>
                <w:rFonts w:asciiTheme="minorHAnsi" w:hAnsiTheme="minorHAnsi" w:cstheme="minorHAnsi"/>
                <w:b/>
                <w:bCs/>
                <w:sz w:val="22"/>
                <w:szCs w:val="22"/>
              </w:rPr>
              <w:t xml:space="preserve">: </w:t>
            </w:r>
            <w:r w:rsidR="00C674D9" w:rsidRPr="002B3709">
              <w:rPr>
                <w:rFonts w:asciiTheme="minorHAnsi" w:hAnsiTheme="minorHAnsi" w:cstheme="minorHAnsi"/>
                <w:b/>
                <w:bCs/>
                <w:sz w:val="22"/>
                <w:szCs w:val="22"/>
              </w:rPr>
              <w:t>Goods</w:t>
            </w:r>
            <w:r w:rsidR="00C04C24" w:rsidRPr="002B3709">
              <w:rPr>
                <w:rFonts w:asciiTheme="minorHAnsi" w:hAnsiTheme="minorHAnsi" w:cstheme="minorHAnsi"/>
                <w:b/>
                <w:bCs/>
                <w:sz w:val="22"/>
                <w:szCs w:val="22"/>
              </w:rPr>
              <w:t xml:space="preserve"> </w:t>
            </w:r>
            <w:r w:rsidR="00C674D9" w:rsidRPr="002B3709">
              <w:rPr>
                <w:rFonts w:asciiTheme="minorHAnsi" w:hAnsiTheme="minorHAnsi" w:cstheme="minorHAnsi"/>
                <w:b/>
                <w:bCs/>
                <w:sz w:val="22"/>
                <w:szCs w:val="22"/>
              </w:rPr>
              <w:t>Im</w:t>
            </w:r>
            <w:r w:rsidR="00C04C24" w:rsidRPr="002B3709">
              <w:rPr>
                <w:rFonts w:asciiTheme="minorHAnsi" w:hAnsiTheme="minorHAnsi" w:cstheme="minorHAnsi"/>
                <w:b/>
                <w:bCs/>
                <w:sz w:val="22"/>
                <w:szCs w:val="22"/>
              </w:rPr>
              <w:t xml:space="preserve">ports by CPTPP </w:t>
            </w:r>
            <w:r w:rsidR="00FC6B56" w:rsidRPr="002B3709">
              <w:rPr>
                <w:rFonts w:asciiTheme="minorHAnsi" w:hAnsiTheme="minorHAnsi" w:cstheme="minorHAnsi"/>
                <w:b/>
                <w:bCs/>
                <w:sz w:val="22"/>
                <w:szCs w:val="22"/>
              </w:rPr>
              <w:t>Economy</w:t>
            </w:r>
          </w:p>
        </w:tc>
      </w:tr>
      <w:tr w:rsidR="00C04C24" w14:paraId="22EED871" w14:textId="77777777" w:rsidTr="002B3709">
        <w:trPr>
          <w:trHeight w:val="3734"/>
        </w:trPr>
        <w:tc>
          <w:tcPr>
            <w:tcW w:w="15398" w:type="dxa"/>
          </w:tcPr>
          <w:p w14:paraId="5BF36176" w14:textId="0AD32114" w:rsidR="00C04C24" w:rsidRDefault="002B3709">
            <w:r>
              <w:rPr>
                <w:noProof/>
              </w:rPr>
              <w:drawing>
                <wp:inline distT="0" distB="0" distL="0" distR="0" wp14:anchorId="404D0252" wp14:editId="3EAD2429">
                  <wp:extent cx="9644503" cy="2425065"/>
                  <wp:effectExtent l="0" t="0" r="0" b="0"/>
                  <wp:docPr id="26" name="Picture 26" descr="This table shows the value of Australia's goods imports to CPTPP economies. Our largest imports by value come from Japan ($26.2 billion), Malaysia ($18.6 billion), and Singapore ($16.2 b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his table shows the value of Australia's goods imports to CPTPP economies. Our largest imports by value come from Japan ($26.2 billion), Malaysia ($18.6 billion), and Singapore ($16.2 billi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46767" cy="2425634"/>
                          </a:xfrm>
                          <a:prstGeom prst="rect">
                            <a:avLst/>
                          </a:prstGeom>
                          <a:noFill/>
                        </pic:spPr>
                      </pic:pic>
                    </a:graphicData>
                  </a:graphic>
                </wp:inline>
              </w:drawing>
            </w:r>
          </w:p>
        </w:tc>
      </w:tr>
    </w:tbl>
    <w:p w14:paraId="278EF8FE" w14:textId="5F3AFC57" w:rsidR="002B3709" w:rsidRDefault="0001434F" w:rsidP="00DB4BBF">
      <w:pPr>
        <w:rPr>
          <w:b/>
          <w:bCs/>
          <w:sz w:val="16"/>
          <w:szCs w:val="16"/>
        </w:rPr>
      </w:pPr>
      <w:r w:rsidRPr="00553B2D">
        <w:rPr>
          <w:rFonts w:eastAsia="Times New Roman" w:cstheme="minorHAnsi"/>
          <w:sz w:val="20"/>
          <w:szCs w:val="20"/>
          <w:lang w:eastAsia="en-AU"/>
        </w:rPr>
        <w:t>Source: ABS Australia’s goods and services imports, current prices</w:t>
      </w:r>
      <w:r>
        <w:rPr>
          <w:i/>
          <w:iCs/>
        </w:rPr>
        <w:t>.</w:t>
      </w:r>
    </w:p>
    <w:p w14:paraId="2E6D6AC0" w14:textId="2C07EBEE" w:rsidR="00DD63B2" w:rsidRDefault="00DD63B2">
      <w:pPr>
        <w:rPr>
          <w:b/>
          <w:bCs/>
          <w:sz w:val="16"/>
          <w:szCs w:val="16"/>
        </w:rPr>
      </w:pPr>
      <w:r>
        <w:rPr>
          <w:b/>
          <w:bCs/>
          <w:sz w:val="16"/>
          <w:szCs w:val="16"/>
        </w:rPr>
        <w:br w:type="page"/>
      </w:r>
    </w:p>
    <w:tbl>
      <w:tblPr>
        <w:tblStyle w:val="TableGrid"/>
        <w:tblW w:w="15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6"/>
      </w:tblGrid>
      <w:tr w:rsidR="002B3709" w14:paraId="212F2F30" w14:textId="77777777" w:rsidTr="003F2814">
        <w:trPr>
          <w:cantSplit/>
        </w:trPr>
        <w:tc>
          <w:tcPr>
            <w:tcW w:w="15486" w:type="dxa"/>
          </w:tcPr>
          <w:p w14:paraId="75E9B0C3" w14:textId="6B66C3CA" w:rsidR="002B3709" w:rsidRPr="0002433E" w:rsidRDefault="002B3709" w:rsidP="00DB4BBF">
            <w:pPr>
              <w:rPr>
                <w:rFonts w:asciiTheme="minorHAnsi" w:hAnsiTheme="minorHAnsi" w:cstheme="minorHAnsi"/>
                <w:b/>
                <w:bCs/>
                <w:sz w:val="22"/>
                <w:szCs w:val="22"/>
              </w:rPr>
            </w:pPr>
            <w:r w:rsidRPr="0002433E">
              <w:rPr>
                <w:rFonts w:asciiTheme="minorHAnsi" w:hAnsiTheme="minorHAnsi" w:cstheme="minorHAnsi"/>
                <w:b/>
                <w:bCs/>
                <w:sz w:val="22"/>
                <w:szCs w:val="22"/>
              </w:rPr>
              <w:lastRenderedPageBreak/>
              <w:t xml:space="preserve">Table </w:t>
            </w:r>
            <w:r w:rsidR="0033522F">
              <w:rPr>
                <w:rFonts w:asciiTheme="minorHAnsi" w:hAnsiTheme="minorHAnsi" w:cstheme="minorHAnsi"/>
                <w:b/>
                <w:bCs/>
                <w:sz w:val="22"/>
                <w:szCs w:val="22"/>
              </w:rPr>
              <w:t>7</w:t>
            </w:r>
            <w:r w:rsidRPr="0002433E">
              <w:rPr>
                <w:rFonts w:asciiTheme="minorHAnsi" w:hAnsiTheme="minorHAnsi" w:cstheme="minorHAnsi"/>
                <w:b/>
                <w:bCs/>
                <w:sz w:val="22"/>
                <w:szCs w:val="22"/>
              </w:rPr>
              <w:t>: Service Imports by CPTPP Economy</w:t>
            </w:r>
          </w:p>
        </w:tc>
      </w:tr>
      <w:tr w:rsidR="002B3709" w14:paraId="5DEEB06A" w14:textId="77777777" w:rsidTr="003F2814">
        <w:trPr>
          <w:cantSplit/>
        </w:trPr>
        <w:tc>
          <w:tcPr>
            <w:tcW w:w="15486" w:type="dxa"/>
          </w:tcPr>
          <w:p w14:paraId="2A321224" w14:textId="3191BD2A" w:rsidR="002B3709" w:rsidRDefault="002B3709" w:rsidP="00DB4BBF">
            <w:pPr>
              <w:rPr>
                <w:b/>
                <w:bCs/>
                <w:sz w:val="24"/>
                <w:szCs w:val="24"/>
              </w:rPr>
            </w:pPr>
            <w:r>
              <w:rPr>
                <w:noProof/>
              </w:rPr>
              <w:drawing>
                <wp:inline distT="0" distB="0" distL="0" distR="0" wp14:anchorId="3F12D18B" wp14:editId="59E09C58">
                  <wp:extent cx="9691549" cy="2321781"/>
                  <wp:effectExtent l="0" t="0" r="5080" b="2540"/>
                  <wp:docPr id="933794265" name="Picture 1" descr="This table shows the value of Australia's services imports to CPTPP economies. Our largest imports by value come from New Zealand ($7.94 billion), Singapore ($7.75 billion), and Japan ($4.33 b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794265" name="Picture 1" descr="This table shows the value of Australia's services imports to CPTPP economies. Our largest imports by value come from New Zealand ($7.94 billion), Singapore ($7.75 billion), and Japan ($4.33 billion)."/>
                          <pic:cNvPicPr/>
                        </pic:nvPicPr>
                        <pic:blipFill>
                          <a:blip r:embed="rId24"/>
                          <a:stretch>
                            <a:fillRect/>
                          </a:stretch>
                        </pic:blipFill>
                        <pic:spPr>
                          <a:xfrm>
                            <a:off x="0" y="0"/>
                            <a:ext cx="9835965" cy="2356378"/>
                          </a:xfrm>
                          <a:prstGeom prst="rect">
                            <a:avLst/>
                          </a:prstGeom>
                        </pic:spPr>
                      </pic:pic>
                    </a:graphicData>
                  </a:graphic>
                </wp:inline>
              </w:drawing>
            </w:r>
          </w:p>
        </w:tc>
      </w:tr>
    </w:tbl>
    <w:p w14:paraId="63A1BBEC" w14:textId="6AB1F9DB" w:rsidR="002B3709" w:rsidRPr="00553B2D" w:rsidRDefault="0001434F" w:rsidP="00DB4BBF">
      <w:pPr>
        <w:rPr>
          <w:rFonts w:eastAsia="Times New Roman" w:cstheme="minorHAnsi"/>
          <w:sz w:val="20"/>
          <w:szCs w:val="20"/>
          <w:lang w:eastAsia="en-AU"/>
        </w:rPr>
        <w:sectPr w:rsidR="002B3709" w:rsidRPr="00553B2D" w:rsidSect="002B3709">
          <w:pgSz w:w="16838" w:h="11906" w:orient="landscape"/>
          <w:pgMar w:top="720" w:right="720" w:bottom="720" w:left="720" w:header="567" w:footer="709" w:gutter="0"/>
          <w:cols w:space="708"/>
          <w:docGrid w:linePitch="360"/>
        </w:sectPr>
      </w:pPr>
      <w:r w:rsidRPr="00553B2D">
        <w:rPr>
          <w:rFonts w:eastAsia="Times New Roman" w:cstheme="minorHAnsi"/>
          <w:sz w:val="20"/>
          <w:szCs w:val="20"/>
          <w:lang w:eastAsia="en-AU"/>
        </w:rPr>
        <w:t>Source: ABS Australia’s goods and services imports, current prices.</w:t>
      </w:r>
    </w:p>
    <w:p w14:paraId="7B364F43" w14:textId="45C6D9EF" w:rsidR="006D6F75" w:rsidRPr="0012418B" w:rsidRDefault="007E6611" w:rsidP="007E6611">
      <w:pPr>
        <w:rPr>
          <w:rFonts w:eastAsia="Times New Roman" w:cstheme="minorHAnsi"/>
          <w:b/>
          <w:bCs/>
          <w:i/>
          <w:iCs/>
          <w:sz w:val="24"/>
          <w:szCs w:val="24"/>
          <w:lang w:eastAsia="en-AU"/>
        </w:rPr>
      </w:pPr>
      <w:r w:rsidRPr="0012418B">
        <w:rPr>
          <w:rFonts w:eastAsia="Times New Roman" w:cstheme="minorHAnsi"/>
          <w:b/>
          <w:bCs/>
          <w:i/>
          <w:iCs/>
          <w:sz w:val="24"/>
          <w:szCs w:val="24"/>
          <w:lang w:eastAsia="en-AU"/>
        </w:rPr>
        <w:lastRenderedPageBreak/>
        <w:t>E</w:t>
      </w:r>
      <w:r w:rsidR="006D6F75" w:rsidRPr="0012418B">
        <w:rPr>
          <w:rFonts w:eastAsia="Times New Roman" w:cstheme="minorHAnsi"/>
          <w:b/>
          <w:bCs/>
          <w:i/>
          <w:iCs/>
          <w:sz w:val="24"/>
          <w:szCs w:val="24"/>
          <w:lang w:eastAsia="en-AU"/>
        </w:rPr>
        <w:t>ducation-related travel services</w:t>
      </w:r>
    </w:p>
    <w:p w14:paraId="05688497" w14:textId="0C17D841" w:rsidR="00AA6037" w:rsidRPr="0012418B" w:rsidRDefault="006D6F75" w:rsidP="003057D5">
      <w:pPr>
        <w:pStyle w:val="ListParagraph"/>
        <w:numPr>
          <w:ilvl w:val="0"/>
          <w:numId w:val="5"/>
        </w:numPr>
        <w:ind w:left="0" w:firstLine="0"/>
      </w:pPr>
      <w:r w:rsidRPr="0012418B">
        <w:t xml:space="preserve">Chart </w:t>
      </w:r>
      <w:r w:rsidR="00225604" w:rsidRPr="0012418B">
        <w:t>7</w:t>
      </w:r>
      <w:r w:rsidRPr="0012418B">
        <w:t xml:space="preserve"> </w:t>
      </w:r>
      <w:r w:rsidR="703C03E0">
        <w:t>indicates that</w:t>
      </w:r>
      <w:r w:rsidRPr="0012418B">
        <w:t xml:space="preserve"> </w:t>
      </w:r>
      <w:r w:rsidR="0059368C" w:rsidRPr="0012418B">
        <w:t xml:space="preserve">the </w:t>
      </w:r>
      <w:r w:rsidR="001842EF" w:rsidRPr="0012418B">
        <w:t xml:space="preserve">value </w:t>
      </w:r>
      <w:r w:rsidR="005F7114" w:rsidRPr="0012418B">
        <w:t xml:space="preserve">of </w:t>
      </w:r>
      <w:r w:rsidR="005F4CC7" w:rsidRPr="0012418B">
        <w:t xml:space="preserve">Australian education-related travel services exports </w:t>
      </w:r>
      <w:r w:rsidR="00E13ADF" w:rsidRPr="0012418B">
        <w:t xml:space="preserve">to CPTPP </w:t>
      </w:r>
      <w:r w:rsidR="009B5101" w:rsidRPr="0012418B">
        <w:t>member</w:t>
      </w:r>
      <w:r w:rsidR="00AD73F5">
        <w:t xml:space="preserve"> economies</w:t>
      </w:r>
      <w:r w:rsidR="009B5101" w:rsidRPr="0012418B">
        <w:t xml:space="preserve"> </w:t>
      </w:r>
      <w:r w:rsidR="00540434" w:rsidRPr="0012418B">
        <w:t xml:space="preserve">continued </w:t>
      </w:r>
      <w:r w:rsidR="00CC435E">
        <w:t>to rise</w:t>
      </w:r>
      <w:r w:rsidR="00CC435E" w:rsidRPr="0012418B">
        <w:t xml:space="preserve"> </w:t>
      </w:r>
      <w:r w:rsidR="00540434" w:rsidRPr="0012418B">
        <w:t>stead</w:t>
      </w:r>
      <w:r w:rsidR="00CC435E">
        <w:t>il</w:t>
      </w:r>
      <w:r w:rsidR="00540434" w:rsidRPr="0012418B">
        <w:t>y betw</w:t>
      </w:r>
      <w:r w:rsidR="00E13ADF" w:rsidRPr="0012418B">
        <w:t>een 201</w:t>
      </w:r>
      <w:r w:rsidR="005928D3">
        <w:t>3</w:t>
      </w:r>
      <w:r w:rsidR="00E13ADF" w:rsidRPr="0012418B">
        <w:t xml:space="preserve"> </w:t>
      </w:r>
      <w:r w:rsidR="005928D3">
        <w:t>to</w:t>
      </w:r>
      <w:r w:rsidR="00E13ADF" w:rsidRPr="0012418B">
        <w:t xml:space="preserve"> 2019 </w:t>
      </w:r>
      <w:r w:rsidR="00E7670F" w:rsidRPr="0012418B">
        <w:t>(</w:t>
      </w:r>
      <w:r w:rsidR="0024243E" w:rsidRPr="0012418B">
        <w:t xml:space="preserve">up </w:t>
      </w:r>
      <w:r w:rsidR="00F94B17" w:rsidRPr="0012418B">
        <w:t>2.</w:t>
      </w:r>
      <w:r w:rsidR="065C2880">
        <w:t>6</w:t>
      </w:r>
      <w:r w:rsidR="0024243E" w:rsidRPr="0012418B">
        <w:t xml:space="preserve"> per cent</w:t>
      </w:r>
      <w:r w:rsidR="00DE4177" w:rsidRPr="0012418B">
        <w:t xml:space="preserve"> from $4.</w:t>
      </w:r>
      <w:r w:rsidR="00971ADB" w:rsidRPr="0012418B">
        <w:t>5</w:t>
      </w:r>
      <w:r w:rsidR="00DE4177" w:rsidRPr="0012418B">
        <w:t xml:space="preserve"> billion in</w:t>
      </w:r>
      <w:r w:rsidR="00DE4177">
        <w:t xml:space="preserve"> 201</w:t>
      </w:r>
      <w:r w:rsidR="00971ADB">
        <w:t>8</w:t>
      </w:r>
      <w:r w:rsidR="00DE4177">
        <w:t>)</w:t>
      </w:r>
      <w:r w:rsidR="003B7484">
        <w:t xml:space="preserve"> </w:t>
      </w:r>
      <w:r w:rsidR="00E13ADF" w:rsidRPr="00842BC5">
        <w:t xml:space="preserve">before experiencing a </w:t>
      </w:r>
      <w:r w:rsidR="00AB71C9">
        <w:t>sharp</w:t>
      </w:r>
      <w:r w:rsidR="009F0EF4">
        <w:t xml:space="preserve"> </w:t>
      </w:r>
      <w:r w:rsidR="00E13ADF" w:rsidRPr="00842BC5">
        <w:t>de</w:t>
      </w:r>
      <w:r w:rsidR="00CF6C92" w:rsidRPr="00842BC5">
        <w:t>cline between 2019 and 2021</w:t>
      </w:r>
      <w:r w:rsidR="009F0EF4">
        <w:t xml:space="preserve"> </w:t>
      </w:r>
      <w:r w:rsidR="003B7484">
        <w:t xml:space="preserve">(down </w:t>
      </w:r>
      <w:r w:rsidR="009F0EF4">
        <w:t>42.8</w:t>
      </w:r>
      <w:r w:rsidR="00C3554C">
        <w:t xml:space="preserve"> per </w:t>
      </w:r>
      <w:r w:rsidR="00A43C08">
        <w:t>cent)</w:t>
      </w:r>
      <w:r w:rsidR="007D6846">
        <w:t>, which</w:t>
      </w:r>
      <w:r w:rsidR="009B5101">
        <w:t xml:space="preserve"> </w:t>
      </w:r>
      <w:r w:rsidR="6095DD74">
        <w:t>can</w:t>
      </w:r>
      <w:r w:rsidR="007D6846">
        <w:t xml:space="preserve"> </w:t>
      </w:r>
      <w:r w:rsidR="44A2BC49">
        <w:t xml:space="preserve">be </w:t>
      </w:r>
      <w:r w:rsidR="007D6846">
        <w:t>attributed</w:t>
      </w:r>
      <w:r w:rsidR="00CF6C92" w:rsidRPr="00842BC5">
        <w:t xml:space="preserve"> directly to the </w:t>
      </w:r>
      <w:r w:rsidR="00F96196">
        <w:t>COVID-19</w:t>
      </w:r>
      <w:r w:rsidR="00CF6C92" w:rsidRPr="00842BC5">
        <w:t xml:space="preserve"> pandemic</w:t>
      </w:r>
      <w:r w:rsidR="003318F6">
        <w:t xml:space="preserve"> and associated travel restrictions</w:t>
      </w:r>
      <w:r w:rsidR="00CF6C92" w:rsidRPr="00842BC5">
        <w:t xml:space="preserve">. </w:t>
      </w:r>
      <w:r w:rsidR="00F76AE4">
        <w:t>In 2023, t</w:t>
      </w:r>
      <w:r w:rsidR="00037F8D">
        <w:t xml:space="preserve">he </w:t>
      </w:r>
      <w:r w:rsidR="00DD6718">
        <w:t xml:space="preserve">value of education-related travel </w:t>
      </w:r>
      <w:r w:rsidR="000B6167">
        <w:t>services</w:t>
      </w:r>
      <w:r w:rsidR="0074085F">
        <w:t xml:space="preserve"> </w:t>
      </w:r>
      <w:r w:rsidR="00D7078F">
        <w:t xml:space="preserve">exports to CPTPP members </w:t>
      </w:r>
      <w:r w:rsidR="00CC38CA">
        <w:t xml:space="preserve">was recorded to be </w:t>
      </w:r>
      <w:r w:rsidR="000601C8">
        <w:t>higher</w:t>
      </w:r>
      <w:r w:rsidR="00D7078F">
        <w:t xml:space="preserve"> than</w:t>
      </w:r>
      <w:r w:rsidR="004D2301">
        <w:t xml:space="preserve"> </w:t>
      </w:r>
      <w:r w:rsidR="00DE29C1">
        <w:t>pre-pandemic levels</w:t>
      </w:r>
      <w:r w:rsidR="00A55FAA">
        <w:t xml:space="preserve">, rising </w:t>
      </w:r>
      <w:r w:rsidR="00960021">
        <w:t>91.9 per cent from $2.</w:t>
      </w:r>
      <w:r w:rsidR="1FF7A2D0">
        <w:t>7</w:t>
      </w:r>
      <w:r w:rsidR="00960021">
        <w:t xml:space="preserve"> billion </w:t>
      </w:r>
      <w:r w:rsidR="003318F6">
        <w:t>in 2021</w:t>
      </w:r>
      <w:r w:rsidR="00960021">
        <w:t xml:space="preserve"> to $5.</w:t>
      </w:r>
      <w:r w:rsidR="16B9AA92">
        <w:t>2</w:t>
      </w:r>
      <w:r w:rsidR="00960021">
        <w:t xml:space="preserve"> billion</w:t>
      </w:r>
      <w:r w:rsidR="00567C78">
        <w:t xml:space="preserve"> </w:t>
      </w:r>
      <w:r w:rsidR="00CC38CA">
        <w:t>in 2023</w:t>
      </w:r>
      <w:r w:rsidR="00567C78">
        <w:t xml:space="preserve"> and surpassing pre-CPTPP annual data</w:t>
      </w:r>
      <w:r w:rsidR="008C37AF">
        <w:t xml:space="preserve">. </w:t>
      </w:r>
      <w:r w:rsidR="004F6C61">
        <w:t xml:space="preserve">Similarly, this </w:t>
      </w:r>
      <w:r w:rsidR="00155451">
        <w:t xml:space="preserve">rebound </w:t>
      </w:r>
      <w:r w:rsidR="004F6C61">
        <w:t xml:space="preserve">can be attributed to </w:t>
      </w:r>
      <w:r w:rsidR="00155451">
        <w:t>the recovery from the global pandemic</w:t>
      </w:r>
      <w:r w:rsidR="00275711">
        <w:t xml:space="preserve">, with many members, including Australia, reopening their borders. </w:t>
      </w:r>
      <w:r w:rsidR="008C37AF">
        <w:t xml:space="preserve"> </w:t>
      </w:r>
      <w:r w:rsidR="00D73F7A">
        <w:t xml:space="preserve"> </w:t>
      </w:r>
    </w:p>
    <w:p w14:paraId="32C2549E" w14:textId="7C87EF6E" w:rsidR="00A8109A" w:rsidRPr="00467ED1" w:rsidRDefault="0083043C" w:rsidP="001A1B19">
      <w:pPr>
        <w:spacing w:before="120"/>
        <w:rPr>
          <w:rFonts w:cstheme="minorHAnsi"/>
          <w:i/>
          <w:iCs/>
          <w:color w:val="FF0000"/>
          <w:highlight w:val="yellow"/>
        </w:rPr>
      </w:pPr>
      <w:r w:rsidRPr="00467ED1">
        <w:rPr>
          <w:b/>
          <w:bCs/>
          <w:i/>
          <w:iCs/>
        </w:rPr>
        <w:t xml:space="preserve">Chart </w:t>
      </w:r>
      <w:r w:rsidR="00553B2D" w:rsidRPr="00467ED1">
        <w:rPr>
          <w:b/>
          <w:bCs/>
          <w:i/>
          <w:iCs/>
        </w:rPr>
        <w:t>7</w:t>
      </w:r>
      <w:r w:rsidRPr="00467ED1">
        <w:rPr>
          <w:b/>
          <w:bCs/>
          <w:i/>
          <w:iCs/>
        </w:rPr>
        <w:t xml:space="preserve">: </w:t>
      </w:r>
      <w:r w:rsidR="00B4482D" w:rsidRPr="00467ED1">
        <w:rPr>
          <w:b/>
          <w:bCs/>
          <w:i/>
          <w:iCs/>
        </w:rPr>
        <w:t>Education-related travel services</w:t>
      </w:r>
      <w:r w:rsidRPr="00467ED1">
        <w:rPr>
          <w:b/>
          <w:bCs/>
          <w:i/>
          <w:iCs/>
        </w:rPr>
        <w:t xml:space="preserve"> (</w:t>
      </w:r>
      <w:r w:rsidR="00A422D3" w:rsidRPr="00467ED1">
        <w:rPr>
          <w:b/>
          <w:bCs/>
          <w:i/>
          <w:iCs/>
        </w:rPr>
        <w:t>$</w:t>
      </w:r>
      <w:r w:rsidR="00B4482D" w:rsidRPr="00467ED1">
        <w:rPr>
          <w:b/>
          <w:bCs/>
          <w:i/>
          <w:iCs/>
        </w:rPr>
        <w:t xml:space="preserve"> million)</w:t>
      </w:r>
    </w:p>
    <w:p w14:paraId="3A8B8BAE" w14:textId="1B75DC2D" w:rsidR="007212EC" w:rsidRPr="001F107B" w:rsidRDefault="00A11BE7" w:rsidP="004A7992">
      <w:pPr>
        <w:spacing w:before="120"/>
        <w:jc w:val="center"/>
        <w:rPr>
          <w:rFonts w:cstheme="minorHAnsi"/>
          <w:color w:val="FF0000"/>
          <w:highlight w:val="yellow"/>
        </w:rPr>
      </w:pPr>
      <w:r>
        <w:rPr>
          <w:noProof/>
        </w:rPr>
        <w:drawing>
          <wp:inline distT="0" distB="0" distL="0" distR="0" wp14:anchorId="5CED9A75" wp14:editId="53AFD471">
            <wp:extent cx="5261610" cy="2755900"/>
            <wp:effectExtent l="0" t="0" r="0" b="6350"/>
            <wp:docPr id="17377989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61610" cy="2755900"/>
                    </a:xfrm>
                    <a:prstGeom prst="rect">
                      <a:avLst/>
                    </a:prstGeom>
                    <a:noFill/>
                  </pic:spPr>
                </pic:pic>
              </a:graphicData>
            </a:graphic>
          </wp:inline>
        </w:drawing>
      </w:r>
      <w:r w:rsidR="0083043C" w:rsidRPr="0083043C">
        <w:rPr>
          <w:noProof/>
        </w:rPr>
        <w:t xml:space="preserve"> </w:t>
      </w:r>
    </w:p>
    <w:p w14:paraId="473C5D80" w14:textId="6E84C20C" w:rsidR="008E79DF" w:rsidRPr="00553B2D" w:rsidRDefault="00232061" w:rsidP="006D6F75">
      <w:pPr>
        <w:rPr>
          <w:rFonts w:eastAsia="Times New Roman" w:cstheme="minorHAnsi"/>
          <w:sz w:val="20"/>
          <w:szCs w:val="20"/>
          <w:lang w:eastAsia="en-AU"/>
        </w:rPr>
      </w:pPr>
      <w:r w:rsidRPr="00553B2D">
        <w:rPr>
          <w:rFonts w:eastAsia="Times New Roman" w:cstheme="minorHAnsi"/>
          <w:sz w:val="20"/>
          <w:szCs w:val="20"/>
          <w:lang w:eastAsia="en-AU"/>
        </w:rPr>
        <w:t>Source:  Australian Bureau of Statistics, International Trade: Supplementary Information, Calendar Year, 2023.</w:t>
      </w:r>
    </w:p>
    <w:p w14:paraId="1D6B094D" w14:textId="334E336A" w:rsidR="006D6F75" w:rsidRPr="00F07A6B" w:rsidRDefault="001B436D" w:rsidP="00F07A6B">
      <w:pPr>
        <w:rPr>
          <w:rFonts w:eastAsia="Times New Roman" w:cstheme="minorHAnsi"/>
          <w:b/>
          <w:bCs/>
          <w:i/>
          <w:iCs/>
          <w:sz w:val="24"/>
          <w:szCs w:val="24"/>
          <w:lang w:eastAsia="en-AU"/>
        </w:rPr>
      </w:pPr>
      <w:r>
        <w:rPr>
          <w:rFonts w:eastAsia="Times New Roman" w:cstheme="minorHAnsi"/>
          <w:b/>
          <w:bCs/>
          <w:i/>
          <w:iCs/>
          <w:sz w:val="24"/>
          <w:szCs w:val="24"/>
          <w:lang w:eastAsia="en-AU"/>
        </w:rPr>
        <w:t>Recreational</w:t>
      </w:r>
      <w:r w:rsidR="008F6942">
        <w:rPr>
          <w:rFonts w:eastAsia="Times New Roman" w:cstheme="minorHAnsi"/>
          <w:b/>
          <w:bCs/>
          <w:i/>
          <w:iCs/>
          <w:sz w:val="24"/>
          <w:szCs w:val="24"/>
          <w:lang w:eastAsia="en-AU"/>
        </w:rPr>
        <w:t xml:space="preserve"> travel</w:t>
      </w:r>
      <w:r>
        <w:rPr>
          <w:rFonts w:eastAsia="Times New Roman" w:cstheme="minorHAnsi"/>
          <w:b/>
          <w:bCs/>
          <w:i/>
          <w:iCs/>
          <w:sz w:val="24"/>
          <w:szCs w:val="24"/>
          <w:lang w:eastAsia="en-AU"/>
        </w:rPr>
        <w:t xml:space="preserve"> </w:t>
      </w:r>
      <w:r w:rsidR="00F07A6B" w:rsidRPr="00F07A6B">
        <w:rPr>
          <w:rFonts w:eastAsia="Times New Roman" w:cstheme="minorHAnsi"/>
          <w:b/>
          <w:bCs/>
          <w:i/>
          <w:iCs/>
          <w:sz w:val="24"/>
          <w:szCs w:val="24"/>
          <w:lang w:eastAsia="en-AU"/>
        </w:rPr>
        <w:t>services</w:t>
      </w:r>
      <w:r w:rsidR="00CB2928">
        <w:rPr>
          <w:rFonts w:eastAsia="Times New Roman" w:cstheme="minorHAnsi"/>
          <w:b/>
          <w:bCs/>
          <w:i/>
          <w:iCs/>
          <w:sz w:val="24"/>
          <w:szCs w:val="24"/>
          <w:lang w:eastAsia="en-AU"/>
        </w:rPr>
        <w:t xml:space="preserve"> (personal travel excluding education)</w:t>
      </w:r>
    </w:p>
    <w:p w14:paraId="70496173" w14:textId="599C45F0" w:rsidR="00927862" w:rsidRDefault="008E10BE" w:rsidP="003057D5">
      <w:pPr>
        <w:pStyle w:val="ListParagraph"/>
        <w:numPr>
          <w:ilvl w:val="0"/>
          <w:numId w:val="5"/>
        </w:numPr>
        <w:ind w:left="0" w:firstLine="0"/>
      </w:pPr>
      <w:r>
        <w:t>R</w:t>
      </w:r>
      <w:r w:rsidR="00250966">
        <w:t xml:space="preserve">ecreational travel services were heavily impacted by the </w:t>
      </w:r>
      <w:r w:rsidR="00821F53">
        <w:t xml:space="preserve">travel restrictions </w:t>
      </w:r>
      <w:r w:rsidR="003E4058">
        <w:t xml:space="preserve">responding to the </w:t>
      </w:r>
      <w:r w:rsidR="00340206">
        <w:t>COVID</w:t>
      </w:r>
      <w:r w:rsidR="008B1928">
        <w:t>-19</w:t>
      </w:r>
      <w:r w:rsidR="00250966">
        <w:t xml:space="preserve"> pandemic.</w:t>
      </w:r>
      <w:r w:rsidR="00F567F7">
        <w:t xml:space="preserve"> </w:t>
      </w:r>
      <w:r w:rsidR="00154C2A" w:rsidRPr="00B40A0D">
        <w:t>F</w:t>
      </w:r>
      <w:r w:rsidR="00B53F7A" w:rsidRPr="00B40A0D">
        <w:t xml:space="preserve">ollowing </w:t>
      </w:r>
      <w:r w:rsidR="00E567F7">
        <w:t>CPTPP</w:t>
      </w:r>
      <w:r w:rsidR="00B53F7A" w:rsidRPr="00B40A0D">
        <w:t>’s entry into force</w:t>
      </w:r>
      <w:r w:rsidR="0003571B" w:rsidRPr="00B40A0D">
        <w:t>,</w:t>
      </w:r>
      <w:r w:rsidR="00B40A0D">
        <w:t xml:space="preserve"> Chart </w:t>
      </w:r>
      <w:r w:rsidR="00225604">
        <w:t>8</w:t>
      </w:r>
      <w:r w:rsidR="00B40A0D">
        <w:t xml:space="preserve"> shows that</w:t>
      </w:r>
      <w:r w:rsidR="00B53F7A" w:rsidRPr="00B40A0D">
        <w:t xml:space="preserve"> </w:t>
      </w:r>
      <w:r w:rsidR="0003571B" w:rsidRPr="00B40A0D">
        <w:t xml:space="preserve">Australia’s </w:t>
      </w:r>
      <w:r w:rsidR="001B436D" w:rsidRPr="00B40A0D">
        <w:t xml:space="preserve">recreational </w:t>
      </w:r>
      <w:r w:rsidR="008F6942" w:rsidRPr="00B40A0D">
        <w:t>travel services</w:t>
      </w:r>
      <w:r w:rsidR="0003571B" w:rsidRPr="00B40A0D">
        <w:t xml:space="preserve"> exports to member economies</w:t>
      </w:r>
      <w:r w:rsidR="00D97486" w:rsidRPr="00B40A0D">
        <w:t xml:space="preserve"> </w:t>
      </w:r>
      <w:r w:rsidR="7615E086">
        <w:t>gr</w:t>
      </w:r>
      <w:r w:rsidR="4BA3CDFE">
        <w:t>ew</w:t>
      </w:r>
      <w:r w:rsidR="7615E086">
        <w:t xml:space="preserve"> </w:t>
      </w:r>
      <w:r w:rsidR="323A8EC0">
        <w:t>steadily</w:t>
      </w:r>
      <w:r w:rsidR="008D44D9" w:rsidRPr="00B40A0D">
        <w:t xml:space="preserve"> at</w:t>
      </w:r>
      <w:r w:rsidR="00243E93" w:rsidRPr="00B40A0D">
        <w:t xml:space="preserve"> 8.2 per cent</w:t>
      </w:r>
      <w:r w:rsidR="008D44D9" w:rsidRPr="00B40A0D">
        <w:t xml:space="preserve"> from </w:t>
      </w:r>
      <w:r w:rsidR="000D52A1" w:rsidRPr="00B40A0D">
        <w:t>2018 to 2019 (</w:t>
      </w:r>
      <w:r w:rsidR="00E342EA" w:rsidRPr="00B40A0D">
        <w:t>$5.</w:t>
      </w:r>
      <w:r w:rsidR="50070184">
        <w:t>4</w:t>
      </w:r>
      <w:r w:rsidR="00E342EA" w:rsidRPr="00B40A0D">
        <w:t xml:space="preserve"> billion to $5.8 billion), before </w:t>
      </w:r>
      <w:r w:rsidR="3454F355">
        <w:t>declining</w:t>
      </w:r>
      <w:r w:rsidR="66E884E5">
        <w:t xml:space="preserve"> sharply</w:t>
      </w:r>
      <w:r w:rsidR="000B2A29">
        <w:t xml:space="preserve"> </w:t>
      </w:r>
      <w:r w:rsidR="6AC73166">
        <w:t>at</w:t>
      </w:r>
      <w:r w:rsidR="000B2A29" w:rsidRPr="00B40A0D">
        <w:t xml:space="preserve"> 96.5 per cent</w:t>
      </w:r>
      <w:r w:rsidR="00E342EA" w:rsidRPr="00B40A0D">
        <w:t xml:space="preserve"> </w:t>
      </w:r>
      <w:r w:rsidR="006063C9" w:rsidRPr="00B40A0D">
        <w:t xml:space="preserve">between 2019 and 2021 </w:t>
      </w:r>
      <w:r w:rsidR="000B2A29" w:rsidRPr="00B40A0D">
        <w:t>(</w:t>
      </w:r>
      <w:r w:rsidR="0091640F" w:rsidRPr="00B40A0D">
        <w:t xml:space="preserve">$5.8 billion to </w:t>
      </w:r>
      <w:r w:rsidR="0090240E" w:rsidRPr="00B40A0D">
        <w:t>$</w:t>
      </w:r>
      <w:r w:rsidR="00E93851">
        <w:t>206</w:t>
      </w:r>
      <w:r w:rsidR="0090240E" w:rsidRPr="00B40A0D">
        <w:t xml:space="preserve"> </w:t>
      </w:r>
      <w:r w:rsidR="00592196">
        <w:t>m</w:t>
      </w:r>
      <w:r w:rsidR="0090240E" w:rsidRPr="00B40A0D">
        <w:t>illion)</w:t>
      </w:r>
      <w:r w:rsidR="009F3473" w:rsidRPr="00B40A0D">
        <w:t xml:space="preserve">. </w:t>
      </w:r>
      <w:r w:rsidR="0044247C">
        <w:t xml:space="preserve">Between 2021 and 2023, recreational travel services saw a rebound with </w:t>
      </w:r>
      <w:r w:rsidR="007019DC">
        <w:t>an increase of</w:t>
      </w:r>
      <w:r w:rsidR="00231F55">
        <w:t xml:space="preserve"> 2</w:t>
      </w:r>
      <w:r w:rsidR="4CD318EE">
        <w:t>,</w:t>
      </w:r>
      <w:r w:rsidR="00231F55">
        <w:t>575 per cent (</w:t>
      </w:r>
      <w:r w:rsidR="00972851">
        <w:t>$</w:t>
      </w:r>
      <w:r w:rsidR="00F56E31">
        <w:t>206 m</w:t>
      </w:r>
      <w:r w:rsidR="00972851">
        <w:t>illion to $5.5 billion).</w:t>
      </w:r>
      <w:r w:rsidR="0044247C">
        <w:t xml:space="preserve"> </w:t>
      </w:r>
    </w:p>
    <w:p w14:paraId="279FE18E" w14:textId="52452C6D" w:rsidR="00DD63B2" w:rsidRDefault="00DD63B2">
      <w:pPr>
        <w:rPr>
          <w:rFonts w:eastAsia="Times New Roman" w:cstheme="minorHAnsi"/>
          <w:sz w:val="24"/>
          <w:szCs w:val="24"/>
          <w:lang w:eastAsia="en-AU"/>
        </w:rPr>
      </w:pPr>
      <w:r>
        <w:br w:type="page"/>
      </w:r>
    </w:p>
    <w:p w14:paraId="08F86C1E" w14:textId="3D41C104" w:rsidR="00927862" w:rsidRPr="00467ED1" w:rsidRDefault="00927862" w:rsidP="00927862">
      <w:pPr>
        <w:spacing w:before="120"/>
        <w:rPr>
          <w:rFonts w:cstheme="minorHAnsi"/>
          <w:i/>
          <w:iCs/>
          <w:color w:val="FF0000"/>
          <w:highlight w:val="yellow"/>
        </w:rPr>
      </w:pPr>
      <w:r w:rsidRPr="00467ED1">
        <w:rPr>
          <w:b/>
          <w:bCs/>
          <w:i/>
          <w:iCs/>
        </w:rPr>
        <w:lastRenderedPageBreak/>
        <w:t xml:space="preserve">Chart </w:t>
      </w:r>
      <w:r w:rsidR="00225604" w:rsidRPr="00467ED1">
        <w:rPr>
          <w:b/>
          <w:bCs/>
          <w:i/>
          <w:iCs/>
        </w:rPr>
        <w:t>8</w:t>
      </w:r>
      <w:r w:rsidRPr="00467ED1">
        <w:rPr>
          <w:b/>
          <w:bCs/>
          <w:i/>
          <w:iCs/>
        </w:rPr>
        <w:t xml:space="preserve">: </w:t>
      </w:r>
      <w:r w:rsidR="005D6D21" w:rsidRPr="00467ED1">
        <w:rPr>
          <w:b/>
          <w:bCs/>
          <w:i/>
          <w:iCs/>
        </w:rPr>
        <w:t>Recreational</w:t>
      </w:r>
      <w:r w:rsidRPr="00467ED1">
        <w:rPr>
          <w:b/>
          <w:bCs/>
          <w:i/>
          <w:iCs/>
        </w:rPr>
        <w:t xml:space="preserve"> travel services (</w:t>
      </w:r>
      <w:r w:rsidR="00A422D3" w:rsidRPr="00467ED1">
        <w:rPr>
          <w:b/>
          <w:bCs/>
          <w:i/>
          <w:iCs/>
        </w:rPr>
        <w:t>$</w:t>
      </w:r>
      <w:r w:rsidRPr="00467ED1">
        <w:rPr>
          <w:b/>
          <w:bCs/>
          <w:i/>
          <w:iCs/>
        </w:rPr>
        <w:t xml:space="preserve"> million)</w:t>
      </w:r>
    </w:p>
    <w:p w14:paraId="087690FE" w14:textId="044BD3D9" w:rsidR="003E57B6" w:rsidRPr="001F107B" w:rsidRDefault="00A11BE7" w:rsidP="00671C77">
      <w:pPr>
        <w:jc w:val="center"/>
        <w:rPr>
          <w:color w:val="FF0000"/>
          <w:highlight w:val="yellow"/>
        </w:rPr>
      </w:pPr>
      <w:r>
        <w:rPr>
          <w:noProof/>
          <w:color w:val="FF0000"/>
          <w:highlight w:val="yellow"/>
        </w:rPr>
        <w:drawing>
          <wp:inline distT="0" distB="0" distL="0" distR="0" wp14:anchorId="583DB0FD" wp14:editId="2A4DC358">
            <wp:extent cx="5170170" cy="2755900"/>
            <wp:effectExtent l="0" t="0" r="0" b="6350"/>
            <wp:docPr id="9672619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70170" cy="2755900"/>
                    </a:xfrm>
                    <a:prstGeom prst="rect">
                      <a:avLst/>
                    </a:prstGeom>
                    <a:noFill/>
                  </pic:spPr>
                </pic:pic>
              </a:graphicData>
            </a:graphic>
          </wp:inline>
        </w:drawing>
      </w:r>
    </w:p>
    <w:p w14:paraId="47A50AD5" w14:textId="3C0EE37E" w:rsidR="006D6F75" w:rsidRPr="00225604" w:rsidRDefault="00850DBF" w:rsidP="00225604">
      <w:pPr>
        <w:rPr>
          <w:rFonts w:eastAsia="Times New Roman" w:cstheme="minorHAnsi"/>
          <w:sz w:val="20"/>
          <w:szCs w:val="20"/>
          <w:lang w:eastAsia="en-AU"/>
        </w:rPr>
      </w:pPr>
      <w:r w:rsidRPr="00225604">
        <w:rPr>
          <w:rFonts w:eastAsia="Times New Roman" w:cstheme="minorHAnsi"/>
          <w:sz w:val="20"/>
          <w:szCs w:val="20"/>
          <w:lang w:eastAsia="en-AU"/>
        </w:rPr>
        <w:t>Source:  Australian Bureau of Statistics, International Trade: Supplementary Information, Calendar Year, 2023.</w:t>
      </w:r>
    </w:p>
    <w:p w14:paraId="2087831E" w14:textId="6455B798" w:rsidR="00DB3923" w:rsidRPr="00F07A6B" w:rsidRDefault="00DB3923" w:rsidP="00DB3923">
      <w:pPr>
        <w:rPr>
          <w:rFonts w:eastAsia="Times New Roman" w:cstheme="minorHAnsi"/>
          <w:b/>
          <w:bCs/>
          <w:i/>
          <w:iCs/>
          <w:sz w:val="24"/>
          <w:szCs w:val="24"/>
          <w:lang w:eastAsia="en-AU"/>
        </w:rPr>
      </w:pPr>
      <w:r>
        <w:rPr>
          <w:rFonts w:eastAsia="Times New Roman" w:cstheme="minorHAnsi"/>
          <w:b/>
          <w:bCs/>
          <w:i/>
          <w:iCs/>
          <w:sz w:val="24"/>
          <w:szCs w:val="24"/>
          <w:lang w:eastAsia="en-AU"/>
        </w:rPr>
        <w:t>Transport</w:t>
      </w:r>
      <w:r w:rsidRPr="00F07A6B">
        <w:rPr>
          <w:rFonts w:eastAsia="Times New Roman" w:cstheme="minorHAnsi"/>
          <w:b/>
          <w:bCs/>
          <w:i/>
          <w:iCs/>
          <w:sz w:val="24"/>
          <w:szCs w:val="24"/>
          <w:lang w:eastAsia="en-AU"/>
        </w:rPr>
        <w:t xml:space="preserve"> services</w:t>
      </w:r>
    </w:p>
    <w:p w14:paraId="70A723E3" w14:textId="76A145E9" w:rsidR="006D6F75" w:rsidRPr="00051F98" w:rsidRDefault="006D6F75" w:rsidP="003057D5">
      <w:pPr>
        <w:pStyle w:val="ListParagraph"/>
        <w:numPr>
          <w:ilvl w:val="0"/>
          <w:numId w:val="5"/>
        </w:numPr>
        <w:ind w:left="0" w:firstLine="0"/>
      </w:pPr>
      <w:r w:rsidRPr="00095DBF">
        <w:t xml:space="preserve">Chart </w:t>
      </w:r>
      <w:r w:rsidR="00225604">
        <w:t>9</w:t>
      </w:r>
      <w:r w:rsidR="00A92242">
        <w:t xml:space="preserve"> </w:t>
      </w:r>
      <w:r w:rsidRPr="00051F98">
        <w:t>shows that Australia</w:t>
      </w:r>
      <w:r w:rsidR="003600B3">
        <w:t xml:space="preserve"> continued to</w:t>
      </w:r>
      <w:r w:rsidR="00095DBF">
        <w:t xml:space="preserve"> </w:t>
      </w:r>
      <w:r w:rsidR="003600B3">
        <w:t>experience a consistent and steady rise in transport services export</w:t>
      </w:r>
      <w:r w:rsidR="00CA5BBC">
        <w:t>s</w:t>
      </w:r>
      <w:r w:rsidR="003600B3">
        <w:t xml:space="preserve"> with CPTPP members following the Agreement</w:t>
      </w:r>
      <w:r w:rsidR="00722FB6">
        <w:t>’</w:t>
      </w:r>
      <w:r w:rsidR="003600B3">
        <w:t>s entry into force</w:t>
      </w:r>
      <w:r w:rsidR="00F7653B">
        <w:t xml:space="preserve">, with </w:t>
      </w:r>
      <w:r w:rsidRPr="00051F98">
        <w:t>exports</w:t>
      </w:r>
      <w:r w:rsidR="0072155C">
        <w:t xml:space="preserve"> growing</w:t>
      </w:r>
      <w:r w:rsidRPr="00051F98">
        <w:t xml:space="preserve"> </w:t>
      </w:r>
      <w:r w:rsidR="00035878">
        <w:t>9.</w:t>
      </w:r>
      <w:r w:rsidR="7CFEBAA5">
        <w:t>1</w:t>
      </w:r>
      <w:r w:rsidR="00035878">
        <w:t xml:space="preserve"> per cent from 2018 </w:t>
      </w:r>
      <w:r w:rsidR="00084E27">
        <w:t>(</w:t>
      </w:r>
      <w:r w:rsidR="00CA36DB">
        <w:t>$2.</w:t>
      </w:r>
      <w:r w:rsidR="002521AC">
        <w:t>2</w:t>
      </w:r>
      <w:r w:rsidR="00CA36DB">
        <w:t xml:space="preserve"> billion) </w:t>
      </w:r>
      <w:r w:rsidR="00035878">
        <w:t>to 2019</w:t>
      </w:r>
      <w:r w:rsidR="002521AC">
        <w:t xml:space="preserve"> ($2.4 billion)</w:t>
      </w:r>
      <w:r w:rsidR="00035878">
        <w:t>.</w:t>
      </w:r>
      <w:r w:rsidR="00522BBC" w:rsidRPr="00051F98">
        <w:t xml:space="preserve"> </w:t>
      </w:r>
      <w:r w:rsidR="00006852">
        <w:t xml:space="preserve">During the </w:t>
      </w:r>
      <w:r w:rsidR="00340206">
        <w:t>COVID</w:t>
      </w:r>
      <w:r w:rsidR="008B1928">
        <w:t>-19</w:t>
      </w:r>
      <w:r w:rsidR="00006852">
        <w:t xml:space="preserve"> pandemic</w:t>
      </w:r>
      <w:r w:rsidR="00B447D7">
        <w:t>,</w:t>
      </w:r>
      <w:r w:rsidR="00006852">
        <w:t xml:space="preserve"> exports</w:t>
      </w:r>
      <w:r w:rsidR="00B447D7">
        <w:t xml:space="preserve"> declined by </w:t>
      </w:r>
      <w:r w:rsidR="00A421DF">
        <w:t xml:space="preserve">53.3 per cent </w:t>
      </w:r>
      <w:r w:rsidR="000D7EB7">
        <w:t>between 2019 and 2021 ($2.4 billion to $1.1 billion)</w:t>
      </w:r>
      <w:r w:rsidR="009437AA">
        <w:t>,</w:t>
      </w:r>
      <w:r w:rsidR="00076E07">
        <w:t xml:space="preserve"> </w:t>
      </w:r>
      <w:r w:rsidR="009437AA">
        <w:t>f</w:t>
      </w:r>
      <w:r w:rsidR="000B5394">
        <w:t xml:space="preserve">ollowed by a rebound </w:t>
      </w:r>
      <w:r w:rsidR="6263261C">
        <w:t>of</w:t>
      </w:r>
      <w:r w:rsidR="000B5394">
        <w:t xml:space="preserve"> </w:t>
      </w:r>
      <w:r w:rsidR="11901C27">
        <w:t xml:space="preserve">strong </w:t>
      </w:r>
      <w:r w:rsidR="000B5394">
        <w:t>grow</w:t>
      </w:r>
      <w:r w:rsidR="00A333AF">
        <w:t xml:space="preserve">th </w:t>
      </w:r>
      <w:r w:rsidR="40DFD214">
        <w:t>at</w:t>
      </w:r>
      <w:r w:rsidR="000B5394">
        <w:t xml:space="preserve"> </w:t>
      </w:r>
      <w:r w:rsidR="00FC2D43">
        <w:t>138 per cent from 2021 to 2023 ($1.1 billion to $2.7 billion)</w:t>
      </w:r>
      <w:r w:rsidR="008D680C">
        <w:t xml:space="preserve"> and</w:t>
      </w:r>
      <w:r w:rsidR="00777D12">
        <w:t xml:space="preserve"> </w:t>
      </w:r>
      <w:r w:rsidR="00914338">
        <w:t>returning to</w:t>
      </w:r>
      <w:r w:rsidR="00777D12">
        <w:t xml:space="preserve"> pre-</w:t>
      </w:r>
      <w:r w:rsidR="00914338">
        <w:t xml:space="preserve">pandemic </w:t>
      </w:r>
      <w:r w:rsidR="00777D12">
        <w:t>export</w:t>
      </w:r>
      <w:r w:rsidR="00914338">
        <w:t xml:space="preserve"> levels</w:t>
      </w:r>
      <w:r w:rsidR="00FC2D43">
        <w:t>.</w:t>
      </w:r>
    </w:p>
    <w:p w14:paraId="5718A39D" w14:textId="1E212893" w:rsidR="00164811" w:rsidRPr="00467ED1" w:rsidRDefault="00B13D9A" w:rsidP="00164811">
      <w:pPr>
        <w:rPr>
          <w:b/>
          <w:bCs/>
          <w:i/>
          <w:iCs/>
          <w:color w:val="FF0000"/>
          <w:highlight w:val="yellow"/>
        </w:rPr>
      </w:pPr>
      <w:r w:rsidRPr="00467ED1">
        <w:rPr>
          <w:b/>
          <w:bCs/>
          <w:i/>
          <w:iCs/>
        </w:rPr>
        <w:t xml:space="preserve">Chart </w:t>
      </w:r>
      <w:r w:rsidR="00225604" w:rsidRPr="00467ED1">
        <w:rPr>
          <w:b/>
          <w:bCs/>
          <w:i/>
          <w:iCs/>
        </w:rPr>
        <w:t>9</w:t>
      </w:r>
      <w:r w:rsidRPr="00467ED1">
        <w:rPr>
          <w:b/>
          <w:bCs/>
          <w:i/>
          <w:iCs/>
        </w:rPr>
        <w:t>: Transport services (</w:t>
      </w:r>
      <w:r w:rsidR="00A422D3" w:rsidRPr="00467ED1">
        <w:rPr>
          <w:b/>
          <w:bCs/>
          <w:i/>
          <w:iCs/>
        </w:rPr>
        <w:t>$</w:t>
      </w:r>
      <w:r w:rsidRPr="00467ED1">
        <w:rPr>
          <w:b/>
          <w:bCs/>
          <w:i/>
          <w:iCs/>
        </w:rPr>
        <w:t xml:space="preserve"> million)</w:t>
      </w:r>
    </w:p>
    <w:p w14:paraId="6749AA74" w14:textId="451ECCC2" w:rsidR="00164811" w:rsidRPr="001F107B" w:rsidRDefault="00A11BE7" w:rsidP="008E5A2F">
      <w:pPr>
        <w:jc w:val="center"/>
        <w:rPr>
          <w:color w:val="FF0000"/>
          <w:highlight w:val="yellow"/>
        </w:rPr>
      </w:pPr>
      <w:r>
        <w:rPr>
          <w:noProof/>
          <w:color w:val="FF0000"/>
          <w:highlight w:val="yellow"/>
        </w:rPr>
        <w:drawing>
          <wp:inline distT="0" distB="0" distL="0" distR="0" wp14:anchorId="2C817FCE" wp14:editId="7088A495">
            <wp:extent cx="5163820" cy="2463165"/>
            <wp:effectExtent l="0" t="0" r="0" b="0"/>
            <wp:docPr id="18136174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63820" cy="2463165"/>
                    </a:xfrm>
                    <a:prstGeom prst="rect">
                      <a:avLst/>
                    </a:prstGeom>
                    <a:noFill/>
                  </pic:spPr>
                </pic:pic>
              </a:graphicData>
            </a:graphic>
          </wp:inline>
        </w:drawing>
      </w:r>
    </w:p>
    <w:p w14:paraId="7D27DBE8" w14:textId="77777777" w:rsidR="00D311C6" w:rsidRPr="00A250BA" w:rsidRDefault="00D311C6" w:rsidP="00D311C6">
      <w:pPr>
        <w:spacing w:before="0" w:after="0"/>
        <w:rPr>
          <w:rFonts w:eastAsia="Times New Roman" w:cstheme="minorHAnsi"/>
          <w:sz w:val="20"/>
          <w:szCs w:val="20"/>
          <w:lang w:eastAsia="en-AU"/>
        </w:rPr>
      </w:pPr>
      <w:r w:rsidRPr="00A250BA">
        <w:rPr>
          <w:rFonts w:eastAsia="Times New Roman" w:cstheme="minorHAnsi"/>
          <w:sz w:val="20"/>
          <w:szCs w:val="20"/>
          <w:lang w:eastAsia="en-AU"/>
        </w:rPr>
        <w:t>Source:  Australian Bureau of Statistics, International Trade: Supplementary Information, Calendar Year, 2023.</w:t>
      </w:r>
    </w:p>
    <w:p w14:paraId="4556E02D" w14:textId="450EEFA5" w:rsidR="006D6F75" w:rsidRPr="003F3400" w:rsidRDefault="003F3400" w:rsidP="003F3400">
      <w:pPr>
        <w:rPr>
          <w:rFonts w:eastAsia="Times New Roman" w:cstheme="minorHAnsi"/>
          <w:b/>
          <w:bCs/>
          <w:i/>
          <w:iCs/>
          <w:sz w:val="24"/>
          <w:szCs w:val="24"/>
          <w:lang w:eastAsia="en-AU"/>
        </w:rPr>
      </w:pPr>
      <w:r>
        <w:rPr>
          <w:rFonts w:eastAsia="Times New Roman" w:cstheme="minorHAnsi"/>
          <w:b/>
          <w:bCs/>
          <w:i/>
          <w:iCs/>
          <w:sz w:val="24"/>
          <w:szCs w:val="24"/>
          <w:lang w:eastAsia="en-AU"/>
        </w:rPr>
        <w:lastRenderedPageBreak/>
        <w:t>Professional</w:t>
      </w:r>
      <w:r w:rsidR="00E13086">
        <w:rPr>
          <w:rFonts w:eastAsia="Times New Roman" w:cstheme="minorHAnsi"/>
          <w:b/>
          <w:bCs/>
          <w:i/>
          <w:iCs/>
          <w:sz w:val="24"/>
          <w:szCs w:val="24"/>
          <w:lang w:eastAsia="en-AU"/>
        </w:rPr>
        <w:t>, technical</w:t>
      </w:r>
      <w:r>
        <w:rPr>
          <w:rFonts w:eastAsia="Times New Roman" w:cstheme="minorHAnsi"/>
          <w:b/>
          <w:bCs/>
          <w:i/>
          <w:iCs/>
          <w:sz w:val="24"/>
          <w:szCs w:val="24"/>
          <w:lang w:eastAsia="en-AU"/>
        </w:rPr>
        <w:t xml:space="preserve"> and other business services</w:t>
      </w:r>
    </w:p>
    <w:p w14:paraId="30E3036D" w14:textId="6A7ACC16" w:rsidR="00235652" w:rsidRDefault="006D6F75" w:rsidP="003057D5">
      <w:pPr>
        <w:pStyle w:val="ListParagraph"/>
        <w:numPr>
          <w:ilvl w:val="0"/>
          <w:numId w:val="5"/>
        </w:numPr>
        <w:ind w:left="0" w:firstLine="0"/>
      </w:pPr>
      <w:r w:rsidRPr="00051F98">
        <w:t>The value of professional</w:t>
      </w:r>
      <w:r w:rsidR="003471EA">
        <w:t>, technical</w:t>
      </w:r>
      <w:r w:rsidRPr="00051F98">
        <w:t xml:space="preserve"> and other business services </w:t>
      </w:r>
      <w:r w:rsidR="007140FA">
        <w:t>trade with</w:t>
      </w:r>
      <w:r w:rsidRPr="00051F98">
        <w:t xml:space="preserve"> </w:t>
      </w:r>
      <w:r w:rsidR="005253CF" w:rsidRPr="00051F98">
        <w:t xml:space="preserve">CPTPP </w:t>
      </w:r>
      <w:r w:rsidR="00A405F5">
        <w:t>member</w:t>
      </w:r>
      <w:r w:rsidR="005253CF" w:rsidRPr="00051F98">
        <w:t xml:space="preserve">s </w:t>
      </w:r>
      <w:r w:rsidR="56A18548">
        <w:t xml:space="preserve">between 2017 and 2018 </w:t>
      </w:r>
      <w:r w:rsidR="00E71078">
        <w:t>dropped</w:t>
      </w:r>
      <w:r w:rsidR="003471EA">
        <w:t xml:space="preserve"> </w:t>
      </w:r>
      <w:r w:rsidR="00421B42">
        <w:t xml:space="preserve">by </w:t>
      </w:r>
      <w:r w:rsidR="00C74583">
        <w:t xml:space="preserve">23.4 per cent </w:t>
      </w:r>
      <w:r w:rsidR="7463D4DE">
        <w:t>($3.</w:t>
      </w:r>
      <w:r w:rsidR="00FB090D">
        <w:t xml:space="preserve">9 </w:t>
      </w:r>
      <w:r w:rsidR="7463D4DE">
        <w:t>billion to $2.4</w:t>
      </w:r>
      <w:r w:rsidR="00A405F5">
        <w:t xml:space="preserve"> billion)</w:t>
      </w:r>
      <w:r w:rsidR="00FC6D12">
        <w:t>. Following</w:t>
      </w:r>
      <w:r w:rsidR="0062533A">
        <w:t xml:space="preserve"> the Agreement’s entry into force in December 2018, </w:t>
      </w:r>
      <w:r w:rsidR="007140FA">
        <w:t>professional, technical and other business services trade</w:t>
      </w:r>
      <w:r w:rsidR="0077302B">
        <w:t xml:space="preserve"> has steadily risen </w:t>
      </w:r>
      <w:r w:rsidR="00562C93">
        <w:t xml:space="preserve">into </w:t>
      </w:r>
      <w:r w:rsidR="007A2285">
        <w:t>2023, growing</w:t>
      </w:r>
      <w:r w:rsidR="00A94201">
        <w:t xml:space="preserve"> 36.1 per cent</w:t>
      </w:r>
      <w:r w:rsidR="007C047B">
        <w:t xml:space="preserve"> </w:t>
      </w:r>
      <w:r w:rsidR="00C14F3F">
        <w:t>(from</w:t>
      </w:r>
      <w:r w:rsidR="007C047B">
        <w:t xml:space="preserve"> 2018</w:t>
      </w:r>
      <w:r w:rsidR="00C14F3F">
        <w:t>)</w:t>
      </w:r>
      <w:r w:rsidR="007A2285">
        <w:t xml:space="preserve">, </w:t>
      </w:r>
      <w:r w:rsidR="007C047B">
        <w:t xml:space="preserve">despite </w:t>
      </w:r>
      <w:r w:rsidR="003C0A51">
        <w:t xml:space="preserve">the </w:t>
      </w:r>
      <w:r w:rsidR="002F3BE8">
        <w:t>impact of the</w:t>
      </w:r>
      <w:r w:rsidR="003C0A51">
        <w:t xml:space="preserve"> </w:t>
      </w:r>
      <w:r w:rsidR="00340206">
        <w:t>COVID</w:t>
      </w:r>
      <w:r w:rsidR="008B1928">
        <w:t>-19</w:t>
      </w:r>
      <w:r w:rsidR="003C0A51">
        <w:t xml:space="preserve"> pandemic</w:t>
      </w:r>
      <w:r w:rsidR="000F37D7">
        <w:t>.</w:t>
      </w:r>
      <w:r w:rsidR="003C0A51">
        <w:t xml:space="preserve"> </w:t>
      </w:r>
    </w:p>
    <w:p w14:paraId="7B047B4D" w14:textId="1B6CEEFB" w:rsidR="000F0160" w:rsidRPr="00467ED1" w:rsidRDefault="000F0160" w:rsidP="000F0160">
      <w:pPr>
        <w:ind w:left="360" w:hanging="360"/>
        <w:rPr>
          <w:b/>
          <w:bCs/>
          <w:i/>
          <w:iCs/>
          <w:color w:val="FF0000"/>
          <w:highlight w:val="yellow"/>
        </w:rPr>
      </w:pPr>
      <w:r w:rsidRPr="00467ED1">
        <w:rPr>
          <w:b/>
          <w:bCs/>
          <w:i/>
          <w:iCs/>
        </w:rPr>
        <w:t xml:space="preserve">Chart </w:t>
      </w:r>
      <w:r w:rsidR="005808AA" w:rsidRPr="00467ED1">
        <w:rPr>
          <w:b/>
          <w:bCs/>
          <w:i/>
          <w:iCs/>
        </w:rPr>
        <w:t>10</w:t>
      </w:r>
      <w:r w:rsidRPr="00467ED1">
        <w:rPr>
          <w:b/>
          <w:bCs/>
          <w:i/>
          <w:iCs/>
        </w:rPr>
        <w:t xml:space="preserve">: </w:t>
      </w:r>
      <w:r w:rsidR="00E13086" w:rsidRPr="00467ED1">
        <w:rPr>
          <w:b/>
          <w:bCs/>
          <w:i/>
          <w:iCs/>
        </w:rPr>
        <w:t>Professional, technical &amp; other business services</w:t>
      </w:r>
      <w:r w:rsidRPr="00467ED1">
        <w:rPr>
          <w:b/>
          <w:bCs/>
          <w:i/>
          <w:iCs/>
        </w:rPr>
        <w:t xml:space="preserve"> (</w:t>
      </w:r>
      <w:r w:rsidR="00A422D3" w:rsidRPr="00467ED1">
        <w:rPr>
          <w:b/>
          <w:bCs/>
          <w:i/>
          <w:iCs/>
        </w:rPr>
        <w:t>$</w:t>
      </w:r>
      <w:r w:rsidRPr="00467ED1">
        <w:rPr>
          <w:b/>
          <w:bCs/>
          <w:i/>
          <w:iCs/>
        </w:rPr>
        <w:t xml:space="preserve"> million)</w:t>
      </w:r>
      <w:r w:rsidR="00F31A73" w:rsidRPr="00F31A73">
        <w:rPr>
          <w:noProof/>
        </w:rPr>
        <w:t xml:space="preserve"> </w:t>
      </w:r>
    </w:p>
    <w:p w14:paraId="0256E62A" w14:textId="3FC1D9F9" w:rsidR="00235652" w:rsidRPr="001F107B" w:rsidRDefault="00A11BE7" w:rsidP="00127B1D">
      <w:pPr>
        <w:jc w:val="center"/>
        <w:rPr>
          <w:color w:val="FF0000"/>
          <w:highlight w:val="yellow"/>
        </w:rPr>
      </w:pPr>
      <w:r>
        <w:rPr>
          <w:noProof/>
          <w:color w:val="FF0000"/>
          <w:highlight w:val="yellow"/>
        </w:rPr>
        <w:drawing>
          <wp:inline distT="0" distB="0" distL="0" distR="0" wp14:anchorId="598308F5" wp14:editId="033C6A2C">
            <wp:extent cx="5292090" cy="2725420"/>
            <wp:effectExtent l="0" t="0" r="3810" b="0"/>
            <wp:docPr id="18246180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92090" cy="2725420"/>
                    </a:xfrm>
                    <a:prstGeom prst="rect">
                      <a:avLst/>
                    </a:prstGeom>
                    <a:noFill/>
                  </pic:spPr>
                </pic:pic>
              </a:graphicData>
            </a:graphic>
          </wp:inline>
        </w:drawing>
      </w:r>
    </w:p>
    <w:p w14:paraId="5AC892F4" w14:textId="064F9594" w:rsidR="006D6F75" w:rsidRPr="00467ED1" w:rsidRDefault="00452D99" w:rsidP="0047698D">
      <w:pPr>
        <w:spacing w:before="0" w:after="0"/>
        <w:rPr>
          <w:rFonts w:ascii="Arial" w:eastAsia="Times New Roman" w:hAnsi="Arial" w:cs="Arial"/>
          <w:sz w:val="20"/>
          <w:szCs w:val="20"/>
          <w:lang w:eastAsia="en-AU"/>
        </w:rPr>
      </w:pPr>
      <w:r w:rsidRPr="007B3A3A">
        <w:rPr>
          <w:rFonts w:eastAsia="Times New Roman" w:cstheme="minorHAnsi"/>
          <w:sz w:val="20"/>
          <w:szCs w:val="20"/>
          <w:lang w:eastAsia="en-AU"/>
        </w:rPr>
        <w:t>Source:  Australian Bureau of Statistics, International Trade: Supplementary Information, Calendar Year, 2023</w:t>
      </w:r>
      <w:r w:rsidRPr="00467ED1">
        <w:rPr>
          <w:rFonts w:ascii="Arial" w:eastAsia="Times New Roman" w:hAnsi="Arial" w:cs="Arial"/>
          <w:sz w:val="20"/>
          <w:szCs w:val="20"/>
          <w:lang w:eastAsia="en-AU"/>
        </w:rPr>
        <w:t>.</w:t>
      </w:r>
    </w:p>
    <w:p w14:paraId="41EC84CF" w14:textId="1CF77724" w:rsidR="0008502B" w:rsidRPr="0008502B" w:rsidRDefault="00AD237E" w:rsidP="006D6F75">
      <w:pPr>
        <w:rPr>
          <w:rFonts w:eastAsia="Times New Roman" w:cstheme="minorHAnsi"/>
          <w:b/>
          <w:bCs/>
          <w:i/>
          <w:iCs/>
          <w:sz w:val="24"/>
          <w:szCs w:val="24"/>
          <w:lang w:eastAsia="en-AU"/>
        </w:rPr>
      </w:pPr>
      <w:r>
        <w:rPr>
          <w:rFonts w:eastAsia="Times New Roman" w:cstheme="minorHAnsi"/>
          <w:b/>
          <w:bCs/>
          <w:i/>
          <w:iCs/>
          <w:sz w:val="24"/>
          <w:szCs w:val="24"/>
          <w:lang w:eastAsia="en-AU"/>
        </w:rPr>
        <w:t xml:space="preserve">Financial services </w:t>
      </w:r>
      <w:r w:rsidR="00AD10BB">
        <w:rPr>
          <w:rFonts w:eastAsia="Times New Roman" w:cstheme="minorHAnsi"/>
          <w:b/>
          <w:bCs/>
          <w:i/>
          <w:iCs/>
          <w:sz w:val="24"/>
          <w:szCs w:val="24"/>
          <w:lang w:eastAsia="en-AU"/>
        </w:rPr>
        <w:t>exports</w:t>
      </w:r>
    </w:p>
    <w:p w14:paraId="16B01DBC" w14:textId="7743DE59" w:rsidR="00DD63B2" w:rsidRDefault="00244ECF" w:rsidP="003057D5">
      <w:pPr>
        <w:pStyle w:val="ListParagraph"/>
        <w:numPr>
          <w:ilvl w:val="0"/>
          <w:numId w:val="5"/>
        </w:numPr>
        <w:ind w:left="0" w:firstLine="0"/>
      </w:pPr>
      <w:r>
        <w:t xml:space="preserve">Chart </w:t>
      </w:r>
      <w:r w:rsidR="00467ED1">
        <w:t>11</w:t>
      </w:r>
      <w:r>
        <w:t xml:space="preserve"> shows that t</w:t>
      </w:r>
      <w:r w:rsidR="00522575" w:rsidRPr="00051F98">
        <w:t xml:space="preserve">he value of </w:t>
      </w:r>
      <w:r w:rsidR="00AD10BB">
        <w:t xml:space="preserve">Australia’s </w:t>
      </w:r>
      <w:r w:rsidR="004C3F5F">
        <w:t>financial services</w:t>
      </w:r>
      <w:r w:rsidR="00AD10BB">
        <w:t xml:space="preserve"> exports</w:t>
      </w:r>
      <w:r w:rsidR="004C3F5F">
        <w:t xml:space="preserve"> </w:t>
      </w:r>
      <w:r w:rsidR="0F4AEC68">
        <w:t>between 2018 and 2021</w:t>
      </w:r>
      <w:r w:rsidR="004C3F5F">
        <w:t xml:space="preserve"> </w:t>
      </w:r>
      <w:r w:rsidR="00675E25">
        <w:t>increased</w:t>
      </w:r>
      <w:r w:rsidR="00265C58">
        <w:t xml:space="preserve"> </w:t>
      </w:r>
      <w:r w:rsidR="008D5574">
        <w:t>35 pe</w:t>
      </w:r>
      <w:r w:rsidR="00160BC2">
        <w:t xml:space="preserve">r cent </w:t>
      </w:r>
      <w:r w:rsidR="0838051D">
        <w:t xml:space="preserve">($569 million to $767 million) </w:t>
      </w:r>
      <w:r w:rsidR="009B19F7">
        <w:t>after</w:t>
      </w:r>
      <w:r w:rsidR="00160BC2">
        <w:t xml:space="preserve"> the </w:t>
      </w:r>
      <w:r w:rsidR="0031731F">
        <w:t>Agreement’s entry into force</w:t>
      </w:r>
      <w:r w:rsidR="009B19F7">
        <w:t xml:space="preserve">, </w:t>
      </w:r>
      <w:r w:rsidR="00943C74">
        <w:t>compared to</w:t>
      </w:r>
      <w:r w:rsidR="009B19F7">
        <w:t xml:space="preserve"> a</w:t>
      </w:r>
      <w:r w:rsidR="00D42331">
        <w:t xml:space="preserve"> </w:t>
      </w:r>
      <w:r w:rsidR="6FDDDB88">
        <w:t>slower</w:t>
      </w:r>
      <w:r w:rsidR="009B19F7">
        <w:t xml:space="preserve"> </w:t>
      </w:r>
      <w:r w:rsidR="00B36633">
        <w:t>19.5 per cent of</w:t>
      </w:r>
      <w:r w:rsidR="009B19F7">
        <w:t xml:space="preserve"> growth between 2013 and </w:t>
      </w:r>
      <w:r w:rsidR="00D42331">
        <w:t>2018</w:t>
      </w:r>
      <w:r w:rsidR="009007A5">
        <w:t xml:space="preserve"> ($476 million to </w:t>
      </w:r>
      <w:r w:rsidR="00AF513E">
        <w:t>$569 million)</w:t>
      </w:r>
      <w:r w:rsidR="00943C74">
        <w:t xml:space="preserve">. </w:t>
      </w:r>
      <w:r w:rsidR="00F23AEC">
        <w:t xml:space="preserve">This was followed by a </w:t>
      </w:r>
      <w:r w:rsidR="59006A6C">
        <w:t>19.4 per cent</w:t>
      </w:r>
      <w:r w:rsidR="00F23AEC">
        <w:t xml:space="preserve"> </w:t>
      </w:r>
      <w:r w:rsidR="00D62A0D">
        <w:t>decrease</w:t>
      </w:r>
      <w:r w:rsidR="00F23AEC">
        <w:t xml:space="preserve"> in </w:t>
      </w:r>
      <w:r w:rsidR="00BC2031">
        <w:t>financial services</w:t>
      </w:r>
      <w:r w:rsidR="00F23AEC">
        <w:t xml:space="preserve"> exports in 2022 </w:t>
      </w:r>
      <w:r w:rsidR="00AF513E">
        <w:t>(from $</w:t>
      </w:r>
      <w:r w:rsidR="003E46C0">
        <w:t>767 million to $618 million)</w:t>
      </w:r>
      <w:r w:rsidR="00E64BDA">
        <w:t xml:space="preserve">, </w:t>
      </w:r>
      <w:r w:rsidR="35A90F99">
        <w:t>before</w:t>
      </w:r>
      <w:r w:rsidR="003E46C0">
        <w:t xml:space="preserve"> exports rebound</w:t>
      </w:r>
      <w:r>
        <w:t>ed</w:t>
      </w:r>
      <w:r w:rsidR="00225C56">
        <w:t xml:space="preserve"> </w:t>
      </w:r>
      <w:r w:rsidR="25F3001B">
        <w:t>in</w:t>
      </w:r>
      <w:r w:rsidR="003E46C0">
        <w:t xml:space="preserve"> </w:t>
      </w:r>
      <w:r w:rsidR="00225C56">
        <w:t>2023</w:t>
      </w:r>
      <w:r w:rsidR="003E46C0">
        <w:t xml:space="preserve"> to $806 million (</w:t>
      </w:r>
      <w:r w:rsidR="00805E83">
        <w:t>30.4 per cent growth)</w:t>
      </w:r>
      <w:r w:rsidR="0035359B">
        <w:t xml:space="preserve">. </w:t>
      </w:r>
      <w:r w:rsidR="009B19F7">
        <w:t xml:space="preserve"> </w:t>
      </w:r>
    </w:p>
    <w:p w14:paraId="01B5E190" w14:textId="77777777" w:rsidR="00DD63B2" w:rsidRDefault="00DD63B2">
      <w:pPr>
        <w:rPr>
          <w:rFonts w:eastAsia="Times New Roman" w:cstheme="minorHAnsi"/>
          <w:sz w:val="24"/>
          <w:szCs w:val="24"/>
          <w:lang w:eastAsia="en-AU"/>
        </w:rPr>
      </w:pPr>
      <w:r>
        <w:br w:type="page"/>
      </w:r>
    </w:p>
    <w:p w14:paraId="0D2D4722" w14:textId="126CA586" w:rsidR="00244ECF" w:rsidRPr="00467ED1" w:rsidRDefault="00244ECF" w:rsidP="00244ECF">
      <w:pPr>
        <w:ind w:left="360" w:hanging="360"/>
        <w:rPr>
          <w:b/>
          <w:bCs/>
          <w:i/>
          <w:iCs/>
          <w:color w:val="FF0000"/>
          <w:highlight w:val="yellow"/>
        </w:rPr>
      </w:pPr>
      <w:r w:rsidRPr="00467ED1">
        <w:rPr>
          <w:b/>
          <w:bCs/>
          <w:i/>
          <w:iCs/>
        </w:rPr>
        <w:lastRenderedPageBreak/>
        <w:t xml:space="preserve">Chart </w:t>
      </w:r>
      <w:r w:rsidR="00467ED1" w:rsidRPr="00467ED1">
        <w:rPr>
          <w:b/>
          <w:bCs/>
          <w:i/>
          <w:iCs/>
        </w:rPr>
        <w:t>11</w:t>
      </w:r>
      <w:r w:rsidRPr="00467ED1">
        <w:rPr>
          <w:b/>
          <w:bCs/>
          <w:i/>
          <w:iCs/>
        </w:rPr>
        <w:t>: Financial services exports (</w:t>
      </w:r>
      <w:r w:rsidR="00A422D3" w:rsidRPr="00467ED1">
        <w:rPr>
          <w:b/>
          <w:bCs/>
          <w:i/>
          <w:iCs/>
        </w:rPr>
        <w:t>$</w:t>
      </w:r>
      <w:r w:rsidRPr="00467ED1">
        <w:rPr>
          <w:b/>
          <w:bCs/>
          <w:i/>
          <w:iCs/>
        </w:rPr>
        <w:t xml:space="preserve"> million)</w:t>
      </w:r>
    </w:p>
    <w:p w14:paraId="528909B9" w14:textId="1C5BDFED" w:rsidR="00235652" w:rsidRDefault="00A11BE7" w:rsidP="002646E3">
      <w:pPr>
        <w:jc w:val="center"/>
        <w:rPr>
          <w:color w:val="FF0000"/>
          <w:highlight w:val="yellow"/>
        </w:rPr>
      </w:pPr>
      <w:r>
        <w:rPr>
          <w:noProof/>
          <w:color w:val="FF0000"/>
          <w:highlight w:val="yellow"/>
        </w:rPr>
        <w:drawing>
          <wp:inline distT="0" distB="0" distL="0" distR="0" wp14:anchorId="626737E6" wp14:editId="3AD1C413">
            <wp:extent cx="5170170" cy="2249805"/>
            <wp:effectExtent l="0" t="0" r="0" b="0"/>
            <wp:docPr id="8154455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70170" cy="2249805"/>
                    </a:xfrm>
                    <a:prstGeom prst="rect">
                      <a:avLst/>
                    </a:prstGeom>
                    <a:noFill/>
                  </pic:spPr>
                </pic:pic>
              </a:graphicData>
            </a:graphic>
          </wp:inline>
        </w:drawing>
      </w:r>
    </w:p>
    <w:p w14:paraId="74D33968" w14:textId="2017166A" w:rsidR="00182448" w:rsidRPr="007B3A3A" w:rsidRDefault="00C5318E" w:rsidP="00467ED1">
      <w:pPr>
        <w:spacing w:before="0" w:after="0"/>
        <w:rPr>
          <w:rFonts w:eastAsia="Times New Roman" w:cstheme="minorHAnsi"/>
          <w:sz w:val="20"/>
          <w:szCs w:val="20"/>
          <w:lang w:eastAsia="en-AU"/>
        </w:rPr>
      </w:pPr>
      <w:r w:rsidRPr="007B3A3A">
        <w:rPr>
          <w:rFonts w:eastAsia="Times New Roman" w:cstheme="minorHAnsi"/>
          <w:sz w:val="20"/>
          <w:szCs w:val="20"/>
          <w:lang w:eastAsia="en-AU"/>
        </w:rPr>
        <w:t>Source:  Australian Bureau of Statistics, International Trade: Supplementary Information, Calendar Year, 2023.</w:t>
      </w:r>
    </w:p>
    <w:p w14:paraId="02376092" w14:textId="7BE0650E" w:rsidR="00194CDE" w:rsidRPr="003F3400" w:rsidRDefault="00194CDE" w:rsidP="00194CDE">
      <w:pPr>
        <w:rPr>
          <w:rFonts w:eastAsia="Times New Roman" w:cstheme="minorHAnsi"/>
          <w:b/>
          <w:bCs/>
          <w:i/>
          <w:iCs/>
          <w:sz w:val="24"/>
          <w:szCs w:val="24"/>
          <w:lang w:eastAsia="en-AU"/>
        </w:rPr>
      </w:pPr>
      <w:r>
        <w:rPr>
          <w:rFonts w:eastAsia="Times New Roman" w:cstheme="minorHAnsi"/>
          <w:b/>
          <w:bCs/>
          <w:i/>
          <w:iCs/>
          <w:sz w:val="24"/>
          <w:szCs w:val="24"/>
          <w:lang w:eastAsia="en-AU"/>
        </w:rPr>
        <w:t>Telecommunication</w:t>
      </w:r>
      <w:r w:rsidR="00164862">
        <w:rPr>
          <w:rFonts w:eastAsia="Times New Roman" w:cstheme="minorHAnsi"/>
          <w:b/>
          <w:bCs/>
          <w:i/>
          <w:iCs/>
          <w:sz w:val="24"/>
          <w:szCs w:val="24"/>
          <w:lang w:eastAsia="en-AU"/>
        </w:rPr>
        <w:t>s</w:t>
      </w:r>
      <w:r>
        <w:rPr>
          <w:rFonts w:eastAsia="Times New Roman" w:cstheme="minorHAnsi"/>
          <w:b/>
          <w:bCs/>
          <w:i/>
          <w:iCs/>
          <w:sz w:val="24"/>
          <w:szCs w:val="24"/>
          <w:lang w:eastAsia="en-AU"/>
        </w:rPr>
        <w:t>, computer, and information services</w:t>
      </w:r>
    </w:p>
    <w:p w14:paraId="3C1D9A27" w14:textId="77777777" w:rsidR="00F31A73" w:rsidRDefault="00F6501F" w:rsidP="000920EB">
      <w:pPr>
        <w:pStyle w:val="ListParagraph"/>
        <w:numPr>
          <w:ilvl w:val="0"/>
          <w:numId w:val="5"/>
        </w:numPr>
        <w:ind w:left="0" w:firstLine="0"/>
      </w:pPr>
      <w:r>
        <w:t>Before the entry into force of CPTPP, Australia</w:t>
      </w:r>
      <w:r w:rsidR="001D506C">
        <w:t>’s telecommunication</w:t>
      </w:r>
      <w:r w:rsidR="00164862">
        <w:t>s</w:t>
      </w:r>
      <w:r w:rsidR="001D506C">
        <w:t xml:space="preserve">, computer, and information services exports </w:t>
      </w:r>
      <w:r w:rsidR="00DD4587">
        <w:t>to</w:t>
      </w:r>
      <w:r w:rsidR="001D506C">
        <w:t xml:space="preserve"> CPTPP economies grew 14</w:t>
      </w:r>
      <w:r w:rsidR="009F24E9">
        <w:t>7 per cent</w:t>
      </w:r>
      <w:r w:rsidR="009B5931">
        <w:t xml:space="preserve"> </w:t>
      </w:r>
      <w:r w:rsidR="00AD6FA8">
        <w:t xml:space="preserve">in the </w:t>
      </w:r>
      <w:r w:rsidR="00D558BA">
        <w:t>2014-18</w:t>
      </w:r>
      <w:r w:rsidR="00AD6FA8">
        <w:t xml:space="preserve"> period </w:t>
      </w:r>
      <w:r w:rsidR="001301F7">
        <w:t>($327 million to $809 million)</w:t>
      </w:r>
      <w:r w:rsidR="001D506C">
        <w:t xml:space="preserve"> </w:t>
      </w:r>
      <w:r w:rsidR="00DB3F6F">
        <w:t>(Chart 1</w:t>
      </w:r>
      <w:r w:rsidR="00467ED1">
        <w:t>2</w:t>
      </w:r>
      <w:r w:rsidR="00DB3F6F">
        <w:t>)</w:t>
      </w:r>
      <w:r w:rsidR="009B5931">
        <w:t>.</w:t>
      </w:r>
      <w:r w:rsidR="00EA296B">
        <w:t xml:space="preserve"> </w:t>
      </w:r>
      <w:r w:rsidR="00FA59EC">
        <w:t>After</w:t>
      </w:r>
      <w:r w:rsidR="00EA296B">
        <w:t xml:space="preserve"> </w:t>
      </w:r>
      <w:r w:rsidR="00EB7927">
        <w:t>entry into force</w:t>
      </w:r>
      <w:r w:rsidR="00EA296B">
        <w:t xml:space="preserve">, Australia’s exports </w:t>
      </w:r>
      <w:r w:rsidR="00AD6FA8">
        <w:t>grew</w:t>
      </w:r>
      <w:r w:rsidR="00B87C01">
        <w:t xml:space="preserve"> by 11.0 per cent ($809 million to $909 million)</w:t>
      </w:r>
      <w:r w:rsidR="00273ECE">
        <w:t xml:space="preserve"> </w:t>
      </w:r>
      <w:r w:rsidR="00DE7E75">
        <w:t>betwee</w:t>
      </w:r>
      <w:r w:rsidR="00AE1E41">
        <w:t>n 2018 and</w:t>
      </w:r>
      <w:r w:rsidR="000E57A5">
        <w:t xml:space="preserve"> 2019</w:t>
      </w:r>
      <w:r w:rsidR="009B0714">
        <w:t xml:space="preserve">, however, </w:t>
      </w:r>
      <w:r w:rsidR="00AE1E41">
        <w:t>these exports declined by</w:t>
      </w:r>
      <w:r w:rsidR="00FA59EC">
        <w:t xml:space="preserve"> </w:t>
      </w:r>
      <w:r w:rsidR="008D28C2">
        <w:t xml:space="preserve">23.1 per cent </w:t>
      </w:r>
      <w:r w:rsidR="000C41A8">
        <w:t xml:space="preserve">from 2019 </w:t>
      </w:r>
      <w:r w:rsidR="00AE1E41">
        <w:t>to 2020</w:t>
      </w:r>
      <w:r w:rsidR="000C41A8">
        <w:t xml:space="preserve"> </w:t>
      </w:r>
      <w:r w:rsidR="008D28C2">
        <w:t>($909 million</w:t>
      </w:r>
      <w:r w:rsidR="000C41A8">
        <w:t xml:space="preserve"> to $699 million). </w:t>
      </w:r>
      <w:r w:rsidR="007D445D">
        <w:t xml:space="preserve">Exports </w:t>
      </w:r>
      <w:r w:rsidR="005F4A05">
        <w:t>increased</w:t>
      </w:r>
      <w:r w:rsidR="00015590">
        <w:t xml:space="preserve"> </w:t>
      </w:r>
      <w:r w:rsidR="00AA7837">
        <w:t xml:space="preserve">39.1 per cent </w:t>
      </w:r>
      <w:r w:rsidR="007D445D">
        <w:t>from 2020 to 2023</w:t>
      </w:r>
      <w:r w:rsidR="00AA7837">
        <w:t xml:space="preserve"> (</w:t>
      </w:r>
      <w:r w:rsidR="001C5B7B">
        <w:t xml:space="preserve">$699 million to $972 million), </w:t>
      </w:r>
      <w:r w:rsidR="007A6F83">
        <w:t xml:space="preserve">and </w:t>
      </w:r>
      <w:r w:rsidR="005F4A05">
        <w:t>in 2023</w:t>
      </w:r>
      <w:r w:rsidR="007A6F83">
        <w:t xml:space="preserve"> </w:t>
      </w:r>
      <w:r w:rsidR="005F4A05">
        <w:t>were</w:t>
      </w:r>
      <w:r w:rsidR="007A6F83">
        <w:t xml:space="preserve"> the highest </w:t>
      </w:r>
      <w:r w:rsidR="005F4A05">
        <w:t>they had been</w:t>
      </w:r>
      <w:r w:rsidR="007A6F83">
        <w:t xml:space="preserve"> since </w:t>
      </w:r>
      <w:r w:rsidR="005F4A05">
        <w:t xml:space="preserve">the peak in </w:t>
      </w:r>
      <w:r w:rsidR="007A6F83">
        <w:t>2019.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2"/>
      </w:tblGrid>
      <w:tr w:rsidR="00F31A73" w14:paraId="636B16E2" w14:textId="77777777" w:rsidTr="00E03664">
        <w:trPr>
          <w:cantSplit/>
        </w:trPr>
        <w:tc>
          <w:tcPr>
            <w:tcW w:w="8302" w:type="dxa"/>
          </w:tcPr>
          <w:p w14:paraId="2C98225D" w14:textId="39B2AC20" w:rsidR="00F31A73" w:rsidRPr="00F31A73" w:rsidRDefault="00F31A73" w:rsidP="00E03664">
            <w:pPr>
              <w:keepNext/>
              <w:ind w:left="360" w:hanging="360"/>
              <w:contextualSpacing/>
              <w:rPr>
                <w:rFonts w:asciiTheme="minorHAnsi" w:hAnsiTheme="minorHAnsi" w:cstheme="minorHAnsi"/>
                <w:b/>
                <w:bCs/>
                <w:i/>
                <w:iCs/>
                <w:color w:val="FF0000"/>
                <w:sz w:val="22"/>
                <w:szCs w:val="22"/>
                <w:highlight w:val="yellow"/>
              </w:rPr>
            </w:pPr>
            <w:r w:rsidRPr="00F31A73">
              <w:rPr>
                <w:rFonts w:asciiTheme="minorHAnsi" w:hAnsiTheme="minorHAnsi" w:cstheme="minorHAnsi"/>
                <w:b/>
                <w:bCs/>
                <w:i/>
                <w:iCs/>
                <w:sz w:val="22"/>
                <w:szCs w:val="22"/>
              </w:rPr>
              <w:t>Chart 12: Telecommunication, computer, and information services ($ million)</w:t>
            </w:r>
          </w:p>
        </w:tc>
      </w:tr>
      <w:tr w:rsidR="00F31A73" w14:paraId="77DE5415" w14:textId="77777777" w:rsidTr="00E03664">
        <w:trPr>
          <w:cantSplit/>
        </w:trPr>
        <w:tc>
          <w:tcPr>
            <w:tcW w:w="8302" w:type="dxa"/>
          </w:tcPr>
          <w:p w14:paraId="1E59D8C9" w14:textId="72AE526A" w:rsidR="00F31A73" w:rsidRPr="00F31A73" w:rsidRDefault="00F31A73" w:rsidP="00E03664">
            <w:pPr>
              <w:keepNext/>
              <w:spacing w:after="120"/>
              <w:contextualSpacing/>
              <w:jc w:val="both"/>
              <w:rPr>
                <w:rFonts w:cstheme="minorHAnsi"/>
              </w:rPr>
            </w:pPr>
            <w:r w:rsidRPr="746EADB1">
              <w:rPr>
                <w:rFonts w:asciiTheme="minorHAnsi" w:hAnsiTheme="minorHAnsi" w:cstheme="minorBidi"/>
                <w:sz w:val="18"/>
                <w:szCs w:val="18"/>
              </w:rPr>
              <w:t>Source:  ABS, International Trade: Supplementary Information, Calendar Year, 2023</w:t>
            </w:r>
            <w:r w:rsidRPr="746EADB1">
              <w:rPr>
                <w:rFonts w:asciiTheme="minorHAnsi" w:hAnsiTheme="minorHAnsi" w:cstheme="minorBidi"/>
              </w:rPr>
              <w:t>.</w:t>
            </w:r>
            <w:r w:rsidRPr="00AB058C">
              <w:rPr>
                <w:rFonts w:asciiTheme="minorHAnsi" w:hAnsiTheme="minorHAnsi" w:cstheme="minorBidi"/>
                <w:vertAlign w:val="superscript"/>
              </w:rPr>
              <w:footnoteReference w:id="51"/>
            </w:r>
          </w:p>
        </w:tc>
      </w:tr>
    </w:tbl>
    <w:p w14:paraId="5F07C324" w14:textId="7B5C2472" w:rsidR="00DD63B2" w:rsidRDefault="00DD63B2">
      <w:pPr>
        <w:rPr>
          <w:b/>
          <w:bCs/>
          <w:i/>
          <w:iCs/>
        </w:rPr>
      </w:pPr>
      <w:r>
        <w:rPr>
          <w:b/>
          <w:bCs/>
          <w:i/>
          <w:iCs/>
        </w:rPr>
        <w:br w:type="page"/>
      </w:r>
      <w:r w:rsidR="00A11BE7">
        <w:rPr>
          <w:b/>
          <w:bCs/>
          <w:i/>
          <w:iCs/>
          <w:noProof/>
        </w:rPr>
        <w:lastRenderedPageBreak/>
        <w:drawing>
          <wp:inline distT="0" distB="0" distL="0" distR="0" wp14:anchorId="4FD42A30" wp14:editId="69A85F47">
            <wp:extent cx="5139690" cy="2097405"/>
            <wp:effectExtent l="0" t="0" r="3810" b="0"/>
            <wp:docPr id="55227906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39690" cy="2097405"/>
                    </a:xfrm>
                    <a:prstGeom prst="rect">
                      <a:avLst/>
                    </a:prstGeom>
                    <a:noFill/>
                  </pic:spPr>
                </pic:pic>
              </a:graphicData>
            </a:graphic>
          </wp:inline>
        </w:drawing>
      </w:r>
    </w:p>
    <w:p w14:paraId="2A2C3369" w14:textId="78C9AD91" w:rsidR="00F1756C" w:rsidRPr="003137BB" w:rsidRDefault="00F1756C" w:rsidP="00531DDD">
      <w:pPr>
        <w:tabs>
          <w:tab w:val="left" w:pos="3580"/>
        </w:tabs>
        <w:ind w:left="360" w:hanging="360"/>
        <w:rPr>
          <w:b/>
          <w:bCs/>
          <w:i/>
          <w:iCs/>
        </w:rPr>
      </w:pPr>
      <w:r>
        <w:rPr>
          <w:b/>
          <w:bCs/>
          <w:i/>
          <w:iCs/>
        </w:rPr>
        <w:t>Outward</w:t>
      </w:r>
      <w:r w:rsidRPr="003137BB">
        <w:rPr>
          <w:b/>
          <w:bCs/>
          <w:i/>
          <w:iCs/>
        </w:rPr>
        <w:t xml:space="preserve"> foreign investment</w:t>
      </w:r>
      <w:r w:rsidR="00531DDD">
        <w:rPr>
          <w:b/>
          <w:bCs/>
          <w:i/>
          <w:iCs/>
        </w:rPr>
        <w:tab/>
      </w:r>
    </w:p>
    <w:p w14:paraId="47659E42" w14:textId="63F536FA" w:rsidR="007B6D35" w:rsidRDefault="00F1756C" w:rsidP="000920EB">
      <w:pPr>
        <w:pStyle w:val="ListParagraph"/>
        <w:numPr>
          <w:ilvl w:val="0"/>
          <w:numId w:val="5"/>
        </w:numPr>
        <w:ind w:left="0" w:firstLine="0"/>
      </w:pPr>
      <w:r w:rsidRPr="004223FC">
        <w:t>CPTPP provide</w:t>
      </w:r>
      <w:r w:rsidR="008242AB">
        <w:t>s</w:t>
      </w:r>
      <w:r w:rsidRPr="004223FC">
        <w:t xml:space="preserve"> additional protections to Australian investors operating in CPTPP </w:t>
      </w:r>
      <w:r>
        <w:t>economies</w:t>
      </w:r>
      <w:r w:rsidRPr="004223FC">
        <w:t>. These protections include a minimum standard of treatment, the right to compensation for certain types of expropriation</w:t>
      </w:r>
      <w:r w:rsidR="00715DD8">
        <w:t>,</w:t>
      </w:r>
      <w:r w:rsidRPr="004223FC">
        <w:t xml:space="preserve"> and protection against discrimination. </w:t>
      </w:r>
    </w:p>
    <w:p w14:paraId="7CBD011B" w14:textId="5D3EA5A5" w:rsidR="00F1756C" w:rsidRPr="008F3993" w:rsidRDefault="00F1756C" w:rsidP="000920EB">
      <w:pPr>
        <w:pStyle w:val="ListParagraph"/>
        <w:numPr>
          <w:ilvl w:val="0"/>
          <w:numId w:val="5"/>
        </w:numPr>
        <w:ind w:left="0" w:firstLine="0"/>
      </w:pPr>
      <w:r w:rsidRPr="004223FC">
        <w:t>The Investor-State Dispute Settlement (ISDS) mechanism provides Australian investors with the ability to enforce these protections in many of Australia's key capital export markets, as well as many of the rapidly growing economies in the Asia-Pacific region</w:t>
      </w:r>
      <w:r w:rsidRPr="004223FC">
        <w:rPr>
          <w:rFonts w:ascii="Segoe UI" w:hAnsi="Segoe UI" w:cs="Segoe UI"/>
          <w:color w:val="313131"/>
          <w:shd w:val="clear" w:color="auto" w:fill="FFFFFF"/>
        </w:rPr>
        <w:t>.</w:t>
      </w:r>
    </w:p>
    <w:p w14:paraId="05B91AD2" w14:textId="40C7E918" w:rsidR="00F1756C" w:rsidRPr="00715DD8" w:rsidRDefault="008F3993" w:rsidP="000920EB">
      <w:pPr>
        <w:pStyle w:val="ListParagraph"/>
        <w:numPr>
          <w:ilvl w:val="0"/>
          <w:numId w:val="5"/>
        </w:numPr>
        <w:ind w:left="0" w:firstLine="0"/>
      </w:pPr>
      <w:bookmarkStart w:id="12" w:name="_Hlk187844337"/>
      <w:r>
        <w:t xml:space="preserve">Overall, Australian outward investment in CPTPP </w:t>
      </w:r>
      <w:r w:rsidR="00C02717">
        <w:t>economies</w:t>
      </w:r>
      <w:r>
        <w:t xml:space="preserve"> has generally increased since the </w:t>
      </w:r>
      <w:r w:rsidR="009327CB">
        <w:t>A</w:t>
      </w:r>
      <w:r>
        <w:t xml:space="preserve">greement entered into force. </w:t>
      </w:r>
      <w:bookmarkEnd w:id="12"/>
    </w:p>
    <w:p w14:paraId="2946AB8E" w14:textId="6E483FD2" w:rsidR="00F1756C" w:rsidRPr="003E0634" w:rsidRDefault="00F1756C" w:rsidP="00F1756C">
      <w:pPr>
        <w:pStyle w:val="ListParagraph"/>
        <w:numPr>
          <w:ilvl w:val="0"/>
          <w:numId w:val="0"/>
        </w:numPr>
      </w:pPr>
      <w:r>
        <w:rPr>
          <w:b/>
          <w:bCs/>
          <w:i/>
          <w:iCs/>
        </w:rPr>
        <w:t>Inward foreign investment</w:t>
      </w:r>
    </w:p>
    <w:p w14:paraId="17302215" w14:textId="581D9835" w:rsidR="00F1756C" w:rsidRPr="00D6272C" w:rsidRDefault="00E567F7" w:rsidP="000920EB">
      <w:pPr>
        <w:pStyle w:val="ListParagraph"/>
        <w:numPr>
          <w:ilvl w:val="0"/>
          <w:numId w:val="5"/>
        </w:numPr>
        <w:ind w:left="0" w:firstLine="0"/>
      </w:pPr>
      <w:r>
        <w:t>CPTPP</w:t>
      </w:r>
      <w:r w:rsidR="00F1756C" w:rsidRPr="00D6272C">
        <w:t xml:space="preserve"> promotes further foreign investment in Australia by liberalising the screening threshold at which private foreign investments in non-sensitive sectors are reviewed by the Foreign Investment Review Board, increasing the threshold from </w:t>
      </w:r>
      <w:r w:rsidR="00A422D3">
        <w:t>$</w:t>
      </w:r>
      <w:r w:rsidR="00F1756C" w:rsidRPr="00D6272C">
        <w:t xml:space="preserve">261 million to </w:t>
      </w:r>
      <w:r w:rsidR="00A422D3">
        <w:t>$</w:t>
      </w:r>
      <w:r w:rsidR="00F1756C" w:rsidRPr="00D6272C">
        <w:t>1</w:t>
      </w:r>
      <w:r w:rsidR="00A50A21">
        <w:t>.4</w:t>
      </w:r>
      <w:r w:rsidR="00A50A21" w:rsidRPr="00D6272C">
        <w:t xml:space="preserve"> </w:t>
      </w:r>
      <w:r w:rsidR="00A50A21">
        <w:t>b</w:t>
      </w:r>
      <w:r w:rsidR="00A50A21" w:rsidRPr="00D6272C">
        <w:t xml:space="preserve">illion for all CPTPP </w:t>
      </w:r>
      <w:r w:rsidR="006978B5">
        <w:t>member</w:t>
      </w:r>
      <w:r w:rsidR="00A50A21" w:rsidRPr="00D6272C">
        <w:t>s</w:t>
      </w:r>
      <w:r w:rsidR="00F1756C" w:rsidRPr="00D6272C">
        <w:t>.</w:t>
      </w:r>
    </w:p>
    <w:p w14:paraId="751F7EC4" w14:textId="25B67F29" w:rsidR="00023791" w:rsidRDefault="00F1756C" w:rsidP="000920EB">
      <w:pPr>
        <w:pStyle w:val="ListParagraph"/>
        <w:numPr>
          <w:ilvl w:val="0"/>
          <w:numId w:val="5"/>
        </w:numPr>
        <w:ind w:left="0" w:firstLine="0"/>
      </w:pPr>
      <w:r w:rsidRPr="00D6272C">
        <w:t xml:space="preserve">Under </w:t>
      </w:r>
      <w:r w:rsidR="00E567F7">
        <w:t>CPTPP</w:t>
      </w:r>
      <w:r w:rsidRPr="00D6272C">
        <w:t>, Australia retains the ability to screen investments in sensitive sectors to ensure they are not contrary to the national interest. Proposed investments by foreign governments will continue to be examined and lower screening thresholds of $15</w:t>
      </w:r>
      <w:r>
        <w:t> </w:t>
      </w:r>
      <w:r w:rsidRPr="00D6272C">
        <w:t>million and $57 million apply to investment</w:t>
      </w:r>
      <w:r w:rsidR="003A3544">
        <w:t>s</w:t>
      </w:r>
      <w:r w:rsidRPr="00D6272C">
        <w:t xml:space="preserve"> in agricultural land and agribusiness respectively. </w:t>
      </w:r>
    </w:p>
    <w:p w14:paraId="060684AE" w14:textId="50C9A943" w:rsidR="0027484A" w:rsidRDefault="00F1756C" w:rsidP="003057D5">
      <w:pPr>
        <w:pStyle w:val="ListParagraph"/>
        <w:numPr>
          <w:ilvl w:val="0"/>
          <w:numId w:val="5"/>
        </w:numPr>
        <w:ind w:left="0" w:firstLine="0"/>
      </w:pPr>
      <w:r w:rsidRPr="000426D2">
        <w:t xml:space="preserve">Chart </w:t>
      </w:r>
      <w:r w:rsidR="00467ED1">
        <w:t>13</w:t>
      </w:r>
      <w:r w:rsidR="00C43335">
        <w:t xml:space="preserve"> and Table 8</w:t>
      </w:r>
      <w:r>
        <w:t xml:space="preserve"> show that t</w:t>
      </w:r>
      <w:r w:rsidRPr="00FC4A3D">
        <w:t xml:space="preserve">he level of Australia’s inwards foreign investment stock from CPTPP </w:t>
      </w:r>
      <w:r>
        <w:t>member</w:t>
      </w:r>
      <w:r w:rsidRPr="00FC4A3D">
        <w:t>s has grown steadily</w:t>
      </w:r>
      <w:r>
        <w:t xml:space="preserve"> before, and since,</w:t>
      </w:r>
      <w:r w:rsidRPr="00FC4A3D">
        <w:t xml:space="preserve"> the entry into force of </w:t>
      </w:r>
      <w:r w:rsidR="00E567F7">
        <w:t>CPTPP</w:t>
      </w:r>
      <w:r w:rsidR="00D33DCA">
        <w:t>.</w:t>
      </w:r>
      <w:r w:rsidRPr="00AB058C">
        <w:rPr>
          <w:vertAlign w:val="superscript"/>
        </w:rPr>
        <w:footnoteReference w:id="52"/>
      </w:r>
      <w:r w:rsidRPr="00FC4A3D">
        <w:t xml:space="preserve"> </w:t>
      </w:r>
      <w:r w:rsidR="00E17DE7">
        <w:t>T</w:t>
      </w:r>
      <w:r w:rsidR="00726261">
        <w:t>he t</w:t>
      </w:r>
      <w:r w:rsidR="00E17DE7">
        <w:t>otal a</w:t>
      </w:r>
      <w:r w:rsidR="009C73BF">
        <w:t>verage</w:t>
      </w:r>
      <w:r w:rsidR="00726261">
        <w:t xml:space="preserve"> annual</w:t>
      </w:r>
      <w:r w:rsidR="00E17DE7">
        <w:t xml:space="preserve"> </w:t>
      </w:r>
      <w:r>
        <w:t>investment</w:t>
      </w:r>
      <w:r w:rsidR="009C73BF">
        <w:t xml:space="preserve"> </w:t>
      </w:r>
      <w:r w:rsidR="003B521A">
        <w:t>in Australia by</w:t>
      </w:r>
      <w:r w:rsidR="009C73BF">
        <w:t xml:space="preserve"> CPTPP members gr</w:t>
      </w:r>
      <w:r w:rsidR="004C049A">
        <w:t>ew from $415 billion</w:t>
      </w:r>
      <w:r w:rsidR="00E17DE7">
        <w:t xml:space="preserve"> (2014-18) to</w:t>
      </w:r>
      <w:r>
        <w:t xml:space="preserve"> </w:t>
      </w:r>
      <w:r w:rsidR="00B705C1">
        <w:t>$559 billion (2019-23)</w:t>
      </w:r>
      <w:r w:rsidR="00D8344D">
        <w:t xml:space="preserve">, </w:t>
      </w:r>
      <w:r w:rsidR="00DB56CE">
        <w:t xml:space="preserve">a 34.7 per cent </w:t>
      </w:r>
      <w:r w:rsidR="00182405">
        <w:t>increase</w:t>
      </w:r>
      <w:r w:rsidR="00FB4993">
        <w:t>.</w:t>
      </w:r>
    </w:p>
    <w:tbl>
      <w:tblPr>
        <w:tblStyle w:val="TableGrid"/>
        <w:tblW w:w="0" w:type="auto"/>
        <w:tblLook w:val="04A0" w:firstRow="1" w:lastRow="0" w:firstColumn="1" w:lastColumn="0" w:noHBand="0" w:noVBand="1"/>
      </w:tblPr>
      <w:tblGrid>
        <w:gridCol w:w="8312"/>
      </w:tblGrid>
      <w:tr w:rsidR="00F1756C" w14:paraId="78500A3D" w14:textId="77777777" w:rsidTr="0027484A">
        <w:trPr>
          <w:cantSplit/>
        </w:trPr>
        <w:tc>
          <w:tcPr>
            <w:tcW w:w="8312" w:type="dxa"/>
            <w:tcBorders>
              <w:top w:val="nil"/>
              <w:left w:val="nil"/>
              <w:bottom w:val="nil"/>
              <w:right w:val="nil"/>
            </w:tcBorders>
          </w:tcPr>
          <w:p w14:paraId="7A8FC39B" w14:textId="6C361888" w:rsidR="00F1756C" w:rsidRPr="00467ED1" w:rsidRDefault="00F1756C" w:rsidP="00DD63B2">
            <w:pPr>
              <w:keepNext/>
              <w:spacing w:before="0"/>
              <w:rPr>
                <w:rFonts w:asciiTheme="minorHAnsi" w:hAnsiTheme="minorHAnsi" w:cstheme="minorHAnsi"/>
                <w:b/>
                <w:bCs/>
                <w:i/>
                <w:iCs/>
                <w:sz w:val="24"/>
                <w:szCs w:val="24"/>
              </w:rPr>
            </w:pPr>
            <w:r w:rsidRPr="00467ED1">
              <w:rPr>
                <w:rFonts w:asciiTheme="minorHAnsi" w:hAnsiTheme="minorHAnsi" w:cstheme="minorHAnsi"/>
                <w:b/>
                <w:bCs/>
                <w:i/>
                <w:iCs/>
                <w:sz w:val="24"/>
                <w:szCs w:val="24"/>
              </w:rPr>
              <w:lastRenderedPageBreak/>
              <w:t xml:space="preserve">Chart </w:t>
            </w:r>
            <w:r w:rsidR="00467ED1" w:rsidRPr="00467ED1">
              <w:rPr>
                <w:rFonts w:asciiTheme="minorHAnsi" w:hAnsiTheme="minorHAnsi" w:cstheme="minorHAnsi"/>
                <w:b/>
                <w:bCs/>
                <w:i/>
                <w:iCs/>
                <w:sz w:val="24"/>
                <w:szCs w:val="24"/>
              </w:rPr>
              <w:t>13</w:t>
            </w:r>
            <w:r w:rsidRPr="00467ED1">
              <w:rPr>
                <w:rFonts w:asciiTheme="minorHAnsi" w:hAnsiTheme="minorHAnsi" w:cstheme="minorHAnsi"/>
                <w:b/>
                <w:bCs/>
                <w:i/>
                <w:iCs/>
                <w:sz w:val="24"/>
                <w:szCs w:val="24"/>
              </w:rPr>
              <w:t xml:space="preserve">: Foreign Investment </w:t>
            </w:r>
            <w:r w:rsidR="004B6593">
              <w:rPr>
                <w:rFonts w:asciiTheme="minorHAnsi" w:hAnsiTheme="minorHAnsi" w:cstheme="minorHAnsi"/>
                <w:b/>
                <w:bCs/>
                <w:i/>
                <w:iCs/>
                <w:sz w:val="24"/>
                <w:szCs w:val="24"/>
              </w:rPr>
              <w:t>Stock</w:t>
            </w:r>
            <w:r w:rsidR="000531BC">
              <w:rPr>
                <w:rFonts w:asciiTheme="minorHAnsi" w:hAnsiTheme="minorHAnsi" w:cstheme="minorHAnsi"/>
                <w:b/>
                <w:bCs/>
                <w:i/>
                <w:iCs/>
                <w:sz w:val="24"/>
                <w:szCs w:val="24"/>
              </w:rPr>
              <w:t>s</w:t>
            </w:r>
            <w:r w:rsidRPr="00467ED1">
              <w:rPr>
                <w:rFonts w:asciiTheme="minorHAnsi" w:hAnsiTheme="minorHAnsi" w:cstheme="minorHAnsi"/>
                <w:b/>
                <w:bCs/>
                <w:i/>
                <w:iCs/>
                <w:sz w:val="24"/>
                <w:szCs w:val="24"/>
              </w:rPr>
              <w:t xml:space="preserve"> in Australia by CPTPP Member ($</w:t>
            </w:r>
            <w:r w:rsidR="000C5DBD">
              <w:rPr>
                <w:rFonts w:asciiTheme="minorHAnsi" w:hAnsiTheme="minorHAnsi" w:cstheme="minorHAnsi"/>
                <w:b/>
                <w:bCs/>
                <w:i/>
                <w:iCs/>
                <w:sz w:val="24"/>
                <w:szCs w:val="24"/>
              </w:rPr>
              <w:t>m</w:t>
            </w:r>
            <w:r w:rsidRPr="00467ED1">
              <w:rPr>
                <w:rFonts w:asciiTheme="minorHAnsi" w:hAnsiTheme="minorHAnsi" w:cstheme="minorHAnsi"/>
                <w:b/>
                <w:bCs/>
                <w:i/>
                <w:iCs/>
                <w:sz w:val="24"/>
                <w:szCs w:val="24"/>
              </w:rPr>
              <w:t>)</w:t>
            </w:r>
          </w:p>
        </w:tc>
      </w:tr>
      <w:tr w:rsidR="00F1756C" w14:paraId="6D0A3B24" w14:textId="77777777" w:rsidTr="0027484A">
        <w:trPr>
          <w:cantSplit/>
        </w:trPr>
        <w:tc>
          <w:tcPr>
            <w:tcW w:w="8312" w:type="dxa"/>
            <w:tcBorders>
              <w:top w:val="nil"/>
              <w:left w:val="nil"/>
              <w:bottom w:val="nil"/>
              <w:right w:val="nil"/>
            </w:tcBorders>
          </w:tcPr>
          <w:p w14:paraId="31A5CCF5" w14:textId="1E876566" w:rsidR="00F1756C" w:rsidRDefault="00A11BE7" w:rsidP="00DD63B2">
            <w:pPr>
              <w:keepNext/>
              <w:tabs>
                <w:tab w:val="left" w:pos="5260"/>
              </w:tabs>
              <w:spacing w:before="120" w:after="120"/>
              <w:contextualSpacing/>
              <w:rPr>
                <w:sz w:val="24"/>
                <w:szCs w:val="24"/>
              </w:rPr>
            </w:pPr>
            <w:r>
              <w:rPr>
                <w:noProof/>
                <w:sz w:val="24"/>
                <w:szCs w:val="24"/>
              </w:rPr>
              <w:drawing>
                <wp:inline distT="0" distB="0" distL="0" distR="0" wp14:anchorId="11489F07" wp14:editId="20775F15">
                  <wp:extent cx="5377180" cy="3352800"/>
                  <wp:effectExtent l="0" t="0" r="0" b="0"/>
                  <wp:docPr id="30379425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77180" cy="3352800"/>
                          </a:xfrm>
                          <a:prstGeom prst="rect">
                            <a:avLst/>
                          </a:prstGeom>
                          <a:noFill/>
                        </pic:spPr>
                      </pic:pic>
                    </a:graphicData>
                  </a:graphic>
                </wp:inline>
              </w:drawing>
            </w:r>
            <w:r w:rsidR="00F1756C">
              <w:rPr>
                <w:sz w:val="24"/>
                <w:szCs w:val="24"/>
              </w:rPr>
              <w:tab/>
            </w:r>
          </w:p>
          <w:p w14:paraId="629D44C7" w14:textId="77777777" w:rsidR="00F1756C" w:rsidRDefault="00F1756C" w:rsidP="00DD63B2">
            <w:pPr>
              <w:keepNext/>
              <w:tabs>
                <w:tab w:val="left" w:pos="5260"/>
              </w:tabs>
              <w:spacing w:before="120" w:after="120"/>
              <w:contextualSpacing/>
              <w:rPr>
                <w:rFonts w:asciiTheme="minorHAnsi" w:hAnsiTheme="minorHAnsi" w:cstheme="minorHAnsi"/>
              </w:rPr>
            </w:pPr>
            <w:r w:rsidRPr="002B6571">
              <w:rPr>
                <w:rFonts w:asciiTheme="minorHAnsi" w:hAnsiTheme="minorHAnsi" w:cstheme="minorHAnsi"/>
              </w:rPr>
              <w:t xml:space="preserve">Source: ABS, 5352.0 International Investment Position, Australia: Supplementary Statistics 2023. DFAT analysis. </w:t>
            </w:r>
          </w:p>
          <w:p w14:paraId="40B4A427" w14:textId="5B86EF75" w:rsidR="00324991" w:rsidRPr="002B6571" w:rsidRDefault="00324991" w:rsidP="00DD63B2">
            <w:pPr>
              <w:keepNext/>
              <w:tabs>
                <w:tab w:val="left" w:pos="5260"/>
              </w:tabs>
              <w:spacing w:before="120" w:after="120"/>
              <w:contextualSpacing/>
              <w:rPr>
                <w:rFonts w:asciiTheme="minorHAnsi" w:hAnsiTheme="minorHAnsi" w:cstheme="minorHAnsi"/>
                <w:sz w:val="24"/>
                <w:szCs w:val="24"/>
              </w:rPr>
            </w:pPr>
          </w:p>
        </w:tc>
      </w:tr>
    </w:tbl>
    <w:p w14:paraId="7404A7B2" w14:textId="6DE7DF88" w:rsidR="00F1756C" w:rsidRDefault="004804E3" w:rsidP="00324991">
      <w:pPr>
        <w:spacing w:before="120"/>
        <w:contextualSpacing/>
        <w:rPr>
          <w:rFonts w:ascii="Times New Roman" w:eastAsia="Times New Roman" w:hAnsi="Times New Roman" w:cs="Times New Roman"/>
          <w:sz w:val="24"/>
          <w:szCs w:val="24"/>
          <w:lang w:eastAsia="en-AU"/>
        </w:rPr>
      </w:pPr>
      <w:r>
        <w:rPr>
          <w:rFonts w:cstheme="minorHAnsi"/>
          <w:b/>
          <w:bCs/>
          <w:i/>
          <w:iCs/>
          <w:sz w:val="24"/>
          <w:szCs w:val="24"/>
        </w:rPr>
        <w:t xml:space="preserve">Table </w:t>
      </w:r>
      <w:r w:rsidR="00103572">
        <w:rPr>
          <w:rFonts w:cstheme="minorHAnsi"/>
          <w:b/>
          <w:bCs/>
          <w:i/>
          <w:iCs/>
          <w:sz w:val="24"/>
          <w:szCs w:val="24"/>
        </w:rPr>
        <w:t>8</w:t>
      </w:r>
      <w:r w:rsidRPr="00467ED1">
        <w:rPr>
          <w:rFonts w:cstheme="minorHAnsi"/>
          <w:b/>
          <w:bCs/>
          <w:i/>
          <w:iCs/>
          <w:sz w:val="24"/>
          <w:szCs w:val="24"/>
        </w:rPr>
        <w:t xml:space="preserve">: Foreign Investment </w:t>
      </w:r>
      <w:r w:rsidR="007C0F0A">
        <w:rPr>
          <w:rFonts w:cstheme="minorHAnsi"/>
          <w:b/>
          <w:bCs/>
          <w:i/>
          <w:iCs/>
          <w:sz w:val="24"/>
          <w:szCs w:val="24"/>
        </w:rPr>
        <w:t>Stocks</w:t>
      </w:r>
      <w:r w:rsidRPr="00467ED1">
        <w:rPr>
          <w:rFonts w:cstheme="minorHAnsi"/>
          <w:b/>
          <w:bCs/>
          <w:i/>
          <w:iCs/>
          <w:sz w:val="24"/>
          <w:szCs w:val="24"/>
        </w:rPr>
        <w:t xml:space="preserve"> in Australia by CPTPP Member ($</w:t>
      </w:r>
      <w:r w:rsidR="000C5DBD">
        <w:rPr>
          <w:rFonts w:cstheme="minorHAnsi"/>
          <w:b/>
          <w:bCs/>
          <w:i/>
          <w:iCs/>
          <w:sz w:val="24"/>
          <w:szCs w:val="24"/>
        </w:rPr>
        <w:t>m</w:t>
      </w:r>
      <w:r w:rsidRPr="00467ED1">
        <w:rPr>
          <w:rFonts w:cstheme="minorHAnsi"/>
          <w:b/>
          <w:bCs/>
          <w:i/>
          <w:iCs/>
          <w:sz w:val="24"/>
          <w:szCs w:val="24"/>
        </w:rPr>
        <w:t>)</w:t>
      </w:r>
    </w:p>
    <w:p w14:paraId="7D2E44AA" w14:textId="77777777" w:rsidR="00F1756C" w:rsidRDefault="00F1756C" w:rsidP="00324991">
      <w:pPr>
        <w:spacing w:before="120"/>
        <w:rPr>
          <w:rFonts w:ascii="Times New Roman" w:eastAsia="Times New Roman" w:hAnsi="Times New Roman" w:cs="Times New Roman"/>
          <w:sz w:val="24"/>
          <w:szCs w:val="24"/>
          <w:lang w:eastAsia="en-AU"/>
        </w:rPr>
      </w:pPr>
      <w:r>
        <w:rPr>
          <w:noProof/>
          <w:lang w:eastAsia="en-AU"/>
        </w:rPr>
        <w:drawing>
          <wp:inline distT="0" distB="0" distL="0" distR="0" wp14:anchorId="5C6E63A4" wp14:editId="221CE0DD">
            <wp:extent cx="5731510" cy="1444625"/>
            <wp:effectExtent l="0" t="0" r="2540" b="3175"/>
            <wp:docPr id="321296428" name="Picture 1" descr="This table breaks down the level of Foreign Investment in Australia by CPTPP members between 2013 and 2023. There has been a steady growth in Foreign Investment in Australia by CPTPP members. Japan  and Singapore are the largest inves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296428" name="Picture 1" descr="This table breaks down the level of Foreign Investment in Australia by CPTPP members between 2013 and 2023. There has been a steady growth in Foreign Investment in Australia by CPTPP members. Japan  and Singapore are the largest investors."/>
                    <pic:cNvPicPr/>
                  </pic:nvPicPr>
                  <pic:blipFill>
                    <a:blip r:embed="rId32"/>
                    <a:stretch>
                      <a:fillRect/>
                    </a:stretch>
                  </pic:blipFill>
                  <pic:spPr>
                    <a:xfrm>
                      <a:off x="0" y="0"/>
                      <a:ext cx="5731510" cy="1444625"/>
                    </a:xfrm>
                    <a:prstGeom prst="rect">
                      <a:avLst/>
                    </a:prstGeom>
                  </pic:spPr>
                </pic:pic>
              </a:graphicData>
            </a:graphic>
          </wp:inline>
        </w:drawing>
      </w:r>
    </w:p>
    <w:p w14:paraId="788F3D36" w14:textId="1D5656DB" w:rsidR="00F1756C" w:rsidRPr="00103572" w:rsidRDefault="00103572" w:rsidP="00324991">
      <w:pPr>
        <w:tabs>
          <w:tab w:val="left" w:pos="5260"/>
        </w:tabs>
        <w:spacing w:before="120"/>
        <w:rPr>
          <w:rFonts w:eastAsia="Times New Roman"/>
          <w:sz w:val="20"/>
          <w:szCs w:val="20"/>
          <w:lang w:eastAsia="en-AU"/>
        </w:rPr>
      </w:pPr>
      <w:r w:rsidRPr="41DF4280">
        <w:rPr>
          <w:rFonts w:eastAsia="Times New Roman"/>
          <w:sz w:val="20"/>
          <w:szCs w:val="20"/>
          <w:lang w:eastAsia="en-AU"/>
        </w:rPr>
        <w:t xml:space="preserve">Source: ABS, FDI into Australia by country. </w:t>
      </w:r>
    </w:p>
    <w:p w14:paraId="05281B45" w14:textId="4B5C461F" w:rsidR="006D6F75" w:rsidRPr="00CE586D" w:rsidRDefault="00CE586D" w:rsidP="00CE586D">
      <w:pPr>
        <w:pStyle w:val="ListParagraph"/>
        <w:numPr>
          <w:ilvl w:val="0"/>
          <w:numId w:val="0"/>
        </w:numPr>
        <w:rPr>
          <w:b/>
          <w:bCs/>
          <w:i/>
          <w:iCs/>
        </w:rPr>
      </w:pPr>
      <w:r>
        <w:rPr>
          <w:b/>
          <w:bCs/>
          <w:i/>
          <w:iCs/>
        </w:rPr>
        <w:t>M</w:t>
      </w:r>
      <w:r w:rsidR="006D6F75" w:rsidRPr="00CE586D">
        <w:rPr>
          <w:b/>
          <w:bCs/>
          <w:i/>
          <w:iCs/>
        </w:rPr>
        <w:t>ovement of natural persons</w:t>
      </w:r>
    </w:p>
    <w:p w14:paraId="017C24A2" w14:textId="1176C184" w:rsidR="007D3F51" w:rsidRDefault="009774D3" w:rsidP="000920EB">
      <w:pPr>
        <w:pStyle w:val="ListParagraph"/>
        <w:numPr>
          <w:ilvl w:val="0"/>
          <w:numId w:val="5"/>
        </w:numPr>
        <w:ind w:left="0" w:firstLine="0"/>
      </w:pPr>
      <w:r w:rsidRPr="009774D3">
        <w:t xml:space="preserve">Australia's </w:t>
      </w:r>
      <w:r w:rsidR="0041527B">
        <w:t>CPTPP</w:t>
      </w:r>
      <w:r w:rsidRPr="009774D3">
        <w:t xml:space="preserve"> commitments for intra-corporate transferees, contractual service suppliers and independent executives are implemented through the </w:t>
      </w:r>
      <w:r w:rsidR="007973A4">
        <w:t xml:space="preserve">Skills in Demand </w:t>
      </w:r>
      <w:r w:rsidR="007973A4" w:rsidRPr="00732835">
        <w:t>(SID</w:t>
      </w:r>
      <w:r w:rsidRPr="009774D3">
        <w:t xml:space="preserve">) visa programme, which allows skilled workers to come to Australia and work for an approved business. In accordance with the </w:t>
      </w:r>
      <w:r w:rsidR="007973A4" w:rsidRPr="00732835">
        <w:t>Skills in Demand (SID</w:t>
      </w:r>
      <w:r w:rsidRPr="009774D3">
        <w:t>) visa programme, businesses still need to sponsor skilled foreign workers, meet market salary rates</w:t>
      </w:r>
      <w:r w:rsidR="007973A4" w:rsidRPr="00732835">
        <w:t>,</w:t>
      </w:r>
      <w:r w:rsidRPr="009774D3">
        <w:t xml:space="preserve"> and offer employment conditions as required under </w:t>
      </w:r>
      <w:r w:rsidR="007973A4" w:rsidRPr="00732835">
        <w:t>Australia</w:t>
      </w:r>
      <w:r w:rsidR="00055CF7">
        <w:t>’s</w:t>
      </w:r>
      <w:r w:rsidRPr="009774D3">
        <w:t xml:space="preserve"> workplace law, and equivalent to those accorded to Australian workers performing similar duties. </w:t>
      </w:r>
      <w:r w:rsidR="007973A4" w:rsidRPr="00732835">
        <w:t>Under SID</w:t>
      </w:r>
      <w:r w:rsidRPr="009774D3">
        <w:t>, skilled foreign workers are required to meet minimum qualification requirements, including any relevant skills testing and existing professional licensing requirements at the Federal, State and Territory Government level.</w:t>
      </w:r>
    </w:p>
    <w:p w14:paraId="129614A0" w14:textId="1C42ECCC" w:rsidR="001F79EE" w:rsidRDefault="001F79EE" w:rsidP="000920EB">
      <w:pPr>
        <w:pStyle w:val="ListParagraph"/>
        <w:numPr>
          <w:ilvl w:val="0"/>
          <w:numId w:val="5"/>
        </w:numPr>
        <w:ind w:left="0" w:firstLine="0"/>
      </w:pPr>
      <w:r w:rsidRPr="001F79EE">
        <w:lastRenderedPageBreak/>
        <w:t xml:space="preserve">Australian intra-corporate transferees, being those </w:t>
      </w:r>
      <w:r w:rsidR="002E20AC" w:rsidRPr="001F79EE">
        <w:t>businesspersons</w:t>
      </w:r>
      <w:r w:rsidRPr="001F79EE">
        <w:t xml:space="preserve"> seeking to work in an overseas branch or subsidiary of their company, </w:t>
      </w:r>
      <w:r>
        <w:t>benefited</w:t>
      </w:r>
      <w:r w:rsidRPr="001F79EE">
        <w:t xml:space="preserve"> from guaranteed initial lengths of stay in CPTPP </w:t>
      </w:r>
      <w:r w:rsidR="00360991">
        <w:t>economies</w:t>
      </w:r>
      <w:r w:rsidRPr="001F79EE">
        <w:t xml:space="preserve"> of between one and five years, without being subject to quotas or economic needs tests such as labour market testing</w:t>
      </w:r>
      <w:r>
        <w:t>.</w:t>
      </w:r>
    </w:p>
    <w:p w14:paraId="22A1F354" w14:textId="037ED547" w:rsidR="007E5821" w:rsidRDefault="007E5821" w:rsidP="000920EB">
      <w:pPr>
        <w:pStyle w:val="ListParagraph"/>
        <w:numPr>
          <w:ilvl w:val="0"/>
          <w:numId w:val="5"/>
        </w:numPr>
        <w:ind w:left="0" w:firstLine="0"/>
      </w:pPr>
      <w:r w:rsidRPr="007E5821">
        <w:t xml:space="preserve">Australian </w:t>
      </w:r>
      <w:r w:rsidR="002E20AC" w:rsidRPr="007E5821">
        <w:t>businesspersons</w:t>
      </w:r>
      <w:r w:rsidRPr="007E5821">
        <w:t xml:space="preserve"> who possess specialist trade, professional and technical knowledge and who have a contract to deliver services will benefit from guaranteed initial lengths of stay in CPTPP </w:t>
      </w:r>
      <w:r w:rsidR="00C136DE">
        <w:t>economies</w:t>
      </w:r>
      <w:r w:rsidRPr="007E5821">
        <w:t xml:space="preserve"> of between three months to five years without being subject to quotas or economic needs tests. </w:t>
      </w:r>
    </w:p>
    <w:p w14:paraId="3A009B25" w14:textId="381F2C17" w:rsidR="00A45E92" w:rsidRPr="00376E56" w:rsidRDefault="00A45E92" w:rsidP="000920EB">
      <w:pPr>
        <w:pStyle w:val="ListParagraph"/>
        <w:numPr>
          <w:ilvl w:val="0"/>
          <w:numId w:val="5"/>
        </w:numPr>
        <w:ind w:left="0" w:firstLine="0"/>
      </w:pPr>
      <w:r w:rsidRPr="003D7F4A">
        <w:t xml:space="preserve">Australian investors and independent executives will benefit from guaranteed lengths of initial stay in CPTPP </w:t>
      </w:r>
      <w:r w:rsidR="00C5465F">
        <w:t>economies</w:t>
      </w:r>
      <w:r w:rsidRPr="003D7F4A">
        <w:t xml:space="preserve"> of between three months to five years without being subject to quotas or economic needs </w:t>
      </w:r>
      <w:r w:rsidR="002E20AC" w:rsidRPr="003D7F4A">
        <w:t>tests.</w:t>
      </w:r>
    </w:p>
    <w:p w14:paraId="444CB06C" w14:textId="1A6C0C1B" w:rsidR="00376E56" w:rsidRPr="00873519" w:rsidRDefault="00376E56" w:rsidP="000920EB">
      <w:pPr>
        <w:pStyle w:val="ListParagraph"/>
        <w:numPr>
          <w:ilvl w:val="0"/>
          <w:numId w:val="5"/>
        </w:numPr>
        <w:ind w:left="0" w:firstLine="0"/>
      </w:pPr>
      <w:r w:rsidRPr="003D7F4A">
        <w:t xml:space="preserve">Australians providing services relating to installation and servicing of machinery or equipment will benefit from the following temporary entry commitments offered by other CPTPP </w:t>
      </w:r>
      <w:r w:rsidR="000D3C7A">
        <w:t>economies</w:t>
      </w:r>
      <w:r w:rsidRPr="003D7F4A">
        <w:t>:</w:t>
      </w:r>
    </w:p>
    <w:p w14:paraId="4D18F673" w14:textId="20BF5EEF" w:rsidR="007973A4" w:rsidRDefault="00117427" w:rsidP="000920EB">
      <w:pPr>
        <w:pStyle w:val="ListParagraph"/>
        <w:numPr>
          <w:ilvl w:val="0"/>
          <w:numId w:val="72"/>
        </w:numPr>
      </w:pPr>
      <w:r>
        <w:t>g</w:t>
      </w:r>
      <w:r w:rsidR="007973A4">
        <w:t xml:space="preserve">uaranteed lengths of stay for up to three months in Brunei Darussalam (extendable for up to 12 months), Chile, New Zealand, Peru (renewable for one year), and the UK; and </w:t>
      </w:r>
    </w:p>
    <w:p w14:paraId="7B2A699D" w14:textId="54FC03D6" w:rsidR="002C6936" w:rsidRPr="004A63AD" w:rsidRDefault="00117427" w:rsidP="000920EB">
      <w:pPr>
        <w:pStyle w:val="ListParagraph"/>
        <w:numPr>
          <w:ilvl w:val="0"/>
          <w:numId w:val="72"/>
        </w:numPr>
      </w:pPr>
      <w:r>
        <w:t>g</w:t>
      </w:r>
      <w:r w:rsidR="007973A4">
        <w:t>uaranteed lengths of stay for up to six months in Canada (with the possibility of extensions), Malaysia and Mexico.</w:t>
      </w:r>
    </w:p>
    <w:p w14:paraId="1E398D65" w14:textId="7F2BD2CE" w:rsidR="006D6F75" w:rsidRPr="005F4070" w:rsidRDefault="005F4070" w:rsidP="005F4070">
      <w:pPr>
        <w:pStyle w:val="ListParagraph"/>
        <w:numPr>
          <w:ilvl w:val="0"/>
          <w:numId w:val="0"/>
        </w:numPr>
        <w:rPr>
          <w:b/>
          <w:bCs/>
          <w:i/>
          <w:iCs/>
        </w:rPr>
      </w:pPr>
      <w:r>
        <w:rPr>
          <w:b/>
          <w:bCs/>
          <w:i/>
          <w:iCs/>
        </w:rPr>
        <w:t>I</w:t>
      </w:r>
      <w:r w:rsidR="006D6F75" w:rsidRPr="005F4070">
        <w:rPr>
          <w:b/>
          <w:bCs/>
          <w:i/>
          <w:iCs/>
        </w:rPr>
        <w:t>mpact on small business</w:t>
      </w:r>
      <w:r>
        <w:rPr>
          <w:b/>
          <w:bCs/>
          <w:i/>
          <w:iCs/>
        </w:rPr>
        <w:t>es</w:t>
      </w:r>
    </w:p>
    <w:p w14:paraId="25CA17D9" w14:textId="5901D27C" w:rsidR="003F4E3C" w:rsidRDefault="006D6F75" w:rsidP="000920EB">
      <w:pPr>
        <w:pStyle w:val="ListParagraph"/>
        <w:numPr>
          <w:ilvl w:val="0"/>
          <w:numId w:val="5"/>
        </w:numPr>
        <w:ind w:left="0" w:firstLine="0"/>
      </w:pPr>
      <w:r w:rsidRPr="00A051AE">
        <w:t xml:space="preserve">Quantitative data on the impact of </w:t>
      </w:r>
      <w:r w:rsidR="00B269BE">
        <w:t xml:space="preserve">CPTPP </w:t>
      </w:r>
      <w:r w:rsidRPr="00A051AE">
        <w:t xml:space="preserve">on small businesses is not available. Our qualitative assessment is that </w:t>
      </w:r>
      <w:r w:rsidR="00B269BE">
        <w:t xml:space="preserve">CPTPP </w:t>
      </w:r>
      <w:r w:rsidRPr="00A051AE">
        <w:t>has had a positive impact on many small businesses due to increased business activity, a greater range of competitively</w:t>
      </w:r>
      <w:r w:rsidR="00B3137E">
        <w:t xml:space="preserve"> </w:t>
      </w:r>
      <w:r w:rsidRPr="00A051AE">
        <w:t xml:space="preserve">priced inputs imported from </w:t>
      </w:r>
      <w:r w:rsidR="00CC1A9C">
        <w:t>CPTPP economies</w:t>
      </w:r>
      <w:r w:rsidRPr="00A051AE">
        <w:t xml:space="preserve">, and improved access and competitiveness of Australian goods and services in </w:t>
      </w:r>
      <w:r w:rsidR="00E567F7">
        <w:t>CPTPP</w:t>
      </w:r>
      <w:r w:rsidR="006F34A2">
        <w:t xml:space="preserve"> </w:t>
      </w:r>
      <w:r w:rsidRPr="00A051AE">
        <w:t>market</w:t>
      </w:r>
      <w:r w:rsidR="00217650">
        <w:t>s</w:t>
      </w:r>
      <w:r w:rsidRPr="00A051AE">
        <w:t xml:space="preserve">.  </w:t>
      </w:r>
    </w:p>
    <w:p w14:paraId="20F2250C" w14:textId="271B4F7B" w:rsidR="006D6F75" w:rsidRDefault="006D6F75" w:rsidP="000920EB">
      <w:pPr>
        <w:pStyle w:val="ListParagraph"/>
        <w:numPr>
          <w:ilvl w:val="0"/>
          <w:numId w:val="5"/>
        </w:numPr>
        <w:ind w:left="0" w:firstLine="0"/>
      </w:pPr>
      <w:r w:rsidRPr="00A051AE">
        <w:t>Small businesses, including those providing goods and services to the touris</w:t>
      </w:r>
      <w:r w:rsidR="00093161">
        <w:t>m</w:t>
      </w:r>
      <w:r w:rsidRPr="00A051AE">
        <w:t xml:space="preserve"> sector, have benefitted from the increased numbers of visitors from </w:t>
      </w:r>
      <w:r w:rsidR="006F34A2">
        <w:t>CPTPP economies</w:t>
      </w:r>
      <w:r w:rsidRPr="00A051AE">
        <w:t xml:space="preserve"> since entry into force of the Agreement. The impact of </w:t>
      </w:r>
      <w:r w:rsidR="000940DC">
        <w:t>CPTPP</w:t>
      </w:r>
      <w:r w:rsidRPr="00A051AE">
        <w:t xml:space="preserve"> on small businesses is consistent with the expected outcomes articulated in the </w:t>
      </w:r>
      <w:r w:rsidR="00EB492F">
        <w:t xml:space="preserve">CPTPP </w:t>
      </w:r>
      <w:r w:rsidRPr="00A051AE">
        <w:t>Regulatory Impact Statement.</w:t>
      </w:r>
    </w:p>
    <w:p w14:paraId="6729F9E3" w14:textId="7D75E9F5" w:rsidR="003D709D" w:rsidRPr="007F26A4" w:rsidRDefault="003D709D" w:rsidP="003D709D">
      <w:pPr>
        <w:pStyle w:val="ListParagraph"/>
        <w:numPr>
          <w:ilvl w:val="0"/>
          <w:numId w:val="0"/>
        </w:numPr>
        <w:rPr>
          <w:b/>
          <w:bCs/>
          <w:i/>
          <w:iCs/>
        </w:rPr>
      </w:pPr>
      <w:r>
        <w:rPr>
          <w:b/>
          <w:bCs/>
          <w:i/>
          <w:iCs/>
        </w:rPr>
        <w:t>Impact of CPTPP on Government Revenue</w:t>
      </w:r>
    </w:p>
    <w:p w14:paraId="506455C7" w14:textId="7AFFF165" w:rsidR="003D709D" w:rsidRDefault="00406436" w:rsidP="00B17AF6">
      <w:pPr>
        <w:pStyle w:val="ListParagraph"/>
        <w:numPr>
          <w:ilvl w:val="0"/>
          <w:numId w:val="5"/>
        </w:numPr>
        <w:ind w:left="0" w:firstLine="0"/>
      </w:pPr>
      <w:r>
        <w:t xml:space="preserve">As part of the </w:t>
      </w:r>
      <w:r w:rsidR="002E4590">
        <w:t>a</w:t>
      </w:r>
      <w:r w:rsidR="00B71A92">
        <w:t xml:space="preserve">nalysis of Regulatory Impact </w:t>
      </w:r>
      <w:r w:rsidR="007A676E">
        <w:t xml:space="preserve">of CPTPP </w:t>
      </w:r>
      <w:r w:rsidR="00B71A92">
        <w:t xml:space="preserve">on Australia, </w:t>
      </w:r>
      <w:r w:rsidR="0074235C">
        <w:t>it was estimated that the loss of tariff revenue for Australia would be approximately $30 million in 2018</w:t>
      </w:r>
      <w:r w:rsidR="00F07897">
        <w:t>-</w:t>
      </w:r>
      <w:r w:rsidR="0074235C">
        <w:t>19</w:t>
      </w:r>
      <w:r w:rsidR="008B1F6B">
        <w:t xml:space="preserve"> and $220 million over the forward estimates period (2018-19 to 2021-22)</w:t>
      </w:r>
      <w:r w:rsidR="00C42E0C">
        <w:t>.</w:t>
      </w:r>
      <w:r w:rsidR="00F82730">
        <w:rPr>
          <w:rStyle w:val="FootnoteReference"/>
        </w:rPr>
        <w:footnoteReference w:id="53"/>
      </w:r>
      <w:r w:rsidR="008B1F6B">
        <w:t xml:space="preserve"> </w:t>
      </w:r>
      <w:r w:rsidR="004008F9">
        <w:t xml:space="preserve"> </w:t>
      </w:r>
      <w:r w:rsidR="008B1F6B">
        <w:t xml:space="preserve">This estimate, however, did not account </w:t>
      </w:r>
      <w:r w:rsidR="00D039E3">
        <w:t>for</w:t>
      </w:r>
      <w:r w:rsidR="008B1F6B">
        <w:t xml:space="preserve"> the potential domestic </w:t>
      </w:r>
      <w:r w:rsidR="00AF2F98">
        <w:lastRenderedPageBreak/>
        <w:t>economic growth that CPTPP-related trade was expected to generate and any additional taxation revenue resulting from such growth.</w:t>
      </w:r>
    </w:p>
    <w:p w14:paraId="522785F5" w14:textId="77777777" w:rsidR="00EE6534" w:rsidRDefault="00A673AD" w:rsidP="000920EB">
      <w:pPr>
        <w:pStyle w:val="ListParagraph"/>
        <w:numPr>
          <w:ilvl w:val="0"/>
          <w:numId w:val="5"/>
        </w:numPr>
        <w:ind w:left="0" w:firstLine="0"/>
      </w:pPr>
      <w:r>
        <w:t xml:space="preserve">A recent internal DFAT </w:t>
      </w:r>
      <w:r w:rsidR="00D1267C">
        <w:t>assessment</w:t>
      </w:r>
      <w:r w:rsidR="004D06CF">
        <w:t xml:space="preserve"> of the 2019-23 period</w:t>
      </w:r>
      <w:r w:rsidR="00BD06FF">
        <w:t xml:space="preserve"> which utilised</w:t>
      </w:r>
      <w:r w:rsidR="005C41A8">
        <w:t xml:space="preserve"> ABS clearance data (for the same period) </w:t>
      </w:r>
      <w:r w:rsidR="00D1267C">
        <w:t xml:space="preserve">estimated the loss of tariff revenue for Australia </w:t>
      </w:r>
      <w:r w:rsidR="004D06CF">
        <w:t xml:space="preserve">from CPTPP </w:t>
      </w:r>
      <w:r w:rsidR="00614CF1">
        <w:t>to total approximately $266 million</w:t>
      </w:r>
      <w:r w:rsidR="00C2346A">
        <w:t xml:space="preserve"> (Table 9)</w:t>
      </w:r>
      <w:r w:rsidR="00614CF1">
        <w:t>.</w:t>
      </w:r>
    </w:p>
    <w:p w14:paraId="2249730D" w14:textId="004424FD" w:rsidR="00EE6534" w:rsidRDefault="00614CF1" w:rsidP="00EE6534">
      <w:pPr>
        <w:spacing w:before="0" w:after="0"/>
        <w:rPr>
          <w:rFonts w:ascii="Times New Roman" w:eastAsia="Times New Roman" w:hAnsi="Times New Roman" w:cs="Times New Roman"/>
          <w:sz w:val="24"/>
          <w:szCs w:val="24"/>
          <w:lang w:eastAsia="en-AU"/>
        </w:rPr>
      </w:pPr>
      <w:r>
        <w:t xml:space="preserve"> </w:t>
      </w:r>
      <w:r w:rsidR="00EE6534">
        <w:rPr>
          <w:rFonts w:cstheme="minorHAnsi"/>
          <w:b/>
          <w:bCs/>
          <w:i/>
          <w:iCs/>
          <w:sz w:val="24"/>
          <w:szCs w:val="24"/>
        </w:rPr>
        <w:t>Table 9</w:t>
      </w:r>
      <w:r w:rsidR="00EE6534" w:rsidRPr="00467ED1">
        <w:rPr>
          <w:rFonts w:cstheme="minorHAnsi"/>
          <w:b/>
          <w:bCs/>
          <w:i/>
          <w:iCs/>
          <w:sz w:val="24"/>
          <w:szCs w:val="24"/>
        </w:rPr>
        <w:t xml:space="preserve">: </w:t>
      </w:r>
      <w:r w:rsidR="00EE6534">
        <w:rPr>
          <w:rFonts w:cstheme="minorHAnsi"/>
          <w:b/>
          <w:bCs/>
          <w:i/>
          <w:iCs/>
          <w:sz w:val="24"/>
          <w:szCs w:val="24"/>
        </w:rPr>
        <w:t xml:space="preserve">Estimated </w:t>
      </w:r>
      <w:r w:rsidR="008E5968">
        <w:rPr>
          <w:rFonts w:cstheme="minorHAnsi"/>
          <w:b/>
          <w:bCs/>
          <w:i/>
          <w:iCs/>
          <w:sz w:val="24"/>
          <w:szCs w:val="24"/>
        </w:rPr>
        <w:t xml:space="preserve">loss of tariff revenue for Australia </w:t>
      </w:r>
      <w:r w:rsidR="00EE6534" w:rsidRPr="00467ED1">
        <w:rPr>
          <w:rFonts w:cstheme="minorHAnsi"/>
          <w:b/>
          <w:bCs/>
          <w:i/>
          <w:iCs/>
          <w:sz w:val="24"/>
          <w:szCs w:val="24"/>
        </w:rPr>
        <w:t>(</w:t>
      </w:r>
      <w:r w:rsidR="00EE6534">
        <w:rPr>
          <w:rFonts w:cstheme="minorHAnsi"/>
          <w:b/>
          <w:bCs/>
          <w:i/>
          <w:iCs/>
          <w:sz w:val="24"/>
          <w:szCs w:val="24"/>
        </w:rPr>
        <w:t>A$</w:t>
      </w:r>
      <w:r w:rsidR="00EE6534" w:rsidRPr="00467ED1">
        <w:rPr>
          <w:rFonts w:cstheme="minorHAnsi"/>
          <w:b/>
          <w:bCs/>
          <w:i/>
          <w:iCs/>
          <w:sz w:val="24"/>
          <w:szCs w:val="24"/>
        </w:rPr>
        <w:t>)</w:t>
      </w:r>
    </w:p>
    <w:p w14:paraId="626834F0" w14:textId="65E8244C" w:rsidR="00A673AD" w:rsidRDefault="008E5968" w:rsidP="00EE6534">
      <w:r>
        <w:rPr>
          <w:noProof/>
          <w:lang w:eastAsia="en-AU"/>
        </w:rPr>
        <w:drawing>
          <wp:inline distT="0" distB="0" distL="0" distR="0" wp14:anchorId="34B3BFCB" wp14:editId="2E96A4BA">
            <wp:extent cx="5860262" cy="958850"/>
            <wp:effectExtent l="0" t="0" r="7620" b="0"/>
            <wp:docPr id="1807268086" name="Picture 2" descr="Table 9 lists the total value of imports from CPTPP members, the total duty reported by the Australian Border Force, the total value of imports claiming a CPTPP tariff preference, and the reported duties paid on these imports. &#10;&#10;Table 9 also includes the tariffs that would have been paid on this trade before the CPTPP entered into force, by multiplying the value of trade by the base rates listed on Australia’s CPTPP tariff schedule (MFN rate). &#10;&#10;The difference between the duties payable before CPTPP entered into force and the reported duties actually paid is the estimated total tariff saving for each yea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68086" name="Picture 2" descr="Table 9 lists the total value of imports from CPTPP members, the total duty reported by the Australian Border Force, the total value of imports claiming a CPTPP tariff preference, and the reported duties paid on these imports. &#10;&#10;Table 9 also includes the tariffs that would have been paid on this trade before the CPTPP entered into force, by multiplying the value of trade by the base rates listed on Australia’s CPTPP tariff schedule (MFN rate). &#10;&#10;The difference between the duties payable before CPTPP entered into force and the reported duties actually paid is the estimated total tariff saving for each year. &#10;"/>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5904253" cy="966048"/>
                    </a:xfrm>
                    <a:prstGeom prst="rect">
                      <a:avLst/>
                    </a:prstGeom>
                    <a:noFill/>
                    <a:ln>
                      <a:noFill/>
                    </a:ln>
                  </pic:spPr>
                </pic:pic>
              </a:graphicData>
            </a:graphic>
          </wp:inline>
        </w:drawing>
      </w:r>
    </w:p>
    <w:p w14:paraId="1B9E42FE" w14:textId="2BFA233F" w:rsidR="003137BB" w:rsidRPr="00D13FC4" w:rsidRDefault="002B6ED8" w:rsidP="003137BB">
      <w:pPr>
        <w:pStyle w:val="Heading2"/>
      </w:pPr>
      <w:bookmarkStart w:id="13" w:name="_Toc383427852"/>
      <w:r w:rsidRPr="006F3A1E">
        <w:rPr>
          <w:rFonts w:eastAsiaTheme="minorHAnsi" w:cstheme="minorBidi"/>
          <w:iCs/>
          <w:color w:val="auto"/>
          <w:sz w:val="22"/>
          <w:szCs w:val="22"/>
        </w:rPr>
        <w:t>C</w:t>
      </w:r>
      <w:r w:rsidR="003137BB" w:rsidRPr="006F3A1E">
        <w:rPr>
          <w:rFonts w:eastAsiaTheme="minorHAnsi" w:cstheme="minorBidi"/>
          <w:iCs/>
          <w:color w:val="auto"/>
          <w:sz w:val="22"/>
          <w:szCs w:val="22"/>
        </w:rPr>
        <w:t>ompliance costs associated with CPTPP</w:t>
      </w:r>
    </w:p>
    <w:p w14:paraId="6AEA6288" w14:textId="54F89507" w:rsidR="00101833" w:rsidRPr="00707006" w:rsidRDefault="00101833" w:rsidP="000920EB">
      <w:pPr>
        <w:pStyle w:val="ListParagraph"/>
        <w:numPr>
          <w:ilvl w:val="0"/>
          <w:numId w:val="5"/>
        </w:numPr>
        <w:ind w:left="0" w:firstLine="0"/>
      </w:pPr>
      <w:proofErr w:type="gramStart"/>
      <w:r w:rsidRPr="00707006">
        <w:t>In order to</w:t>
      </w:r>
      <w:proofErr w:type="gramEnd"/>
      <w:r w:rsidRPr="00707006">
        <w:t xml:space="preserve"> access the preferential trade arrangements for goods under CPTPP, goods must meet Rules of Origin (ROO) and certification documentation requirements.  The ROOs provide criteria for determining whether a good is ‘originating’ in </w:t>
      </w:r>
      <w:r w:rsidR="003D1A0C">
        <w:t>a CPTPP</w:t>
      </w:r>
      <w:r w:rsidR="003D1A0C" w:rsidRPr="00707006">
        <w:t xml:space="preserve"> </w:t>
      </w:r>
      <w:r w:rsidRPr="00707006">
        <w:t xml:space="preserve">Party and is therefore eligible for preferential tariff treatment.  </w:t>
      </w:r>
    </w:p>
    <w:p w14:paraId="3CD2DAB7" w14:textId="0E8AEE5D" w:rsidR="00101833" w:rsidRPr="00707006" w:rsidRDefault="00101833" w:rsidP="000920EB">
      <w:pPr>
        <w:pStyle w:val="ListParagraph"/>
        <w:numPr>
          <w:ilvl w:val="0"/>
          <w:numId w:val="5"/>
        </w:numPr>
        <w:ind w:left="0" w:firstLine="0"/>
      </w:pPr>
      <w:r w:rsidRPr="00707006">
        <w:t xml:space="preserve">A claim for CPTPP preferential tariff treatment for Australian goods exported to CPTPP can be made </w:t>
      </w:r>
      <w:proofErr w:type="gramStart"/>
      <w:r w:rsidRPr="00707006">
        <w:t>on the basis of</w:t>
      </w:r>
      <w:proofErr w:type="gramEnd"/>
      <w:r w:rsidRPr="00707006">
        <w:t xml:space="preserve"> a </w:t>
      </w:r>
      <w:r>
        <w:t>c</w:t>
      </w:r>
      <w:r w:rsidRPr="00707006">
        <w:t>ertificat</w:t>
      </w:r>
      <w:r>
        <w:t>ion</w:t>
      </w:r>
      <w:r w:rsidRPr="00707006">
        <w:t xml:space="preserve"> of </w:t>
      </w:r>
      <w:r>
        <w:t>o</w:t>
      </w:r>
      <w:r w:rsidRPr="00707006">
        <w:t xml:space="preserve">rigin </w:t>
      </w:r>
      <w:r w:rsidRPr="007F06F1">
        <w:t>completed by the exporter, producer or importer</w:t>
      </w:r>
      <w:r>
        <w:t xml:space="preserve">, or </w:t>
      </w:r>
      <w:r w:rsidRPr="00707006">
        <w:t xml:space="preserve">issued by an authorised body (usually at a fee for </w:t>
      </w:r>
      <w:r w:rsidR="00E15931">
        <w:t xml:space="preserve">the </w:t>
      </w:r>
      <w:r w:rsidRPr="00707006">
        <w:t>service)</w:t>
      </w:r>
      <w:r>
        <w:t xml:space="preserve"> depending on the importing party’s preferences</w:t>
      </w:r>
      <w:r w:rsidRPr="00707006">
        <w:t xml:space="preserve">.   </w:t>
      </w:r>
    </w:p>
    <w:p w14:paraId="001D7A1F" w14:textId="71C9DA35" w:rsidR="00DD63B2" w:rsidRDefault="00101833" w:rsidP="000920EB">
      <w:pPr>
        <w:pStyle w:val="ListParagraph"/>
        <w:numPr>
          <w:ilvl w:val="0"/>
          <w:numId w:val="5"/>
        </w:numPr>
        <w:ind w:left="0" w:firstLine="0"/>
      </w:pPr>
      <w:r w:rsidRPr="00707006">
        <w:t>C</w:t>
      </w:r>
      <w:r>
        <w:t>ertificates of Origin (C</w:t>
      </w:r>
      <w:r w:rsidRPr="00707006">
        <w:t>OOs</w:t>
      </w:r>
      <w:r>
        <w:t>)</w:t>
      </w:r>
      <w:r w:rsidRPr="00707006">
        <w:t xml:space="preserve"> are issued </w:t>
      </w:r>
      <w:r>
        <w:t xml:space="preserve">under the </w:t>
      </w:r>
      <w:r w:rsidRPr="00D266E6">
        <w:t>Free Trade Agreement Certificate of Origin Recognition Schem</w:t>
      </w:r>
      <w:r>
        <w:t xml:space="preserve">e </w:t>
      </w:r>
      <w:r w:rsidR="00CE78FA" w:rsidRPr="00707006">
        <w:t xml:space="preserve">by an authorised body </w:t>
      </w:r>
      <w:r w:rsidRPr="00707006">
        <w:t>such as the Australian Chamber of Commerce and Industry</w:t>
      </w:r>
      <w:r>
        <w:t xml:space="preserve">, </w:t>
      </w:r>
      <w:r w:rsidRPr="00707006">
        <w:t>the Australian Industry</w:t>
      </w:r>
      <w:r>
        <w:t xml:space="preserve"> Group or Trade</w:t>
      </w:r>
      <w:r w:rsidR="001D754F">
        <w:t xml:space="preserve"> </w:t>
      </w:r>
      <w:r>
        <w:t>Window Origin</w:t>
      </w:r>
      <w:r w:rsidRPr="00707006">
        <w:t xml:space="preserve">. </w:t>
      </w:r>
    </w:p>
    <w:p w14:paraId="67C52A93" w14:textId="77777777" w:rsidR="00DD63B2" w:rsidRDefault="00DD63B2">
      <w:pPr>
        <w:rPr>
          <w:rFonts w:eastAsia="Times New Roman" w:cstheme="minorHAnsi"/>
          <w:sz w:val="24"/>
          <w:szCs w:val="24"/>
          <w:lang w:eastAsia="en-AU"/>
        </w:rPr>
      </w:pPr>
      <w:r>
        <w:br w:type="page"/>
      </w:r>
    </w:p>
    <w:p w14:paraId="7DAA5ED6" w14:textId="77777777" w:rsidR="00AD70BB" w:rsidRPr="00AD70BB" w:rsidRDefault="00AD70BB" w:rsidP="00AD70BB">
      <w:pPr>
        <w:rPr>
          <w:b/>
          <w:bCs/>
          <w:i/>
          <w:iCs/>
        </w:rPr>
      </w:pPr>
      <w:r w:rsidRPr="00AD70BB">
        <w:rPr>
          <w:b/>
          <w:bCs/>
          <w:i/>
          <w:iCs/>
        </w:rPr>
        <w:lastRenderedPageBreak/>
        <w:t>What other impacts have there been from CPTPP?</w:t>
      </w:r>
    </w:p>
    <w:p w14:paraId="0C054330" w14:textId="6E91B874" w:rsidR="00AD70BB" w:rsidRDefault="00AD70BB" w:rsidP="000920EB">
      <w:pPr>
        <w:pStyle w:val="ListParagraph"/>
        <w:numPr>
          <w:ilvl w:val="0"/>
          <w:numId w:val="5"/>
        </w:numPr>
        <w:ind w:left="0" w:firstLine="0"/>
      </w:pPr>
      <w:r w:rsidRPr="005D79E1">
        <w:t xml:space="preserve">The conclusion of </w:t>
      </w:r>
      <w:r>
        <w:t xml:space="preserve">CPTPP </w:t>
      </w:r>
      <w:r w:rsidRPr="005D79E1">
        <w:t>negotiations in 201</w:t>
      </w:r>
      <w:r>
        <w:t>8</w:t>
      </w:r>
      <w:r w:rsidRPr="005D79E1">
        <w:t xml:space="preserve">, taken together with </w:t>
      </w:r>
      <w:r>
        <w:t xml:space="preserve">the </w:t>
      </w:r>
      <w:r w:rsidRPr="005D79E1">
        <w:t xml:space="preserve">conclusion of </w:t>
      </w:r>
      <w:r>
        <w:t xml:space="preserve">bilateral FTA </w:t>
      </w:r>
      <w:r w:rsidRPr="005D79E1">
        <w:t xml:space="preserve">negotiations with </w:t>
      </w:r>
      <w:r>
        <w:t xml:space="preserve">China, </w:t>
      </w:r>
      <w:r w:rsidRPr="005D79E1">
        <w:t>Korea</w:t>
      </w:r>
      <w:r w:rsidR="00F21D89">
        <w:t>, Peru,</w:t>
      </w:r>
      <w:r>
        <w:t xml:space="preserve"> and </w:t>
      </w:r>
      <w:r w:rsidRPr="005D79E1">
        <w:t xml:space="preserve">Japan, has had </w:t>
      </w:r>
      <w:r>
        <w:t>a positive impact</w:t>
      </w:r>
      <w:r w:rsidRPr="005D79E1">
        <w:t xml:space="preserve"> </w:t>
      </w:r>
      <w:r>
        <w:t>on</w:t>
      </w:r>
      <w:r w:rsidRPr="005D79E1">
        <w:t xml:space="preserve"> some of Australia’s other trade and economic priorities.</w:t>
      </w:r>
    </w:p>
    <w:p w14:paraId="40EF3D43" w14:textId="4D24AAFB" w:rsidR="00AD70BB" w:rsidRDefault="00AD70BB" w:rsidP="000920EB">
      <w:pPr>
        <w:pStyle w:val="ListParagraph"/>
        <w:numPr>
          <w:ilvl w:val="0"/>
          <w:numId w:val="5"/>
        </w:numPr>
        <w:ind w:left="0" w:firstLine="0"/>
      </w:pPr>
      <w:r>
        <w:t xml:space="preserve">On 15 December 2024, the United Kingdom </w:t>
      </w:r>
      <w:r w:rsidR="002E26D0">
        <w:t xml:space="preserve">(UK) </w:t>
      </w:r>
      <w:r>
        <w:t>acceded to the Agreement</w:t>
      </w:r>
      <w:r w:rsidRPr="001D527D">
        <w:t>.</w:t>
      </w:r>
      <w:r>
        <w:t xml:space="preserve"> </w:t>
      </w:r>
      <w:r w:rsidRPr="001D527D">
        <w:t xml:space="preserve">Negotiations for the </w:t>
      </w:r>
      <w:r w:rsidR="002E26D0">
        <w:t>UK’s</w:t>
      </w:r>
      <w:r w:rsidRPr="001D527D">
        <w:t xml:space="preserve"> accession to CPTPP </w:t>
      </w:r>
      <w:r>
        <w:t xml:space="preserve">commenced </w:t>
      </w:r>
      <w:r w:rsidRPr="001D527D">
        <w:t xml:space="preserve">in </w:t>
      </w:r>
      <w:proofErr w:type="gramStart"/>
      <w:r w:rsidRPr="001D527D">
        <w:t>June 2021, and</w:t>
      </w:r>
      <w:proofErr w:type="gramEnd"/>
      <w:r w:rsidRPr="001D527D">
        <w:t xml:space="preserve"> concluded in March 2023. Ministers from CPTPP economies and the UK </w:t>
      </w:r>
      <w:r>
        <w:t xml:space="preserve">signed the </w:t>
      </w:r>
      <w:r w:rsidRPr="004E73BD">
        <w:rPr>
          <w:i/>
        </w:rPr>
        <w:t xml:space="preserve">Protocol on the Accession of the United Kingdom of Great Britain and Northern Ireland to </w:t>
      </w:r>
      <w:r>
        <w:rPr>
          <w:i/>
        </w:rPr>
        <w:t>CPTPP</w:t>
      </w:r>
      <w:r w:rsidRPr="001D527D">
        <w:t xml:space="preserve"> on 16 July 2023. </w:t>
      </w:r>
      <w:r>
        <w:t xml:space="preserve"> </w:t>
      </w:r>
    </w:p>
    <w:p w14:paraId="350E0F5A" w14:textId="67F4C1D3" w:rsidR="00AD70BB" w:rsidRDefault="00AD70BB" w:rsidP="00B17AF6">
      <w:pPr>
        <w:pStyle w:val="ListParagraph"/>
        <w:numPr>
          <w:ilvl w:val="0"/>
          <w:numId w:val="5"/>
        </w:numPr>
        <w:ind w:left="0" w:firstLine="0"/>
      </w:pPr>
      <w:r>
        <w:t>The UK is the first economy to accede to CPTPP, which grew the trade area covered by the Agreement from 12.4 per cent to 15.6 per cent of global GDP, an increase of 3.2 per cent.</w:t>
      </w:r>
      <w:r>
        <w:rPr>
          <w:rStyle w:val="FootnoteReference"/>
        </w:rPr>
        <w:footnoteReference w:id="54"/>
      </w:r>
      <w:r>
        <w:t xml:space="preserve"> The UK’s accession has economic and strategic benefits by enhancing the UK’s engagement in the Indo-Pacific region, and expanding trade and investment ties for CPTPP members </w:t>
      </w:r>
      <w:r w:rsidR="008A09CF">
        <w:t>that</w:t>
      </w:r>
      <w:r>
        <w:t xml:space="preserve"> did not have an existing FTA with the UK. It</w:t>
      </w:r>
      <w:r>
        <w:rPr>
          <w:rStyle w:val="Advisorytext"/>
        </w:rPr>
        <w:t xml:space="preserve"> </w:t>
      </w:r>
      <w:r>
        <w:t>also brings the world’s 6</w:t>
      </w:r>
      <w:r w:rsidRPr="00A403C4">
        <w:rPr>
          <w:vertAlign w:val="superscript"/>
        </w:rPr>
        <w:t>th</w:t>
      </w:r>
      <w:r>
        <w:t xml:space="preserve"> largest economy (by GDP) into a network of nations committed to high-standard</w:t>
      </w:r>
      <w:r w:rsidR="009436E3">
        <w:t xml:space="preserve">, </w:t>
      </w:r>
      <w:r w:rsidR="007E4E9E">
        <w:t xml:space="preserve">liberalised </w:t>
      </w:r>
      <w:r>
        <w:t>trade rules.</w:t>
      </w:r>
    </w:p>
    <w:p w14:paraId="776FCBA1" w14:textId="2EEE7346" w:rsidR="00AD70BB" w:rsidRDefault="00AD70BB" w:rsidP="000920EB">
      <w:pPr>
        <w:pStyle w:val="ListParagraph"/>
        <w:numPr>
          <w:ilvl w:val="0"/>
          <w:numId w:val="5"/>
        </w:numPr>
        <w:ind w:left="0" w:firstLine="0"/>
      </w:pPr>
      <w:r>
        <w:t xml:space="preserve">Australia already had an existing FTA in place with the UK which contained strong market access outcomes. </w:t>
      </w:r>
      <w:r w:rsidR="00D83210">
        <w:t>Therefore</w:t>
      </w:r>
      <w:r>
        <w:t xml:space="preserve">, the economic gains resulting from the UK’s accession to CPTPP were modest for Australia, and Australia did not incur any additional costs. </w:t>
      </w:r>
      <w:r w:rsidR="006949A3">
        <w:t xml:space="preserve">Nonetheless, </w:t>
      </w:r>
      <w:r w:rsidR="00CC2CFD">
        <w:t>the</w:t>
      </w:r>
      <w:r w:rsidR="00AF78F7">
        <w:t xml:space="preserve"> supply chain benefits resulting from the UK’s accession will</w:t>
      </w:r>
      <w:r w:rsidR="00CC2CFD">
        <w:t xml:space="preserve"> </w:t>
      </w:r>
      <w:r w:rsidR="006747E9">
        <w:t xml:space="preserve">increase </w:t>
      </w:r>
      <w:r w:rsidR="00FE551A">
        <w:t xml:space="preserve">economic </w:t>
      </w:r>
      <w:r w:rsidR="006747E9">
        <w:t>grow</w:t>
      </w:r>
      <w:r w:rsidR="00D31B70">
        <w:t xml:space="preserve">th </w:t>
      </w:r>
      <w:r w:rsidR="004020B4">
        <w:t>by expanding</w:t>
      </w:r>
      <w:r w:rsidR="002A6FB4">
        <w:t xml:space="preserve"> </w:t>
      </w:r>
      <w:r w:rsidR="0069339D">
        <w:t xml:space="preserve">opportunities for </w:t>
      </w:r>
      <w:r w:rsidR="00FE551A">
        <w:t xml:space="preserve">Australian </w:t>
      </w:r>
      <w:r w:rsidR="0069339D">
        <w:t xml:space="preserve">manufacturers. For example, </w:t>
      </w:r>
      <w:r w:rsidR="0069339D" w:rsidRPr="0069339D">
        <w:t xml:space="preserve">Australian manufacturers </w:t>
      </w:r>
      <w:r w:rsidR="0069339D">
        <w:t xml:space="preserve">are now </w:t>
      </w:r>
      <w:r w:rsidR="0069339D" w:rsidRPr="0069339D">
        <w:t xml:space="preserve">able to use UK-made components in their production processes and export to CPTPP </w:t>
      </w:r>
      <w:r w:rsidR="0069339D">
        <w:t>economie</w:t>
      </w:r>
      <w:r w:rsidR="0069339D" w:rsidRPr="0069339D">
        <w:t>s at preferential CP</w:t>
      </w:r>
      <w:r w:rsidR="00681FFC">
        <w:t>TPP</w:t>
      </w:r>
      <w:r w:rsidR="0069339D" w:rsidRPr="0069339D">
        <w:t xml:space="preserve"> tariff rates. </w:t>
      </w:r>
      <w:r>
        <w:t xml:space="preserve">Significant economic gains were realised by CPTPP members that did not have a FTA with the UK, such as Brunei </w:t>
      </w:r>
      <w:r w:rsidR="00F21D89">
        <w:t xml:space="preserve">Darussalam </w:t>
      </w:r>
      <w:r>
        <w:t xml:space="preserve">and Malaysia. </w:t>
      </w:r>
    </w:p>
    <w:p w14:paraId="3AC5EC07" w14:textId="095E1D1E" w:rsidR="000E4EA5" w:rsidRDefault="00796EE8" w:rsidP="000E4EA5">
      <w:pPr>
        <w:rPr>
          <w:color w:val="FF0000"/>
        </w:rPr>
      </w:pPr>
      <w:r>
        <w:rPr>
          <w:color w:val="FF0000"/>
        </w:rPr>
        <w:br w:type="page"/>
      </w:r>
    </w:p>
    <w:p w14:paraId="7333631E" w14:textId="6FBFAB32" w:rsidR="00BB1C3F" w:rsidRPr="00E956DE" w:rsidRDefault="004A15D2" w:rsidP="00BB1C3F">
      <w:pPr>
        <w:pStyle w:val="Heading1"/>
      </w:pPr>
      <w:bookmarkStart w:id="14" w:name="_Toc189499372"/>
      <w:r>
        <w:lastRenderedPageBreak/>
        <w:t xml:space="preserve">QUESTION 5: </w:t>
      </w:r>
      <w:r w:rsidR="00BB1C3F" w:rsidRPr="00E956DE">
        <w:t>WHICH STAKEHOLDERS HAVE BEEN CONSULTED?</w:t>
      </w:r>
      <w:bookmarkEnd w:id="14"/>
      <w:r w:rsidR="00BB1C3F" w:rsidRPr="00E956DE">
        <w:t xml:space="preserve"> </w:t>
      </w:r>
    </w:p>
    <w:p w14:paraId="19E05AE0" w14:textId="77777777" w:rsidR="00BB1C3F" w:rsidRPr="0091391E" w:rsidRDefault="00BB1C3F" w:rsidP="00BB1C3F">
      <w:pPr>
        <w:pStyle w:val="Heading2"/>
        <w:rPr>
          <w:rFonts w:eastAsiaTheme="minorHAnsi" w:cstheme="minorBidi"/>
          <w:iCs/>
          <w:color w:val="auto"/>
          <w:sz w:val="22"/>
          <w:szCs w:val="22"/>
        </w:rPr>
      </w:pPr>
      <w:r w:rsidRPr="0091391E">
        <w:rPr>
          <w:rFonts w:eastAsiaTheme="minorHAnsi" w:cstheme="minorBidi"/>
          <w:iCs/>
          <w:color w:val="auto"/>
          <w:sz w:val="22"/>
          <w:szCs w:val="22"/>
        </w:rPr>
        <w:t>Ongoing stakeholder engagement</w:t>
      </w:r>
    </w:p>
    <w:p w14:paraId="4F0B0C94" w14:textId="5970C1AA" w:rsidR="00BB1C3F" w:rsidRPr="004D180C" w:rsidRDefault="00BB1C3F" w:rsidP="000920EB">
      <w:pPr>
        <w:pStyle w:val="ListParagraph"/>
        <w:numPr>
          <w:ilvl w:val="0"/>
          <w:numId w:val="5"/>
        </w:numPr>
        <w:ind w:left="0" w:firstLine="0"/>
      </w:pPr>
      <w:r w:rsidRPr="004631E9">
        <w:t xml:space="preserve">DFAT has an ongoing stakeholder engagement process, including six-monthly stakeholder meetings to update interested parties on the progress </w:t>
      </w:r>
      <w:r w:rsidR="00A23047">
        <w:t xml:space="preserve">of </w:t>
      </w:r>
      <w:r w:rsidRPr="004631E9">
        <w:t>FTAs under negotiation or implementation</w:t>
      </w:r>
      <w:r w:rsidR="00E210E5">
        <w:t xml:space="preserve"> (including through the six-monthly </w:t>
      </w:r>
      <w:r w:rsidR="007A0F5D">
        <w:t>p</w:t>
      </w:r>
      <w:r w:rsidR="00E210E5">
        <w:t xml:space="preserve">eak </w:t>
      </w:r>
      <w:r w:rsidR="007A0F5D">
        <w:t>b</w:t>
      </w:r>
      <w:r w:rsidR="00E210E5">
        <w:t>odies in-person and virtual updates across 2023 and 2024)</w:t>
      </w:r>
      <w:r w:rsidRPr="004631E9">
        <w:t xml:space="preserve">. DFAT trade negotiators also meet on an </w:t>
      </w:r>
      <w:r w:rsidRPr="004D180C">
        <w:t>ad hoc</w:t>
      </w:r>
      <w:r w:rsidRPr="004631E9">
        <w:t xml:space="preserve"> or periodic basis with stakeholders to discuss sector- or business-specific issues.  </w:t>
      </w:r>
    </w:p>
    <w:p w14:paraId="75EE755C" w14:textId="198BE874" w:rsidR="00BB1C3F" w:rsidRPr="004631E9" w:rsidRDefault="00BB1C3F" w:rsidP="00B17AF6">
      <w:pPr>
        <w:pStyle w:val="ListParagraph"/>
        <w:numPr>
          <w:ilvl w:val="0"/>
          <w:numId w:val="5"/>
        </w:numPr>
        <w:ind w:left="0" w:firstLine="0"/>
      </w:pPr>
      <w:r w:rsidRPr="004631E9">
        <w:t xml:space="preserve">State and Territory Governments have been consulted on the implementation of </w:t>
      </w:r>
      <w:r>
        <w:t xml:space="preserve">CPTPP </w:t>
      </w:r>
      <w:r w:rsidRPr="004631E9">
        <w:t xml:space="preserve">through </w:t>
      </w:r>
      <w:r w:rsidR="00A42A8A">
        <w:t>meetings of</w:t>
      </w:r>
      <w:r w:rsidRPr="004631E9">
        <w:t xml:space="preserve"> the Trade and Investment Ministers Meeting (TIMM) </w:t>
      </w:r>
      <w:r w:rsidR="00B41699">
        <w:t>(</w:t>
      </w:r>
      <w:r w:rsidR="00E210E5" w:rsidRPr="00E210E5">
        <w:t>before 2020</w:t>
      </w:r>
      <w:r w:rsidR="00B41699">
        <w:t>)</w:t>
      </w:r>
      <w:r w:rsidR="00E210E5" w:rsidRPr="00E210E5">
        <w:t xml:space="preserve">, Ministerial Council on Trade and Investment (MCTI) from 2023 </w:t>
      </w:r>
      <w:r w:rsidR="00BF5D05">
        <w:t>(</w:t>
      </w:r>
      <w:r w:rsidR="00E210E5" w:rsidRPr="00E210E5">
        <w:t>with public facing Communiqu</w:t>
      </w:r>
      <w:r w:rsidR="009E3191">
        <w:t>é</w:t>
      </w:r>
      <w:r w:rsidR="00E210E5" w:rsidRPr="00E210E5">
        <w:t xml:space="preserve"> references listed below</w:t>
      </w:r>
      <w:r w:rsidR="00E029E5">
        <w:rPr>
          <w:rStyle w:val="FootnoteReference"/>
        </w:rPr>
        <w:footnoteReference w:id="55"/>
      </w:r>
      <w:r w:rsidR="00E029E5">
        <w:t xml:space="preserve"> </w:t>
      </w:r>
      <w:r w:rsidR="00E029E5">
        <w:rPr>
          <w:rStyle w:val="FootnoteReference"/>
        </w:rPr>
        <w:footnoteReference w:id="56"/>
      </w:r>
      <w:r w:rsidR="00BF5D05">
        <w:t>)</w:t>
      </w:r>
      <w:r w:rsidR="003A39FE">
        <w:t>,</w:t>
      </w:r>
      <w:r w:rsidRPr="004631E9">
        <w:t xml:space="preserve"> </w:t>
      </w:r>
      <w:r w:rsidR="00BF5D05">
        <w:t>and</w:t>
      </w:r>
      <w:r w:rsidR="00E210E5">
        <w:t xml:space="preserve"> </w:t>
      </w:r>
      <w:r w:rsidRPr="004631E9">
        <w:t xml:space="preserve">the Senior Officials Trade and Investment Group (SOTIG). In accordance with a </w:t>
      </w:r>
      <w:r w:rsidR="0014673C">
        <w:t>W</w:t>
      </w:r>
      <w:r w:rsidRPr="004631E9">
        <w:t>hole-of-</w:t>
      </w:r>
      <w:r w:rsidR="0014673C">
        <w:t>G</w:t>
      </w:r>
      <w:r w:rsidRPr="004631E9">
        <w:t>overnment approach</w:t>
      </w:r>
      <w:r w:rsidR="0010038D">
        <w:t xml:space="preserve"> to trade policy</w:t>
      </w:r>
      <w:r w:rsidRPr="004631E9">
        <w:t xml:space="preserve">, DFAT has also consulted with relevant </w:t>
      </w:r>
      <w:r w:rsidR="007701F8">
        <w:t>Federal</w:t>
      </w:r>
      <w:r w:rsidRPr="004631E9">
        <w:t xml:space="preserve"> Government agencies on </w:t>
      </w:r>
      <w:r>
        <w:t xml:space="preserve">CPTPP </w:t>
      </w:r>
      <w:r w:rsidRPr="004631E9">
        <w:t xml:space="preserve">implementation. </w:t>
      </w:r>
    </w:p>
    <w:p w14:paraId="58194454" w14:textId="07F27F72" w:rsidR="00BB1C3F" w:rsidRPr="00FC2989" w:rsidRDefault="00BB1C3F" w:rsidP="00BB1C3F">
      <w:pPr>
        <w:pStyle w:val="Heading2"/>
        <w:rPr>
          <w:rFonts w:eastAsiaTheme="minorHAnsi" w:cstheme="minorBidi"/>
          <w:iCs/>
          <w:color w:val="auto"/>
          <w:sz w:val="22"/>
          <w:szCs w:val="22"/>
        </w:rPr>
      </w:pPr>
      <w:r w:rsidRPr="00FC2989">
        <w:rPr>
          <w:rFonts w:eastAsiaTheme="minorHAnsi" w:cstheme="minorBidi"/>
          <w:iCs/>
          <w:color w:val="auto"/>
          <w:sz w:val="22"/>
          <w:szCs w:val="22"/>
        </w:rPr>
        <w:t>P</w:t>
      </w:r>
      <w:r w:rsidR="00C43552">
        <w:rPr>
          <w:rFonts w:eastAsiaTheme="minorHAnsi" w:cstheme="minorBidi"/>
          <w:iCs/>
          <w:color w:val="auto"/>
          <w:sz w:val="22"/>
          <w:szCs w:val="22"/>
        </w:rPr>
        <w:t xml:space="preserve">ost-Implementation </w:t>
      </w:r>
      <w:r w:rsidRPr="00FC2989">
        <w:rPr>
          <w:rFonts w:eastAsiaTheme="minorHAnsi" w:cstheme="minorBidi"/>
          <w:iCs/>
          <w:color w:val="auto"/>
          <w:sz w:val="22"/>
          <w:szCs w:val="22"/>
        </w:rPr>
        <w:t>R</w:t>
      </w:r>
      <w:r w:rsidR="00C43552">
        <w:rPr>
          <w:rFonts w:eastAsiaTheme="minorHAnsi" w:cstheme="minorBidi"/>
          <w:iCs/>
          <w:color w:val="auto"/>
          <w:sz w:val="22"/>
          <w:szCs w:val="22"/>
        </w:rPr>
        <w:t>eview c</w:t>
      </w:r>
      <w:r w:rsidRPr="00FC2989">
        <w:rPr>
          <w:rFonts w:eastAsiaTheme="minorHAnsi" w:cstheme="minorBidi"/>
          <w:iCs/>
          <w:color w:val="auto"/>
          <w:sz w:val="22"/>
          <w:szCs w:val="22"/>
        </w:rPr>
        <w:t>all for submissions</w:t>
      </w:r>
    </w:p>
    <w:p w14:paraId="5C5F38BC" w14:textId="27616DF4" w:rsidR="00BB1C3F" w:rsidRPr="004D180C" w:rsidRDefault="00BB1C3F" w:rsidP="000920EB">
      <w:pPr>
        <w:pStyle w:val="ListParagraph"/>
        <w:numPr>
          <w:ilvl w:val="0"/>
          <w:numId w:val="5"/>
        </w:numPr>
        <w:ind w:left="0" w:firstLine="0"/>
      </w:pPr>
      <w:r w:rsidRPr="00A9441A">
        <w:t xml:space="preserve">DFAT issued a call </w:t>
      </w:r>
      <w:r w:rsidR="005A2CF7" w:rsidRPr="00A9441A">
        <w:t>on its website</w:t>
      </w:r>
      <w:r w:rsidRPr="00A9441A">
        <w:t xml:space="preserve"> for submissions </w:t>
      </w:r>
      <w:r w:rsidR="00CD457E">
        <w:t xml:space="preserve">from businesses and other interested stakeholders </w:t>
      </w:r>
      <w:r w:rsidRPr="00A9441A">
        <w:t xml:space="preserve">in </w:t>
      </w:r>
      <w:r>
        <w:t>July 2022</w:t>
      </w:r>
      <w:r w:rsidRPr="00A9441A">
        <w:t xml:space="preserve"> </w:t>
      </w:r>
      <w:r w:rsidR="00D56A83">
        <w:t>to prepare</w:t>
      </w:r>
      <w:r w:rsidRPr="00A9441A">
        <w:t xml:space="preserve"> for this </w:t>
      </w:r>
      <w:r>
        <w:t>PIR</w:t>
      </w:r>
      <w:r w:rsidRPr="00A9441A">
        <w:t>.</w:t>
      </w:r>
      <w:r>
        <w:t xml:space="preserve"> DFAT also sent out a request for feedback on </w:t>
      </w:r>
      <w:r w:rsidR="00E567F7">
        <w:t>CPTPP</w:t>
      </w:r>
      <w:r>
        <w:t xml:space="preserve"> to over 200 stakeholders. This was followed by weekly updates on the DFAT social media platform as well as a reminder, closer to the due date. </w:t>
      </w:r>
    </w:p>
    <w:p w14:paraId="4C10658E" w14:textId="67E45528" w:rsidR="00BB1C3F" w:rsidRPr="004D180C" w:rsidRDefault="00BB1C3F" w:rsidP="000920EB">
      <w:pPr>
        <w:pStyle w:val="ListParagraph"/>
        <w:numPr>
          <w:ilvl w:val="0"/>
          <w:numId w:val="5"/>
        </w:numPr>
        <w:ind w:left="0" w:firstLine="0"/>
      </w:pPr>
      <w:r w:rsidRPr="00B50BB9">
        <w:t xml:space="preserve">DFAT received a total of </w:t>
      </w:r>
      <w:r w:rsidR="00B84DA2">
        <w:t>four</w:t>
      </w:r>
      <w:r w:rsidRPr="00B50BB9">
        <w:t xml:space="preserve"> </w:t>
      </w:r>
      <w:r>
        <w:t xml:space="preserve">PIR </w:t>
      </w:r>
      <w:r w:rsidRPr="00B50BB9">
        <w:t>submissions from Australian stakeholders:</w:t>
      </w:r>
    </w:p>
    <w:p w14:paraId="2C14C996" w14:textId="77777777" w:rsidR="00BB1C3F" w:rsidRDefault="00BB1C3F" w:rsidP="000920EB">
      <w:pPr>
        <w:pStyle w:val="ListParagraph"/>
        <w:numPr>
          <w:ilvl w:val="0"/>
          <w:numId w:val="6"/>
        </w:numPr>
        <w:ind w:left="567" w:hanging="567"/>
      </w:pPr>
      <w:r>
        <w:t>the Australian Meat Industry Council (AMIC).</w:t>
      </w:r>
    </w:p>
    <w:p w14:paraId="34864088" w14:textId="77777777" w:rsidR="00BB1C3F" w:rsidRDefault="00BB1C3F" w:rsidP="000920EB">
      <w:pPr>
        <w:pStyle w:val="ListParagraph"/>
        <w:numPr>
          <w:ilvl w:val="0"/>
          <w:numId w:val="6"/>
        </w:numPr>
        <w:ind w:left="567" w:hanging="567"/>
      </w:pPr>
      <w:r>
        <w:t xml:space="preserve">Australian </w:t>
      </w:r>
      <w:proofErr w:type="gramStart"/>
      <w:r>
        <w:t>Pork;</w:t>
      </w:r>
      <w:proofErr w:type="gramEnd"/>
    </w:p>
    <w:p w14:paraId="1D666E5C" w14:textId="7B7E08E4" w:rsidR="00BB1C3F" w:rsidRDefault="00D808FB" w:rsidP="000920EB">
      <w:pPr>
        <w:pStyle w:val="ListParagraph"/>
        <w:numPr>
          <w:ilvl w:val="0"/>
          <w:numId w:val="6"/>
        </w:numPr>
        <w:ind w:left="567" w:hanging="567"/>
      </w:pPr>
      <w:r>
        <w:t>Australian Fair Trade and Investment Network</w:t>
      </w:r>
      <w:r w:rsidR="009C24C9">
        <w:t xml:space="preserve"> (AFTINET</w:t>
      </w:r>
      <w:proofErr w:type="gramStart"/>
      <w:r w:rsidR="009C24C9">
        <w:t>)</w:t>
      </w:r>
      <w:r w:rsidR="00BB1C3F">
        <w:t>;</w:t>
      </w:r>
      <w:proofErr w:type="gramEnd"/>
    </w:p>
    <w:p w14:paraId="7DA487CD" w14:textId="77777777" w:rsidR="00BB1C3F" w:rsidRDefault="00BB1C3F" w:rsidP="000920EB">
      <w:pPr>
        <w:pStyle w:val="ListParagraph"/>
        <w:numPr>
          <w:ilvl w:val="0"/>
          <w:numId w:val="6"/>
        </w:numPr>
        <w:ind w:left="567" w:hanging="567"/>
      </w:pPr>
      <w:r>
        <w:t>the Australian Dairy Industry Council (ADIC</w:t>
      </w:r>
      <w:proofErr w:type="gramStart"/>
      <w:r>
        <w:t>);</w:t>
      </w:r>
      <w:proofErr w:type="gramEnd"/>
    </w:p>
    <w:p w14:paraId="4B1DF908" w14:textId="77777777" w:rsidR="00BB1C3F" w:rsidRDefault="00BB1C3F" w:rsidP="000920EB">
      <w:pPr>
        <w:pStyle w:val="ListParagraph"/>
        <w:numPr>
          <w:ilvl w:val="0"/>
          <w:numId w:val="5"/>
        </w:numPr>
        <w:ind w:left="0" w:firstLine="0"/>
      </w:pPr>
      <w:r w:rsidRPr="004D180C">
        <w:t>DFAT greatly appreciates the efforts of stakeholders in providing submissions</w:t>
      </w:r>
      <w:r>
        <w:t>.</w:t>
      </w:r>
    </w:p>
    <w:p w14:paraId="6DFA973F" w14:textId="7A3CE017" w:rsidR="00546651" w:rsidRDefault="00AB195C" w:rsidP="000920EB">
      <w:pPr>
        <w:pStyle w:val="ListParagraph"/>
        <w:numPr>
          <w:ilvl w:val="0"/>
          <w:numId w:val="5"/>
        </w:numPr>
        <w:ind w:left="0" w:firstLine="0"/>
      </w:pPr>
      <w:r>
        <w:t xml:space="preserve">DFAT also </w:t>
      </w:r>
      <w:r w:rsidR="005B70E1">
        <w:t xml:space="preserve">received </w:t>
      </w:r>
      <w:r w:rsidR="00F66C9C">
        <w:t>a submission from</w:t>
      </w:r>
      <w:r w:rsidR="009C24C9">
        <w:t xml:space="preserve"> </w:t>
      </w:r>
      <w:r w:rsidR="00F66C9C">
        <w:t>AFTINET</w:t>
      </w:r>
      <w:r w:rsidR="00DA7936">
        <w:t xml:space="preserve"> </w:t>
      </w:r>
      <w:r w:rsidR="00DA46BA">
        <w:t xml:space="preserve">in response to </w:t>
      </w:r>
      <w:r w:rsidR="00DA7936">
        <w:t xml:space="preserve">a call for </w:t>
      </w:r>
      <w:r>
        <w:t xml:space="preserve">submissions </w:t>
      </w:r>
      <w:r w:rsidR="00A7643F">
        <w:t xml:space="preserve">on </w:t>
      </w:r>
      <w:r w:rsidR="009C24C9">
        <w:t xml:space="preserve">both </w:t>
      </w:r>
      <w:r w:rsidR="00A7643F">
        <w:t xml:space="preserve">the UK </w:t>
      </w:r>
      <w:r w:rsidR="00CF49D4">
        <w:t xml:space="preserve">Accession to </w:t>
      </w:r>
      <w:r w:rsidR="00E567F7">
        <w:t>CPTPP</w:t>
      </w:r>
      <w:r w:rsidR="00AA639B">
        <w:t xml:space="preserve"> and CPTPP General Review.</w:t>
      </w:r>
    </w:p>
    <w:p w14:paraId="57E77289" w14:textId="77777777" w:rsidR="00BB1C3F" w:rsidRPr="00EE268D" w:rsidRDefault="00BB1C3F" w:rsidP="00BB1C3F">
      <w:pPr>
        <w:pStyle w:val="Heading2"/>
        <w:rPr>
          <w:rFonts w:eastAsiaTheme="minorHAnsi" w:cstheme="minorBidi"/>
          <w:iCs/>
          <w:color w:val="auto"/>
          <w:sz w:val="22"/>
          <w:szCs w:val="22"/>
        </w:rPr>
      </w:pPr>
      <w:r w:rsidRPr="00EE268D">
        <w:rPr>
          <w:rFonts w:eastAsiaTheme="minorHAnsi" w:cstheme="minorBidi"/>
          <w:iCs/>
          <w:color w:val="auto"/>
          <w:sz w:val="22"/>
          <w:szCs w:val="22"/>
        </w:rPr>
        <w:lastRenderedPageBreak/>
        <w:t>Discussion</w:t>
      </w:r>
    </w:p>
    <w:p w14:paraId="1ACFE9EA" w14:textId="6CD243B9" w:rsidR="00C56A22" w:rsidRDefault="00BB1C3F" w:rsidP="000920EB">
      <w:pPr>
        <w:pStyle w:val="ListParagraph"/>
        <w:numPr>
          <w:ilvl w:val="0"/>
          <w:numId w:val="5"/>
        </w:numPr>
        <w:ind w:left="0" w:firstLine="0"/>
      </w:pPr>
      <w:r>
        <w:t xml:space="preserve"> The stakeholder PIR submissions portrayed a diverse range of views. While many highlighted the positive outcomes under CPTPP</w:t>
      </w:r>
      <w:r w:rsidR="00765DAF">
        <w:t xml:space="preserve"> including</w:t>
      </w:r>
      <w:r w:rsidR="00C411A2">
        <w:t xml:space="preserve"> new market access opportunities </w:t>
      </w:r>
      <w:r w:rsidR="00765DAF">
        <w:t>in</w:t>
      </w:r>
      <w:r w:rsidR="00C411A2">
        <w:t xml:space="preserve"> Canada and Mexico</w:t>
      </w:r>
      <w:r>
        <w:t xml:space="preserve">, </w:t>
      </w:r>
      <w:r w:rsidR="002D6C9F">
        <w:t>some</w:t>
      </w:r>
      <w:r>
        <w:t xml:space="preserve"> </w:t>
      </w:r>
      <w:r w:rsidR="005F177A">
        <w:t>noted</w:t>
      </w:r>
      <w:r>
        <w:t xml:space="preserve"> that bilateral FTAs such as JAEPA, C</w:t>
      </w:r>
      <w:r w:rsidR="004A798A">
        <w:t>h</w:t>
      </w:r>
      <w:r>
        <w:t xml:space="preserve">AFTA, KAFTA and A-UKFTA </w:t>
      </w:r>
      <w:r w:rsidR="00EC7E52">
        <w:t>had delivered more significant gains</w:t>
      </w:r>
      <w:r>
        <w:t xml:space="preserve"> </w:t>
      </w:r>
      <w:r w:rsidR="00FC2442">
        <w:t>in certain areas</w:t>
      </w:r>
      <w:r>
        <w:t xml:space="preserve"> </w:t>
      </w:r>
      <w:r w:rsidR="00D1255F">
        <w:t xml:space="preserve">when compared to </w:t>
      </w:r>
      <w:r>
        <w:t xml:space="preserve">CPTPP. </w:t>
      </w:r>
    </w:p>
    <w:p w14:paraId="50C2A6C3" w14:textId="72A14217" w:rsidR="00BC7B31" w:rsidRDefault="005E3F9F" w:rsidP="000920EB">
      <w:pPr>
        <w:pStyle w:val="ListParagraph"/>
        <w:numPr>
          <w:ilvl w:val="0"/>
          <w:numId w:val="5"/>
        </w:numPr>
        <w:ind w:left="0" w:firstLine="0"/>
      </w:pPr>
      <w:r>
        <w:t>S</w:t>
      </w:r>
      <w:r w:rsidR="00BB1C3F">
        <w:t xml:space="preserve">takeholders </w:t>
      </w:r>
      <w:r w:rsidR="00C56A22">
        <w:t xml:space="preserve">also </w:t>
      </w:r>
      <w:r w:rsidR="00BB1C3F">
        <w:t>highlighted</w:t>
      </w:r>
      <w:r w:rsidR="00B873B5">
        <w:t xml:space="preserve"> that</w:t>
      </w:r>
      <w:r w:rsidR="004A7A5F">
        <w:t xml:space="preserve"> </w:t>
      </w:r>
      <w:r w:rsidR="00C56A22">
        <w:t>CPTPP</w:t>
      </w:r>
      <w:r w:rsidR="000357AD">
        <w:t>, in some cases,</w:t>
      </w:r>
      <w:r w:rsidR="00C56A22">
        <w:t xml:space="preserve"> </w:t>
      </w:r>
      <w:r w:rsidR="005E7C97">
        <w:t xml:space="preserve">had </w:t>
      </w:r>
      <w:r w:rsidR="00DE5937">
        <w:t>superseded</w:t>
      </w:r>
      <w:r w:rsidR="00E80D06">
        <w:t xml:space="preserve"> our</w:t>
      </w:r>
      <w:r w:rsidR="000357AD">
        <w:t xml:space="preserve"> bilateral</w:t>
      </w:r>
      <w:r w:rsidR="00DE5937">
        <w:t xml:space="preserve"> FTAs</w:t>
      </w:r>
      <w:r w:rsidR="000357AD">
        <w:t xml:space="preserve"> and therefore</w:t>
      </w:r>
      <w:r w:rsidR="00C56A22">
        <w:t xml:space="preserve"> eroded </w:t>
      </w:r>
      <w:r w:rsidR="004A7A5F">
        <w:t xml:space="preserve">Australia’s previously competitive position in certain markets </w:t>
      </w:r>
      <w:r w:rsidR="00C56A22">
        <w:t>by</w:t>
      </w:r>
      <w:r w:rsidR="002807FA">
        <w:t xml:space="preserve"> providing </w:t>
      </w:r>
      <w:r w:rsidR="00596669">
        <w:t xml:space="preserve">improved market access to </w:t>
      </w:r>
      <w:r w:rsidR="002807FA">
        <w:t xml:space="preserve">competitors </w:t>
      </w:r>
      <w:r w:rsidR="00BC7B31">
        <w:t>within the membership</w:t>
      </w:r>
      <w:r w:rsidR="005564F8">
        <w:t>.</w:t>
      </w:r>
      <w:r w:rsidR="00BB1C3F">
        <w:t xml:space="preserve"> </w:t>
      </w:r>
    </w:p>
    <w:p w14:paraId="6521C84F" w14:textId="5EC5107C" w:rsidR="00BB1C3F" w:rsidRDefault="005E3F9F" w:rsidP="000920EB">
      <w:pPr>
        <w:pStyle w:val="ListParagraph"/>
        <w:numPr>
          <w:ilvl w:val="0"/>
          <w:numId w:val="5"/>
        </w:numPr>
        <w:ind w:left="0" w:firstLine="0"/>
      </w:pPr>
      <w:r>
        <w:t>Furthermore, some s</w:t>
      </w:r>
      <w:r w:rsidR="00BC7B31">
        <w:t xml:space="preserve">takeholders </w:t>
      </w:r>
      <w:r w:rsidR="0074446F">
        <w:t xml:space="preserve">raised concerns </w:t>
      </w:r>
      <w:r w:rsidR="00B47771">
        <w:t>about the expansion of international investor rights</w:t>
      </w:r>
      <w:r w:rsidR="00BB1C3F">
        <w:t xml:space="preserve"> </w:t>
      </w:r>
      <w:r w:rsidR="002533FF">
        <w:t>(</w:t>
      </w:r>
      <w:r w:rsidR="00E6346E">
        <w:t xml:space="preserve">e.g., </w:t>
      </w:r>
      <w:r w:rsidR="002533FF">
        <w:t>ISDS</w:t>
      </w:r>
      <w:r w:rsidR="008340BD">
        <w:t xml:space="preserve"> mechanism</w:t>
      </w:r>
      <w:r w:rsidR="002533FF">
        <w:t>)</w:t>
      </w:r>
      <w:r w:rsidR="00BB1C3F">
        <w:t xml:space="preserve"> </w:t>
      </w:r>
      <w:r w:rsidR="00B47771">
        <w:t>at the expense of governments’ right to regulate</w:t>
      </w:r>
      <w:r w:rsidR="0092649D">
        <w:t xml:space="preserve"> and</w:t>
      </w:r>
      <w:r w:rsidR="00B47771">
        <w:t xml:space="preserve"> human rights issues</w:t>
      </w:r>
      <w:r w:rsidR="0092649D">
        <w:t xml:space="preserve"> with </w:t>
      </w:r>
      <w:r w:rsidR="00E567F7">
        <w:t>CPTPP</w:t>
      </w:r>
      <w:r w:rsidR="001F2D77">
        <w:t>, such as</w:t>
      </w:r>
      <w:r w:rsidR="00B47771">
        <w:t xml:space="preserve"> access to medicines, labour rights</w:t>
      </w:r>
      <w:r w:rsidR="001F2D77">
        <w:t>,</w:t>
      </w:r>
      <w:r w:rsidR="00B47771">
        <w:t xml:space="preserve"> and environmental standards</w:t>
      </w:r>
      <w:r w:rsidR="000D5146">
        <w:t>.</w:t>
      </w:r>
      <w:r w:rsidR="00295997">
        <w:t xml:space="preserve"> </w:t>
      </w:r>
      <w:r w:rsidR="009949E9">
        <w:t xml:space="preserve">It was </w:t>
      </w:r>
      <w:proofErr w:type="gramStart"/>
      <w:r w:rsidR="009949E9">
        <w:t xml:space="preserve">noted </w:t>
      </w:r>
      <w:r w:rsidR="00786D88">
        <w:t xml:space="preserve"> in</w:t>
      </w:r>
      <w:proofErr w:type="gramEnd"/>
      <w:r w:rsidR="00786D88">
        <w:t xml:space="preserve"> CPTPP</w:t>
      </w:r>
      <w:r w:rsidR="009949E9">
        <w:t xml:space="preserve"> </w:t>
      </w:r>
      <w:r w:rsidR="008E5B3B">
        <w:t>Australia secured exemptions from ISDS m</w:t>
      </w:r>
      <w:r w:rsidR="006F2621">
        <w:t xml:space="preserve">echanisms applying within Australia. </w:t>
      </w:r>
    </w:p>
    <w:p w14:paraId="1AF0930B" w14:textId="42EB0175" w:rsidR="000E4EA5" w:rsidRDefault="00D6489B" w:rsidP="000E4EA5">
      <w:r>
        <w:br w:type="page"/>
      </w:r>
    </w:p>
    <w:p w14:paraId="2753D927" w14:textId="371E5A0D" w:rsidR="006D6F75" w:rsidRPr="00E956DE" w:rsidRDefault="00766108" w:rsidP="00E956DE">
      <w:pPr>
        <w:pStyle w:val="Heading1"/>
      </w:pPr>
      <w:bookmarkStart w:id="15" w:name="_Toc189499373"/>
      <w:bookmarkEnd w:id="13"/>
      <w:r>
        <w:lastRenderedPageBreak/>
        <w:t xml:space="preserve">QUESTION 6: HAS </w:t>
      </w:r>
      <w:r w:rsidR="00E567F7">
        <w:t>CPTPP</w:t>
      </w:r>
      <w:r>
        <w:t xml:space="preserve"> DELIVERED A NET BENEFIT?</w:t>
      </w:r>
      <w:bookmarkEnd w:id="15"/>
    </w:p>
    <w:p w14:paraId="56BE72DA" w14:textId="589F547F" w:rsidR="006D6F75" w:rsidRPr="005D0575" w:rsidRDefault="00A84109" w:rsidP="000920EB">
      <w:pPr>
        <w:pStyle w:val="ListParagraph"/>
        <w:numPr>
          <w:ilvl w:val="0"/>
          <w:numId w:val="5"/>
        </w:numPr>
        <w:ind w:left="0" w:firstLine="0"/>
      </w:pPr>
      <w:r>
        <w:t xml:space="preserve">CPTPP </w:t>
      </w:r>
      <w:r w:rsidR="00341010" w:rsidRPr="00341010">
        <w:t>has delivered a net benefit in the five years since its entry into force</w:t>
      </w:r>
      <w:r w:rsidR="00341010">
        <w:t>.</w:t>
      </w:r>
      <w:r w:rsidR="00341010" w:rsidRPr="005D0575">
        <w:t xml:space="preserve"> </w:t>
      </w:r>
      <w:r w:rsidR="006D6F75" w:rsidRPr="005D0575">
        <w:t xml:space="preserve">The analysis of relevant data shows </w:t>
      </w:r>
      <w:r w:rsidR="007C5D8E">
        <w:t xml:space="preserve">CPTPP </w:t>
      </w:r>
      <w:r w:rsidR="006D6F75" w:rsidRPr="005D0575">
        <w:t xml:space="preserve">has, to date, met its objective of expanding economic opportunities for Australian businesses and </w:t>
      </w:r>
      <w:r w:rsidR="00315382">
        <w:t xml:space="preserve">creating </w:t>
      </w:r>
      <w:r w:rsidR="003431C5">
        <w:t xml:space="preserve">greater choices for Australian </w:t>
      </w:r>
      <w:r w:rsidR="006D6F75" w:rsidRPr="005D0575">
        <w:t>consumers</w:t>
      </w:r>
      <w:r w:rsidR="00E405C9" w:rsidRPr="005D0575">
        <w:t xml:space="preserve">. </w:t>
      </w:r>
    </w:p>
    <w:p w14:paraId="6348EC2F" w14:textId="6315137B" w:rsidR="006D6F75" w:rsidRPr="005D0575" w:rsidRDefault="006D6F75" w:rsidP="000920EB">
      <w:pPr>
        <w:pStyle w:val="ListParagraph"/>
        <w:numPr>
          <w:ilvl w:val="0"/>
          <w:numId w:val="5"/>
        </w:numPr>
        <w:ind w:left="0" w:firstLine="0"/>
      </w:pPr>
      <w:r w:rsidRPr="005D0575">
        <w:t xml:space="preserve">Relevant evidence of the net benefits flowing from </w:t>
      </w:r>
      <w:r w:rsidR="00A84109">
        <w:t>CPTPP</w:t>
      </w:r>
      <w:r w:rsidRPr="005D0575">
        <w:t xml:space="preserve">’s entry into force includes: </w:t>
      </w:r>
    </w:p>
    <w:p w14:paraId="2C76770B" w14:textId="77777777" w:rsidR="00A418B4" w:rsidRDefault="00A418B4" w:rsidP="000920EB">
      <w:pPr>
        <w:pStyle w:val="ListParagraph"/>
        <w:numPr>
          <w:ilvl w:val="0"/>
          <w:numId w:val="6"/>
        </w:numPr>
        <w:ind w:left="567" w:hanging="567"/>
      </w:pPr>
      <w:r>
        <w:t>Trade and investment flows between Australia and CPTPP members have been further liberalised through tariff reductions:</w:t>
      </w:r>
    </w:p>
    <w:p w14:paraId="4D25BBA8" w14:textId="5E8A3D88" w:rsidR="00CE1A38" w:rsidRDefault="00CE1A38" w:rsidP="000920EB">
      <w:pPr>
        <w:pStyle w:val="ListParagraph"/>
        <w:numPr>
          <w:ilvl w:val="1"/>
          <w:numId w:val="6"/>
        </w:numPr>
      </w:pPr>
      <w:r>
        <w:t>Securing our first FTA with Mexico, where t</w:t>
      </w:r>
      <w:r w:rsidRPr="00B73E13">
        <w:t xml:space="preserve">he elimination of tariffs on barley (115 per cent prior </w:t>
      </w:r>
      <w:r>
        <w:t>to CPTPP</w:t>
      </w:r>
      <w:r w:rsidRPr="00B73E13">
        <w:t xml:space="preserve"> coming into force) proved to be vital for Australian barley exporters seeking to diversify markets. Australia</w:t>
      </w:r>
      <w:r w:rsidR="001E7618">
        <w:t xml:space="preserve"> began exporting</w:t>
      </w:r>
      <w:r w:rsidRPr="00B73E13">
        <w:t xml:space="preserve"> barley to Mexico in 2019</w:t>
      </w:r>
      <w:r w:rsidR="00FE5849">
        <w:t xml:space="preserve">; </w:t>
      </w:r>
      <w:r w:rsidR="00B17684">
        <w:t>by 2023</w:t>
      </w:r>
      <w:r w:rsidRPr="00B73E13">
        <w:t xml:space="preserve"> barley exports to Mexico </w:t>
      </w:r>
      <w:r w:rsidR="00FE5849">
        <w:t xml:space="preserve">were </w:t>
      </w:r>
      <w:r w:rsidR="00DF56E3">
        <w:t>worth</w:t>
      </w:r>
      <w:r w:rsidRPr="00B73E13">
        <w:t xml:space="preserve"> $213.2 million </w:t>
      </w:r>
      <w:r>
        <w:t>(</w:t>
      </w:r>
      <w:r w:rsidRPr="00B73E13">
        <w:t>an increase of 44 per cent from 2022</w:t>
      </w:r>
      <w:r>
        <w:t>)</w:t>
      </w:r>
      <w:r w:rsidRPr="00B73E13">
        <w:t>.</w:t>
      </w:r>
    </w:p>
    <w:p w14:paraId="3B9CFF76" w14:textId="77777777" w:rsidR="00CE1A38" w:rsidRDefault="00CE1A38" w:rsidP="000920EB">
      <w:pPr>
        <w:pStyle w:val="ListParagraph"/>
        <w:numPr>
          <w:ilvl w:val="1"/>
          <w:numId w:val="6"/>
        </w:numPr>
      </w:pPr>
      <w:r>
        <w:t xml:space="preserve">Gaining new access into Canada’s dairy market, with Canada offering over 100,000 tonnes of access for dairy products per year to CPTPP economies, which further supported Australian agricultural exporters diversifying into new markets. </w:t>
      </w:r>
      <w:r w:rsidRPr="00B73E13">
        <w:t xml:space="preserve"> </w:t>
      </w:r>
    </w:p>
    <w:p w14:paraId="11012D22" w14:textId="77777777" w:rsidR="00CE1A38" w:rsidRDefault="00CE1A38" w:rsidP="000920EB">
      <w:pPr>
        <w:pStyle w:val="ListParagraph"/>
        <w:numPr>
          <w:ilvl w:val="1"/>
          <w:numId w:val="6"/>
        </w:numPr>
      </w:pPr>
      <w:r>
        <w:t xml:space="preserve">Reducing Japan’s beef tariffs to 9 per cent within 15 years of entry into force (compared to JAEPA’s 23.5 per cent for fresh or chilled carcasses and half-carcasses) and the elimination of tariffs and creation of new quotas for dairy products. </w:t>
      </w:r>
    </w:p>
    <w:p w14:paraId="1768AF99" w14:textId="1E5A4EF1" w:rsidR="00CE1A38" w:rsidRDefault="00CE1A38" w:rsidP="000920EB">
      <w:pPr>
        <w:pStyle w:val="ListParagraph"/>
        <w:numPr>
          <w:ilvl w:val="0"/>
          <w:numId w:val="6"/>
        </w:numPr>
      </w:pPr>
      <w:r>
        <w:t xml:space="preserve">Total investment </w:t>
      </w:r>
      <w:r w:rsidR="004210F9">
        <w:t>stocks</w:t>
      </w:r>
      <w:r>
        <w:t xml:space="preserve"> into Australia by CPTPP members has increased, and in some cases doubled. For example, Canada’s total investment into Australia was $53 billion in 2018, and increased to over $100 billion in 2023.</w:t>
      </w:r>
    </w:p>
    <w:p w14:paraId="26252CCB" w14:textId="044651B8" w:rsidR="00CE1A38" w:rsidRDefault="00CE1A38" w:rsidP="000920EB">
      <w:pPr>
        <w:pStyle w:val="ListParagraph"/>
        <w:numPr>
          <w:ilvl w:val="0"/>
          <w:numId w:val="6"/>
        </w:numPr>
      </w:pPr>
      <w:r>
        <w:t>The average annual value of Australia’s total goods and services exports to CPTPP members was worth $141 billion (over 2019-23), increasing 54.6 per cent from the period before CPTPP (which averaged $91.3 billion annually over 2014-18).</w:t>
      </w:r>
    </w:p>
    <w:p w14:paraId="7B3421AA" w14:textId="58D40BA2" w:rsidR="00CE1A38" w:rsidRPr="002E413C" w:rsidRDefault="00CE1A38" w:rsidP="000920EB">
      <w:pPr>
        <w:pStyle w:val="ListParagraph"/>
        <w:numPr>
          <w:ilvl w:val="0"/>
          <w:numId w:val="6"/>
        </w:numPr>
      </w:pPr>
      <w:r>
        <w:t xml:space="preserve">The average annual value of Australia’s total goods and services imports from CPTPP members was worth $92.8 billion </w:t>
      </w:r>
      <w:r w:rsidR="00355E5A">
        <w:t>in the</w:t>
      </w:r>
      <w:r>
        <w:t xml:space="preserve"> 2019-23</w:t>
      </w:r>
      <w:r w:rsidR="00355E5A">
        <w:t xml:space="preserve"> period</w:t>
      </w:r>
      <w:r>
        <w:t>, increasing 16.6 per cent from $79.6</w:t>
      </w:r>
      <w:r w:rsidR="00042EBB">
        <w:t xml:space="preserve"> </w:t>
      </w:r>
      <w:r>
        <w:t xml:space="preserve">billion </w:t>
      </w:r>
      <w:r w:rsidR="00042EBB">
        <w:t>in the</w:t>
      </w:r>
      <w:r>
        <w:t xml:space="preserve"> 2014-18</w:t>
      </w:r>
      <w:r w:rsidR="00C12226">
        <w:t xml:space="preserve"> </w:t>
      </w:r>
      <w:r>
        <w:t xml:space="preserve">period </w:t>
      </w:r>
      <w:r w:rsidR="00355E5A">
        <w:t>prior to</w:t>
      </w:r>
      <w:r>
        <w:t xml:space="preserve"> CPTPP.</w:t>
      </w:r>
    </w:p>
    <w:p w14:paraId="3A0E7A75" w14:textId="77777777" w:rsidR="00341010" w:rsidRPr="005D0575" w:rsidRDefault="009C520D" w:rsidP="000920EB">
      <w:pPr>
        <w:pStyle w:val="ListParagraph"/>
        <w:numPr>
          <w:ilvl w:val="0"/>
          <w:numId w:val="5"/>
        </w:numPr>
      </w:pPr>
      <w:r>
        <w:t xml:space="preserve">Other </w:t>
      </w:r>
      <w:r w:rsidR="00341010">
        <w:t xml:space="preserve">positive aspects of implementation of the Agreement </w:t>
      </w:r>
      <w:r w:rsidR="00341010" w:rsidRPr="005D0575">
        <w:t>are clear:</w:t>
      </w:r>
    </w:p>
    <w:p w14:paraId="2C3FCA29" w14:textId="77777777" w:rsidR="00341010" w:rsidRPr="005D0575" w:rsidRDefault="00341010" w:rsidP="000920EB">
      <w:pPr>
        <w:pStyle w:val="ListParagraph"/>
        <w:numPr>
          <w:ilvl w:val="0"/>
          <w:numId w:val="6"/>
        </w:numPr>
        <w:ind w:left="567" w:hanging="567"/>
      </w:pPr>
      <w:r w:rsidRPr="005D0575">
        <w:t>the compliance costs associated with Certificates of Origin issued through Authorised Bodies ha</w:t>
      </w:r>
      <w:r w:rsidR="005044D3">
        <w:t>ve</w:t>
      </w:r>
      <w:r w:rsidRPr="005D0575">
        <w:t xml:space="preserve"> been relatively low, </w:t>
      </w:r>
      <w:r>
        <w:t xml:space="preserve">with positive cost/benefit </w:t>
      </w:r>
      <w:r w:rsidRPr="005D0575">
        <w:t>outcomes</w:t>
      </w:r>
      <w:r>
        <w:t xml:space="preserve"> for most </w:t>
      </w:r>
      <w:proofErr w:type="gramStart"/>
      <w:r>
        <w:t>traders</w:t>
      </w:r>
      <w:r w:rsidRPr="005D0575">
        <w:t>;</w:t>
      </w:r>
      <w:proofErr w:type="gramEnd"/>
      <w:r w:rsidRPr="005D0575">
        <w:t xml:space="preserve">  </w:t>
      </w:r>
    </w:p>
    <w:p w14:paraId="263B5738" w14:textId="287087BB" w:rsidR="00341010" w:rsidRPr="005D0575" w:rsidRDefault="00341010" w:rsidP="000920EB">
      <w:pPr>
        <w:pStyle w:val="ListParagraph"/>
        <w:numPr>
          <w:ilvl w:val="0"/>
          <w:numId w:val="6"/>
        </w:numPr>
        <w:ind w:left="567" w:hanging="567"/>
      </w:pPr>
      <w:r w:rsidRPr="005D0575">
        <w:lastRenderedPageBreak/>
        <w:t xml:space="preserve">uptake of </w:t>
      </w:r>
      <w:r w:rsidR="00897C4E">
        <w:t xml:space="preserve">CPTPP </w:t>
      </w:r>
      <w:r w:rsidRPr="005D0575">
        <w:t xml:space="preserve">by Australian businesses has been supported by government assistance programs, including the FTA information seminars, the FTA Portal, and Austrade </w:t>
      </w:r>
      <w:proofErr w:type="gramStart"/>
      <w:r w:rsidRPr="005D0575">
        <w:t>programs;</w:t>
      </w:r>
      <w:proofErr w:type="gramEnd"/>
      <w:r w:rsidRPr="005D0575">
        <w:t xml:space="preserve"> </w:t>
      </w:r>
    </w:p>
    <w:p w14:paraId="4D8DCE65" w14:textId="23509AFB" w:rsidR="00341010" w:rsidRDefault="00341010" w:rsidP="000920EB">
      <w:pPr>
        <w:pStyle w:val="ListParagraph"/>
        <w:numPr>
          <w:ilvl w:val="0"/>
          <w:numId w:val="6"/>
        </w:numPr>
        <w:ind w:left="567" w:hanging="567"/>
      </w:pPr>
      <w:r w:rsidRPr="00B36955">
        <w:t xml:space="preserve">submissions from stakeholders highlighted the positive impact of </w:t>
      </w:r>
      <w:r w:rsidR="00B36955" w:rsidRPr="00B36955">
        <w:t xml:space="preserve">CPTPP </w:t>
      </w:r>
      <w:r w:rsidRPr="00B36955">
        <w:t xml:space="preserve">on improving export opportunities for Australian businesses, notwithstanding difficulties with operating </w:t>
      </w:r>
      <w:r w:rsidR="00B36955" w:rsidRPr="00B36955">
        <w:t>during the C</w:t>
      </w:r>
      <w:r w:rsidR="007B3948">
        <w:t>OVID-19</w:t>
      </w:r>
      <w:r w:rsidR="00B36955" w:rsidRPr="00B36955">
        <w:t xml:space="preserve"> </w:t>
      </w:r>
      <w:r w:rsidR="006017F9">
        <w:t>pandemic</w:t>
      </w:r>
      <w:r w:rsidR="00120654">
        <w:t>; and</w:t>
      </w:r>
    </w:p>
    <w:p w14:paraId="066F1453" w14:textId="1ECB783C" w:rsidR="006D6F75" w:rsidRPr="007F7E9A" w:rsidRDefault="003A185F">
      <w:pPr>
        <w:pStyle w:val="ListParagraph"/>
        <w:numPr>
          <w:ilvl w:val="0"/>
          <w:numId w:val="5"/>
        </w:numPr>
        <w:ind w:left="0" w:firstLine="0"/>
        <w:rPr>
          <w:b/>
          <w:color w:val="FF0000"/>
        </w:rPr>
      </w:pPr>
      <w:r>
        <w:t xml:space="preserve">CPTPP provides opportunities </w:t>
      </w:r>
      <w:r w:rsidRPr="007F7E9A">
        <w:rPr>
          <w:rStyle w:val="normaltextrun"/>
          <w:rFonts w:ascii="Calibri" w:eastAsiaTheme="majorEastAsia" w:hAnsi="Calibri" w:cs="Calibri"/>
        </w:rPr>
        <w:t xml:space="preserve">to progress initiatives </w:t>
      </w:r>
      <w:r>
        <w:t xml:space="preserve">to </w:t>
      </w:r>
      <w:r w:rsidRPr="007F7E9A">
        <w:rPr>
          <w:rStyle w:val="normaltextrun"/>
          <w:rFonts w:ascii="Calibri" w:eastAsiaTheme="majorEastAsia" w:hAnsi="Calibri" w:cs="Calibri"/>
        </w:rPr>
        <w:t xml:space="preserve">help facilitate trade for Australian agricultural exporters by addressing non-tariff barriers and reducing trade transactions costs by advocating for regulatory harmonisation and alignment, particularly </w:t>
      </w:r>
      <w:r w:rsidR="00114958" w:rsidRPr="007F7E9A">
        <w:rPr>
          <w:rStyle w:val="normaltextrun"/>
          <w:rFonts w:ascii="Calibri" w:eastAsiaTheme="majorEastAsia" w:hAnsi="Calibri" w:cs="Calibri"/>
        </w:rPr>
        <w:t>through</w:t>
      </w:r>
      <w:r w:rsidRPr="007F7E9A">
        <w:rPr>
          <w:rStyle w:val="normaltextrun"/>
          <w:rFonts w:ascii="Calibri" w:eastAsiaTheme="majorEastAsia" w:hAnsi="Calibri" w:cs="Calibri"/>
        </w:rPr>
        <w:t xml:space="preserve"> the SPS Committee</w:t>
      </w:r>
      <w:r w:rsidRPr="00B36955">
        <w:t>.</w:t>
      </w:r>
      <w:r w:rsidR="006D6F75" w:rsidRPr="007F7E9A">
        <w:rPr>
          <w:b/>
          <w:color w:val="FF0000"/>
        </w:rPr>
        <w:br w:type="page"/>
      </w:r>
    </w:p>
    <w:p w14:paraId="699B1801" w14:textId="1488C1C7" w:rsidR="00761388" w:rsidRPr="00E956DE" w:rsidRDefault="00761388" w:rsidP="00761388">
      <w:pPr>
        <w:pStyle w:val="Heading1"/>
      </w:pPr>
      <w:bookmarkStart w:id="16" w:name="_Toc189499374"/>
      <w:r>
        <w:lastRenderedPageBreak/>
        <w:t xml:space="preserve">QUESTION 7: </w:t>
      </w:r>
      <w:r w:rsidRPr="00E956DE">
        <w:t xml:space="preserve">HOW HAS </w:t>
      </w:r>
      <w:r>
        <w:t>CPTPP</w:t>
      </w:r>
      <w:r w:rsidRPr="00E956DE">
        <w:t xml:space="preserve"> BEEN IMPLEMENTED AND EVALUATED?</w:t>
      </w:r>
      <w:bookmarkEnd w:id="16"/>
      <w:r w:rsidRPr="00E956DE">
        <w:t xml:space="preserve"> </w:t>
      </w:r>
    </w:p>
    <w:p w14:paraId="7DF4BC3F" w14:textId="77777777" w:rsidR="00761388" w:rsidRPr="005261AD" w:rsidRDefault="00761388" w:rsidP="00761388">
      <w:pPr>
        <w:pStyle w:val="Heading2"/>
        <w:rPr>
          <w:rFonts w:eastAsiaTheme="minorHAnsi" w:cstheme="minorBidi"/>
          <w:iCs/>
          <w:color w:val="auto"/>
          <w:sz w:val="22"/>
          <w:szCs w:val="22"/>
        </w:rPr>
      </w:pPr>
      <w:r w:rsidRPr="005261AD">
        <w:rPr>
          <w:rFonts w:eastAsiaTheme="minorHAnsi" w:cstheme="minorBidi"/>
          <w:iCs/>
          <w:color w:val="auto"/>
          <w:sz w:val="22"/>
          <w:szCs w:val="22"/>
        </w:rPr>
        <w:t>Parliamentary scrutiny, and legal implementation of CPTPP</w:t>
      </w:r>
    </w:p>
    <w:p w14:paraId="30E6AD95" w14:textId="4DA6B7BC" w:rsidR="00761388" w:rsidRPr="005D79E1" w:rsidRDefault="00761388" w:rsidP="000920EB">
      <w:pPr>
        <w:pStyle w:val="ListParagraph"/>
        <w:numPr>
          <w:ilvl w:val="0"/>
          <w:numId w:val="5"/>
        </w:numPr>
      </w:pPr>
      <w:r w:rsidRPr="005D79E1">
        <w:t>The comprehensive processes</w:t>
      </w:r>
      <w:r w:rsidR="005533EB">
        <w:t xml:space="preserve"> (including Parliamentary processes)</w:t>
      </w:r>
      <w:r w:rsidRPr="005D79E1">
        <w:t xml:space="preserve"> leading up to the entry into force of </w:t>
      </w:r>
      <w:r>
        <w:t>CPTPP</w:t>
      </w:r>
      <w:r w:rsidRPr="005D79E1">
        <w:t xml:space="preserve"> are detailed in the Introduction of this </w:t>
      </w:r>
      <w:r w:rsidR="00077B5D">
        <w:t>PIR</w:t>
      </w:r>
      <w:r w:rsidRPr="005D79E1">
        <w:t xml:space="preserve">.  </w:t>
      </w:r>
    </w:p>
    <w:p w14:paraId="1C9DE7CD" w14:textId="77777777" w:rsidR="00761388" w:rsidRPr="005D79E1" w:rsidRDefault="00761388" w:rsidP="000920EB">
      <w:pPr>
        <w:pStyle w:val="ListParagraph"/>
        <w:numPr>
          <w:ilvl w:val="0"/>
          <w:numId w:val="5"/>
        </w:numPr>
        <w:ind w:left="0" w:firstLine="0"/>
      </w:pPr>
      <w:r w:rsidRPr="005D79E1">
        <w:t xml:space="preserve">The implementation of </w:t>
      </w:r>
      <w:r>
        <w:t xml:space="preserve">CPTPP </w:t>
      </w:r>
      <w:r w:rsidRPr="005D79E1">
        <w:t xml:space="preserve">required </w:t>
      </w:r>
      <w:r>
        <w:t xml:space="preserve">legislative </w:t>
      </w:r>
      <w:r w:rsidRPr="005D79E1">
        <w:t xml:space="preserve">changes to the </w:t>
      </w:r>
      <w:r w:rsidRPr="001B7908">
        <w:rPr>
          <w:i/>
          <w:iCs/>
        </w:rPr>
        <w:t>Customs Act 1901</w:t>
      </w:r>
      <w:r w:rsidRPr="005D79E1">
        <w:t xml:space="preserve">; the </w:t>
      </w:r>
      <w:r w:rsidRPr="001B7908">
        <w:rPr>
          <w:i/>
          <w:iCs/>
        </w:rPr>
        <w:t>Customs Tariff Act 1995</w:t>
      </w:r>
      <w:r w:rsidRPr="005D79E1">
        <w:t xml:space="preserve"> and associated regulations; the </w:t>
      </w:r>
      <w:r w:rsidRPr="001B7908">
        <w:rPr>
          <w:i/>
          <w:iCs/>
        </w:rPr>
        <w:t>Foreign Acquisitions and Takeovers Regulations 1989</w:t>
      </w:r>
      <w:r w:rsidRPr="005D79E1">
        <w:t xml:space="preserve">; and the </w:t>
      </w:r>
      <w:r w:rsidRPr="001B7908">
        <w:rPr>
          <w:i/>
          <w:iCs/>
        </w:rPr>
        <w:t>Life Insurance Regulations 1995</w:t>
      </w:r>
      <w:r w:rsidRPr="005D79E1">
        <w:t xml:space="preserve">.  </w:t>
      </w:r>
    </w:p>
    <w:p w14:paraId="70D25F90" w14:textId="77777777" w:rsidR="00761388" w:rsidRPr="005261AD" w:rsidRDefault="00761388" w:rsidP="00761388">
      <w:pPr>
        <w:pStyle w:val="Heading2"/>
        <w:rPr>
          <w:rFonts w:eastAsiaTheme="minorHAnsi" w:cstheme="minorBidi"/>
          <w:iCs/>
          <w:color w:val="auto"/>
          <w:sz w:val="22"/>
          <w:szCs w:val="22"/>
        </w:rPr>
      </w:pPr>
      <w:r w:rsidRPr="005261AD">
        <w:rPr>
          <w:rFonts w:eastAsiaTheme="minorHAnsi" w:cstheme="minorBidi"/>
          <w:iCs/>
          <w:color w:val="auto"/>
          <w:sz w:val="22"/>
          <w:szCs w:val="22"/>
        </w:rPr>
        <w:t>CPTPP implementation mechanisms</w:t>
      </w:r>
    </w:p>
    <w:p w14:paraId="51A90B13" w14:textId="1B710EFD" w:rsidR="00761388" w:rsidRPr="00253C74" w:rsidRDefault="00761388" w:rsidP="000920EB">
      <w:pPr>
        <w:pStyle w:val="ListParagraph"/>
        <w:numPr>
          <w:ilvl w:val="0"/>
          <w:numId w:val="5"/>
        </w:numPr>
        <w:ind w:left="0" w:firstLine="0"/>
      </w:pPr>
      <w:r>
        <w:t xml:space="preserve">CPTPP </w:t>
      </w:r>
      <w:r w:rsidRPr="00947D67">
        <w:t xml:space="preserve">includes a structure of regular meetings intended to create an ongoing dialogue between Australia and </w:t>
      </w:r>
      <w:r>
        <w:t xml:space="preserve">CPTPP </w:t>
      </w:r>
      <w:r w:rsidR="00665A0A">
        <w:t>members</w:t>
      </w:r>
      <w:r w:rsidRPr="00947D67">
        <w:t xml:space="preserve"> and a built-in agenda of reviews, which provide avenues to address issues and increase two-way trade opportunities. </w:t>
      </w:r>
      <w:r w:rsidR="00AE5FD0">
        <w:t xml:space="preserve">The </w:t>
      </w:r>
      <w:r w:rsidR="00E567F7">
        <w:t>CPTPP</w:t>
      </w:r>
      <w:r>
        <w:t xml:space="preserve"> </w:t>
      </w:r>
      <w:r w:rsidRPr="00253C74">
        <w:t>Com</w:t>
      </w:r>
      <w:r>
        <w:t xml:space="preserve">mission is tasked with </w:t>
      </w:r>
      <w:r w:rsidR="00830DCD">
        <w:t>monitoring</w:t>
      </w:r>
      <w:r>
        <w:t xml:space="preserve"> the overall </w:t>
      </w:r>
      <w:r w:rsidRPr="00253C74">
        <w:t xml:space="preserve">implementation of </w:t>
      </w:r>
      <w:r>
        <w:t xml:space="preserve">CPTPP </w:t>
      </w:r>
      <w:r w:rsidRPr="00253C74">
        <w:t>with</w:t>
      </w:r>
      <w:r>
        <w:t xml:space="preserve"> </w:t>
      </w:r>
      <w:r w:rsidRPr="00253C74">
        <w:t>responsib</w:t>
      </w:r>
      <w:r>
        <w:t>i</w:t>
      </w:r>
      <w:r w:rsidRPr="00253C74">
        <w:t>l</w:t>
      </w:r>
      <w:r>
        <w:t>ity</w:t>
      </w:r>
      <w:r w:rsidRPr="00253C74">
        <w:t xml:space="preserve"> for: </w:t>
      </w:r>
    </w:p>
    <w:p w14:paraId="5D1ACA2B" w14:textId="6F6E3A02" w:rsidR="00761388" w:rsidRPr="00690B03" w:rsidRDefault="00761388" w:rsidP="000920EB">
      <w:pPr>
        <w:pStyle w:val="ListParagraph"/>
        <w:numPr>
          <w:ilvl w:val="0"/>
          <w:numId w:val="6"/>
        </w:numPr>
        <w:ind w:left="567" w:hanging="567"/>
      </w:pPr>
      <w:r w:rsidRPr="00690B03">
        <w:t>considering matters relating to the implementation of th</w:t>
      </w:r>
      <w:r>
        <w:t>e</w:t>
      </w:r>
      <w:r w:rsidRPr="00690B03">
        <w:t xml:space="preserve"> </w:t>
      </w:r>
      <w:proofErr w:type="gramStart"/>
      <w:r w:rsidRPr="00690B03">
        <w:t>Agreement</w:t>
      </w:r>
      <w:r w:rsidR="00CD005C">
        <w:t>;</w:t>
      </w:r>
      <w:proofErr w:type="gramEnd"/>
    </w:p>
    <w:p w14:paraId="67CAAD88" w14:textId="087D5252" w:rsidR="00761388" w:rsidRPr="00690B03" w:rsidRDefault="00761388" w:rsidP="000920EB">
      <w:pPr>
        <w:pStyle w:val="ListParagraph"/>
        <w:numPr>
          <w:ilvl w:val="0"/>
          <w:numId w:val="6"/>
        </w:numPr>
        <w:ind w:left="567" w:hanging="567"/>
      </w:pPr>
      <w:r w:rsidRPr="00690B03">
        <w:t>considering issues referred to it by the committees and working groups established under th</w:t>
      </w:r>
      <w:r>
        <w:t>e</w:t>
      </w:r>
      <w:r w:rsidRPr="00690B03">
        <w:t xml:space="preserve"> Agreement or by either </w:t>
      </w:r>
      <w:proofErr w:type="gramStart"/>
      <w:r w:rsidRPr="00690B03">
        <w:t>Party</w:t>
      </w:r>
      <w:r w:rsidR="00CD005C">
        <w:t>;</w:t>
      </w:r>
      <w:proofErr w:type="gramEnd"/>
    </w:p>
    <w:p w14:paraId="65703968" w14:textId="09ACF1B0" w:rsidR="00761388" w:rsidRPr="00690B03" w:rsidRDefault="00761388" w:rsidP="000920EB">
      <w:pPr>
        <w:pStyle w:val="ListParagraph"/>
        <w:numPr>
          <w:ilvl w:val="0"/>
          <w:numId w:val="6"/>
        </w:numPr>
        <w:ind w:left="567" w:hanging="567"/>
      </w:pPr>
      <w:r w:rsidRPr="00690B03">
        <w:t xml:space="preserve">exploring measures for the further expansion of trade and investment between the </w:t>
      </w:r>
      <w:proofErr w:type="gramStart"/>
      <w:r w:rsidRPr="00690B03">
        <w:t>Parties</w:t>
      </w:r>
      <w:r w:rsidR="008D318C">
        <w:t>;</w:t>
      </w:r>
      <w:proofErr w:type="gramEnd"/>
    </w:p>
    <w:p w14:paraId="1D57466A" w14:textId="77777777" w:rsidR="00761388" w:rsidRPr="00690B03" w:rsidRDefault="00761388" w:rsidP="000920EB">
      <w:pPr>
        <w:pStyle w:val="ListParagraph"/>
        <w:numPr>
          <w:ilvl w:val="0"/>
          <w:numId w:val="6"/>
        </w:numPr>
        <w:ind w:left="567" w:hanging="567"/>
      </w:pPr>
      <w:r w:rsidRPr="00690B03">
        <w:t>considering any proposal to amend th</w:t>
      </w:r>
      <w:r>
        <w:t>e</w:t>
      </w:r>
      <w:r w:rsidRPr="00690B03">
        <w:t xml:space="preserve"> Agreement and make recommendations to the Parties; and</w:t>
      </w:r>
    </w:p>
    <w:p w14:paraId="38351F1C" w14:textId="77777777" w:rsidR="00761388" w:rsidRPr="00690B03" w:rsidRDefault="00761388" w:rsidP="000920EB">
      <w:pPr>
        <w:pStyle w:val="ListParagraph"/>
        <w:numPr>
          <w:ilvl w:val="0"/>
          <w:numId w:val="6"/>
        </w:numPr>
        <w:ind w:left="567" w:hanging="567"/>
      </w:pPr>
      <w:r w:rsidRPr="00690B03">
        <w:t>considering any other matter that may affect the operation of th</w:t>
      </w:r>
      <w:r>
        <w:t>e</w:t>
      </w:r>
      <w:r w:rsidRPr="00690B03">
        <w:t xml:space="preserve"> Agreement. </w:t>
      </w:r>
    </w:p>
    <w:p w14:paraId="6C9EDB6D" w14:textId="0FE297C2" w:rsidR="00761388" w:rsidRDefault="00761388" w:rsidP="000920EB">
      <w:pPr>
        <w:pStyle w:val="ListParagraph"/>
        <w:numPr>
          <w:ilvl w:val="0"/>
          <w:numId w:val="5"/>
        </w:numPr>
      </w:pPr>
      <w:r w:rsidRPr="003B2319">
        <w:t xml:space="preserve">To date, </w:t>
      </w:r>
      <w:r w:rsidR="008D318C">
        <w:t xml:space="preserve">the </w:t>
      </w:r>
      <w:r w:rsidR="00E567F7">
        <w:t>CPTPP</w:t>
      </w:r>
      <w:r>
        <w:t xml:space="preserve"> </w:t>
      </w:r>
      <w:r w:rsidR="004314BB">
        <w:t>Commission has met on eight occasions</w:t>
      </w:r>
      <w:r w:rsidR="002E2F4B">
        <w:t>.</w:t>
      </w:r>
      <w:r w:rsidR="004913AD">
        <w:rPr>
          <w:rStyle w:val="FootnoteReference"/>
        </w:rPr>
        <w:footnoteReference w:id="57"/>
      </w:r>
      <w:r w:rsidR="004314BB">
        <w:t xml:space="preserve"> </w:t>
      </w:r>
    </w:p>
    <w:p w14:paraId="6FFB7627" w14:textId="24A198D1" w:rsidR="00761388" w:rsidRDefault="00C5327F" w:rsidP="000920EB">
      <w:pPr>
        <w:pStyle w:val="ListParagraph"/>
        <w:numPr>
          <w:ilvl w:val="0"/>
          <w:numId w:val="5"/>
        </w:numPr>
        <w:ind w:left="0" w:firstLine="0"/>
      </w:pPr>
      <w:r>
        <w:t>T</w:t>
      </w:r>
      <w:r w:rsidR="00761388" w:rsidRPr="000D3964">
        <w:t xml:space="preserve">he </w:t>
      </w:r>
      <w:r w:rsidR="004913AD">
        <w:t>F</w:t>
      </w:r>
      <w:r w:rsidR="00761388" w:rsidRPr="000D3964">
        <w:t>irst</w:t>
      </w:r>
      <w:r w:rsidR="004913AD">
        <w:t xml:space="preserve"> CPTPP</w:t>
      </w:r>
      <w:r w:rsidR="00761388" w:rsidRPr="000D3964">
        <w:t xml:space="preserve"> </w:t>
      </w:r>
      <w:r w:rsidR="00761388">
        <w:t>Commission meeting was held in Tokyo</w:t>
      </w:r>
      <w:r w:rsidR="00F31E5D">
        <w:t>, Japan</w:t>
      </w:r>
      <w:r w:rsidR="004913AD">
        <w:t xml:space="preserve"> on 19 January 2019</w:t>
      </w:r>
      <w:r w:rsidR="004314BB">
        <w:t xml:space="preserve"> and </w:t>
      </w:r>
      <w:r w:rsidR="00761388">
        <w:t>adopted a Joint</w:t>
      </w:r>
      <w:r w:rsidR="004314BB">
        <w:t> S</w:t>
      </w:r>
      <w:r w:rsidR="00761388">
        <w:t xml:space="preserve">tatement with four decisions: an approach to the administration of the Agreement, rules of procedures for dispute settlement panels, code of conduct review for </w:t>
      </w:r>
      <w:r w:rsidR="009A1954">
        <w:t>ISDS</w:t>
      </w:r>
      <w:r w:rsidR="00A40B9B">
        <w:t>,</w:t>
      </w:r>
      <w:r w:rsidR="00761388">
        <w:t xml:space="preserve"> and the establishment of a process for dealing with accession request</w:t>
      </w:r>
      <w:r w:rsidR="00A40B9B">
        <w:t>s</w:t>
      </w:r>
      <w:r w:rsidR="00761388">
        <w:t xml:space="preserve">. </w:t>
      </w:r>
    </w:p>
    <w:p w14:paraId="1CF098ED" w14:textId="715AEBE9" w:rsidR="00761388" w:rsidRDefault="00761388" w:rsidP="000920EB">
      <w:pPr>
        <w:pStyle w:val="ListParagraph"/>
        <w:numPr>
          <w:ilvl w:val="0"/>
          <w:numId w:val="5"/>
        </w:numPr>
        <w:ind w:left="0" w:firstLine="0"/>
      </w:pPr>
      <w:r>
        <w:t xml:space="preserve">The </w:t>
      </w:r>
      <w:r w:rsidR="00733758">
        <w:t>S</w:t>
      </w:r>
      <w:r>
        <w:t xml:space="preserve">econd </w:t>
      </w:r>
      <w:r w:rsidR="00BD5F54">
        <w:t xml:space="preserve">CPTPP </w:t>
      </w:r>
      <w:r>
        <w:t xml:space="preserve">Commission meeting was held in </w:t>
      </w:r>
      <w:r w:rsidR="00F31E5D">
        <w:t xml:space="preserve">Auckland, </w:t>
      </w:r>
      <w:r>
        <w:t>New</w:t>
      </w:r>
      <w:r w:rsidR="00665A0A">
        <w:t> </w:t>
      </w:r>
      <w:r>
        <w:t>Zealand</w:t>
      </w:r>
      <w:r w:rsidR="00F31E5D">
        <w:t xml:space="preserve"> on </w:t>
      </w:r>
      <w:r w:rsidR="004E261A">
        <w:t>9 October 2019</w:t>
      </w:r>
      <w:r>
        <w:t>. The Commission a</w:t>
      </w:r>
      <w:r w:rsidRPr="000C6FC5">
        <w:t xml:space="preserve">dopted decisions on its Rules of Procedure </w:t>
      </w:r>
      <w:r>
        <w:t>and established</w:t>
      </w:r>
      <w:r w:rsidRPr="000C6FC5">
        <w:t xml:space="preserve"> a roster of individuals who may be selected to serve as panel chairs to address state-to-state disputes. </w:t>
      </w:r>
    </w:p>
    <w:p w14:paraId="55277F28" w14:textId="0C99A7C1" w:rsidR="00761388" w:rsidRDefault="00761388" w:rsidP="000920EB">
      <w:pPr>
        <w:pStyle w:val="ListParagraph"/>
        <w:numPr>
          <w:ilvl w:val="0"/>
          <w:numId w:val="5"/>
        </w:numPr>
        <w:ind w:left="0" w:firstLine="0"/>
      </w:pPr>
      <w:r>
        <w:lastRenderedPageBreak/>
        <w:t xml:space="preserve">The </w:t>
      </w:r>
      <w:r w:rsidR="00FB333B">
        <w:t>T</w:t>
      </w:r>
      <w:r>
        <w:t xml:space="preserve">hird </w:t>
      </w:r>
      <w:r w:rsidR="00FB333B">
        <w:t xml:space="preserve">CPTPP </w:t>
      </w:r>
      <w:r>
        <w:t>Commission meeting was held virtually</w:t>
      </w:r>
      <w:r w:rsidR="00D81AFE">
        <w:t xml:space="preserve"> on 6 August 202</w:t>
      </w:r>
      <w:r w:rsidR="00413613">
        <w:t>0</w:t>
      </w:r>
      <w:r w:rsidR="00D81AFE">
        <w:t xml:space="preserve"> and</w:t>
      </w:r>
      <w:r>
        <w:t xml:space="preserve"> hosted by Mexico. </w:t>
      </w:r>
      <w:r w:rsidRPr="00F4384C">
        <w:t xml:space="preserve">The Commission instructed Senior Officials to work towards </w:t>
      </w:r>
      <w:r w:rsidR="007263BE">
        <w:t xml:space="preserve">the </w:t>
      </w:r>
      <w:r w:rsidRPr="00F4384C">
        <w:t xml:space="preserve">establishment of a committee on digital trade, and to consider a consolidated plan to advance work on CPTPP-focused initiatives to respond to </w:t>
      </w:r>
      <w:r w:rsidR="008B1928">
        <w:t>COVID-19</w:t>
      </w:r>
      <w:r w:rsidRPr="00F4384C">
        <w:t>.</w:t>
      </w:r>
      <w:r>
        <w:t xml:space="preserve"> </w:t>
      </w:r>
    </w:p>
    <w:p w14:paraId="6746112C" w14:textId="03BFFE5B" w:rsidR="00761388" w:rsidRDefault="00761388" w:rsidP="000920EB">
      <w:pPr>
        <w:pStyle w:val="ListParagraph"/>
        <w:numPr>
          <w:ilvl w:val="0"/>
          <w:numId w:val="5"/>
        </w:numPr>
        <w:ind w:left="0" w:firstLine="0"/>
      </w:pPr>
      <w:r>
        <w:t xml:space="preserve">The </w:t>
      </w:r>
      <w:r w:rsidR="003B6481">
        <w:t>F</w:t>
      </w:r>
      <w:r>
        <w:t>ourth</w:t>
      </w:r>
      <w:r w:rsidR="003B6481">
        <w:t xml:space="preserve"> CPTPP</w:t>
      </w:r>
      <w:r>
        <w:t xml:space="preserve"> Commission meeting was held virtually</w:t>
      </w:r>
      <w:r w:rsidR="00CA7348">
        <w:t xml:space="preserve"> on 2 June 2021 and</w:t>
      </w:r>
      <w:r>
        <w:t xml:space="preserve"> hosted by Japan. T</w:t>
      </w:r>
      <w:r w:rsidRPr="00A111DD">
        <w:t xml:space="preserve">he purpose of the </w:t>
      </w:r>
      <w:r w:rsidR="006D6444">
        <w:t>F</w:t>
      </w:r>
      <w:r w:rsidRPr="00A111DD">
        <w:t xml:space="preserve">ourth Commission meeting was to consider the United Kingdom’s formal request to accede to </w:t>
      </w:r>
      <w:r w:rsidR="00E567F7">
        <w:t>CPTPP</w:t>
      </w:r>
      <w:r w:rsidRPr="00A111DD">
        <w:t xml:space="preserve">. The Commission agreed to commence accession negotiations with the UK and </w:t>
      </w:r>
      <w:r w:rsidR="00286D01">
        <w:t xml:space="preserve">to </w:t>
      </w:r>
      <w:r w:rsidRPr="00A111DD">
        <w:t xml:space="preserve">establish an </w:t>
      </w:r>
      <w:r w:rsidR="007D31A9">
        <w:t>A</w:t>
      </w:r>
      <w:r w:rsidRPr="00A111DD">
        <w:t xml:space="preserve">ccession </w:t>
      </w:r>
      <w:r w:rsidR="007D31A9">
        <w:t>W</w:t>
      </w:r>
      <w:r w:rsidRPr="00A111DD">
        <w:t xml:space="preserve">orking </w:t>
      </w:r>
      <w:r w:rsidR="007D31A9">
        <w:t>G</w:t>
      </w:r>
      <w:r w:rsidRPr="00A111DD">
        <w:t>roup</w:t>
      </w:r>
      <w:r>
        <w:t>.</w:t>
      </w:r>
    </w:p>
    <w:p w14:paraId="060DB78E" w14:textId="070E2079" w:rsidR="00761388" w:rsidRPr="00D5271A" w:rsidRDefault="005F67ED" w:rsidP="000920EB">
      <w:pPr>
        <w:pStyle w:val="ListParagraph"/>
        <w:numPr>
          <w:ilvl w:val="0"/>
          <w:numId w:val="5"/>
        </w:numPr>
        <w:ind w:left="0" w:firstLine="0"/>
      </w:pPr>
      <w:r>
        <w:t>T</w:t>
      </w:r>
      <w:r w:rsidR="00761388" w:rsidRPr="00D5271A">
        <w:t xml:space="preserve">he </w:t>
      </w:r>
      <w:r w:rsidR="00293526">
        <w:t>F</w:t>
      </w:r>
      <w:r w:rsidR="00761388" w:rsidRPr="00D5271A">
        <w:t>ifth</w:t>
      </w:r>
      <w:r w:rsidR="00293526">
        <w:t xml:space="preserve"> CPTPP</w:t>
      </w:r>
      <w:r w:rsidR="00761388" w:rsidRPr="00D5271A">
        <w:t xml:space="preserve"> Commission meeting was held virtually</w:t>
      </w:r>
      <w:r w:rsidR="00886249">
        <w:t xml:space="preserve"> on </w:t>
      </w:r>
      <w:r w:rsidR="00ED66B3">
        <w:t xml:space="preserve">1 September </w:t>
      </w:r>
      <w:r w:rsidR="00886249">
        <w:t>2021 and</w:t>
      </w:r>
      <w:r w:rsidR="00761388" w:rsidRPr="00D5271A">
        <w:t xml:space="preserve"> hosted </w:t>
      </w:r>
      <w:r w:rsidR="00886249">
        <w:t>by</w:t>
      </w:r>
      <w:r w:rsidR="00761388" w:rsidRPr="00D5271A">
        <w:t xml:space="preserve"> Japan. </w:t>
      </w:r>
      <w:r w:rsidR="00761388">
        <w:t xml:space="preserve">The </w:t>
      </w:r>
      <w:r w:rsidR="00761388" w:rsidRPr="00D5271A">
        <w:t>Commission reaffirmed their commitment to achieve a successful outcome at the 12th WTO Ministerial Conference and took note of the progress to date on the U</w:t>
      </w:r>
      <w:r w:rsidR="004B2D89">
        <w:t>K</w:t>
      </w:r>
      <w:r w:rsidR="00761388" w:rsidRPr="00D5271A">
        <w:t xml:space="preserve">'s accession to </w:t>
      </w:r>
      <w:r w:rsidR="00E567F7">
        <w:t>CPTPP</w:t>
      </w:r>
      <w:r w:rsidR="00761388" w:rsidRPr="00D5271A">
        <w:t>.</w:t>
      </w:r>
    </w:p>
    <w:p w14:paraId="57476BA5" w14:textId="27101285" w:rsidR="00761388" w:rsidRDefault="00761388" w:rsidP="000920EB">
      <w:pPr>
        <w:pStyle w:val="ListParagraph"/>
        <w:numPr>
          <w:ilvl w:val="0"/>
          <w:numId w:val="5"/>
        </w:numPr>
        <w:ind w:left="0" w:firstLine="0"/>
      </w:pPr>
      <w:r>
        <w:t xml:space="preserve">The </w:t>
      </w:r>
      <w:r w:rsidR="00293526">
        <w:t>S</w:t>
      </w:r>
      <w:r>
        <w:t>ixth</w:t>
      </w:r>
      <w:r w:rsidR="00293526">
        <w:t xml:space="preserve"> CPTPP</w:t>
      </w:r>
      <w:r>
        <w:t xml:space="preserve"> Commission meeting was held in Singapore</w:t>
      </w:r>
      <w:r w:rsidR="00E13AA0">
        <w:t xml:space="preserve"> on 8 </w:t>
      </w:r>
      <w:r w:rsidR="00CB0A69">
        <w:t>October 2022</w:t>
      </w:r>
      <w:r>
        <w:t xml:space="preserve">. </w:t>
      </w:r>
      <w:r w:rsidRPr="0031621D">
        <w:t xml:space="preserve">The meeting was an opportunity for the Commission to reflect on implementation of the Agreement against the backdrop of </w:t>
      </w:r>
      <w:r w:rsidR="008B1928">
        <w:t>COVID-19</w:t>
      </w:r>
      <w:r w:rsidRPr="0031621D">
        <w:t xml:space="preserve"> economic recovery and increasing global uncertainty. </w:t>
      </w:r>
    </w:p>
    <w:p w14:paraId="69F98775" w14:textId="23BF08A8" w:rsidR="00761388" w:rsidRDefault="00761388" w:rsidP="000920EB">
      <w:pPr>
        <w:pStyle w:val="ListParagraph"/>
        <w:numPr>
          <w:ilvl w:val="0"/>
          <w:numId w:val="5"/>
        </w:numPr>
        <w:ind w:left="0" w:firstLine="0"/>
      </w:pPr>
      <w:r>
        <w:t xml:space="preserve">The </w:t>
      </w:r>
      <w:r w:rsidR="00C72301">
        <w:t>S</w:t>
      </w:r>
      <w:r>
        <w:t>eventh</w:t>
      </w:r>
      <w:r w:rsidR="00C72301">
        <w:t xml:space="preserve"> CPTPP</w:t>
      </w:r>
      <w:r>
        <w:t xml:space="preserve"> Commission meeting was held in Auckland, New Zealand</w:t>
      </w:r>
      <w:r w:rsidR="00C72301">
        <w:t xml:space="preserve"> on </w:t>
      </w:r>
      <w:r w:rsidR="000201F5">
        <w:t>16 July 2023</w:t>
      </w:r>
      <w:r>
        <w:t>. T</w:t>
      </w:r>
      <w:r w:rsidRPr="00DB710C">
        <w:t>he meeting was an opportunity to reflect on the continuing implementation of the Agreement. The Membership also welcomed the United</w:t>
      </w:r>
      <w:r w:rsidR="004C0A98">
        <w:t> </w:t>
      </w:r>
      <w:r w:rsidRPr="00DB710C">
        <w:t xml:space="preserve">Kingdom as </w:t>
      </w:r>
      <w:r w:rsidR="00E567F7">
        <w:t>CPTPP</w:t>
      </w:r>
      <w:r w:rsidRPr="00DB710C">
        <w:t>’s newest signatory.</w:t>
      </w:r>
    </w:p>
    <w:p w14:paraId="6D2CEB44" w14:textId="2832ABC0" w:rsidR="00DE2B0B" w:rsidRDefault="00DE2B0B" w:rsidP="000920EB">
      <w:pPr>
        <w:pStyle w:val="ListParagraph"/>
        <w:numPr>
          <w:ilvl w:val="0"/>
          <w:numId w:val="5"/>
        </w:numPr>
        <w:ind w:left="0" w:firstLine="0"/>
      </w:pPr>
      <w:r>
        <w:t xml:space="preserve">The Eight CPTPP Commission meeting was held in Vancouver, Canada on </w:t>
      </w:r>
      <w:r w:rsidR="00E422A5">
        <w:t xml:space="preserve">29 November 2024. </w:t>
      </w:r>
      <w:r w:rsidR="00311917">
        <w:t>Member announced</w:t>
      </w:r>
      <w:r w:rsidR="00E70E39">
        <w:t xml:space="preserve"> </w:t>
      </w:r>
      <w:r w:rsidR="004C0A98">
        <w:t>that an Accession Working Group would be started for Costa Rica</w:t>
      </w:r>
      <w:r w:rsidR="00F231EF">
        <w:t xml:space="preserve"> to commence negotiations with CPTPP members</w:t>
      </w:r>
      <w:r w:rsidR="004C0A98">
        <w:t xml:space="preserve">. </w:t>
      </w:r>
    </w:p>
    <w:p w14:paraId="24CE90A3" w14:textId="06EC4465" w:rsidR="00761388" w:rsidRDefault="00761388" w:rsidP="000920EB">
      <w:pPr>
        <w:pStyle w:val="ListParagraph"/>
        <w:numPr>
          <w:ilvl w:val="0"/>
          <w:numId w:val="5"/>
        </w:numPr>
        <w:ind w:left="0" w:firstLine="0"/>
      </w:pPr>
      <w:r>
        <w:t>Joint Ministerial Statements and summar</w:t>
      </w:r>
      <w:r w:rsidR="008F2DD0">
        <w:t>ies</w:t>
      </w:r>
      <w:r>
        <w:t xml:space="preserve"> are published on the DFAT </w:t>
      </w:r>
      <w:hyperlink r:id="rId35" w:history="1">
        <w:r w:rsidRPr="00287286">
          <w:rPr>
            <w:rStyle w:val="Hyperlink"/>
          </w:rPr>
          <w:t>website</w:t>
        </w:r>
      </w:hyperlink>
      <w:r w:rsidR="005465EE">
        <w:t>.</w:t>
      </w:r>
    </w:p>
    <w:p w14:paraId="31C9B623" w14:textId="6C841EA7" w:rsidR="00154024" w:rsidRPr="005261AD" w:rsidRDefault="00154024" w:rsidP="00154024">
      <w:pPr>
        <w:pStyle w:val="Heading2"/>
        <w:rPr>
          <w:rFonts w:eastAsiaTheme="minorHAnsi" w:cstheme="minorBidi"/>
          <w:iCs/>
          <w:color w:val="auto"/>
          <w:sz w:val="22"/>
          <w:szCs w:val="22"/>
        </w:rPr>
      </w:pPr>
      <w:r>
        <w:rPr>
          <w:rFonts w:eastAsiaTheme="minorHAnsi" w:cstheme="minorBidi"/>
          <w:iCs/>
          <w:color w:val="auto"/>
          <w:sz w:val="22"/>
          <w:szCs w:val="22"/>
        </w:rPr>
        <w:t>CPTPP General Review</w:t>
      </w:r>
    </w:p>
    <w:p w14:paraId="3BF50212" w14:textId="5648E7D8" w:rsidR="00154024" w:rsidRDefault="009E5D00" w:rsidP="00117C59">
      <w:pPr>
        <w:pStyle w:val="ListParagraph"/>
        <w:numPr>
          <w:ilvl w:val="0"/>
          <w:numId w:val="5"/>
        </w:numPr>
        <w:ind w:left="0" w:firstLine="0"/>
      </w:pPr>
      <w:r>
        <w:t xml:space="preserve">On 15 November 2023, CPTPP </w:t>
      </w:r>
      <w:r w:rsidR="00850491">
        <w:t xml:space="preserve">members agreed to </w:t>
      </w:r>
      <w:r w:rsidR="00B05AD8">
        <w:t>the Terms of Reference for Conducting a General</w:t>
      </w:r>
      <w:r w:rsidR="00D84C8A">
        <w:t> </w:t>
      </w:r>
      <w:r w:rsidR="00B05AD8">
        <w:t>Review of CPTPP</w:t>
      </w:r>
      <w:r>
        <w:t xml:space="preserve"> with a view to updating and enhancing the Agreement</w:t>
      </w:r>
      <w:r w:rsidR="00D03463">
        <w:t xml:space="preserve"> </w:t>
      </w:r>
      <w:r w:rsidR="00E27B6D">
        <w:t xml:space="preserve">by the 2025 CPTPP Commission </w:t>
      </w:r>
      <w:r w:rsidR="00C5327F">
        <w:t>Meeting</w:t>
      </w:r>
      <w:r w:rsidR="00CB177B">
        <w:t>.</w:t>
      </w:r>
      <w:r w:rsidR="00D03463">
        <w:rPr>
          <w:rStyle w:val="FootnoteReference"/>
        </w:rPr>
        <w:footnoteReference w:id="58"/>
      </w:r>
    </w:p>
    <w:p w14:paraId="01D88DA5" w14:textId="3A73CCF8" w:rsidR="00D84C8A" w:rsidRDefault="00A15D21" w:rsidP="000920EB">
      <w:pPr>
        <w:pStyle w:val="ListParagraph"/>
        <w:numPr>
          <w:ilvl w:val="0"/>
          <w:numId w:val="5"/>
        </w:numPr>
        <w:ind w:left="0" w:firstLine="0"/>
      </w:pPr>
      <w:r>
        <w:t xml:space="preserve">The objectives of the </w:t>
      </w:r>
      <w:r w:rsidR="007A5359">
        <w:t xml:space="preserve">CPTPP </w:t>
      </w:r>
      <w:r>
        <w:t>General Review</w:t>
      </w:r>
      <w:r w:rsidR="009E5D00">
        <w:t xml:space="preserve"> </w:t>
      </w:r>
      <w:r w:rsidR="00CB177B">
        <w:t>are</w:t>
      </w:r>
      <w:r w:rsidR="007F5796">
        <w:t xml:space="preserve"> to</w:t>
      </w:r>
      <w:r w:rsidR="009E5D00">
        <w:t>:</w:t>
      </w:r>
    </w:p>
    <w:p w14:paraId="20714660" w14:textId="2B1E9CD8" w:rsidR="00D406CC" w:rsidRDefault="00D406CC" w:rsidP="000920EB">
      <w:pPr>
        <w:pStyle w:val="ListParagraph"/>
        <w:numPr>
          <w:ilvl w:val="0"/>
          <w:numId w:val="6"/>
        </w:numPr>
        <w:ind w:left="567" w:hanging="567"/>
      </w:pPr>
      <w:r>
        <w:t xml:space="preserve">Review the operation of </w:t>
      </w:r>
      <w:r w:rsidR="00E567F7">
        <w:t>CPTPP</w:t>
      </w:r>
      <w:r>
        <w:t xml:space="preserve"> to ensure the disciplines contained in the Agreement remain relevant to the trade and investment issues and challenges confronting the Members.</w:t>
      </w:r>
    </w:p>
    <w:p w14:paraId="34A5A77E" w14:textId="77777777" w:rsidR="00D406CC" w:rsidRDefault="00D406CC" w:rsidP="000920EB">
      <w:pPr>
        <w:pStyle w:val="ListParagraph"/>
        <w:numPr>
          <w:ilvl w:val="0"/>
          <w:numId w:val="6"/>
        </w:numPr>
        <w:ind w:left="567" w:hanging="567"/>
      </w:pPr>
      <w:r>
        <w:lastRenderedPageBreak/>
        <w:t>Identify provisions that would benefit from revision or updating, and the potential for the development of new provisions or Chapters.</w:t>
      </w:r>
    </w:p>
    <w:p w14:paraId="521765B6" w14:textId="611CA9F4" w:rsidR="00D406CC" w:rsidRDefault="00D406CC" w:rsidP="000920EB">
      <w:pPr>
        <w:pStyle w:val="ListParagraph"/>
        <w:numPr>
          <w:ilvl w:val="0"/>
          <w:numId w:val="6"/>
        </w:numPr>
        <w:ind w:left="567" w:hanging="567"/>
      </w:pPr>
      <w:r>
        <w:t xml:space="preserve">Review the operation of </w:t>
      </w:r>
      <w:r w:rsidR="00E567F7">
        <w:t>CPTPP</w:t>
      </w:r>
      <w:r>
        <w:t xml:space="preserve"> with a view to identifying ways to facilitate maximum utilisation of </w:t>
      </w:r>
      <w:r w:rsidR="00E567F7">
        <w:t>CPTPP</w:t>
      </w:r>
      <w:r>
        <w:t xml:space="preserve"> by traders and investors and to improve the uptake of the Agreement.</w:t>
      </w:r>
    </w:p>
    <w:p w14:paraId="566747D6" w14:textId="66A5E842" w:rsidR="00D406CC" w:rsidRDefault="00D406CC" w:rsidP="000920EB">
      <w:pPr>
        <w:pStyle w:val="ListParagraph"/>
        <w:numPr>
          <w:ilvl w:val="0"/>
          <w:numId w:val="6"/>
        </w:numPr>
        <w:ind w:left="567" w:hanging="567"/>
      </w:pPr>
      <w:r>
        <w:t>Ensure the Agreement remains of the highest possible standard.</w:t>
      </w:r>
    </w:p>
    <w:p w14:paraId="514C7C43" w14:textId="6CED23FD" w:rsidR="00BC6FFA" w:rsidRDefault="00E27B6D" w:rsidP="000920EB">
      <w:pPr>
        <w:pStyle w:val="ListParagraph"/>
        <w:numPr>
          <w:ilvl w:val="0"/>
          <w:numId w:val="5"/>
        </w:numPr>
        <w:ind w:left="0" w:firstLine="0"/>
      </w:pPr>
      <w:r>
        <w:t xml:space="preserve">To achieve the objectives of the General Review, it would consider </w:t>
      </w:r>
      <w:r w:rsidR="001B7510">
        <w:t>how CPTPP could:</w:t>
      </w:r>
    </w:p>
    <w:p w14:paraId="108585F9" w14:textId="529B61C4" w:rsidR="001B7510" w:rsidRDefault="001B7510" w:rsidP="000920EB">
      <w:pPr>
        <w:pStyle w:val="ListParagraph"/>
        <w:numPr>
          <w:ilvl w:val="0"/>
          <w:numId w:val="6"/>
        </w:numPr>
        <w:ind w:left="567" w:hanging="567"/>
      </w:pPr>
      <w:r>
        <w:t xml:space="preserve">Facilitate maximum utilisation of </w:t>
      </w:r>
      <w:r w:rsidR="00E567F7">
        <w:t>CPTPP</w:t>
      </w:r>
      <w:r>
        <w:t xml:space="preserve"> by traders and investors and to improve the uptake of the Agreement, particularly by micro, small and medium enterprises (MSMEs).</w:t>
      </w:r>
    </w:p>
    <w:p w14:paraId="6D715CA6" w14:textId="76169DE7" w:rsidR="001B7510" w:rsidRDefault="001B7510" w:rsidP="000920EB">
      <w:pPr>
        <w:pStyle w:val="ListParagraph"/>
        <w:numPr>
          <w:ilvl w:val="0"/>
          <w:numId w:val="6"/>
        </w:numPr>
        <w:ind w:left="567" w:hanging="567"/>
      </w:pPr>
      <w:r>
        <w:t>Continue to promote trade and investment to bring economic growth and social benefits, create new opportunities for workers and businesses, contribute to raising living standards, benefit consumers, reduce poverty and promote sustainable growth</w:t>
      </w:r>
      <w:r w:rsidR="009C5620">
        <w:t>.</w:t>
      </w:r>
    </w:p>
    <w:p w14:paraId="30FC392D" w14:textId="16F27F3D" w:rsidR="001B7510" w:rsidRDefault="001B7510" w:rsidP="000920EB">
      <w:pPr>
        <w:pStyle w:val="ListParagraph"/>
        <w:numPr>
          <w:ilvl w:val="0"/>
          <w:numId w:val="6"/>
        </w:numPr>
        <w:ind w:left="567" w:hanging="567"/>
      </w:pPr>
      <w:r>
        <w:t xml:space="preserve">Reinforce the links between trade, </w:t>
      </w:r>
      <w:r w:rsidR="00E567F7">
        <w:t>CPTPP</w:t>
      </w:r>
      <w:r>
        <w:t>, and evolving global environmental issues including climate change and biodiversity loss</w:t>
      </w:r>
      <w:r w:rsidR="009C5620">
        <w:t>.</w:t>
      </w:r>
    </w:p>
    <w:p w14:paraId="572A4A57" w14:textId="7FB95344" w:rsidR="001B7510" w:rsidRDefault="001B7510" w:rsidP="000920EB">
      <w:pPr>
        <w:pStyle w:val="ListParagraph"/>
        <w:numPr>
          <w:ilvl w:val="0"/>
          <w:numId w:val="6"/>
        </w:numPr>
        <w:ind w:left="567" w:hanging="567"/>
      </w:pPr>
      <w:r>
        <w:t>Continue to uphold labour rights improve working conditions and living standards, strengthen cooperation and capacity on labour issues</w:t>
      </w:r>
      <w:r w:rsidR="009C5620">
        <w:t>.</w:t>
      </w:r>
    </w:p>
    <w:p w14:paraId="0C72C107" w14:textId="6DC41729" w:rsidR="001B7510" w:rsidRDefault="001B7510" w:rsidP="000920EB">
      <w:pPr>
        <w:pStyle w:val="ListParagraph"/>
        <w:numPr>
          <w:ilvl w:val="0"/>
          <w:numId w:val="6"/>
        </w:numPr>
        <w:ind w:left="567" w:hanging="567"/>
      </w:pPr>
      <w:proofErr w:type="gramStart"/>
      <w:r>
        <w:t>Take into account</w:t>
      </w:r>
      <w:proofErr w:type="gramEnd"/>
      <w:r>
        <w:t xml:space="preserve"> developments in international fora and the level of ambition in other agreements concluded by Members</w:t>
      </w:r>
      <w:r w:rsidR="009C5620">
        <w:t>.</w:t>
      </w:r>
    </w:p>
    <w:p w14:paraId="2963DFB8" w14:textId="63A545B9" w:rsidR="001B7510" w:rsidRDefault="001B7510" w:rsidP="000920EB">
      <w:pPr>
        <w:pStyle w:val="ListParagraph"/>
        <w:numPr>
          <w:ilvl w:val="0"/>
          <w:numId w:val="6"/>
        </w:numPr>
        <w:ind w:left="567" w:hanging="567"/>
      </w:pPr>
      <w:r>
        <w:t>Demonstrate leadership on emerging issues in areas such as the digital and the green economy</w:t>
      </w:r>
      <w:r w:rsidR="009C5620">
        <w:t>.</w:t>
      </w:r>
    </w:p>
    <w:p w14:paraId="778A55D4" w14:textId="3E09A73A" w:rsidR="001B7510" w:rsidRDefault="001B7510" w:rsidP="000920EB">
      <w:pPr>
        <w:pStyle w:val="ListParagraph"/>
        <w:numPr>
          <w:ilvl w:val="0"/>
          <w:numId w:val="6"/>
        </w:numPr>
        <w:ind w:left="567" w:hanging="567"/>
      </w:pPr>
      <w:r>
        <w:t>Explore opportunities to promote inclusive and sustainable outcomes, including with respect to trade and Indigenous Peoples, where applicable to the Members</w:t>
      </w:r>
      <w:r w:rsidR="009C5620">
        <w:t>.</w:t>
      </w:r>
    </w:p>
    <w:p w14:paraId="110BAADE" w14:textId="101982F4" w:rsidR="001B7510" w:rsidRDefault="001B7510" w:rsidP="000920EB">
      <w:pPr>
        <w:pStyle w:val="ListParagraph"/>
        <w:numPr>
          <w:ilvl w:val="0"/>
          <w:numId w:val="6"/>
        </w:numPr>
        <w:ind w:left="567" w:hanging="567"/>
      </w:pPr>
      <w:r>
        <w:t xml:space="preserve">Support global value </w:t>
      </w:r>
      <w:proofErr w:type="gramStart"/>
      <w:r>
        <w:t>chains, and</w:t>
      </w:r>
      <w:proofErr w:type="gramEnd"/>
      <w:r>
        <w:t xml:space="preserve"> strengthen supply chain resilience to help Members to withstand external shocks and disruption</w:t>
      </w:r>
      <w:r w:rsidR="009C5620">
        <w:t>.</w:t>
      </w:r>
    </w:p>
    <w:p w14:paraId="07A6BC13" w14:textId="447D2625" w:rsidR="001B7510" w:rsidRDefault="001B7510" w:rsidP="000920EB">
      <w:pPr>
        <w:pStyle w:val="ListParagraph"/>
        <w:numPr>
          <w:ilvl w:val="0"/>
          <w:numId w:val="6"/>
        </w:numPr>
        <w:ind w:left="567" w:hanging="567"/>
      </w:pPr>
      <w:r>
        <w:t>Explore ways to further address the challenges posed by market-distorting practices</w:t>
      </w:r>
      <w:r w:rsidR="009C5620">
        <w:t>.</w:t>
      </w:r>
    </w:p>
    <w:p w14:paraId="2289EBF0" w14:textId="3311EBF0" w:rsidR="001B7510" w:rsidRDefault="001B7510" w:rsidP="000920EB">
      <w:pPr>
        <w:pStyle w:val="ListParagraph"/>
        <w:numPr>
          <w:ilvl w:val="0"/>
          <w:numId w:val="6"/>
        </w:numPr>
        <w:ind w:left="567" w:hanging="567"/>
      </w:pPr>
      <w:r>
        <w:t xml:space="preserve">Further reflect on Members' interests in the context of </w:t>
      </w:r>
      <w:r w:rsidR="00E567F7">
        <w:t>CPTPP</w:t>
      </w:r>
      <w:r>
        <w:t>'s Investor-State Dispute Settlement mechanism</w:t>
      </w:r>
      <w:r w:rsidR="009C5620">
        <w:t>.</w:t>
      </w:r>
    </w:p>
    <w:p w14:paraId="202D1129" w14:textId="57918FA8" w:rsidR="001B7510" w:rsidRDefault="001B7510" w:rsidP="000920EB">
      <w:pPr>
        <w:pStyle w:val="ListParagraph"/>
        <w:numPr>
          <w:ilvl w:val="0"/>
          <w:numId w:val="6"/>
        </w:numPr>
        <w:ind w:left="567" w:hanging="567"/>
      </w:pPr>
      <w:r>
        <w:t xml:space="preserve">Identify areas of mutual interest to ensure the Agreement remains the </w:t>
      </w:r>
      <w:r w:rsidR="0042562F">
        <w:t xml:space="preserve">gold standard </w:t>
      </w:r>
      <w:r>
        <w:t>for trade agreements</w:t>
      </w:r>
      <w:r w:rsidR="009C5620">
        <w:t>.</w:t>
      </w:r>
    </w:p>
    <w:p w14:paraId="7BF8037E" w14:textId="3A81911A" w:rsidR="001B7510" w:rsidRDefault="001B7510" w:rsidP="000920EB">
      <w:pPr>
        <w:pStyle w:val="ListParagraph"/>
        <w:numPr>
          <w:ilvl w:val="0"/>
          <w:numId w:val="6"/>
        </w:numPr>
        <w:ind w:left="567" w:hanging="567"/>
      </w:pPr>
      <w:r>
        <w:lastRenderedPageBreak/>
        <w:t>Affirm the Agreement's full implementation and identify areas for cooperation towards better operation of the Agreement</w:t>
      </w:r>
      <w:r w:rsidR="009C5620">
        <w:t>.</w:t>
      </w:r>
    </w:p>
    <w:p w14:paraId="74AB026A" w14:textId="67B37EFA" w:rsidR="001B7510" w:rsidRDefault="001B7510" w:rsidP="000920EB">
      <w:pPr>
        <w:pStyle w:val="ListParagraph"/>
        <w:numPr>
          <w:ilvl w:val="0"/>
          <w:numId w:val="6"/>
        </w:numPr>
        <w:ind w:left="567" w:hanging="567"/>
      </w:pPr>
      <w:r>
        <w:t xml:space="preserve">Identify ways to improve the monitoring mechanism of </w:t>
      </w:r>
      <w:r w:rsidR="00E567F7">
        <w:t>CPTPP</w:t>
      </w:r>
      <w:r>
        <w:t xml:space="preserve"> to ensure effective implementation and operation of the Agreement as well as any related side instruments between Members (as decided by the parties to each instrument)</w:t>
      </w:r>
      <w:r w:rsidR="009C5620">
        <w:t>.</w:t>
      </w:r>
    </w:p>
    <w:p w14:paraId="176CD8D9" w14:textId="5F889045" w:rsidR="001B7510" w:rsidRDefault="001B7510" w:rsidP="000920EB">
      <w:pPr>
        <w:pStyle w:val="ListParagraph"/>
        <w:numPr>
          <w:ilvl w:val="0"/>
          <w:numId w:val="6"/>
        </w:numPr>
        <w:ind w:left="567" w:hanging="567"/>
      </w:pPr>
      <w:r>
        <w:t>Further complement the rules based multilateral trading system, with the World Trade Organisation (WTO) at its core, including as a means for responding to economic coercion.</w:t>
      </w:r>
    </w:p>
    <w:p w14:paraId="66B8E868" w14:textId="420A48CE" w:rsidR="00761388" w:rsidRPr="005261AD" w:rsidRDefault="00761388" w:rsidP="00761388">
      <w:pPr>
        <w:pStyle w:val="Heading2"/>
        <w:rPr>
          <w:rFonts w:eastAsiaTheme="minorHAnsi" w:cstheme="minorBidi"/>
          <w:iCs/>
          <w:color w:val="auto"/>
          <w:sz w:val="22"/>
          <w:szCs w:val="22"/>
        </w:rPr>
      </w:pPr>
      <w:r w:rsidRPr="005261AD">
        <w:rPr>
          <w:rFonts w:eastAsiaTheme="minorHAnsi" w:cstheme="minorBidi"/>
          <w:iCs/>
          <w:color w:val="auto"/>
          <w:sz w:val="22"/>
          <w:szCs w:val="22"/>
        </w:rPr>
        <w:t xml:space="preserve">FTA Seminars, FTA Portal and other support for businesses on FTAs </w:t>
      </w:r>
    </w:p>
    <w:p w14:paraId="5EB8BE96" w14:textId="46F47745" w:rsidR="00761388" w:rsidRPr="00690B03" w:rsidRDefault="00761388" w:rsidP="000920EB">
      <w:pPr>
        <w:pStyle w:val="ListParagraph"/>
        <w:numPr>
          <w:ilvl w:val="0"/>
          <w:numId w:val="5"/>
        </w:numPr>
        <w:ind w:left="0" w:firstLine="0"/>
      </w:pPr>
      <w:r w:rsidRPr="00690B03">
        <w:t xml:space="preserve">Implementation of Australia’s FTAs have been supported </w:t>
      </w:r>
      <w:r w:rsidR="00E641AD">
        <w:t>through</w:t>
      </w:r>
      <w:r w:rsidRPr="00690B03">
        <w:t xml:space="preserve"> a significant investment by the Government to promote increased business awareness and use of opportunities under Australia’s FTAs.  </w:t>
      </w:r>
    </w:p>
    <w:p w14:paraId="70747467" w14:textId="77777777" w:rsidR="00761388" w:rsidRPr="00690B03" w:rsidRDefault="00761388" w:rsidP="000920EB">
      <w:pPr>
        <w:pStyle w:val="ListParagraph"/>
        <w:numPr>
          <w:ilvl w:val="0"/>
          <w:numId w:val="5"/>
        </w:numPr>
        <w:ind w:left="0" w:firstLine="0"/>
      </w:pPr>
      <w:r w:rsidRPr="00690B03">
        <w:t xml:space="preserve">The Government has sought to increase SMEs and other businesses’ awareness and use of </w:t>
      </w:r>
      <w:r>
        <w:t>CPTPP</w:t>
      </w:r>
      <w:r w:rsidRPr="00690B03">
        <w:t xml:space="preserve"> and other FTAs including through: </w:t>
      </w:r>
    </w:p>
    <w:p w14:paraId="3EA2938C" w14:textId="15EB7F99" w:rsidR="00761388" w:rsidRPr="00690B03" w:rsidRDefault="00761388" w:rsidP="000920EB">
      <w:pPr>
        <w:pStyle w:val="ListParagraph"/>
        <w:numPr>
          <w:ilvl w:val="0"/>
          <w:numId w:val="6"/>
        </w:numPr>
        <w:ind w:left="567" w:hanging="567"/>
      </w:pPr>
      <w:r w:rsidRPr="00690B03">
        <w:t xml:space="preserve">FTA information seminars and </w:t>
      </w:r>
      <w:proofErr w:type="gramStart"/>
      <w:r w:rsidRPr="00690B03">
        <w:t>webinars</w:t>
      </w:r>
      <w:r w:rsidR="0044068E">
        <w:t>;</w:t>
      </w:r>
      <w:proofErr w:type="gramEnd"/>
    </w:p>
    <w:p w14:paraId="7E032CB6" w14:textId="350A7042" w:rsidR="00761388" w:rsidRPr="00690B03" w:rsidRDefault="00761388" w:rsidP="000920EB">
      <w:pPr>
        <w:pStyle w:val="ListParagraph"/>
        <w:numPr>
          <w:ilvl w:val="0"/>
          <w:numId w:val="6"/>
        </w:numPr>
        <w:ind w:left="567" w:hanging="567"/>
      </w:pPr>
      <w:r w:rsidRPr="00690B03">
        <w:t xml:space="preserve">bespoke advocacy for domestic </w:t>
      </w:r>
      <w:proofErr w:type="gramStart"/>
      <w:r w:rsidRPr="00690B03">
        <w:t>stakeholders</w:t>
      </w:r>
      <w:r w:rsidR="0044068E">
        <w:t>;</w:t>
      </w:r>
      <w:proofErr w:type="gramEnd"/>
    </w:p>
    <w:p w14:paraId="5AD72D90" w14:textId="7641211D" w:rsidR="00761388" w:rsidRPr="00690B03" w:rsidRDefault="00761388" w:rsidP="000920EB">
      <w:pPr>
        <w:pStyle w:val="ListParagraph"/>
        <w:numPr>
          <w:ilvl w:val="0"/>
          <w:numId w:val="6"/>
        </w:numPr>
        <w:ind w:left="567" w:hanging="567"/>
      </w:pPr>
      <w:r w:rsidRPr="00690B03">
        <w:t xml:space="preserve">detailed on-line </w:t>
      </w:r>
      <w:r>
        <w:t>CPTPP</w:t>
      </w:r>
      <w:r w:rsidRPr="00690B03">
        <w:t xml:space="preserve"> information, including business guides and case </w:t>
      </w:r>
      <w:proofErr w:type="gramStart"/>
      <w:r w:rsidRPr="00690B03">
        <w:t>studies</w:t>
      </w:r>
      <w:r w:rsidR="0044068E">
        <w:t>;</w:t>
      </w:r>
      <w:proofErr w:type="gramEnd"/>
    </w:p>
    <w:p w14:paraId="0BFBD970" w14:textId="77777777" w:rsidR="00761388" w:rsidRPr="00690B03" w:rsidRDefault="00761388" w:rsidP="000920EB">
      <w:pPr>
        <w:pStyle w:val="ListParagraph"/>
        <w:numPr>
          <w:ilvl w:val="0"/>
          <w:numId w:val="6"/>
        </w:numPr>
        <w:ind w:left="567" w:hanging="567"/>
      </w:pPr>
      <w:r w:rsidRPr="00690B03">
        <w:t xml:space="preserve">FTA-specific email inboxes where businesses and members of the public can contact experts with specific questions or issues relating to </w:t>
      </w:r>
      <w:r>
        <w:t xml:space="preserve">CPTPP </w:t>
      </w:r>
      <w:r w:rsidRPr="00690B03">
        <w:t>and other FTAs; and</w:t>
      </w:r>
    </w:p>
    <w:p w14:paraId="57D15548" w14:textId="2119CF6F" w:rsidR="00761388" w:rsidRPr="00690B03" w:rsidRDefault="00761388" w:rsidP="000920EB">
      <w:pPr>
        <w:pStyle w:val="ListParagraph"/>
        <w:numPr>
          <w:ilvl w:val="0"/>
          <w:numId w:val="6"/>
        </w:numPr>
        <w:ind w:left="567" w:hanging="567"/>
      </w:pPr>
      <w:r w:rsidRPr="00690B03">
        <w:t>developing a modern online FTA Portal for businesses</w:t>
      </w:r>
      <w:r w:rsidR="00F56717">
        <w:t>, that includes comparisons on product specific rules by relevant FTAs</w:t>
      </w:r>
      <w:r w:rsidRPr="00690B03">
        <w:t xml:space="preserve">.  </w:t>
      </w:r>
    </w:p>
    <w:p w14:paraId="14C1A2D2" w14:textId="18306CF3" w:rsidR="00761388" w:rsidRPr="008D5DB6" w:rsidRDefault="00761388" w:rsidP="000920EB">
      <w:pPr>
        <w:pStyle w:val="ListParagraph"/>
        <w:numPr>
          <w:ilvl w:val="0"/>
          <w:numId w:val="5"/>
        </w:numPr>
        <w:ind w:left="0" w:firstLine="0"/>
      </w:pPr>
      <w:r>
        <w:t>In re</w:t>
      </w:r>
      <w:r w:rsidR="005C1547">
        <w:t>lation</w:t>
      </w:r>
      <w:r>
        <w:t xml:space="preserve"> </w:t>
      </w:r>
      <w:r w:rsidR="005C1547">
        <w:t>to</w:t>
      </w:r>
      <w:r>
        <w:t xml:space="preserve"> </w:t>
      </w:r>
      <w:r w:rsidRPr="008D5DB6">
        <w:t xml:space="preserve">the FTA information seminars about </w:t>
      </w:r>
      <w:r>
        <w:t xml:space="preserve">CPTPP </w:t>
      </w:r>
      <w:r w:rsidRPr="008D5DB6">
        <w:t>and other FTAs, DFAT and Austrade delivered over 130 seminars since March 2015, engaging with more than 5</w:t>
      </w:r>
      <w:r w:rsidR="004F69EE">
        <w:t>,</w:t>
      </w:r>
      <w:r w:rsidRPr="008D5DB6">
        <w:t xml:space="preserve">500 business and other representatives, with around two-thirds of the seminars held in regional areas. </w:t>
      </w:r>
      <w:r>
        <w:t xml:space="preserve">Due to </w:t>
      </w:r>
      <w:r w:rsidR="008B1928">
        <w:t>COVID-19</w:t>
      </w:r>
      <w:r>
        <w:t xml:space="preserve">, the seminars were adapted to webinars from early 2020.  </w:t>
      </w:r>
      <w:r w:rsidRPr="008D5DB6">
        <w:t xml:space="preserve">Between May and </w:t>
      </w:r>
      <w:r>
        <w:t>November</w:t>
      </w:r>
      <w:r w:rsidRPr="008D5DB6">
        <w:t xml:space="preserve"> 2020 1</w:t>
      </w:r>
      <w:r>
        <w:t>2</w:t>
      </w:r>
      <w:r w:rsidRPr="008D5DB6">
        <w:t xml:space="preserve"> FTA webinars have been held involving over </w:t>
      </w:r>
      <w:r>
        <w:t>5,00</w:t>
      </w:r>
      <w:r w:rsidRPr="008D5DB6">
        <w:t>0 participants.  Feedback from seminars and webinars indicates that they are highly</w:t>
      </w:r>
      <w:r>
        <w:t xml:space="preserve"> </w:t>
      </w:r>
      <w:r w:rsidRPr="008D5DB6">
        <w:t xml:space="preserve">valued by the participants. </w:t>
      </w:r>
    </w:p>
    <w:p w14:paraId="639008D6" w14:textId="6134970B" w:rsidR="00761388" w:rsidRPr="004D180C" w:rsidRDefault="00761388" w:rsidP="000920EB">
      <w:pPr>
        <w:pStyle w:val="ListParagraph"/>
        <w:numPr>
          <w:ilvl w:val="0"/>
          <w:numId w:val="5"/>
        </w:numPr>
        <w:ind w:left="0" w:firstLine="0"/>
      </w:pPr>
      <w:r w:rsidRPr="00690B03">
        <w:t xml:space="preserve">The FTA Portal assists businesses to access information on Australia’s FTAs in a user-friendly way.  Launched in March 2016, the FTA Portal initially covered goods for JAEPA, ChAFTA and KAFTA.  It has since expanded to include comprehensive information on all of Australia’s </w:t>
      </w:r>
      <w:r>
        <w:t xml:space="preserve">in-force </w:t>
      </w:r>
      <w:r w:rsidRPr="00690B03">
        <w:t>FTAs</w:t>
      </w:r>
      <w:r w:rsidR="00AB15DC">
        <w:t xml:space="preserve"> (including CPTPP)</w:t>
      </w:r>
      <w:r w:rsidRPr="00690B03">
        <w:t>.</w:t>
      </w:r>
      <w:r>
        <w:t xml:space="preserve"> </w:t>
      </w:r>
      <w:r w:rsidRPr="00690B03">
        <w:t xml:space="preserve"> Information on FTA services commitments, including under </w:t>
      </w:r>
      <w:r>
        <w:t>CPTPP</w:t>
      </w:r>
      <w:r w:rsidRPr="00690B03">
        <w:t>, w</w:t>
      </w:r>
      <w:r>
        <w:t>as</w:t>
      </w:r>
      <w:r w:rsidRPr="00690B03">
        <w:t xml:space="preserve"> included in the </w:t>
      </w:r>
      <w:r>
        <w:t xml:space="preserve">FTA </w:t>
      </w:r>
      <w:r w:rsidRPr="00690B03">
        <w:t xml:space="preserve">Portal </w:t>
      </w:r>
      <w:r>
        <w:t xml:space="preserve">from </w:t>
      </w:r>
      <w:r w:rsidRPr="00690B03">
        <w:t xml:space="preserve">2018. Since its launch, the FTA Portal has attracted over </w:t>
      </w:r>
      <w:r w:rsidRPr="00532283">
        <w:t>300,000 users.</w:t>
      </w:r>
    </w:p>
    <w:p w14:paraId="27AFDC93" w14:textId="77777777" w:rsidR="00761388" w:rsidRPr="00690B03" w:rsidRDefault="00761388" w:rsidP="000920EB">
      <w:pPr>
        <w:pStyle w:val="ListParagraph"/>
        <w:numPr>
          <w:ilvl w:val="0"/>
          <w:numId w:val="5"/>
        </w:numPr>
        <w:ind w:left="0" w:firstLine="0"/>
      </w:pPr>
      <w:r w:rsidRPr="00690B03">
        <w:t xml:space="preserve">The FTA Portal features a sophisticated tariff finder, rules of origin guide, trade data on individual markets and relevant links to help businesses make </w:t>
      </w:r>
      <w:r>
        <w:lastRenderedPageBreak/>
        <w:t>informed</w:t>
      </w:r>
      <w:r w:rsidRPr="00690B03">
        <w:t xml:space="preserve"> decisions.  It also helps businesses</w:t>
      </w:r>
      <w:r>
        <w:t xml:space="preserve"> make comparisons </w:t>
      </w:r>
      <w:r w:rsidRPr="00690B03">
        <w:t xml:space="preserve">where there may be more than one available FTA, such as will be the case for </w:t>
      </w:r>
      <w:r>
        <w:t>CPTPP.</w:t>
      </w:r>
    </w:p>
    <w:p w14:paraId="20ADBD49" w14:textId="630072E6" w:rsidR="00761388" w:rsidRPr="004D180C" w:rsidRDefault="00761388" w:rsidP="000920EB">
      <w:pPr>
        <w:pStyle w:val="ListParagraph"/>
        <w:numPr>
          <w:ilvl w:val="0"/>
          <w:numId w:val="5"/>
        </w:numPr>
        <w:ind w:left="0" w:firstLine="0"/>
      </w:pPr>
      <w:r w:rsidRPr="004D180C">
        <w:t>DFAT and partner agencies have received many positive comments about the FTA Portal, including from business groups and customs brokers, noting the easy</w:t>
      </w:r>
      <w:r>
        <w:noBreakHyphen/>
      </w:r>
      <w:r w:rsidRPr="004D180C">
        <w:t>to</w:t>
      </w:r>
      <w:r>
        <w:noBreakHyphen/>
      </w:r>
      <w:r w:rsidRPr="004D180C">
        <w:t xml:space="preserve">use interface and search function. </w:t>
      </w:r>
      <w:r w:rsidRPr="00690B03">
        <w:t>The FTA Portal was awarded ‘Best Application Development’ at the 2016 Government ICT Awards.</w:t>
      </w:r>
    </w:p>
    <w:p w14:paraId="444350BE" w14:textId="77777777" w:rsidR="00761388" w:rsidRDefault="00761388" w:rsidP="000920EB">
      <w:pPr>
        <w:pStyle w:val="ListParagraph"/>
        <w:numPr>
          <w:ilvl w:val="0"/>
          <w:numId w:val="5"/>
        </w:numPr>
        <w:ind w:left="0" w:firstLine="0"/>
      </w:pPr>
      <w:r w:rsidRPr="00690B03">
        <w:t>In addition to the FTA information seminars outlined above, Austrade has supported</w:t>
      </w:r>
      <w:r>
        <w:t xml:space="preserve"> CPTPP</w:t>
      </w:r>
      <w:r w:rsidRPr="00690B03">
        <w:t xml:space="preserve"> implementation through </w:t>
      </w:r>
      <w:r>
        <w:t>its</w:t>
      </w:r>
      <w:r w:rsidRPr="00690B03">
        <w:t xml:space="preserve"> services to businesses and investors, including the </w:t>
      </w:r>
      <w:proofErr w:type="spellStart"/>
      <w:r w:rsidRPr="00690B03">
        <w:t>Trade</w:t>
      </w:r>
      <w:r>
        <w:t>S</w:t>
      </w:r>
      <w:r w:rsidRPr="00690B03">
        <w:t>tart</w:t>
      </w:r>
      <w:proofErr w:type="spellEnd"/>
      <w:r w:rsidRPr="00690B03">
        <w:t xml:space="preserve"> network and the Export Market Development Grant scheme.  The Austrade website includes</w:t>
      </w:r>
      <w:r>
        <w:t xml:space="preserve"> CPTPP</w:t>
      </w:r>
      <w:r w:rsidRPr="00690B03">
        <w:t>-specific video case studies and other material to assist businesses</w:t>
      </w:r>
      <w:r w:rsidRPr="004D180C">
        <w:t xml:space="preserve">.  </w:t>
      </w:r>
      <w:r>
        <w:t>In November 2020, Austrade launched t</w:t>
      </w:r>
      <w:r w:rsidRPr="00D05B7C">
        <w:t>he Free Trade Advantage online platform.</w:t>
      </w:r>
      <w:r>
        <w:t xml:space="preserve"> </w:t>
      </w:r>
      <w:r w:rsidRPr="00D05B7C">
        <w:t xml:space="preserve"> This new platform brings together a range of practical advice and resources to help Australian businesses access the benefits of Australia’s FTAs.</w:t>
      </w:r>
      <w:r>
        <w:t xml:space="preserve">  </w:t>
      </w:r>
      <w:r w:rsidRPr="00690B03">
        <w:t>Export Finance Australia also assists businesses develop export opportunities.</w:t>
      </w:r>
    </w:p>
    <w:p w14:paraId="34809267" w14:textId="77777777" w:rsidR="00761388" w:rsidRPr="000E2FD2" w:rsidRDefault="00761388" w:rsidP="00761388">
      <w:pPr>
        <w:pStyle w:val="Heading2"/>
        <w:rPr>
          <w:rFonts w:eastAsiaTheme="minorHAnsi" w:cstheme="minorBidi"/>
          <w:iCs/>
          <w:color w:val="auto"/>
          <w:sz w:val="22"/>
          <w:szCs w:val="22"/>
        </w:rPr>
      </w:pPr>
      <w:r w:rsidRPr="000E2FD2">
        <w:rPr>
          <w:rFonts w:eastAsiaTheme="minorHAnsi" w:cstheme="minorBidi"/>
          <w:iCs/>
          <w:color w:val="auto"/>
          <w:sz w:val="22"/>
          <w:szCs w:val="22"/>
        </w:rPr>
        <w:t>Evaluation – Export outcomes and CPTPP preference utilisation</w:t>
      </w:r>
    </w:p>
    <w:p w14:paraId="437D44DF" w14:textId="57727DBD" w:rsidR="00761388" w:rsidRPr="008D5DB6" w:rsidRDefault="00761388" w:rsidP="000920EB">
      <w:pPr>
        <w:pStyle w:val="ListParagraph"/>
        <w:numPr>
          <w:ilvl w:val="0"/>
          <w:numId w:val="5"/>
        </w:numPr>
        <w:ind w:left="0" w:firstLine="0"/>
      </w:pPr>
      <w:r w:rsidRPr="008D5DB6">
        <w:t xml:space="preserve">Following the entry into force of </w:t>
      </w:r>
      <w:r>
        <w:t>CPTPP</w:t>
      </w:r>
      <w:r w:rsidRPr="008D5DB6">
        <w:t xml:space="preserve">, DFAT initiated an ongoing program of work to analyse and evaluate export trends for key products </w:t>
      </w:r>
      <w:r>
        <w:t>benefiting from</w:t>
      </w:r>
      <w:r w:rsidRPr="008D5DB6">
        <w:t xml:space="preserve"> </w:t>
      </w:r>
      <w:r>
        <w:t xml:space="preserve">CPTPP </w:t>
      </w:r>
      <w:r w:rsidRPr="008D5DB6">
        <w:t xml:space="preserve">tariff cuts, and </w:t>
      </w:r>
      <w:r>
        <w:t xml:space="preserve">CPTPP </w:t>
      </w:r>
      <w:r w:rsidRPr="008D5DB6">
        <w:t xml:space="preserve">preference utilisation.  These analyses have </w:t>
      </w:r>
      <w:r w:rsidR="00DA0EE2">
        <w:t>informed</w:t>
      </w:r>
      <w:r w:rsidRPr="008D5DB6">
        <w:t xml:space="preserve"> FTA advocacy and policy, and stakeholder engagement (including targeted outreach on tariff preference uptake for specific products and sectors).  </w:t>
      </w:r>
    </w:p>
    <w:p w14:paraId="48E97C58" w14:textId="77777777" w:rsidR="00761388" w:rsidRPr="0024078C" w:rsidRDefault="00761388" w:rsidP="00761388">
      <w:pPr>
        <w:pStyle w:val="Heading2"/>
        <w:rPr>
          <w:rFonts w:eastAsiaTheme="minorHAnsi" w:cstheme="minorBidi"/>
          <w:iCs/>
          <w:color w:val="auto"/>
          <w:sz w:val="22"/>
          <w:szCs w:val="22"/>
        </w:rPr>
      </w:pPr>
      <w:r w:rsidRPr="0024078C">
        <w:rPr>
          <w:rFonts w:eastAsiaTheme="minorHAnsi" w:cstheme="minorBidi"/>
          <w:iCs/>
          <w:color w:val="auto"/>
          <w:sz w:val="22"/>
          <w:szCs w:val="22"/>
        </w:rPr>
        <w:t>What other relevant inquiries or reports have taken place since CPTPP entered into force?</w:t>
      </w:r>
    </w:p>
    <w:p w14:paraId="4054107D" w14:textId="448D5527" w:rsidR="00761388" w:rsidRPr="00D72CAB" w:rsidRDefault="00761388" w:rsidP="00117C59">
      <w:pPr>
        <w:pStyle w:val="ListParagraph"/>
        <w:numPr>
          <w:ilvl w:val="0"/>
          <w:numId w:val="5"/>
        </w:numPr>
        <w:ind w:left="0" w:firstLine="0"/>
      </w:pPr>
      <w:r w:rsidRPr="00BC15B7">
        <w:t xml:space="preserve">In February 2022, </w:t>
      </w:r>
      <w:r w:rsidR="00B12497">
        <w:t>the Joint Standing Committee</w:t>
      </w:r>
      <w:r w:rsidRPr="00BC15B7">
        <w:t xml:space="preserve"> </w:t>
      </w:r>
      <w:r w:rsidR="00722277">
        <w:t>on Foreign Affairs</w:t>
      </w:r>
      <w:r w:rsidR="00DE44C3">
        <w:t>, Defence and Trade</w:t>
      </w:r>
      <w:r w:rsidR="00906005">
        <w:t xml:space="preserve"> </w:t>
      </w:r>
      <w:r w:rsidRPr="00BC15B7">
        <w:t xml:space="preserve">published a </w:t>
      </w:r>
      <w:r w:rsidR="00685D26">
        <w:t>r</w:t>
      </w:r>
      <w:r w:rsidRPr="00BC15B7">
        <w:t>eport titled</w:t>
      </w:r>
      <w:r w:rsidRPr="00A24512">
        <w:t xml:space="preserve"> </w:t>
      </w:r>
      <w:r w:rsidR="00CB3DA9">
        <w:t>“</w:t>
      </w:r>
      <w:r w:rsidRPr="00A24512">
        <w:t>Expanding membership of the Comprehensive and Progressive Agreement for Trans-Pacific Partnership</w:t>
      </w:r>
      <w:r w:rsidR="00CB3DA9">
        <w:t>”</w:t>
      </w:r>
      <w:r w:rsidR="00763CE0">
        <w:t xml:space="preserve"> and </w:t>
      </w:r>
      <w:r w:rsidR="0032669F">
        <w:t xml:space="preserve">which </w:t>
      </w:r>
      <w:r w:rsidR="00763CE0">
        <w:t xml:space="preserve">makes </w:t>
      </w:r>
      <w:r w:rsidR="00007A6F">
        <w:t xml:space="preserve">eight </w:t>
      </w:r>
      <w:r w:rsidR="00763CE0">
        <w:t>recommendations</w:t>
      </w:r>
      <w:r w:rsidR="00007A6F">
        <w:t xml:space="preserve"> in considering </w:t>
      </w:r>
      <w:r w:rsidR="00170618">
        <w:t>potential new CPTPP members</w:t>
      </w:r>
      <w:r w:rsidRPr="00D72CAB">
        <w:t>.</w:t>
      </w:r>
      <w:r w:rsidR="009A5B54">
        <w:rPr>
          <w:rStyle w:val="FootnoteReference"/>
        </w:rPr>
        <w:footnoteReference w:id="59"/>
      </w:r>
      <w:r w:rsidRPr="00D72CAB">
        <w:t xml:space="preserve"> </w:t>
      </w:r>
    </w:p>
    <w:p w14:paraId="4FA46DE0" w14:textId="1F2DFD6F" w:rsidR="000B326F" w:rsidRDefault="0007413D" w:rsidP="0007413D">
      <w:pPr>
        <w:rPr>
          <w:rFonts w:cstheme="minorHAnsi"/>
          <w:color w:val="FF0000"/>
          <w:highlight w:val="yellow"/>
        </w:rPr>
      </w:pPr>
      <w:r>
        <w:rPr>
          <w:rFonts w:cstheme="minorHAnsi"/>
          <w:color w:val="FF0000"/>
          <w:highlight w:val="yellow"/>
        </w:rPr>
        <w:br w:type="page"/>
      </w:r>
    </w:p>
    <w:p w14:paraId="6E6B61EE" w14:textId="26EFEB0B" w:rsidR="006D6F75" w:rsidRPr="00375C25" w:rsidRDefault="006D6F75" w:rsidP="00375C25">
      <w:pPr>
        <w:pStyle w:val="Heading1"/>
      </w:pPr>
      <w:bookmarkStart w:id="17" w:name="_Toc189499375"/>
      <w:r w:rsidRPr="00375C25">
        <w:lastRenderedPageBreak/>
        <w:t xml:space="preserve">ATTACHMENT </w:t>
      </w:r>
      <w:r w:rsidR="00793DB2" w:rsidRPr="00375C25">
        <w:t>A</w:t>
      </w:r>
      <w:r w:rsidRPr="00375C25">
        <w:t>: REGULATORY BURDEN ESTIMATE</w:t>
      </w:r>
      <w:bookmarkEnd w:id="17"/>
      <w:r w:rsidRPr="00375C25">
        <w:t xml:space="preserve"> </w:t>
      </w:r>
    </w:p>
    <w:p w14:paraId="17B63D07" w14:textId="5315AF9A" w:rsidR="002544EA" w:rsidRDefault="00EF277C" w:rsidP="000920EB">
      <w:pPr>
        <w:pStyle w:val="ListParagraph"/>
        <w:numPr>
          <w:ilvl w:val="0"/>
          <w:numId w:val="8"/>
        </w:numPr>
        <w:ind w:left="0" w:firstLine="0"/>
      </w:pPr>
      <w:r w:rsidRPr="00EF277C">
        <w:t xml:space="preserve">The entry into force of the </w:t>
      </w:r>
      <w:r w:rsidRPr="00EF277C">
        <w:rPr>
          <w:i/>
          <w:iCs/>
        </w:rPr>
        <w:t>Comprehensive and Progressive Agreement for Trans-Pacific Partnership</w:t>
      </w:r>
      <w:r w:rsidRPr="00EF277C">
        <w:t xml:space="preserve"> (CPTPP) may result in a reduction in ongoing business compliance costs for Australian exporters to CPTPP Parties. Any reduction would stem from the ability for exporters to use one set of documentary procedures to export to eleven other markets instead of separate documentation for nine different FTAs plus two non-FTA partners. Further reductions will be realised by businesses that previously sought and obtained non-preferential certificates of origin (COOs) at a cost, who will now be able to self-certify the origin of their goods for exports to Parties who did not previously have self-certification arrangements in place including Brunei Darussalam, Canada, New Zealand, Mexico, and Vietnam.  </w:t>
      </w:r>
    </w:p>
    <w:p w14:paraId="2D6D1E00" w14:textId="37475F1D" w:rsidR="00A20C0E" w:rsidRPr="00CD279E" w:rsidRDefault="00912B15" w:rsidP="000920EB">
      <w:pPr>
        <w:pStyle w:val="ListParagraph"/>
        <w:numPr>
          <w:ilvl w:val="0"/>
          <w:numId w:val="8"/>
        </w:numPr>
        <w:ind w:left="0" w:firstLine="0"/>
      </w:pPr>
      <w:r>
        <w:t xml:space="preserve">As </w:t>
      </w:r>
      <w:r w:rsidRPr="00912B15">
        <w:t>some CPTPP Parties already allow self-certification, it is not possible to have an accurate view of the number and composition of COOs issued in respect of Australian exports into CPTPP Parties. Therefore, any estimates of the compliance costs under the existing agreement, as well as any projected change under any updated agreement, are based on previous trends using existing COO data and should be interpreted as such. However, based on the available data, it is possible to gain an appreciation of the scale of these changes.</w:t>
      </w:r>
    </w:p>
    <w:p w14:paraId="624CFA13" w14:textId="54D29363" w:rsidR="00ED1906" w:rsidRPr="00203311" w:rsidRDefault="00637C2A" w:rsidP="00375C25">
      <w:pPr>
        <w:pStyle w:val="Heading3"/>
        <w:jc w:val="left"/>
        <w:rPr>
          <w:rFonts w:cs="Times New Roman"/>
          <w:b/>
          <w:i/>
          <w:color w:val="0070C0"/>
          <w:sz w:val="28"/>
          <w:szCs w:val="24"/>
          <w:u w:val="none"/>
          <w:lang w:eastAsia="en-US"/>
        </w:rPr>
      </w:pPr>
      <w:r w:rsidRPr="00203311">
        <w:rPr>
          <w:rFonts w:cs="Times New Roman"/>
          <w:b/>
          <w:i/>
          <w:color w:val="0070C0"/>
          <w:sz w:val="28"/>
          <w:szCs w:val="24"/>
          <w:u w:val="none"/>
          <w:lang w:eastAsia="en-US"/>
        </w:rPr>
        <w:t>Direct Costs</w:t>
      </w:r>
    </w:p>
    <w:p w14:paraId="6E6B401E" w14:textId="58BB25BA" w:rsidR="00A20C0E" w:rsidRPr="00A20C0E" w:rsidRDefault="00A20C0E" w:rsidP="00A20C0E">
      <w:pPr>
        <w:pStyle w:val="ListParagraph"/>
        <w:numPr>
          <w:ilvl w:val="0"/>
          <w:numId w:val="0"/>
        </w:numPr>
        <w:rPr>
          <w:b/>
          <w:bCs/>
        </w:rPr>
      </w:pPr>
      <w:r w:rsidRPr="00A20C0E">
        <w:rPr>
          <w:b/>
          <w:bCs/>
        </w:rPr>
        <w:t>Certificates of Origin</w:t>
      </w:r>
    </w:p>
    <w:p w14:paraId="3208C5A4" w14:textId="5E1FB92A" w:rsidR="000129F6" w:rsidRDefault="000129F6" w:rsidP="000920EB">
      <w:pPr>
        <w:pStyle w:val="ListParagraph"/>
        <w:numPr>
          <w:ilvl w:val="0"/>
          <w:numId w:val="8"/>
        </w:numPr>
        <w:ind w:left="0" w:firstLine="0"/>
      </w:pPr>
      <w:r>
        <w:t>Where businesses seek third-party certification from industry groups, the cost of each certificate varies from between $20-70 at an average of $33. The cost of a certificate depends on a range of factors, such as whether an applicant is a member of the issuing body and the level of complexity. However, this cost can be alleviated where</w:t>
      </w:r>
      <w:r w:rsidRPr="008376DB">
        <w:t xml:space="preserve"> countries allow for COOs to be completed by importer, exporter or producer</w:t>
      </w:r>
      <w:r>
        <w:t xml:space="preserve">.  </w:t>
      </w:r>
    </w:p>
    <w:p w14:paraId="6F5F8C44" w14:textId="573F4A0D" w:rsidR="00E41721" w:rsidRPr="00203311" w:rsidRDefault="00E41721" w:rsidP="00203311">
      <w:pPr>
        <w:pStyle w:val="ListParagraph"/>
        <w:numPr>
          <w:ilvl w:val="0"/>
          <w:numId w:val="0"/>
        </w:numPr>
        <w:rPr>
          <w:b/>
          <w:bCs/>
        </w:rPr>
      </w:pPr>
      <w:r w:rsidRPr="00203311">
        <w:rPr>
          <w:b/>
          <w:bCs/>
        </w:rPr>
        <w:t xml:space="preserve">Administrative costs </w:t>
      </w:r>
    </w:p>
    <w:p w14:paraId="10D236B8" w14:textId="19B60FB9" w:rsidR="003D52A1" w:rsidRDefault="00A95AFA" w:rsidP="000920EB">
      <w:pPr>
        <w:pStyle w:val="ListParagraph"/>
        <w:numPr>
          <w:ilvl w:val="0"/>
          <w:numId w:val="8"/>
        </w:numPr>
        <w:ind w:left="0" w:firstLine="0"/>
      </w:pPr>
      <w:r>
        <w:t xml:space="preserve">The ongoing administrative costs incurred by a business in preparing the documentation to obtain a COO are likely to be relatively low. The bulk of Australian exports to </w:t>
      </w:r>
      <w:r w:rsidR="008B7024">
        <w:t>CPTPP</w:t>
      </w:r>
      <w:r>
        <w:t xml:space="preserve"> Parties are ‘wholly obtained’ goods. Further, while new businesses may expend considerable time applying for certification for their initial consignment, as a matter of practice this information is re-submitted for subsequent certifications. In addition, much of the information required would be collected for other purposes. The administrative time burden for each application is therefore estimated to be modest. </w:t>
      </w:r>
    </w:p>
    <w:p w14:paraId="3C12169B" w14:textId="5F50E797" w:rsidR="00073ED5" w:rsidRDefault="00A95AFA" w:rsidP="000920EB">
      <w:pPr>
        <w:pStyle w:val="ListParagraph"/>
        <w:numPr>
          <w:ilvl w:val="0"/>
          <w:numId w:val="8"/>
        </w:numPr>
        <w:ind w:left="0" w:firstLine="0"/>
      </w:pPr>
      <w:r>
        <w:t>Similarly, the records related to a COO are required to be kept for five years by most foreign customs agencies. However, businesses are required under Australian Tax Law to retain these records for seven years. The incremental compliance burden associated with record keeping for COOs is therefore assessed as nil</w:t>
      </w:r>
      <w:r w:rsidR="00A20C0E">
        <w:t>.</w:t>
      </w:r>
    </w:p>
    <w:p w14:paraId="5B23891A" w14:textId="77777777" w:rsidR="00440793" w:rsidRPr="008C5C35" w:rsidRDefault="00440793" w:rsidP="00440793"/>
    <w:p w14:paraId="06683349" w14:textId="77777777" w:rsidR="00786F0B" w:rsidRPr="00073ED5" w:rsidRDefault="00786F0B" w:rsidP="00073ED5">
      <w:pPr>
        <w:pStyle w:val="ListParagraph"/>
        <w:numPr>
          <w:ilvl w:val="0"/>
          <w:numId w:val="0"/>
        </w:numPr>
        <w:rPr>
          <w:b/>
          <w:bCs/>
        </w:rPr>
      </w:pPr>
      <w:r w:rsidRPr="00073ED5">
        <w:rPr>
          <w:b/>
          <w:bCs/>
        </w:rPr>
        <w:lastRenderedPageBreak/>
        <w:t xml:space="preserve">Overall compliance </w:t>
      </w:r>
      <w:r w:rsidR="00E41721" w:rsidRPr="00073ED5">
        <w:rPr>
          <w:b/>
          <w:bCs/>
        </w:rPr>
        <w:t xml:space="preserve">burden </w:t>
      </w:r>
      <w:r w:rsidRPr="00073ED5">
        <w:rPr>
          <w:b/>
          <w:bCs/>
        </w:rPr>
        <w:t>estimate</w:t>
      </w:r>
    </w:p>
    <w:p w14:paraId="668424D9" w14:textId="5472991B" w:rsidR="00786F0B" w:rsidRDefault="00786F0B" w:rsidP="000920EB">
      <w:pPr>
        <w:pStyle w:val="ListParagraph"/>
        <w:numPr>
          <w:ilvl w:val="0"/>
          <w:numId w:val="8"/>
        </w:numPr>
        <w:ind w:left="0" w:firstLine="0"/>
      </w:pPr>
      <w:r w:rsidRPr="006C7C3D">
        <w:t>Table A</w:t>
      </w:r>
      <w:r>
        <w:t xml:space="preserve"> shows </w:t>
      </w:r>
      <w:r w:rsidR="00A95AFA">
        <w:t xml:space="preserve">CPTPP </w:t>
      </w:r>
      <w:r>
        <w:t>is assessed as reducing the compliance burden by a</w:t>
      </w:r>
      <w:r w:rsidR="007B3D19">
        <w:t>n</w:t>
      </w:r>
      <w:r>
        <w:t xml:space="preserve"> annual amount of $</w:t>
      </w:r>
      <w:r w:rsidR="003D52A1">
        <w:t>10,000</w:t>
      </w:r>
      <w:r w:rsidR="00AF3C89">
        <w:t xml:space="preserve">. </w:t>
      </w:r>
      <w:r>
        <w:t>The direct and administrative costs associated with compliance through preferential C</w:t>
      </w:r>
      <w:r w:rsidR="00DB63C9">
        <w:t>O</w:t>
      </w:r>
      <w:r>
        <w:t>Os ha</w:t>
      </w:r>
      <w:r w:rsidR="005044D3">
        <w:t>ve</w:t>
      </w:r>
      <w:r>
        <w:t xml:space="preserve"> been more than offset by reductions in overall costs due to the increase in the FIRB thresholds.</w:t>
      </w:r>
    </w:p>
    <w:p w14:paraId="768694E9" w14:textId="77777777" w:rsidR="00ED1906" w:rsidRPr="00472F43" w:rsidRDefault="00ED1906" w:rsidP="00375C25">
      <w:pPr>
        <w:pStyle w:val="Tableheading"/>
        <w:rPr>
          <w:rFonts w:asciiTheme="minorHAnsi" w:hAnsiTheme="minorHAnsi"/>
        </w:rPr>
      </w:pPr>
      <w:r w:rsidRPr="00472F43">
        <w:rPr>
          <w:rFonts w:asciiTheme="minorHAnsi" w:hAnsiTheme="minorHAnsi"/>
        </w:rPr>
        <w:t>Table A - Regulatory Burden and Estimate Table</w:t>
      </w:r>
    </w:p>
    <w:tbl>
      <w:tblPr>
        <w:tblStyle w:val="TableGridLight"/>
        <w:tblW w:w="8990" w:type="dxa"/>
        <w:tblLayout w:type="fixed"/>
        <w:tblLook w:val="0020" w:firstRow="1" w:lastRow="0" w:firstColumn="0" w:lastColumn="0" w:noHBand="0" w:noVBand="0"/>
      </w:tblPr>
      <w:tblGrid>
        <w:gridCol w:w="1798"/>
        <w:gridCol w:w="1798"/>
        <w:gridCol w:w="1798"/>
        <w:gridCol w:w="1798"/>
        <w:gridCol w:w="1798"/>
      </w:tblGrid>
      <w:tr w:rsidR="00E42D72" w:rsidRPr="00472F43" w14:paraId="3AB4ACC8" w14:textId="77777777" w:rsidTr="00472F43">
        <w:trPr>
          <w:trHeight w:val="274"/>
        </w:trPr>
        <w:tc>
          <w:tcPr>
            <w:tcW w:w="1798" w:type="dxa"/>
          </w:tcPr>
          <w:p w14:paraId="240BA70E" w14:textId="19F210D1" w:rsidR="00E42D72" w:rsidRPr="00472F43" w:rsidRDefault="00E42D72" w:rsidP="0064509C">
            <w:pPr>
              <w:autoSpaceDE w:val="0"/>
              <w:autoSpaceDN w:val="0"/>
              <w:adjustRightInd w:val="0"/>
              <w:rPr>
                <w:rFonts w:cs="Calibri"/>
                <w:b/>
                <w:color w:val="000000"/>
              </w:rPr>
            </w:pPr>
            <w:r w:rsidRPr="00472F43">
              <w:rPr>
                <w:rFonts w:cs="Calibri"/>
                <w:b/>
                <w:bCs/>
              </w:rPr>
              <w:t xml:space="preserve">Average annual compliance costs (from business as usual) </w:t>
            </w:r>
            <w:r w:rsidRPr="00472F43">
              <w:rPr>
                <w:rFonts w:cs="Calibri"/>
                <w:b/>
                <w:bCs/>
                <w:color w:val="000000"/>
              </w:rPr>
              <w:t xml:space="preserve">Costs </w:t>
            </w:r>
          </w:p>
        </w:tc>
        <w:tc>
          <w:tcPr>
            <w:tcW w:w="1798" w:type="dxa"/>
          </w:tcPr>
          <w:p w14:paraId="6E149A07" w14:textId="77777777" w:rsidR="00E42D72" w:rsidRPr="00472F43" w:rsidRDefault="00E42D72" w:rsidP="0064509C">
            <w:pPr>
              <w:autoSpaceDE w:val="0"/>
              <w:autoSpaceDN w:val="0"/>
              <w:adjustRightInd w:val="0"/>
              <w:rPr>
                <w:rFonts w:cs="Calibri"/>
                <w:b/>
                <w:color w:val="000000"/>
              </w:rPr>
            </w:pPr>
            <w:r w:rsidRPr="00472F43">
              <w:rPr>
                <w:rFonts w:cs="Calibri"/>
                <w:b/>
                <w:bCs/>
                <w:color w:val="000000"/>
              </w:rPr>
              <w:t xml:space="preserve">Business </w:t>
            </w:r>
          </w:p>
        </w:tc>
        <w:tc>
          <w:tcPr>
            <w:tcW w:w="1798" w:type="dxa"/>
          </w:tcPr>
          <w:p w14:paraId="2765E57F" w14:textId="77777777" w:rsidR="00E42D72" w:rsidRPr="00472F43" w:rsidRDefault="00E42D72" w:rsidP="0064509C">
            <w:pPr>
              <w:autoSpaceDE w:val="0"/>
              <w:autoSpaceDN w:val="0"/>
              <w:adjustRightInd w:val="0"/>
              <w:rPr>
                <w:rFonts w:cs="Calibri"/>
                <w:b/>
                <w:color w:val="000000"/>
              </w:rPr>
            </w:pPr>
            <w:r w:rsidRPr="00472F43">
              <w:rPr>
                <w:rFonts w:cs="Calibri"/>
                <w:b/>
                <w:bCs/>
                <w:color w:val="000000"/>
              </w:rPr>
              <w:t xml:space="preserve">Community organisations </w:t>
            </w:r>
          </w:p>
        </w:tc>
        <w:tc>
          <w:tcPr>
            <w:tcW w:w="1798" w:type="dxa"/>
          </w:tcPr>
          <w:p w14:paraId="0B2202CB" w14:textId="77777777" w:rsidR="00E42D72" w:rsidRPr="00472F43" w:rsidRDefault="00E42D72" w:rsidP="0064509C">
            <w:pPr>
              <w:autoSpaceDE w:val="0"/>
              <w:autoSpaceDN w:val="0"/>
              <w:adjustRightInd w:val="0"/>
              <w:rPr>
                <w:rFonts w:cs="Calibri"/>
                <w:b/>
                <w:color w:val="000000"/>
              </w:rPr>
            </w:pPr>
            <w:r w:rsidRPr="00472F43">
              <w:rPr>
                <w:rFonts w:cs="Calibri"/>
                <w:b/>
                <w:bCs/>
                <w:color w:val="000000"/>
              </w:rPr>
              <w:t xml:space="preserve">Individuals </w:t>
            </w:r>
          </w:p>
        </w:tc>
        <w:tc>
          <w:tcPr>
            <w:tcW w:w="1798" w:type="dxa"/>
          </w:tcPr>
          <w:p w14:paraId="32D1EE6D" w14:textId="77777777" w:rsidR="00E42D72" w:rsidRPr="00472F43" w:rsidRDefault="00E42D72" w:rsidP="0064509C">
            <w:pPr>
              <w:autoSpaceDE w:val="0"/>
              <w:autoSpaceDN w:val="0"/>
              <w:adjustRightInd w:val="0"/>
              <w:rPr>
                <w:rFonts w:cs="Calibri"/>
                <w:b/>
                <w:color w:val="000000"/>
              </w:rPr>
            </w:pPr>
            <w:r w:rsidRPr="00472F43">
              <w:rPr>
                <w:rFonts w:cs="Calibri"/>
                <w:b/>
                <w:bCs/>
                <w:color w:val="000000"/>
              </w:rPr>
              <w:t xml:space="preserve">Total cost </w:t>
            </w:r>
          </w:p>
        </w:tc>
      </w:tr>
      <w:tr w:rsidR="00E42D72" w:rsidRPr="008E6E07" w14:paraId="7F069F30" w14:textId="77777777" w:rsidTr="00472F43">
        <w:trPr>
          <w:trHeight w:val="350"/>
        </w:trPr>
        <w:tc>
          <w:tcPr>
            <w:tcW w:w="1798" w:type="dxa"/>
          </w:tcPr>
          <w:p w14:paraId="40553EB0" w14:textId="77777777" w:rsidR="00E42D72" w:rsidRPr="00472F43" w:rsidRDefault="00E42D72" w:rsidP="0064509C">
            <w:pPr>
              <w:autoSpaceDE w:val="0"/>
              <w:autoSpaceDN w:val="0"/>
              <w:adjustRightInd w:val="0"/>
              <w:rPr>
                <w:rFonts w:cs="Calibri"/>
                <w:color w:val="000000"/>
              </w:rPr>
            </w:pPr>
            <w:r w:rsidRPr="00472F43">
              <w:rPr>
                <w:rFonts w:cs="Calibri"/>
                <w:bCs/>
                <w:color w:val="000000"/>
              </w:rPr>
              <w:t xml:space="preserve">Total by sector </w:t>
            </w:r>
          </w:p>
        </w:tc>
        <w:tc>
          <w:tcPr>
            <w:tcW w:w="1798" w:type="dxa"/>
          </w:tcPr>
          <w:p w14:paraId="2152AB19" w14:textId="2E2309C6" w:rsidR="00E42D72" w:rsidRPr="00472F43" w:rsidRDefault="00E42D72">
            <w:pPr>
              <w:autoSpaceDE w:val="0"/>
              <w:autoSpaceDN w:val="0"/>
              <w:adjustRightInd w:val="0"/>
              <w:rPr>
                <w:rFonts w:cs="Calibri"/>
                <w:color w:val="000000"/>
              </w:rPr>
            </w:pPr>
            <w:r w:rsidRPr="00472F43">
              <w:rPr>
                <w:rFonts w:cs="Calibri"/>
                <w:color w:val="000000"/>
              </w:rPr>
              <w:t>($</w:t>
            </w:r>
            <w:r w:rsidR="00DB63C9">
              <w:rPr>
                <w:rFonts w:cs="Calibri"/>
                <w:color w:val="000000"/>
              </w:rPr>
              <w:t>10,000</w:t>
            </w:r>
            <w:r w:rsidRPr="00472F43">
              <w:rPr>
                <w:rFonts w:cs="Calibri"/>
                <w:color w:val="000000"/>
              </w:rPr>
              <w:t xml:space="preserve">) </w:t>
            </w:r>
          </w:p>
        </w:tc>
        <w:tc>
          <w:tcPr>
            <w:tcW w:w="1798" w:type="dxa"/>
          </w:tcPr>
          <w:p w14:paraId="7B7AAAA8" w14:textId="328699F7" w:rsidR="00E42D72" w:rsidRPr="00472F43" w:rsidRDefault="007A62BE" w:rsidP="0064509C">
            <w:pPr>
              <w:autoSpaceDE w:val="0"/>
              <w:autoSpaceDN w:val="0"/>
              <w:adjustRightInd w:val="0"/>
              <w:rPr>
                <w:rFonts w:cs="Calibri"/>
                <w:color w:val="000000"/>
              </w:rPr>
            </w:pPr>
            <w:r>
              <w:rPr>
                <w:rFonts w:cs="Calibri"/>
                <w:color w:val="000000"/>
              </w:rPr>
              <w:t>-</w:t>
            </w:r>
          </w:p>
        </w:tc>
        <w:tc>
          <w:tcPr>
            <w:tcW w:w="1798" w:type="dxa"/>
          </w:tcPr>
          <w:p w14:paraId="2BF1E14C" w14:textId="274969D7" w:rsidR="00E42D72" w:rsidRPr="00472F43" w:rsidRDefault="007A62BE" w:rsidP="0064509C">
            <w:pPr>
              <w:autoSpaceDE w:val="0"/>
              <w:autoSpaceDN w:val="0"/>
              <w:adjustRightInd w:val="0"/>
              <w:rPr>
                <w:rFonts w:cs="Calibri"/>
                <w:color w:val="000000"/>
              </w:rPr>
            </w:pPr>
            <w:r>
              <w:rPr>
                <w:rFonts w:cs="Calibri"/>
                <w:color w:val="000000"/>
              </w:rPr>
              <w:t>-</w:t>
            </w:r>
          </w:p>
        </w:tc>
        <w:tc>
          <w:tcPr>
            <w:tcW w:w="1798" w:type="dxa"/>
          </w:tcPr>
          <w:p w14:paraId="795CFA98" w14:textId="7B5EE566" w:rsidR="00E42D72" w:rsidRPr="00472F43" w:rsidRDefault="00E42D72">
            <w:pPr>
              <w:autoSpaceDE w:val="0"/>
              <w:autoSpaceDN w:val="0"/>
              <w:adjustRightInd w:val="0"/>
              <w:rPr>
                <w:rFonts w:cs="Calibri"/>
                <w:color w:val="000000"/>
              </w:rPr>
            </w:pPr>
            <w:r w:rsidRPr="00472F43">
              <w:rPr>
                <w:rFonts w:cs="Calibri"/>
                <w:color w:val="000000"/>
              </w:rPr>
              <w:t>($1</w:t>
            </w:r>
            <w:r w:rsidR="00DB63C9">
              <w:rPr>
                <w:rFonts w:cs="Calibri"/>
                <w:color w:val="000000"/>
              </w:rPr>
              <w:t>0,000</w:t>
            </w:r>
            <w:r w:rsidRPr="00472F43">
              <w:rPr>
                <w:rFonts w:cs="Calibri"/>
                <w:color w:val="000000"/>
              </w:rPr>
              <w:t xml:space="preserve">) </w:t>
            </w:r>
          </w:p>
        </w:tc>
      </w:tr>
    </w:tbl>
    <w:p w14:paraId="3C15EBF3" w14:textId="77777777" w:rsidR="00C271C1" w:rsidRPr="006D6F75" w:rsidRDefault="00C271C1">
      <w:pPr>
        <w:rPr>
          <w:color w:val="FF0000"/>
        </w:rPr>
      </w:pPr>
    </w:p>
    <w:sectPr w:rsidR="00C271C1" w:rsidRPr="006D6F75" w:rsidSect="00C271C1">
      <w:pgSz w:w="11906" w:h="16838"/>
      <w:pgMar w:top="1245" w:right="1797" w:bottom="1440" w:left="179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8EE95" w14:textId="77777777" w:rsidR="00655B5F" w:rsidRDefault="00655B5F" w:rsidP="006D6F75">
      <w:r>
        <w:separator/>
      </w:r>
    </w:p>
  </w:endnote>
  <w:endnote w:type="continuationSeparator" w:id="0">
    <w:p w14:paraId="4716DC9C" w14:textId="77777777" w:rsidR="00655B5F" w:rsidRDefault="00655B5F" w:rsidP="006D6F75">
      <w:r>
        <w:continuationSeparator/>
      </w:r>
    </w:p>
  </w:endnote>
  <w:endnote w:type="continuationNotice" w:id="1">
    <w:p w14:paraId="2F245721" w14:textId="77777777" w:rsidR="00655B5F" w:rsidRDefault="00655B5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EF311" w14:textId="766A2AB1" w:rsidR="006E55C0" w:rsidRDefault="005F11D9">
    <w:pPr>
      <w:pStyle w:val="Footer"/>
    </w:pPr>
    <w:r>
      <w:rPr>
        <w:noProof/>
        <w:lang w:eastAsia="en-AU"/>
      </w:rPr>
      <mc:AlternateContent>
        <mc:Choice Requires="wps">
          <w:drawing>
            <wp:anchor distT="0" distB="0" distL="0" distR="0" simplePos="0" relativeHeight="251658244" behindDoc="0" locked="0" layoutInCell="1" allowOverlap="1" wp14:anchorId="61F4D085" wp14:editId="5221C75B">
              <wp:simplePos x="635" y="635"/>
              <wp:positionH relativeFrom="page">
                <wp:align>center</wp:align>
              </wp:positionH>
              <wp:positionV relativeFrom="page">
                <wp:align>bottom</wp:align>
              </wp:positionV>
              <wp:extent cx="443865" cy="443865"/>
              <wp:effectExtent l="0" t="0" r="635" b="0"/>
              <wp:wrapNone/>
              <wp:docPr id="204347179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5F479A" w14:textId="4A4A8BE7" w:rsidR="005F11D9" w:rsidRPr="005F11D9" w:rsidRDefault="005F11D9" w:rsidP="005F11D9">
                          <w:pPr>
                            <w:spacing w:after="0"/>
                            <w:rPr>
                              <w:rFonts w:ascii="Calibri" w:eastAsia="Calibri" w:hAnsi="Calibri" w:cs="Calibri"/>
                              <w:noProof/>
                              <w:color w:val="FF0000"/>
                              <w:sz w:val="24"/>
                              <w:szCs w:val="24"/>
                            </w:rPr>
                          </w:pPr>
                          <w:r w:rsidRPr="005F11D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F4D085"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85F479A" w14:textId="4A4A8BE7" w:rsidR="005F11D9" w:rsidRPr="005F11D9" w:rsidRDefault="005F11D9" w:rsidP="005F11D9">
                    <w:pPr>
                      <w:spacing w:after="0"/>
                      <w:rPr>
                        <w:rFonts w:ascii="Calibri" w:eastAsia="Calibri" w:hAnsi="Calibri" w:cs="Calibri"/>
                        <w:noProof/>
                        <w:color w:val="FF0000"/>
                        <w:sz w:val="24"/>
                        <w:szCs w:val="24"/>
                      </w:rPr>
                    </w:pPr>
                    <w:r w:rsidRPr="005F11D9">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A811" w14:textId="79C5E3B1" w:rsidR="005104B3" w:rsidRDefault="005104B3">
    <w:pPr>
      <w:pStyle w:val="Footer"/>
      <w:jc w:val="right"/>
    </w:pPr>
  </w:p>
  <w:p w14:paraId="2C5B59C9" w14:textId="77777777" w:rsidR="005104B3" w:rsidRDefault="005104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4C46" w14:textId="016E8441" w:rsidR="006E55C0" w:rsidRDefault="005F11D9">
    <w:pPr>
      <w:pStyle w:val="Footer"/>
    </w:pPr>
    <w:r>
      <w:rPr>
        <w:noProof/>
        <w:lang w:eastAsia="en-AU"/>
      </w:rPr>
      <mc:AlternateContent>
        <mc:Choice Requires="wps">
          <w:drawing>
            <wp:anchor distT="0" distB="0" distL="0" distR="0" simplePos="0" relativeHeight="251658243" behindDoc="0" locked="0" layoutInCell="1" allowOverlap="1" wp14:anchorId="07D46CCF" wp14:editId="6C420654">
              <wp:simplePos x="635" y="635"/>
              <wp:positionH relativeFrom="page">
                <wp:align>center</wp:align>
              </wp:positionH>
              <wp:positionV relativeFrom="page">
                <wp:align>bottom</wp:align>
              </wp:positionV>
              <wp:extent cx="443865" cy="443865"/>
              <wp:effectExtent l="0" t="0" r="635" b="0"/>
              <wp:wrapNone/>
              <wp:docPr id="114320881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AFAE1F" w14:textId="19B7ACA3" w:rsidR="005F11D9" w:rsidRPr="005F11D9" w:rsidRDefault="005F11D9" w:rsidP="005F11D9">
                          <w:pPr>
                            <w:spacing w:after="0"/>
                            <w:rPr>
                              <w:rFonts w:ascii="Calibri" w:eastAsia="Calibri" w:hAnsi="Calibri" w:cs="Calibri"/>
                              <w:noProof/>
                              <w:color w:val="FF0000"/>
                              <w:sz w:val="24"/>
                              <w:szCs w:val="24"/>
                            </w:rPr>
                          </w:pPr>
                          <w:r w:rsidRPr="005F11D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D46CCF" id="_x0000_t202" coordsize="21600,21600" o:spt="202" path="m,l,21600r21600,l21600,xe">
              <v:stroke joinstyle="miter"/>
              <v:path gradientshapeok="t" o:connecttype="rect"/>
            </v:shapetype>
            <v:shape id="Text Box 4" o:spid="_x0000_s1030"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7AFAE1F" w14:textId="19B7ACA3" w:rsidR="005F11D9" w:rsidRPr="005F11D9" w:rsidRDefault="005F11D9" w:rsidP="005F11D9">
                    <w:pPr>
                      <w:spacing w:after="0"/>
                      <w:rPr>
                        <w:rFonts w:ascii="Calibri" w:eastAsia="Calibri" w:hAnsi="Calibri" w:cs="Calibri"/>
                        <w:noProof/>
                        <w:color w:val="FF0000"/>
                        <w:sz w:val="24"/>
                        <w:szCs w:val="24"/>
                      </w:rPr>
                    </w:pPr>
                    <w:r w:rsidRPr="005F11D9">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454520"/>
      <w:docPartObj>
        <w:docPartGallery w:val="Page Numbers (Bottom of Page)"/>
        <w:docPartUnique/>
      </w:docPartObj>
    </w:sdtPr>
    <w:sdtEndPr>
      <w:rPr>
        <w:noProof/>
      </w:rPr>
    </w:sdtEndPr>
    <w:sdtContent>
      <w:p w14:paraId="2A0CF734" w14:textId="20854C73" w:rsidR="00BA0DBF" w:rsidRDefault="00BA0DBF">
        <w:pPr>
          <w:pStyle w:val="Footer"/>
          <w:jc w:val="right"/>
        </w:pPr>
        <w:r>
          <w:fldChar w:fldCharType="begin"/>
        </w:r>
        <w:r>
          <w:instrText xml:space="preserve"> PAGE   \* MERGEFORMAT </w:instrText>
        </w:r>
        <w:r>
          <w:fldChar w:fldCharType="separate"/>
        </w:r>
        <w:r w:rsidR="001A3C96">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A9A04" w14:textId="77777777" w:rsidR="00655B5F" w:rsidRDefault="00655B5F" w:rsidP="006D6F75">
      <w:r>
        <w:separator/>
      </w:r>
    </w:p>
  </w:footnote>
  <w:footnote w:type="continuationSeparator" w:id="0">
    <w:p w14:paraId="7701AB1C" w14:textId="77777777" w:rsidR="00655B5F" w:rsidRDefault="00655B5F" w:rsidP="006D6F75">
      <w:r>
        <w:continuationSeparator/>
      </w:r>
    </w:p>
  </w:footnote>
  <w:footnote w:type="continuationNotice" w:id="1">
    <w:p w14:paraId="3D912A6B" w14:textId="77777777" w:rsidR="00655B5F" w:rsidRDefault="00655B5F">
      <w:pPr>
        <w:spacing w:before="0" w:after="0"/>
      </w:pPr>
    </w:p>
  </w:footnote>
  <w:footnote w:id="2">
    <w:p w14:paraId="08982FD0" w14:textId="47E40385" w:rsidR="008F2DA4" w:rsidRPr="003D560D" w:rsidRDefault="008F2DA4">
      <w:pPr>
        <w:pStyle w:val="FootnoteText"/>
        <w:rPr>
          <w:rFonts w:cstheme="minorHAnsi"/>
          <w:sz w:val="18"/>
          <w:szCs w:val="18"/>
        </w:rPr>
      </w:pPr>
      <w:r w:rsidRPr="003D560D">
        <w:rPr>
          <w:rStyle w:val="FootnoteReference"/>
          <w:rFonts w:cstheme="minorHAnsi"/>
          <w:sz w:val="18"/>
          <w:szCs w:val="18"/>
        </w:rPr>
        <w:footnoteRef/>
      </w:r>
      <w:r w:rsidRPr="007A26FB">
        <w:rPr>
          <w:rFonts w:cstheme="minorHAnsi"/>
          <w:sz w:val="18"/>
          <w:szCs w:val="18"/>
        </w:rPr>
        <w:t xml:space="preserve"> JSCOT, </w:t>
      </w:r>
      <w:hyperlink r:id="rId1" w:anchor="footnote4target" w:history="1">
        <w:r w:rsidRPr="007A26FB">
          <w:rPr>
            <w:rStyle w:val="Hyperlink"/>
            <w:rFonts w:cstheme="minorHAnsi"/>
            <w:i/>
            <w:iCs/>
            <w:sz w:val="18"/>
            <w:szCs w:val="18"/>
          </w:rPr>
          <w:t>Report 181:</w:t>
        </w:r>
        <w:r w:rsidRPr="007A26FB">
          <w:rPr>
            <w:rStyle w:val="Hyperlink"/>
            <w:rFonts w:cstheme="minorHAnsi"/>
            <w:i/>
            <w:iCs/>
            <w:sz w:val="18"/>
            <w:szCs w:val="18"/>
            <w:shd w:val="clear" w:color="auto" w:fill="FFFFFF"/>
          </w:rPr>
          <w:t xml:space="preserve"> C</w:t>
        </w:r>
        <w:r w:rsidRPr="007A26FB">
          <w:rPr>
            <w:rStyle w:val="Hyperlink"/>
            <w:rFonts w:cstheme="minorHAnsi"/>
            <w:i/>
            <w:iCs/>
            <w:sz w:val="18"/>
            <w:szCs w:val="18"/>
          </w:rPr>
          <w:t>omprehensive and Progressive Agreement for Trans-Pacific Partnership between the Government of Australia and the Governments of: Brunei Darussalam, Canada, Chile, Japan, Malaysia, Mexico, New Zealand, Peru, Singapore and Vietnam</w:t>
        </w:r>
        <w:r w:rsidRPr="007A26FB">
          <w:rPr>
            <w:rStyle w:val="Hyperlink"/>
            <w:rFonts w:cstheme="minorHAnsi"/>
            <w:sz w:val="18"/>
            <w:szCs w:val="18"/>
          </w:rPr>
          <w:t> and associated side letters</w:t>
        </w:r>
      </w:hyperlink>
      <w:r w:rsidRPr="007A26FB">
        <w:rPr>
          <w:rFonts w:cstheme="minorHAnsi"/>
          <w:sz w:val="18"/>
          <w:szCs w:val="18"/>
        </w:rPr>
        <w:t xml:space="preserve"> (Santiago, 8 March 2018).</w:t>
      </w:r>
    </w:p>
  </w:footnote>
  <w:footnote w:id="3">
    <w:p w14:paraId="72638E9C" w14:textId="4780D341" w:rsidR="00323189" w:rsidRPr="003D560D" w:rsidRDefault="00323189" w:rsidP="00E16C9E">
      <w:pPr>
        <w:pStyle w:val="FootnoteText"/>
        <w:spacing w:before="120"/>
        <w:rPr>
          <w:rFonts w:cstheme="minorHAnsi"/>
          <w:sz w:val="18"/>
          <w:szCs w:val="18"/>
        </w:rPr>
      </w:pPr>
      <w:r w:rsidRPr="003D560D">
        <w:rPr>
          <w:rStyle w:val="FootnoteReference"/>
          <w:rFonts w:cstheme="minorHAnsi"/>
          <w:sz w:val="18"/>
          <w:szCs w:val="18"/>
        </w:rPr>
        <w:footnoteRef/>
      </w:r>
      <w:r w:rsidRPr="007A26FB">
        <w:rPr>
          <w:rFonts w:cstheme="minorHAnsi"/>
          <w:sz w:val="18"/>
          <w:szCs w:val="18"/>
        </w:rPr>
        <w:t xml:space="preserve"> </w:t>
      </w:r>
      <w:r w:rsidR="0014446A" w:rsidRPr="007A26FB">
        <w:rPr>
          <w:rFonts w:cstheme="minorHAnsi"/>
          <w:sz w:val="18"/>
          <w:szCs w:val="18"/>
        </w:rPr>
        <w:t xml:space="preserve">Copy of the letter available at </w:t>
      </w:r>
      <w:hyperlink r:id="rId2" w:history="1">
        <w:r w:rsidR="0001572D" w:rsidRPr="007A26FB">
          <w:rPr>
            <w:rStyle w:val="Hyperlink"/>
            <w:rFonts w:cstheme="minorHAnsi"/>
            <w:sz w:val="18"/>
            <w:szCs w:val="18"/>
          </w:rPr>
          <w:t>The United States Officially Withdraws from the Trans-Pacific Partnership | United States Trade Representative (ustr.gov)</w:t>
        </w:r>
      </w:hyperlink>
      <w:r w:rsidR="00655617" w:rsidRPr="007A26FB">
        <w:rPr>
          <w:rStyle w:val="Hyperlink"/>
          <w:rFonts w:cstheme="minorHAnsi"/>
          <w:sz w:val="18"/>
          <w:szCs w:val="18"/>
        </w:rPr>
        <w:t>.</w:t>
      </w:r>
    </w:p>
  </w:footnote>
  <w:footnote w:id="4">
    <w:p w14:paraId="7D6A64D3" w14:textId="7F63CD03" w:rsidR="0058080B" w:rsidRPr="003D560D" w:rsidRDefault="0058080B" w:rsidP="00E16C9E">
      <w:pPr>
        <w:pStyle w:val="FootnoteText"/>
        <w:spacing w:before="120"/>
        <w:rPr>
          <w:rFonts w:cstheme="minorHAnsi"/>
          <w:sz w:val="18"/>
          <w:szCs w:val="18"/>
        </w:rPr>
      </w:pPr>
      <w:r w:rsidRPr="003D560D">
        <w:rPr>
          <w:rStyle w:val="FootnoteReference"/>
          <w:rFonts w:cstheme="minorHAnsi"/>
          <w:sz w:val="18"/>
          <w:szCs w:val="18"/>
        </w:rPr>
        <w:footnoteRef/>
      </w:r>
      <w:r w:rsidRPr="003D560D">
        <w:rPr>
          <w:rFonts w:cstheme="minorHAnsi"/>
          <w:sz w:val="18"/>
          <w:szCs w:val="18"/>
        </w:rPr>
        <w:t xml:space="preserve"> </w:t>
      </w:r>
      <w:r w:rsidR="00147BA6" w:rsidRPr="003D560D">
        <w:rPr>
          <w:rFonts w:cstheme="minorHAnsi"/>
          <w:i/>
          <w:sz w:val="18"/>
          <w:szCs w:val="18"/>
        </w:rPr>
        <w:t>Trans-Pacific Partnership Agreement between the Government of Australia and the Governments of: Brunei Darussalam, Canada, Chile, Japan, Malaysia, Mexico, New Zealand, Peru, Singapore, the United States of America, and Vietnam</w:t>
      </w:r>
      <w:r w:rsidR="00147BA6" w:rsidRPr="003D560D">
        <w:rPr>
          <w:rFonts w:cstheme="minorHAnsi"/>
          <w:sz w:val="18"/>
          <w:szCs w:val="18"/>
        </w:rPr>
        <w:t> and associated side letters</w:t>
      </w:r>
      <w:r w:rsidR="00FD7924" w:rsidRPr="003D560D">
        <w:rPr>
          <w:rFonts w:cstheme="minorHAnsi"/>
          <w:sz w:val="18"/>
          <w:szCs w:val="18"/>
        </w:rPr>
        <w:t>.</w:t>
      </w:r>
    </w:p>
  </w:footnote>
  <w:footnote w:id="5">
    <w:p w14:paraId="7F78A421" w14:textId="35F5081E" w:rsidR="0018089C" w:rsidRPr="003D560D" w:rsidRDefault="0018089C" w:rsidP="0018089C">
      <w:pPr>
        <w:pStyle w:val="FootnoteText"/>
        <w:spacing w:before="120"/>
        <w:rPr>
          <w:rFonts w:cstheme="minorHAnsi"/>
          <w:sz w:val="18"/>
          <w:szCs w:val="18"/>
        </w:rPr>
      </w:pPr>
      <w:r w:rsidRPr="003D560D">
        <w:rPr>
          <w:rStyle w:val="FootnoteReference"/>
          <w:rFonts w:cstheme="minorHAnsi"/>
          <w:sz w:val="18"/>
          <w:szCs w:val="18"/>
        </w:rPr>
        <w:footnoteRef/>
      </w:r>
      <w:r w:rsidRPr="003D560D">
        <w:rPr>
          <w:rFonts w:cstheme="minorHAnsi"/>
          <w:sz w:val="18"/>
          <w:szCs w:val="18"/>
        </w:rPr>
        <w:t xml:space="preserve"> </w:t>
      </w:r>
      <w:r w:rsidRPr="003D560D">
        <w:rPr>
          <w:rFonts w:cstheme="minorHAnsi"/>
          <w:iCs/>
          <w:sz w:val="18"/>
          <w:szCs w:val="18"/>
        </w:rPr>
        <w:t>Note</w:t>
      </w:r>
      <w:r w:rsidR="00A37617" w:rsidRPr="003D560D">
        <w:rPr>
          <w:rFonts w:cstheme="minorHAnsi"/>
          <w:iCs/>
          <w:sz w:val="18"/>
          <w:szCs w:val="18"/>
        </w:rPr>
        <w:t>:</w:t>
      </w:r>
      <w:r w:rsidRPr="003D560D">
        <w:rPr>
          <w:rFonts w:cstheme="minorHAnsi"/>
          <w:sz w:val="18"/>
          <w:szCs w:val="18"/>
        </w:rPr>
        <w:t xml:space="preserve"> Article 30.5.3 (Entry into Force) of the TPP provides that should not all original TPP signatories have ratified the TPP within two years of the date of signature of the TPP, the Agreement “shall enter into force 60 days after the date on which at least six of the original signatories, which together account for at least 85 per cent of the combined gross domestic product of the original signatories in 2013.</w:t>
      </w:r>
    </w:p>
  </w:footnote>
  <w:footnote w:id="6">
    <w:p w14:paraId="4E00E875" w14:textId="7D0084DF" w:rsidR="00E60B05" w:rsidRPr="003D560D" w:rsidRDefault="00E60B05" w:rsidP="00E16C9E">
      <w:pPr>
        <w:pStyle w:val="FootnoteText"/>
        <w:spacing w:before="120"/>
        <w:rPr>
          <w:rFonts w:cstheme="minorHAnsi"/>
          <w:sz w:val="18"/>
          <w:szCs w:val="18"/>
        </w:rPr>
      </w:pPr>
      <w:r w:rsidRPr="003D560D">
        <w:rPr>
          <w:rStyle w:val="FootnoteReference"/>
          <w:rFonts w:cstheme="minorHAnsi"/>
          <w:sz w:val="18"/>
          <w:szCs w:val="18"/>
        </w:rPr>
        <w:footnoteRef/>
      </w:r>
      <w:r w:rsidRPr="003D560D">
        <w:rPr>
          <w:rFonts w:cstheme="minorHAnsi"/>
          <w:sz w:val="18"/>
          <w:szCs w:val="18"/>
        </w:rPr>
        <w:t xml:space="preserve"> </w:t>
      </w:r>
      <w:r w:rsidRPr="00770083">
        <w:rPr>
          <w:rFonts w:cstheme="minorHAnsi"/>
          <w:i/>
          <w:sz w:val="18"/>
          <w:szCs w:val="18"/>
        </w:rPr>
        <w:t xml:space="preserve">Trans-Pacific Partnership Ministerial Statement of 21 May 2017, Hanoi, </w:t>
      </w:r>
      <w:r w:rsidRPr="003D560D">
        <w:rPr>
          <w:rFonts w:cstheme="minorHAnsi"/>
          <w:sz w:val="18"/>
          <w:szCs w:val="18"/>
        </w:rPr>
        <w:t>available at: http://dfat.gov.au/trade/agreements/tpp/news/Pages/news.aspx#tpp-news-170521</w:t>
      </w:r>
    </w:p>
  </w:footnote>
  <w:footnote w:id="7">
    <w:p w14:paraId="31F737E5" w14:textId="5A181343" w:rsidR="008F78EA" w:rsidRPr="003D560D" w:rsidRDefault="008F78EA" w:rsidP="00E16C9E">
      <w:pPr>
        <w:pStyle w:val="FootnoteText"/>
        <w:spacing w:before="120"/>
        <w:rPr>
          <w:rFonts w:cstheme="minorHAnsi"/>
          <w:sz w:val="18"/>
          <w:szCs w:val="18"/>
        </w:rPr>
      </w:pPr>
      <w:r w:rsidRPr="003D560D">
        <w:rPr>
          <w:rStyle w:val="FootnoteReference"/>
          <w:rFonts w:cstheme="minorHAnsi"/>
          <w:sz w:val="18"/>
          <w:szCs w:val="18"/>
        </w:rPr>
        <w:footnoteRef/>
      </w:r>
      <w:r w:rsidRPr="003D560D">
        <w:rPr>
          <w:rFonts w:cstheme="minorHAnsi"/>
          <w:sz w:val="18"/>
          <w:szCs w:val="18"/>
        </w:rPr>
        <w:t xml:space="preserve"> </w:t>
      </w:r>
      <w:r w:rsidRPr="00770083">
        <w:rPr>
          <w:rFonts w:cstheme="minorHAnsi"/>
          <w:i/>
          <w:iCs/>
          <w:sz w:val="18"/>
          <w:szCs w:val="18"/>
        </w:rPr>
        <w:t>Trans</w:t>
      </w:r>
      <w:r w:rsidRPr="00770083">
        <w:rPr>
          <w:rFonts w:cstheme="minorHAnsi"/>
          <w:i/>
          <w:sz w:val="18"/>
          <w:szCs w:val="18"/>
        </w:rPr>
        <w:t>-Pacific Partnership Ministerial Statement of 11 November 2017, Da Nang</w:t>
      </w:r>
      <w:r w:rsidRPr="003D560D">
        <w:rPr>
          <w:rFonts w:cstheme="minorHAnsi"/>
          <w:sz w:val="18"/>
          <w:szCs w:val="18"/>
        </w:rPr>
        <w:t>, available at: http://dfat.gov.au/trade/agreements/tpp/news/Pages/trans-pacific-partnership-ministerial-statement.aspx</w:t>
      </w:r>
    </w:p>
  </w:footnote>
  <w:footnote w:id="8">
    <w:p w14:paraId="46D5FCF8" w14:textId="237E5250" w:rsidR="00804F80" w:rsidRPr="003D560D" w:rsidRDefault="00804F80">
      <w:pPr>
        <w:pStyle w:val="FootnoteText"/>
        <w:rPr>
          <w:rFonts w:cstheme="minorHAnsi"/>
          <w:sz w:val="18"/>
          <w:szCs w:val="18"/>
        </w:rPr>
      </w:pPr>
      <w:r w:rsidRPr="003D560D">
        <w:rPr>
          <w:rStyle w:val="FootnoteReference"/>
          <w:rFonts w:cstheme="minorHAnsi"/>
          <w:sz w:val="18"/>
          <w:szCs w:val="18"/>
        </w:rPr>
        <w:footnoteRef/>
      </w:r>
      <w:r w:rsidRPr="007A26FB">
        <w:rPr>
          <w:rFonts w:cstheme="minorHAnsi"/>
          <w:sz w:val="18"/>
          <w:szCs w:val="18"/>
        </w:rPr>
        <w:t xml:space="preserve"> </w:t>
      </w:r>
      <w:r w:rsidR="00FD258E" w:rsidRPr="007A26FB">
        <w:rPr>
          <w:rFonts w:cstheme="minorHAnsi"/>
          <w:i/>
          <w:iCs/>
          <w:sz w:val="18"/>
          <w:szCs w:val="18"/>
        </w:rPr>
        <w:t xml:space="preserve">Comprehensive and Progressive Agreement for Trans-Pacific Partnership Analysis of Regulatory Impact on Australia </w:t>
      </w:r>
      <w:hyperlink r:id="rId3" w:history="1">
        <w:r w:rsidRPr="007A26FB">
          <w:rPr>
            <w:rStyle w:val="Hyperlink"/>
            <w:rFonts w:cstheme="minorHAnsi"/>
            <w:sz w:val="18"/>
            <w:szCs w:val="18"/>
          </w:rPr>
          <w:t>national-interest-analysis-including-analysis-of-regulatory-impact-on-australia.pdf</w:t>
        </w:r>
      </w:hyperlink>
    </w:p>
  </w:footnote>
  <w:footnote w:id="9">
    <w:p w14:paraId="3015328C" w14:textId="77777777" w:rsidR="00B95554" w:rsidRPr="003D560D" w:rsidRDefault="00B95554" w:rsidP="00B95554">
      <w:pPr>
        <w:pStyle w:val="FootnoteText"/>
        <w:rPr>
          <w:rFonts w:cstheme="minorHAnsi"/>
          <w:sz w:val="18"/>
          <w:szCs w:val="18"/>
        </w:rPr>
      </w:pPr>
      <w:r w:rsidRPr="003D560D">
        <w:rPr>
          <w:rStyle w:val="FootnoteReference"/>
          <w:rFonts w:cstheme="minorHAnsi"/>
          <w:sz w:val="18"/>
          <w:szCs w:val="18"/>
        </w:rPr>
        <w:footnoteRef/>
      </w:r>
      <w:r w:rsidRPr="007A26FB">
        <w:rPr>
          <w:rFonts w:cstheme="minorHAnsi"/>
          <w:sz w:val="18"/>
          <w:szCs w:val="18"/>
        </w:rPr>
        <w:t xml:space="preserve"> </w:t>
      </w:r>
      <w:r w:rsidRPr="007A26FB">
        <w:rPr>
          <w:rFonts w:cstheme="minorHAnsi"/>
          <w:i/>
          <w:iCs/>
          <w:sz w:val="18"/>
          <w:szCs w:val="18"/>
        </w:rPr>
        <w:t xml:space="preserve">JSCOT Report 181 </w:t>
      </w:r>
      <w:hyperlink r:id="rId4" w:anchor="footnote4target" w:history="1">
        <w:r w:rsidRPr="007A26FB">
          <w:rPr>
            <w:rStyle w:val="Hyperlink"/>
            <w:rFonts w:cstheme="minorHAnsi"/>
            <w:sz w:val="18"/>
            <w:szCs w:val="18"/>
          </w:rPr>
          <w:t>1. Introduction – Parliament of Australia</w:t>
        </w:r>
      </w:hyperlink>
    </w:p>
  </w:footnote>
  <w:footnote w:id="10">
    <w:p w14:paraId="563F1940" w14:textId="0682123B" w:rsidR="0051522B" w:rsidRPr="003D560D" w:rsidRDefault="0051522B">
      <w:pPr>
        <w:pStyle w:val="FootnoteText"/>
        <w:rPr>
          <w:rFonts w:cstheme="minorHAnsi"/>
          <w:i/>
          <w:iCs/>
          <w:sz w:val="18"/>
          <w:szCs w:val="18"/>
        </w:rPr>
      </w:pPr>
      <w:r w:rsidRPr="003D560D">
        <w:rPr>
          <w:rStyle w:val="FootnoteReference"/>
          <w:rFonts w:cstheme="minorHAnsi"/>
          <w:sz w:val="18"/>
          <w:szCs w:val="18"/>
        </w:rPr>
        <w:footnoteRef/>
      </w:r>
      <w:r w:rsidRPr="007A26FB">
        <w:rPr>
          <w:rFonts w:cstheme="minorHAnsi"/>
          <w:sz w:val="18"/>
          <w:szCs w:val="18"/>
        </w:rPr>
        <w:t xml:space="preserve"> </w:t>
      </w:r>
      <w:r w:rsidR="00513382" w:rsidRPr="007A26FB">
        <w:rPr>
          <w:rFonts w:cstheme="minorHAnsi"/>
          <w:i/>
          <w:iCs/>
          <w:sz w:val="18"/>
          <w:szCs w:val="18"/>
        </w:rPr>
        <w:t xml:space="preserve">TPP-11 implementing legislation introduced in Parliament </w:t>
      </w:r>
      <w:hyperlink r:id="rId5" w:anchor=":~:text=On%2023%20August%202018%2C%20then,the%20Customs%20Amendment%20(Comprehensive%20and" w:history="1">
        <w:r w:rsidR="00513382" w:rsidRPr="007A26FB">
          <w:rPr>
            <w:rStyle w:val="Hyperlink"/>
            <w:rFonts w:cstheme="minorHAnsi"/>
            <w:sz w:val="18"/>
            <w:szCs w:val="18"/>
          </w:rPr>
          <w:t>CPTPP news | Australian Government Department of Foreign Affairs and Trade</w:t>
        </w:r>
      </w:hyperlink>
    </w:p>
  </w:footnote>
  <w:footnote w:id="11">
    <w:p w14:paraId="51843420" w14:textId="3EB32485" w:rsidR="00D02F25" w:rsidRPr="003D560D" w:rsidRDefault="00D02F25">
      <w:pPr>
        <w:pStyle w:val="FootnoteText"/>
        <w:rPr>
          <w:rFonts w:cstheme="minorHAnsi"/>
          <w:sz w:val="18"/>
          <w:szCs w:val="18"/>
        </w:rPr>
      </w:pPr>
      <w:r w:rsidRPr="003D560D">
        <w:rPr>
          <w:rStyle w:val="FootnoteReference"/>
          <w:rFonts w:cstheme="minorHAnsi"/>
          <w:sz w:val="18"/>
          <w:szCs w:val="18"/>
        </w:rPr>
        <w:footnoteRef/>
      </w:r>
      <w:r w:rsidRPr="007A26FB">
        <w:rPr>
          <w:rFonts w:cstheme="minorHAnsi"/>
          <w:sz w:val="18"/>
          <w:szCs w:val="18"/>
        </w:rPr>
        <w:t xml:space="preserve"> </w:t>
      </w:r>
      <w:r w:rsidR="00845179" w:rsidRPr="007A26FB">
        <w:rPr>
          <w:rFonts w:cstheme="minorHAnsi"/>
          <w:i/>
          <w:iCs/>
          <w:sz w:val="18"/>
          <w:szCs w:val="18"/>
        </w:rPr>
        <w:t xml:space="preserve">The Parliament of the Commonwealth Of Australia, </w:t>
      </w:r>
      <w:r w:rsidR="00341279" w:rsidRPr="007A26FB">
        <w:rPr>
          <w:rFonts w:cstheme="minorHAnsi"/>
          <w:i/>
          <w:iCs/>
          <w:sz w:val="18"/>
          <w:szCs w:val="18"/>
        </w:rPr>
        <w:t>House of Representatives</w:t>
      </w:r>
      <w:hyperlink r:id="rId6" w:history="1">
        <w:r w:rsidR="00341279" w:rsidRPr="007A26FB">
          <w:rPr>
            <w:rStyle w:val="Hyperlink"/>
            <w:rFonts w:cstheme="minorHAnsi"/>
            <w:sz w:val="18"/>
            <w:szCs w:val="18"/>
          </w:rPr>
          <w:t xml:space="preserve">, Explanatory Memorandum, </w:t>
        </w:r>
        <w:r w:rsidR="00845179" w:rsidRPr="007A26FB">
          <w:rPr>
            <w:rStyle w:val="Hyperlink"/>
            <w:rFonts w:cstheme="minorHAnsi"/>
            <w:sz w:val="18"/>
            <w:szCs w:val="18"/>
          </w:rPr>
          <w:t>Customs Amendment (Comprehensive And Progressive Agreement For Trans-Pacific Partnership Implementation) Bill 2018</w:t>
        </w:r>
      </w:hyperlink>
      <w:r w:rsidR="00B56B3F" w:rsidRPr="007A26FB">
        <w:rPr>
          <w:rFonts w:cstheme="minorHAnsi"/>
          <w:sz w:val="18"/>
          <w:szCs w:val="18"/>
        </w:rPr>
        <w:t>.</w:t>
      </w:r>
    </w:p>
  </w:footnote>
  <w:footnote w:id="12">
    <w:p w14:paraId="1C600D9C" w14:textId="0589E83E" w:rsidR="00BC2251" w:rsidRPr="003D560D" w:rsidRDefault="00BC2251">
      <w:pPr>
        <w:pStyle w:val="FootnoteText"/>
        <w:rPr>
          <w:rFonts w:cstheme="minorHAnsi"/>
          <w:i/>
          <w:iCs/>
          <w:sz w:val="18"/>
          <w:szCs w:val="18"/>
        </w:rPr>
      </w:pPr>
      <w:r w:rsidRPr="003D560D">
        <w:rPr>
          <w:rStyle w:val="FootnoteReference"/>
          <w:rFonts w:cstheme="minorHAnsi"/>
          <w:sz w:val="18"/>
          <w:szCs w:val="18"/>
        </w:rPr>
        <w:footnoteRef/>
      </w:r>
      <w:r w:rsidRPr="007A26FB">
        <w:rPr>
          <w:rFonts w:cstheme="minorHAnsi"/>
          <w:sz w:val="18"/>
          <w:szCs w:val="18"/>
        </w:rPr>
        <w:t xml:space="preserve"> </w:t>
      </w:r>
      <w:r w:rsidRPr="007A26FB">
        <w:rPr>
          <w:rFonts w:cstheme="minorHAnsi"/>
          <w:i/>
          <w:iCs/>
          <w:sz w:val="18"/>
          <w:szCs w:val="18"/>
        </w:rPr>
        <w:t xml:space="preserve">CPTPP Commission meetings </w:t>
      </w:r>
      <w:hyperlink r:id="rId7" w:history="1">
        <w:r w:rsidRPr="007A26FB">
          <w:rPr>
            <w:rStyle w:val="Hyperlink"/>
            <w:rFonts w:cstheme="minorHAnsi"/>
            <w:sz w:val="18"/>
            <w:szCs w:val="18"/>
          </w:rPr>
          <w:t>CPTPP Commission meetings | Australian Government Department of Foreign Affairs and Trade</w:t>
        </w:r>
      </w:hyperlink>
    </w:p>
  </w:footnote>
  <w:footnote w:id="13">
    <w:p w14:paraId="726411B2" w14:textId="77777777" w:rsidR="003908AF" w:rsidRPr="003D560D" w:rsidRDefault="003908AF" w:rsidP="003908AF">
      <w:pPr>
        <w:pStyle w:val="FootnoteText"/>
        <w:spacing w:before="120"/>
        <w:rPr>
          <w:rFonts w:cstheme="minorHAnsi"/>
          <w:sz w:val="18"/>
          <w:szCs w:val="18"/>
        </w:rPr>
      </w:pPr>
      <w:r w:rsidRPr="003D560D">
        <w:rPr>
          <w:rStyle w:val="FootnoteReference"/>
          <w:rFonts w:cstheme="minorHAnsi"/>
          <w:sz w:val="18"/>
          <w:szCs w:val="18"/>
        </w:rPr>
        <w:footnoteRef/>
      </w:r>
      <w:r w:rsidRPr="003D560D">
        <w:rPr>
          <w:rFonts w:cstheme="minorHAnsi"/>
          <w:sz w:val="18"/>
          <w:szCs w:val="18"/>
        </w:rPr>
        <w:t xml:space="preserve"> Joint Standing Committee on Treaties (JSCOT), </w:t>
      </w:r>
      <w:r w:rsidRPr="003D560D">
        <w:rPr>
          <w:rFonts w:cstheme="minorHAnsi"/>
          <w:i/>
          <w:sz w:val="18"/>
          <w:szCs w:val="18"/>
        </w:rPr>
        <w:t>Report 165: Trans-Pacific Partnership Agreement</w:t>
      </w:r>
      <w:r w:rsidRPr="003D560D">
        <w:rPr>
          <w:rFonts w:cstheme="minorHAnsi"/>
          <w:sz w:val="18"/>
          <w:szCs w:val="18"/>
        </w:rPr>
        <w:t>, November 2016, Canberra, p. 1.</w:t>
      </w:r>
    </w:p>
  </w:footnote>
  <w:footnote w:id="14">
    <w:p w14:paraId="415284E1" w14:textId="77777777" w:rsidR="00184862" w:rsidRPr="003D560D" w:rsidRDefault="00184862" w:rsidP="00184862">
      <w:pPr>
        <w:pStyle w:val="FootnoteText"/>
        <w:spacing w:before="120"/>
        <w:rPr>
          <w:rFonts w:cstheme="minorHAnsi"/>
          <w:sz w:val="18"/>
          <w:szCs w:val="18"/>
        </w:rPr>
      </w:pPr>
      <w:r w:rsidRPr="003D560D">
        <w:rPr>
          <w:rStyle w:val="FootnoteReference"/>
          <w:rFonts w:cstheme="minorHAnsi"/>
          <w:sz w:val="18"/>
          <w:szCs w:val="18"/>
        </w:rPr>
        <w:footnoteRef/>
      </w:r>
      <w:r w:rsidRPr="007A26FB">
        <w:rPr>
          <w:rFonts w:cstheme="minorHAnsi"/>
          <w:sz w:val="18"/>
          <w:szCs w:val="18"/>
        </w:rPr>
        <w:t xml:space="preserve"> JSCOT, </w:t>
      </w:r>
      <w:hyperlink r:id="rId8" w:anchor="footnote4target" w:history="1">
        <w:r w:rsidRPr="007A26FB">
          <w:rPr>
            <w:rStyle w:val="Hyperlink"/>
            <w:rFonts w:cstheme="minorHAnsi"/>
            <w:i/>
            <w:iCs/>
            <w:sz w:val="18"/>
            <w:szCs w:val="18"/>
          </w:rPr>
          <w:t>Report 181:</w:t>
        </w:r>
        <w:r w:rsidRPr="007A26FB">
          <w:rPr>
            <w:rStyle w:val="Hyperlink"/>
            <w:rFonts w:cstheme="minorHAnsi"/>
            <w:i/>
            <w:iCs/>
            <w:sz w:val="18"/>
            <w:szCs w:val="18"/>
            <w:shd w:val="clear" w:color="auto" w:fill="FFFFFF"/>
          </w:rPr>
          <w:t xml:space="preserve"> C</w:t>
        </w:r>
        <w:r w:rsidRPr="007A26FB">
          <w:rPr>
            <w:rStyle w:val="Hyperlink"/>
            <w:rFonts w:cstheme="minorHAnsi"/>
            <w:i/>
            <w:iCs/>
            <w:sz w:val="18"/>
            <w:szCs w:val="18"/>
          </w:rPr>
          <w:t>omprehensive and Progressive Agreement for Trans-Pacific Partnership between the Government of Australia and the Governments of: Brunei Darussalam, Canada, Chile, Japan, Malaysia, Mexico, New Zealand, Peru, Singapore and Vietnam</w:t>
        </w:r>
        <w:r w:rsidRPr="007A26FB">
          <w:rPr>
            <w:rStyle w:val="Hyperlink"/>
            <w:rFonts w:cstheme="minorHAnsi"/>
            <w:sz w:val="18"/>
            <w:szCs w:val="18"/>
          </w:rPr>
          <w:t> and associated side letters</w:t>
        </w:r>
      </w:hyperlink>
      <w:r w:rsidRPr="007A26FB">
        <w:rPr>
          <w:rFonts w:cstheme="minorHAnsi"/>
          <w:sz w:val="18"/>
          <w:szCs w:val="18"/>
        </w:rPr>
        <w:t xml:space="preserve"> (Santiago, 8 March 2018). </w:t>
      </w:r>
    </w:p>
  </w:footnote>
  <w:footnote w:id="15">
    <w:p w14:paraId="525F6F56" w14:textId="77777777" w:rsidR="00065E36" w:rsidRPr="003D560D" w:rsidRDefault="00065E36" w:rsidP="00065E36">
      <w:pPr>
        <w:pStyle w:val="FootnoteText"/>
        <w:spacing w:before="120"/>
        <w:rPr>
          <w:rFonts w:cstheme="minorHAnsi"/>
          <w:sz w:val="18"/>
          <w:szCs w:val="18"/>
        </w:rPr>
      </w:pPr>
      <w:r w:rsidRPr="003D560D">
        <w:rPr>
          <w:rStyle w:val="FootnoteReference"/>
          <w:rFonts w:cstheme="minorHAnsi"/>
          <w:sz w:val="18"/>
          <w:szCs w:val="18"/>
        </w:rPr>
        <w:footnoteRef/>
      </w:r>
      <w:r w:rsidRPr="007A26FB">
        <w:rPr>
          <w:rFonts w:cstheme="minorHAnsi"/>
          <w:sz w:val="18"/>
          <w:szCs w:val="18"/>
        </w:rPr>
        <w:t xml:space="preserve"> </w:t>
      </w:r>
      <w:hyperlink r:id="rId9" w:history="1">
        <w:r w:rsidRPr="007A26FB">
          <w:rPr>
            <w:rStyle w:val="Hyperlink"/>
            <w:rFonts w:cstheme="minorHAnsi"/>
            <w:sz w:val="18"/>
            <w:szCs w:val="18"/>
          </w:rPr>
          <w:t>Free trade agreements in force | Australian Government Department of Foreign Affairs and Trade</w:t>
        </w:r>
      </w:hyperlink>
    </w:p>
  </w:footnote>
  <w:footnote w:id="16">
    <w:p w14:paraId="4790B401" w14:textId="77777777" w:rsidR="00D51B9C" w:rsidRPr="003D560D" w:rsidRDefault="00D51B9C" w:rsidP="00D51B9C">
      <w:pPr>
        <w:pStyle w:val="FootnoteText"/>
        <w:rPr>
          <w:rFonts w:cstheme="minorHAnsi"/>
          <w:sz w:val="18"/>
          <w:szCs w:val="18"/>
        </w:rPr>
      </w:pPr>
      <w:r w:rsidRPr="003D560D">
        <w:rPr>
          <w:rStyle w:val="FootnoteReference"/>
          <w:rFonts w:cstheme="minorHAnsi"/>
          <w:sz w:val="18"/>
          <w:szCs w:val="18"/>
        </w:rPr>
        <w:footnoteRef/>
      </w:r>
      <w:r w:rsidRPr="003D560D">
        <w:rPr>
          <w:rFonts w:cstheme="minorHAnsi"/>
          <w:sz w:val="18"/>
          <w:szCs w:val="18"/>
        </w:rPr>
        <w:t xml:space="preserve"> Note</w:t>
      </w:r>
      <w:r>
        <w:rPr>
          <w:rFonts w:cstheme="minorHAnsi"/>
          <w:sz w:val="18"/>
          <w:szCs w:val="18"/>
        </w:rPr>
        <w:t xml:space="preserve">: </w:t>
      </w:r>
      <w:r w:rsidRPr="003D560D">
        <w:rPr>
          <w:rFonts w:cstheme="minorHAnsi"/>
          <w:sz w:val="18"/>
          <w:szCs w:val="18"/>
        </w:rPr>
        <w:t xml:space="preserve">The Peru-Australia FTA entered into force on 11 February 2020. </w:t>
      </w:r>
      <w:r w:rsidRPr="007A26FB">
        <w:rPr>
          <w:rFonts w:cstheme="minorHAnsi"/>
          <w:sz w:val="18"/>
          <w:szCs w:val="18"/>
        </w:rPr>
        <w:t xml:space="preserve">Source: </w:t>
      </w:r>
      <w:hyperlink r:id="rId10" w:history="1">
        <w:r w:rsidRPr="007A26FB">
          <w:rPr>
            <w:rStyle w:val="Hyperlink"/>
            <w:rFonts w:cstheme="minorHAnsi"/>
            <w:sz w:val="18"/>
            <w:szCs w:val="18"/>
          </w:rPr>
          <w:t>Peru-Australia Free Trade Agreement | Australian Government Department of Foreign Affairs and Trade</w:t>
        </w:r>
      </w:hyperlink>
    </w:p>
  </w:footnote>
  <w:footnote w:id="17">
    <w:p w14:paraId="4CFB5365" w14:textId="63955CCB" w:rsidR="00F13102" w:rsidRPr="003D560D" w:rsidRDefault="00F13102">
      <w:pPr>
        <w:pStyle w:val="FootnoteText"/>
        <w:rPr>
          <w:rFonts w:cstheme="minorHAnsi"/>
          <w:i/>
          <w:iCs/>
          <w:sz w:val="18"/>
          <w:szCs w:val="18"/>
        </w:rPr>
      </w:pPr>
      <w:r w:rsidRPr="003D560D">
        <w:rPr>
          <w:rStyle w:val="FootnoteReference"/>
          <w:rFonts w:cstheme="minorHAnsi"/>
          <w:sz w:val="18"/>
          <w:szCs w:val="18"/>
        </w:rPr>
        <w:footnoteRef/>
      </w:r>
      <w:r w:rsidRPr="007A26FB">
        <w:rPr>
          <w:rFonts w:cstheme="minorHAnsi"/>
          <w:sz w:val="18"/>
          <w:szCs w:val="18"/>
        </w:rPr>
        <w:t xml:space="preserve"> </w:t>
      </w:r>
      <w:r w:rsidRPr="007A26FB">
        <w:rPr>
          <w:rFonts w:cstheme="minorHAnsi"/>
          <w:i/>
          <w:iCs/>
          <w:sz w:val="18"/>
          <w:szCs w:val="18"/>
        </w:rPr>
        <w:t>Australia’s top two-way trading partners 2018</w:t>
      </w:r>
      <w:r w:rsidR="00F07897" w:rsidRPr="007A26FB">
        <w:rPr>
          <w:rFonts w:cstheme="minorHAnsi"/>
          <w:i/>
          <w:iCs/>
          <w:sz w:val="18"/>
          <w:szCs w:val="18"/>
        </w:rPr>
        <w:t>-</w:t>
      </w:r>
      <w:r w:rsidRPr="007A26FB">
        <w:rPr>
          <w:rFonts w:cstheme="minorHAnsi"/>
          <w:i/>
          <w:iCs/>
          <w:sz w:val="18"/>
          <w:szCs w:val="18"/>
        </w:rPr>
        <w:t xml:space="preserve">19 </w:t>
      </w:r>
      <w:hyperlink r:id="rId11" w:history="1">
        <w:r w:rsidRPr="007A26FB">
          <w:rPr>
            <w:rStyle w:val="Hyperlink"/>
            <w:rFonts w:cstheme="minorHAnsi"/>
            <w:sz w:val="18"/>
            <w:szCs w:val="18"/>
          </w:rPr>
          <w:t>Trade and investment at a glance 2020 | Australian Government Department of Foreign Affairs and Trade</w:t>
        </w:r>
      </w:hyperlink>
    </w:p>
  </w:footnote>
  <w:footnote w:id="18">
    <w:p w14:paraId="4231483B" w14:textId="4F1E5C10" w:rsidR="00760A9F" w:rsidRPr="003D560D" w:rsidRDefault="00760A9F" w:rsidP="004344EB">
      <w:pPr>
        <w:pStyle w:val="FootnoteText"/>
        <w:spacing w:before="120"/>
        <w:rPr>
          <w:rFonts w:cstheme="minorHAnsi"/>
          <w:sz w:val="18"/>
          <w:szCs w:val="18"/>
        </w:rPr>
      </w:pPr>
      <w:r w:rsidRPr="003D560D">
        <w:rPr>
          <w:rStyle w:val="FootnoteReference"/>
          <w:rFonts w:cstheme="minorHAnsi"/>
          <w:sz w:val="18"/>
          <w:szCs w:val="18"/>
        </w:rPr>
        <w:footnoteRef/>
      </w:r>
      <w:r w:rsidRPr="003D560D">
        <w:rPr>
          <w:rFonts w:cstheme="minorHAnsi"/>
          <w:sz w:val="18"/>
          <w:szCs w:val="18"/>
        </w:rPr>
        <w:t xml:space="preserve"> </w:t>
      </w:r>
      <w:r w:rsidRPr="004E447E">
        <w:rPr>
          <w:rFonts w:cstheme="minorHAnsi"/>
          <w:i/>
          <w:sz w:val="18"/>
          <w:szCs w:val="18"/>
        </w:rPr>
        <w:t>JSCOT, Report 165</w:t>
      </w:r>
      <w:r w:rsidRPr="003D560D">
        <w:rPr>
          <w:rFonts w:cstheme="minorHAnsi"/>
          <w:sz w:val="18"/>
          <w:szCs w:val="18"/>
        </w:rPr>
        <w:t>, pp. 4–5.</w:t>
      </w:r>
    </w:p>
  </w:footnote>
  <w:footnote w:id="19">
    <w:p w14:paraId="5E82B922" w14:textId="66A460DA" w:rsidR="00A74D86" w:rsidRPr="003D560D" w:rsidRDefault="00A74D86">
      <w:pPr>
        <w:pStyle w:val="FootnoteText"/>
        <w:rPr>
          <w:rFonts w:cstheme="minorHAnsi"/>
          <w:sz w:val="18"/>
          <w:szCs w:val="18"/>
        </w:rPr>
      </w:pPr>
      <w:r w:rsidRPr="003D560D">
        <w:rPr>
          <w:rStyle w:val="FootnoteReference"/>
          <w:rFonts w:cstheme="minorHAnsi"/>
          <w:sz w:val="18"/>
          <w:szCs w:val="18"/>
        </w:rPr>
        <w:footnoteRef/>
      </w:r>
      <w:r w:rsidRPr="007A26FB">
        <w:rPr>
          <w:rFonts w:cstheme="minorHAnsi"/>
          <w:sz w:val="18"/>
          <w:szCs w:val="18"/>
        </w:rPr>
        <w:t xml:space="preserve"> </w:t>
      </w:r>
      <w:r w:rsidR="008B0B58" w:rsidRPr="007A26FB">
        <w:rPr>
          <w:rFonts w:cstheme="minorHAnsi"/>
          <w:sz w:val="18"/>
          <w:szCs w:val="18"/>
        </w:rPr>
        <w:t xml:space="preserve">Note: </w:t>
      </w:r>
      <w:r w:rsidR="006D1AD9" w:rsidRPr="007A26FB">
        <w:rPr>
          <w:rFonts w:cstheme="minorHAnsi"/>
          <w:sz w:val="18"/>
          <w:szCs w:val="18"/>
        </w:rPr>
        <w:t xml:space="preserve">The </w:t>
      </w:r>
      <w:hyperlink r:id="rId12" w:history="1">
        <w:r w:rsidR="006D1AD9" w:rsidRPr="007A26FB">
          <w:rPr>
            <w:rStyle w:val="Hyperlink"/>
            <w:rFonts w:cstheme="minorHAnsi"/>
            <w:sz w:val="18"/>
            <w:szCs w:val="18"/>
          </w:rPr>
          <w:t>Canada-Australia Trade Agreement (CANATA)</w:t>
        </w:r>
      </w:hyperlink>
      <w:r w:rsidR="006D1AD9" w:rsidRPr="007A26FB">
        <w:rPr>
          <w:rFonts w:cstheme="minorHAnsi"/>
          <w:sz w:val="18"/>
          <w:szCs w:val="18"/>
        </w:rPr>
        <w:t xml:space="preserve"> is an historic trade agreement that entered into force on 30 June 1960</w:t>
      </w:r>
      <w:r w:rsidR="00F60DE4" w:rsidRPr="007A26FB">
        <w:rPr>
          <w:rFonts w:cstheme="minorHAnsi"/>
          <w:sz w:val="18"/>
          <w:szCs w:val="18"/>
        </w:rPr>
        <w:t xml:space="preserve">. </w:t>
      </w:r>
      <w:r w:rsidR="00F60DE4" w:rsidRPr="003D560D">
        <w:rPr>
          <w:rFonts w:cstheme="minorHAnsi"/>
          <w:sz w:val="18"/>
          <w:szCs w:val="18"/>
        </w:rPr>
        <w:t xml:space="preserve">The </w:t>
      </w:r>
      <w:r w:rsidR="000C00BD" w:rsidRPr="003D560D">
        <w:rPr>
          <w:rFonts w:cstheme="minorHAnsi"/>
          <w:sz w:val="18"/>
          <w:szCs w:val="18"/>
        </w:rPr>
        <w:t xml:space="preserve">agreement </w:t>
      </w:r>
      <w:r w:rsidR="009745CE" w:rsidRPr="003D560D">
        <w:rPr>
          <w:rFonts w:cstheme="minorHAnsi"/>
          <w:sz w:val="18"/>
          <w:szCs w:val="18"/>
        </w:rPr>
        <w:t>predates the Harmonised System (HS).</w:t>
      </w:r>
    </w:p>
  </w:footnote>
  <w:footnote w:id="20">
    <w:p w14:paraId="10DD0FAC" w14:textId="6D98CC03" w:rsidR="00890ED7" w:rsidRPr="003D560D" w:rsidRDefault="00890ED7">
      <w:pPr>
        <w:pStyle w:val="FootnoteText"/>
        <w:rPr>
          <w:rFonts w:cstheme="minorHAnsi"/>
          <w:sz w:val="18"/>
          <w:szCs w:val="18"/>
        </w:rPr>
      </w:pPr>
      <w:r w:rsidRPr="003D560D">
        <w:rPr>
          <w:rStyle w:val="FootnoteReference"/>
          <w:rFonts w:cstheme="minorHAnsi"/>
          <w:sz w:val="18"/>
          <w:szCs w:val="18"/>
        </w:rPr>
        <w:footnoteRef/>
      </w:r>
      <w:r w:rsidRPr="007A26FB">
        <w:rPr>
          <w:rFonts w:cstheme="minorHAnsi"/>
          <w:sz w:val="18"/>
          <w:szCs w:val="18"/>
        </w:rPr>
        <w:t xml:space="preserve"> </w:t>
      </w:r>
      <w:r w:rsidR="00BA6751" w:rsidRPr="007A26FB">
        <w:rPr>
          <w:rFonts w:cstheme="minorHAnsi"/>
          <w:i/>
          <w:iCs/>
          <w:sz w:val="18"/>
          <w:szCs w:val="18"/>
        </w:rPr>
        <w:t xml:space="preserve">Japan-Australia Economic Partnership Agreement Post-Implementation Review </w:t>
      </w:r>
      <w:hyperlink r:id="rId13" w:history="1">
        <w:r w:rsidRPr="007A26FB">
          <w:rPr>
            <w:rStyle w:val="Hyperlink"/>
            <w:rFonts w:cstheme="minorHAnsi"/>
            <w:sz w:val="18"/>
            <w:szCs w:val="18"/>
          </w:rPr>
          <w:t>final_version_-_jaepa_pir.pdf</w:t>
        </w:r>
      </w:hyperlink>
    </w:p>
  </w:footnote>
  <w:footnote w:id="21">
    <w:p w14:paraId="046F44DE" w14:textId="15197B39" w:rsidR="002C1A7C" w:rsidRPr="003D560D" w:rsidRDefault="002C1A7C">
      <w:pPr>
        <w:pStyle w:val="FootnoteText"/>
        <w:rPr>
          <w:rFonts w:cstheme="minorHAnsi"/>
          <w:sz w:val="18"/>
          <w:szCs w:val="18"/>
        </w:rPr>
      </w:pPr>
      <w:r w:rsidRPr="003D560D">
        <w:rPr>
          <w:rStyle w:val="FootnoteReference"/>
          <w:rFonts w:cstheme="minorHAnsi"/>
          <w:sz w:val="18"/>
          <w:szCs w:val="18"/>
        </w:rPr>
        <w:footnoteRef/>
      </w:r>
      <w:r w:rsidRPr="007A26FB">
        <w:rPr>
          <w:rFonts w:cstheme="minorHAnsi"/>
          <w:sz w:val="18"/>
          <w:szCs w:val="18"/>
        </w:rPr>
        <w:t xml:space="preserve"> </w:t>
      </w:r>
      <w:r w:rsidR="007E38E3" w:rsidRPr="007A26FB">
        <w:rPr>
          <w:rFonts w:cstheme="minorHAnsi"/>
          <w:i/>
          <w:iCs/>
          <w:sz w:val="18"/>
          <w:szCs w:val="18"/>
        </w:rPr>
        <w:t xml:space="preserve">Comprehensive and Progressive Agreement for Trans-Pacific Partnership Analysis of Regulatory Impact on Australia </w:t>
      </w:r>
      <w:hyperlink r:id="rId14" w:history="1">
        <w:r w:rsidR="007E38E3" w:rsidRPr="007A26FB">
          <w:rPr>
            <w:rStyle w:val="Hyperlink"/>
            <w:rFonts w:cstheme="minorHAnsi"/>
            <w:sz w:val="18"/>
            <w:szCs w:val="18"/>
          </w:rPr>
          <w:t>national-interest-analysis-including-analysis-of-regulatory-impact-on-australia.pdf</w:t>
        </w:r>
      </w:hyperlink>
    </w:p>
  </w:footnote>
  <w:footnote w:id="22">
    <w:p w14:paraId="4BA248A9" w14:textId="2AA36142" w:rsidR="00CD729A" w:rsidRPr="003D560D" w:rsidRDefault="00CD729A">
      <w:pPr>
        <w:pStyle w:val="FootnoteText"/>
        <w:rPr>
          <w:rFonts w:cstheme="minorHAnsi"/>
          <w:sz w:val="18"/>
          <w:szCs w:val="18"/>
        </w:rPr>
      </w:pPr>
      <w:r w:rsidRPr="003D560D">
        <w:rPr>
          <w:rStyle w:val="FootnoteReference"/>
          <w:rFonts w:cstheme="minorHAnsi"/>
          <w:sz w:val="18"/>
          <w:szCs w:val="18"/>
        </w:rPr>
        <w:footnoteRef/>
      </w:r>
      <w:r w:rsidRPr="007A26FB">
        <w:rPr>
          <w:rFonts w:cstheme="minorHAnsi"/>
          <w:sz w:val="18"/>
          <w:szCs w:val="18"/>
        </w:rPr>
        <w:t xml:space="preserve"> </w:t>
      </w:r>
      <w:r w:rsidR="00522E82" w:rsidRPr="007A26FB">
        <w:rPr>
          <w:rFonts w:cstheme="minorHAnsi"/>
          <w:i/>
          <w:iCs/>
          <w:sz w:val="18"/>
          <w:szCs w:val="18"/>
        </w:rPr>
        <w:t xml:space="preserve">Comprehensive and Progressive Agreement for Trans-Pacific Partnership Analysis of Regulatory Impact on Australia </w:t>
      </w:r>
      <w:hyperlink r:id="rId15" w:history="1">
        <w:r w:rsidR="00522E82" w:rsidRPr="007A26FB">
          <w:rPr>
            <w:rStyle w:val="Hyperlink"/>
            <w:rFonts w:cstheme="minorHAnsi"/>
            <w:sz w:val="18"/>
            <w:szCs w:val="18"/>
          </w:rPr>
          <w:t>national-interest-analysis-including-analysis-of-regulatory-impact-on-australia.pdf</w:t>
        </w:r>
      </w:hyperlink>
    </w:p>
  </w:footnote>
  <w:footnote w:id="23">
    <w:p w14:paraId="7153D188" w14:textId="552AB5ED" w:rsidR="00843C47" w:rsidRPr="007A26FB" w:rsidRDefault="00843C47">
      <w:pPr>
        <w:pStyle w:val="FootnoteText"/>
        <w:rPr>
          <w:sz w:val="18"/>
          <w:szCs w:val="18"/>
        </w:rPr>
      </w:pPr>
      <w:r w:rsidRPr="007A26FB">
        <w:rPr>
          <w:rStyle w:val="FootnoteReference"/>
          <w:sz w:val="18"/>
          <w:szCs w:val="18"/>
        </w:rPr>
        <w:footnoteRef/>
      </w:r>
      <w:r w:rsidRPr="007A26FB">
        <w:rPr>
          <w:sz w:val="18"/>
          <w:szCs w:val="18"/>
        </w:rPr>
        <w:t xml:space="preserve"> </w:t>
      </w:r>
      <w:r w:rsidRPr="00843C47">
        <w:rPr>
          <w:sz w:val="18"/>
          <w:szCs w:val="18"/>
        </w:rPr>
        <w:t>Note: India withdrew from RCEP negotiations in 2019</w:t>
      </w:r>
      <w:r>
        <w:rPr>
          <w:sz w:val="18"/>
          <w:szCs w:val="18"/>
        </w:rPr>
        <w:t>.</w:t>
      </w:r>
    </w:p>
  </w:footnote>
  <w:footnote w:id="24">
    <w:p w14:paraId="30CFC9BC" w14:textId="47BA687E" w:rsidR="009E179B" w:rsidRPr="003D560D" w:rsidRDefault="009E179B">
      <w:pPr>
        <w:pStyle w:val="FootnoteText"/>
        <w:rPr>
          <w:rFonts w:cstheme="minorHAnsi"/>
          <w:sz w:val="18"/>
          <w:szCs w:val="18"/>
        </w:rPr>
      </w:pPr>
      <w:r w:rsidRPr="003D560D">
        <w:rPr>
          <w:rStyle w:val="FootnoteReference"/>
          <w:rFonts w:cstheme="minorHAnsi"/>
          <w:sz w:val="18"/>
          <w:szCs w:val="18"/>
        </w:rPr>
        <w:footnoteRef/>
      </w:r>
      <w:r w:rsidRPr="003D560D">
        <w:rPr>
          <w:rFonts w:cstheme="minorHAnsi"/>
          <w:sz w:val="18"/>
          <w:szCs w:val="18"/>
        </w:rPr>
        <w:t xml:space="preserve"> Note: adjusted </w:t>
      </w:r>
      <w:r w:rsidR="00EE6DE1" w:rsidRPr="003D560D">
        <w:rPr>
          <w:rFonts w:cstheme="minorHAnsi"/>
          <w:sz w:val="18"/>
          <w:szCs w:val="18"/>
        </w:rPr>
        <w:t xml:space="preserve">ABS </w:t>
      </w:r>
      <w:r w:rsidRPr="003D560D">
        <w:rPr>
          <w:rFonts w:cstheme="minorHAnsi"/>
          <w:sz w:val="18"/>
          <w:szCs w:val="18"/>
        </w:rPr>
        <w:t>value.</w:t>
      </w:r>
    </w:p>
  </w:footnote>
  <w:footnote w:id="25">
    <w:p w14:paraId="110E4AA0" w14:textId="1BAED018" w:rsidR="004B20EB" w:rsidRPr="003D560D" w:rsidRDefault="004B20EB">
      <w:pPr>
        <w:pStyle w:val="FootnoteText"/>
        <w:rPr>
          <w:rFonts w:cstheme="minorHAnsi"/>
          <w:sz w:val="18"/>
          <w:szCs w:val="18"/>
        </w:rPr>
      </w:pPr>
      <w:r w:rsidRPr="003D560D">
        <w:rPr>
          <w:rStyle w:val="FootnoteReference"/>
          <w:rFonts w:cstheme="minorHAnsi"/>
          <w:sz w:val="18"/>
          <w:szCs w:val="18"/>
        </w:rPr>
        <w:footnoteRef/>
      </w:r>
      <w:r w:rsidRPr="007A26FB">
        <w:rPr>
          <w:rFonts w:cstheme="minorHAnsi"/>
          <w:sz w:val="18"/>
          <w:szCs w:val="18"/>
        </w:rPr>
        <w:t xml:space="preserve"> </w:t>
      </w:r>
      <w:r w:rsidR="001F1E3A" w:rsidRPr="007A26FB">
        <w:rPr>
          <w:rFonts w:cstheme="minorHAnsi"/>
          <w:i/>
          <w:iCs/>
          <w:sz w:val="18"/>
          <w:szCs w:val="18"/>
        </w:rPr>
        <w:t xml:space="preserve">CPTPP </w:t>
      </w:r>
      <w:r w:rsidR="00F23120" w:rsidRPr="007A26FB">
        <w:rPr>
          <w:rFonts w:cstheme="minorHAnsi"/>
          <w:i/>
          <w:iCs/>
          <w:sz w:val="18"/>
          <w:szCs w:val="18"/>
        </w:rPr>
        <w:t>Analysis of Regulatory Impact on Australia</w:t>
      </w:r>
      <w:r w:rsidR="001F1E3A" w:rsidRPr="007A26FB">
        <w:rPr>
          <w:rFonts w:cstheme="minorHAnsi"/>
          <w:sz w:val="18"/>
          <w:szCs w:val="18"/>
        </w:rPr>
        <w:t xml:space="preserve"> </w:t>
      </w:r>
      <w:hyperlink r:id="rId16" w:history="1">
        <w:r w:rsidR="001F1E3A" w:rsidRPr="007A26FB">
          <w:rPr>
            <w:rStyle w:val="Hyperlink"/>
            <w:rFonts w:cstheme="minorHAnsi"/>
            <w:sz w:val="18"/>
            <w:szCs w:val="18"/>
          </w:rPr>
          <w:t>national-interest-analysis-including-analysis-of-regulatory-impact-on-australia.pdf</w:t>
        </w:r>
      </w:hyperlink>
    </w:p>
  </w:footnote>
  <w:footnote w:id="26">
    <w:p w14:paraId="226B086D" w14:textId="77777777" w:rsidR="00793FC5" w:rsidRPr="003D560D" w:rsidRDefault="00793FC5" w:rsidP="00793FC5">
      <w:pPr>
        <w:pStyle w:val="FootnoteText"/>
        <w:rPr>
          <w:rFonts w:cstheme="minorHAnsi"/>
          <w:sz w:val="18"/>
          <w:szCs w:val="18"/>
        </w:rPr>
      </w:pPr>
      <w:r w:rsidRPr="003D560D">
        <w:rPr>
          <w:rStyle w:val="FootnoteReference"/>
          <w:rFonts w:cstheme="minorHAnsi"/>
          <w:sz w:val="18"/>
          <w:szCs w:val="18"/>
        </w:rPr>
        <w:footnoteRef/>
      </w:r>
      <w:r w:rsidRPr="003D560D">
        <w:rPr>
          <w:rFonts w:cstheme="minorHAnsi"/>
          <w:sz w:val="18"/>
          <w:szCs w:val="18"/>
        </w:rPr>
        <w:t xml:space="preserve"> Federal Register of Legislation - Customs Tariff Amendment (Incorporation of Proposal and Other Measures) Act 2017</w:t>
      </w:r>
    </w:p>
  </w:footnote>
  <w:footnote w:id="27">
    <w:p w14:paraId="50D85CC9" w14:textId="6FE9D701" w:rsidR="00223C3B" w:rsidRPr="003D560D" w:rsidRDefault="00223C3B">
      <w:pPr>
        <w:pStyle w:val="FootnoteText"/>
        <w:rPr>
          <w:rFonts w:cstheme="minorHAnsi"/>
          <w:sz w:val="18"/>
          <w:szCs w:val="18"/>
        </w:rPr>
      </w:pPr>
      <w:r w:rsidRPr="003D560D">
        <w:rPr>
          <w:rStyle w:val="FootnoteReference"/>
          <w:rFonts w:cstheme="minorHAnsi"/>
          <w:sz w:val="18"/>
          <w:szCs w:val="18"/>
        </w:rPr>
        <w:footnoteRef/>
      </w:r>
      <w:r w:rsidRPr="007A26FB">
        <w:rPr>
          <w:rFonts w:cstheme="minorHAnsi"/>
          <w:sz w:val="18"/>
          <w:szCs w:val="18"/>
        </w:rPr>
        <w:t xml:space="preserve"> </w:t>
      </w:r>
      <w:r w:rsidR="00176BC2" w:rsidRPr="007A26FB">
        <w:rPr>
          <w:rFonts w:cstheme="minorHAnsi"/>
          <w:i/>
          <w:iCs/>
          <w:sz w:val="18"/>
          <w:szCs w:val="18"/>
        </w:rPr>
        <w:t xml:space="preserve">Australian Bureau of Statistics Media Release </w:t>
      </w:r>
      <w:hyperlink r:id="rId17" w:history="1">
        <w:r w:rsidRPr="007A26FB">
          <w:rPr>
            <w:rStyle w:val="Hyperlink"/>
            <w:rFonts w:cstheme="minorHAnsi"/>
            <w:sz w:val="18"/>
            <w:szCs w:val="18"/>
          </w:rPr>
          <w:t>Australia records a current account deficit | Australian Bureau of Statistics</w:t>
        </w:r>
      </w:hyperlink>
    </w:p>
  </w:footnote>
  <w:footnote w:id="28">
    <w:p w14:paraId="1116E73A" w14:textId="1ABB26B3" w:rsidR="00896704" w:rsidRPr="007A26FB" w:rsidRDefault="00896704">
      <w:pPr>
        <w:pStyle w:val="FootnoteText"/>
        <w:rPr>
          <w:sz w:val="18"/>
          <w:szCs w:val="18"/>
        </w:rPr>
      </w:pPr>
      <w:r w:rsidRPr="007A26FB">
        <w:rPr>
          <w:rStyle w:val="FootnoteReference"/>
          <w:sz w:val="18"/>
          <w:szCs w:val="18"/>
        </w:rPr>
        <w:footnoteRef/>
      </w:r>
      <w:r w:rsidRPr="007A26FB">
        <w:rPr>
          <w:sz w:val="18"/>
          <w:szCs w:val="18"/>
        </w:rPr>
        <w:t xml:space="preserve"> </w:t>
      </w:r>
      <w:r w:rsidRPr="003D560D">
        <w:rPr>
          <w:rFonts w:cstheme="minorHAnsi"/>
          <w:sz w:val="18"/>
          <w:szCs w:val="18"/>
        </w:rPr>
        <w:t>Note: At the time of writing, the Australian Government does not have time series data on CPTPP utilisation rates for all members. This increase in trade therefore cannot be attributed entirely to CPTPP.</w:t>
      </w:r>
    </w:p>
  </w:footnote>
  <w:footnote w:id="29">
    <w:p w14:paraId="64ED003B" w14:textId="77777777" w:rsidR="00C027D0" w:rsidRPr="003D560D" w:rsidRDefault="00C027D0" w:rsidP="00C027D0">
      <w:pPr>
        <w:pStyle w:val="FootnoteText"/>
        <w:rPr>
          <w:rFonts w:cstheme="minorHAnsi"/>
          <w:sz w:val="18"/>
          <w:szCs w:val="18"/>
        </w:rPr>
      </w:pPr>
      <w:r w:rsidRPr="003D560D">
        <w:rPr>
          <w:rStyle w:val="FootnoteReference"/>
          <w:rFonts w:cstheme="minorHAnsi"/>
          <w:sz w:val="18"/>
          <w:szCs w:val="18"/>
        </w:rPr>
        <w:footnoteRef/>
      </w:r>
      <w:r w:rsidRPr="003D560D">
        <w:rPr>
          <w:rFonts w:cstheme="minorHAnsi"/>
          <w:sz w:val="18"/>
          <w:szCs w:val="18"/>
        </w:rPr>
        <w:t xml:space="preserve"> Note: The July 2023 entry into force for Brunei means only 6 months (July – December 2023) of data would be relevant to CPTPP. </w:t>
      </w:r>
    </w:p>
  </w:footnote>
  <w:footnote w:id="30">
    <w:p w14:paraId="732ED097" w14:textId="77777777" w:rsidR="00C027D0" w:rsidRPr="003D560D" w:rsidRDefault="00C027D0" w:rsidP="00C027D0">
      <w:pPr>
        <w:pStyle w:val="FootnoteText"/>
        <w:rPr>
          <w:rFonts w:cstheme="minorHAnsi"/>
          <w:sz w:val="18"/>
          <w:szCs w:val="18"/>
        </w:rPr>
      </w:pPr>
      <w:r w:rsidRPr="003D560D">
        <w:rPr>
          <w:rStyle w:val="FootnoteReference"/>
          <w:rFonts w:cstheme="minorHAnsi"/>
          <w:sz w:val="18"/>
          <w:szCs w:val="18"/>
        </w:rPr>
        <w:footnoteRef/>
      </w:r>
      <w:r w:rsidRPr="003D560D">
        <w:rPr>
          <w:rFonts w:cstheme="minorHAnsi"/>
          <w:sz w:val="18"/>
          <w:szCs w:val="18"/>
        </w:rPr>
        <w:t xml:space="preserve"> Note: The November 2022 entry into force for Malaysia means only 13 months (November 2022 – December 2023) of the review period is relevant. </w:t>
      </w:r>
    </w:p>
  </w:footnote>
  <w:footnote w:id="31">
    <w:p w14:paraId="3332E151" w14:textId="77777777" w:rsidR="007959B4" w:rsidRPr="003D560D" w:rsidRDefault="007959B4" w:rsidP="007959B4">
      <w:pPr>
        <w:pStyle w:val="FootnoteText"/>
        <w:rPr>
          <w:rFonts w:cstheme="minorHAnsi"/>
          <w:sz w:val="18"/>
          <w:szCs w:val="18"/>
        </w:rPr>
      </w:pPr>
      <w:r w:rsidRPr="003D560D">
        <w:rPr>
          <w:rStyle w:val="FootnoteReference"/>
          <w:rFonts w:cstheme="minorHAnsi"/>
          <w:sz w:val="18"/>
          <w:szCs w:val="18"/>
        </w:rPr>
        <w:footnoteRef/>
      </w:r>
      <w:r w:rsidRPr="003D560D">
        <w:rPr>
          <w:rFonts w:cstheme="minorHAnsi"/>
          <w:sz w:val="18"/>
          <w:szCs w:val="18"/>
        </w:rPr>
        <w:t xml:space="preserve"> Note: The February 2023 entry into force date for Chile means only a 9 month (February – December 2023) of the review period is relevant. </w:t>
      </w:r>
    </w:p>
  </w:footnote>
  <w:footnote w:id="32">
    <w:p w14:paraId="41FA9EC4" w14:textId="77777777" w:rsidR="007959B4" w:rsidRPr="007A26FB" w:rsidRDefault="007959B4" w:rsidP="007959B4">
      <w:pPr>
        <w:pStyle w:val="FootnoteText"/>
        <w:rPr>
          <w:sz w:val="18"/>
          <w:szCs w:val="18"/>
        </w:rPr>
      </w:pPr>
      <w:r w:rsidRPr="007A26FB">
        <w:rPr>
          <w:rStyle w:val="FootnoteReference"/>
          <w:sz w:val="18"/>
          <w:szCs w:val="18"/>
        </w:rPr>
        <w:footnoteRef/>
      </w:r>
      <w:r w:rsidRPr="007A26FB">
        <w:rPr>
          <w:sz w:val="18"/>
          <w:szCs w:val="18"/>
        </w:rPr>
        <w:t xml:space="preserve"> </w:t>
      </w:r>
      <w:r w:rsidRPr="0060214E">
        <w:rPr>
          <w:rFonts w:cstheme="minorHAnsi"/>
          <w:sz w:val="18"/>
          <w:szCs w:val="18"/>
        </w:rPr>
        <w:t>Note: The September 2021 entry into force for Peru means only 27 months (September 2021 – December 2023) of the review period is relevant.</w:t>
      </w:r>
    </w:p>
  </w:footnote>
  <w:footnote w:id="33">
    <w:p w14:paraId="50F3EC6F" w14:textId="77777777" w:rsidR="00FD2E49" w:rsidRPr="003D560D" w:rsidRDefault="00FD2E49" w:rsidP="00FD2E49">
      <w:pPr>
        <w:pStyle w:val="FootnoteText"/>
        <w:rPr>
          <w:rFonts w:cstheme="minorHAnsi"/>
          <w:sz w:val="18"/>
          <w:szCs w:val="18"/>
        </w:rPr>
      </w:pPr>
      <w:r w:rsidRPr="003D560D">
        <w:rPr>
          <w:rStyle w:val="FootnoteReference"/>
          <w:rFonts w:cstheme="minorHAnsi"/>
          <w:sz w:val="18"/>
          <w:szCs w:val="18"/>
        </w:rPr>
        <w:footnoteRef/>
      </w:r>
      <w:r w:rsidRPr="003D560D">
        <w:rPr>
          <w:rFonts w:cstheme="minorHAnsi"/>
          <w:sz w:val="18"/>
          <w:szCs w:val="18"/>
        </w:rPr>
        <w:t xml:space="preserve"> Note: For agriculture exports, this rise could have also been attributed to AANZFTA.</w:t>
      </w:r>
    </w:p>
  </w:footnote>
  <w:footnote w:id="34">
    <w:p w14:paraId="58DFB293" w14:textId="6B9AE62F" w:rsidR="003F14C0" w:rsidRPr="003D560D" w:rsidRDefault="003F14C0" w:rsidP="003F14C0">
      <w:pPr>
        <w:pStyle w:val="FootnoteText"/>
        <w:rPr>
          <w:rFonts w:cstheme="minorHAnsi"/>
          <w:sz w:val="18"/>
          <w:szCs w:val="18"/>
        </w:rPr>
      </w:pPr>
      <w:r w:rsidRPr="003D560D">
        <w:rPr>
          <w:rStyle w:val="FootnoteReference"/>
          <w:rFonts w:cstheme="minorHAnsi"/>
          <w:sz w:val="18"/>
          <w:szCs w:val="18"/>
        </w:rPr>
        <w:footnoteRef/>
      </w:r>
      <w:r w:rsidRPr="003D560D">
        <w:rPr>
          <w:rFonts w:cstheme="minorHAnsi"/>
          <w:sz w:val="18"/>
          <w:szCs w:val="18"/>
        </w:rPr>
        <w:t xml:space="preserve"> Note: The July 2023 entry into force for Brunei means only 6 months (July – December 2023) of data would be relevant to CPTPP. </w:t>
      </w:r>
    </w:p>
  </w:footnote>
  <w:footnote w:id="35">
    <w:p w14:paraId="23F54FBC" w14:textId="2C7F1A6D" w:rsidR="00E343A7" w:rsidRPr="003D560D" w:rsidRDefault="00E343A7" w:rsidP="00E343A7">
      <w:pPr>
        <w:pStyle w:val="FootnoteText"/>
        <w:rPr>
          <w:rFonts w:cstheme="minorHAnsi"/>
          <w:sz w:val="18"/>
          <w:szCs w:val="18"/>
        </w:rPr>
      </w:pPr>
      <w:r w:rsidRPr="003D560D">
        <w:rPr>
          <w:rStyle w:val="FootnoteReference"/>
          <w:rFonts w:cstheme="minorHAnsi"/>
          <w:sz w:val="18"/>
          <w:szCs w:val="18"/>
        </w:rPr>
        <w:footnoteRef/>
      </w:r>
      <w:r w:rsidRPr="003D560D">
        <w:rPr>
          <w:rFonts w:cstheme="minorHAnsi"/>
          <w:sz w:val="18"/>
          <w:szCs w:val="18"/>
        </w:rPr>
        <w:t xml:space="preserve"> Note: The November 2022 entry into force for Malaysia means only 13 months (November 2022 – December 2023) of the review period is relevant. </w:t>
      </w:r>
    </w:p>
  </w:footnote>
  <w:footnote w:id="36">
    <w:p w14:paraId="6E25D946" w14:textId="1787A84F" w:rsidR="00CC3381" w:rsidRPr="003D560D" w:rsidRDefault="00CC3381" w:rsidP="00CC3381">
      <w:pPr>
        <w:pStyle w:val="FootnoteText"/>
        <w:rPr>
          <w:rFonts w:cstheme="minorHAnsi"/>
          <w:sz w:val="18"/>
          <w:szCs w:val="18"/>
        </w:rPr>
      </w:pPr>
      <w:r w:rsidRPr="003D560D">
        <w:rPr>
          <w:rStyle w:val="FootnoteReference"/>
          <w:rFonts w:cstheme="minorHAnsi"/>
          <w:sz w:val="18"/>
          <w:szCs w:val="18"/>
        </w:rPr>
        <w:footnoteRef/>
      </w:r>
      <w:r w:rsidRPr="003D560D">
        <w:rPr>
          <w:rFonts w:cstheme="minorHAnsi"/>
          <w:sz w:val="18"/>
          <w:szCs w:val="18"/>
        </w:rPr>
        <w:t xml:space="preserve"> Note: The February 2023 entry into force date for Chile means only a 9 month (February – December 2023) of the review period is relevant. </w:t>
      </w:r>
    </w:p>
  </w:footnote>
  <w:footnote w:id="37">
    <w:p w14:paraId="7677A8FE" w14:textId="2FE9070F" w:rsidR="00DF4407" w:rsidRPr="007A26FB" w:rsidRDefault="00DF4407">
      <w:pPr>
        <w:pStyle w:val="FootnoteText"/>
        <w:rPr>
          <w:sz w:val="18"/>
          <w:szCs w:val="18"/>
        </w:rPr>
      </w:pPr>
      <w:r w:rsidRPr="007A26FB">
        <w:rPr>
          <w:rStyle w:val="FootnoteReference"/>
          <w:sz w:val="18"/>
          <w:szCs w:val="18"/>
        </w:rPr>
        <w:footnoteRef/>
      </w:r>
      <w:r w:rsidRPr="007A26FB">
        <w:rPr>
          <w:sz w:val="18"/>
          <w:szCs w:val="18"/>
        </w:rPr>
        <w:t xml:space="preserve"> </w:t>
      </w:r>
      <w:r w:rsidRPr="0060214E">
        <w:rPr>
          <w:rFonts w:cstheme="minorHAnsi"/>
          <w:sz w:val="18"/>
          <w:szCs w:val="18"/>
        </w:rPr>
        <w:t>Note: The September 2021 entry into force for Peru means only 27 months (September 2021 – December 2023) of the review period is relevant.</w:t>
      </w:r>
    </w:p>
  </w:footnote>
  <w:footnote w:id="38">
    <w:p w14:paraId="019CA34D" w14:textId="74892FB7" w:rsidR="007A26FB" w:rsidRPr="007A26FB" w:rsidRDefault="007A26FB" w:rsidP="00DF6893">
      <w:pPr>
        <w:pStyle w:val="ListParagraph"/>
        <w:numPr>
          <w:ilvl w:val="0"/>
          <w:numId w:val="0"/>
        </w:numPr>
      </w:pPr>
      <w:r w:rsidRPr="007A26FB">
        <w:rPr>
          <w:rStyle w:val="FootnoteReference"/>
          <w:sz w:val="18"/>
          <w:szCs w:val="18"/>
        </w:rPr>
        <w:footnoteRef/>
      </w:r>
      <w:r w:rsidRPr="007A26FB">
        <w:rPr>
          <w:sz w:val="18"/>
          <w:szCs w:val="18"/>
        </w:rPr>
        <w:t xml:space="preserve"> Note: CPTPP market access outcomes for resources and energy products that are additional to Australia’s existing FTAs include tariff elimination on: butane, propane and liquified natural gas exports to Vietnam within 7 years of entry into force of CPTPP; and refined petroleum exports to Vietnam within 10 years of entry into force of CPTPP.</w:t>
      </w:r>
      <w:r w:rsidRPr="007A26FB">
        <w:rPr>
          <w:rStyle w:val="FootnoteReference"/>
          <w:sz w:val="18"/>
          <w:szCs w:val="18"/>
        </w:rPr>
        <w:footnoteRef/>
      </w:r>
      <w:r w:rsidRPr="007A26FB">
        <w:rPr>
          <w:sz w:val="18"/>
          <w:szCs w:val="18"/>
        </w:rPr>
        <w:t xml:space="preserve"> From 2019 to 2023, refined petroleum exports to Vietnam increased from $14.5 million to $27.5 million, an increase of 90 per cent. </w:t>
      </w:r>
    </w:p>
  </w:footnote>
  <w:footnote w:id="39">
    <w:p w14:paraId="081E5368" w14:textId="77777777" w:rsidR="006D7D85" w:rsidRPr="007A26FB" w:rsidRDefault="006D7D85" w:rsidP="006D7D85">
      <w:pPr>
        <w:pStyle w:val="FootnoteText"/>
        <w:rPr>
          <w:sz w:val="18"/>
          <w:szCs w:val="18"/>
        </w:rPr>
      </w:pPr>
      <w:r w:rsidRPr="007A26FB">
        <w:rPr>
          <w:rStyle w:val="FootnoteReference"/>
          <w:sz w:val="18"/>
          <w:szCs w:val="18"/>
        </w:rPr>
        <w:footnoteRef/>
      </w:r>
      <w:r w:rsidRPr="007A26FB">
        <w:rPr>
          <w:sz w:val="18"/>
          <w:szCs w:val="18"/>
        </w:rPr>
        <w:t xml:space="preserve"> </w:t>
      </w:r>
      <w:r w:rsidRPr="007A26FB">
        <w:rPr>
          <w:i/>
          <w:iCs/>
          <w:sz w:val="18"/>
          <w:szCs w:val="18"/>
        </w:rPr>
        <w:t xml:space="preserve">Austrade </w:t>
      </w:r>
      <w:hyperlink r:id="rId18" w:history="1">
        <w:r w:rsidRPr="007A26FB">
          <w:rPr>
            <w:rStyle w:val="Hyperlink"/>
            <w:sz w:val="18"/>
            <w:szCs w:val="18"/>
          </w:rPr>
          <w:t>How global energy prices are affecting the price of Australian farm inputs | Austrade</w:t>
        </w:r>
      </w:hyperlink>
    </w:p>
  </w:footnote>
  <w:footnote w:id="40">
    <w:p w14:paraId="3F4E6CB0" w14:textId="77777777" w:rsidR="000A1E07" w:rsidRPr="003D560D" w:rsidRDefault="000A1E07" w:rsidP="000A1E07">
      <w:pPr>
        <w:pStyle w:val="FootnoteText"/>
        <w:rPr>
          <w:rFonts w:cstheme="minorHAnsi"/>
          <w:sz w:val="18"/>
          <w:szCs w:val="18"/>
        </w:rPr>
      </w:pPr>
      <w:r w:rsidRPr="003D560D">
        <w:rPr>
          <w:rStyle w:val="FootnoteReference"/>
          <w:rFonts w:cstheme="minorHAnsi"/>
          <w:sz w:val="18"/>
          <w:szCs w:val="18"/>
        </w:rPr>
        <w:footnoteRef/>
      </w:r>
      <w:r w:rsidRPr="003D560D">
        <w:rPr>
          <w:rFonts w:cstheme="minorHAnsi"/>
          <w:sz w:val="18"/>
          <w:szCs w:val="18"/>
        </w:rPr>
        <w:t xml:space="preserve"> Federal Register of Legislation - Customs Tariff Amendment (Incorporation of Proposal and Other Measures) Act 2017</w:t>
      </w:r>
    </w:p>
  </w:footnote>
  <w:footnote w:id="41">
    <w:p w14:paraId="3A79003C" w14:textId="2BF38796" w:rsidR="000F5417" w:rsidRPr="007A26FB" w:rsidRDefault="000F5417" w:rsidP="001A209B">
      <w:pPr>
        <w:pStyle w:val="ListParagraph"/>
        <w:numPr>
          <w:ilvl w:val="0"/>
          <w:numId w:val="0"/>
        </w:numPr>
        <w:rPr>
          <w:sz w:val="18"/>
          <w:szCs w:val="18"/>
        </w:rPr>
      </w:pPr>
      <w:r w:rsidRPr="009A1EB0">
        <w:rPr>
          <w:rStyle w:val="FootnoteReference"/>
          <w:rFonts w:eastAsiaTheme="minorHAnsi" w:cstheme="minorBidi"/>
          <w:sz w:val="18"/>
          <w:szCs w:val="18"/>
        </w:rPr>
        <w:footnoteRef/>
      </w:r>
      <w:r w:rsidRPr="009A1EB0">
        <w:rPr>
          <w:rStyle w:val="FootnoteReference"/>
          <w:rFonts w:eastAsiaTheme="minorHAnsi" w:cstheme="minorBidi"/>
          <w:sz w:val="18"/>
          <w:szCs w:val="18"/>
        </w:rPr>
        <w:t xml:space="preserve"> </w:t>
      </w:r>
      <w:r w:rsidRPr="009A1EB0">
        <w:rPr>
          <w:rFonts w:eastAsiaTheme="minorHAnsi"/>
          <w:sz w:val="18"/>
          <w:szCs w:val="18"/>
          <w:lang w:eastAsia="en-US"/>
        </w:rPr>
        <w:t xml:space="preserve">Note: Despite goods imports decreasing between 2020 </w:t>
      </w:r>
      <w:proofErr w:type="gramStart"/>
      <w:r w:rsidRPr="009A1EB0">
        <w:rPr>
          <w:rFonts w:eastAsiaTheme="minorHAnsi"/>
          <w:sz w:val="18"/>
          <w:szCs w:val="18"/>
          <w:lang w:eastAsia="en-US"/>
        </w:rPr>
        <w:t>as a result of</w:t>
      </w:r>
      <w:proofErr w:type="gramEnd"/>
      <w:r w:rsidRPr="009A1EB0">
        <w:rPr>
          <w:rFonts w:eastAsiaTheme="minorHAnsi"/>
          <w:sz w:val="18"/>
          <w:szCs w:val="18"/>
          <w:lang w:eastAsia="en-US"/>
        </w:rPr>
        <w:t xml:space="preserve"> COVID-19-related disruptions, the total value of goods imports since 2020 has remained above pre-pandemic levels. </w:t>
      </w:r>
    </w:p>
  </w:footnote>
  <w:footnote w:id="42">
    <w:p w14:paraId="71C353E5" w14:textId="697B097C" w:rsidR="00431E34" w:rsidRPr="007A26FB" w:rsidRDefault="00431E34">
      <w:pPr>
        <w:pStyle w:val="FootnoteText"/>
        <w:rPr>
          <w:sz w:val="18"/>
          <w:szCs w:val="18"/>
        </w:rPr>
      </w:pPr>
      <w:r w:rsidRPr="007A26FB">
        <w:rPr>
          <w:rStyle w:val="FootnoteReference"/>
          <w:sz w:val="18"/>
          <w:szCs w:val="18"/>
        </w:rPr>
        <w:footnoteRef/>
      </w:r>
      <w:r w:rsidRPr="007A26FB">
        <w:rPr>
          <w:sz w:val="18"/>
          <w:szCs w:val="18"/>
        </w:rPr>
        <w:t xml:space="preserve"> </w:t>
      </w:r>
      <w:r w:rsidR="000A52CF" w:rsidRPr="003D560D">
        <w:rPr>
          <w:rFonts w:cstheme="minorHAnsi"/>
          <w:sz w:val="18"/>
          <w:szCs w:val="18"/>
        </w:rPr>
        <w:t>Note: The July 2023 entry into force for Brunei means only 6 months (July – December 2023) of data would be relevant to CPTPP.</w:t>
      </w:r>
    </w:p>
  </w:footnote>
  <w:footnote w:id="43">
    <w:p w14:paraId="323629E6" w14:textId="231054FD" w:rsidR="00E132FF" w:rsidRPr="007A26FB" w:rsidRDefault="00E132FF">
      <w:pPr>
        <w:pStyle w:val="FootnoteText"/>
        <w:rPr>
          <w:sz w:val="18"/>
          <w:szCs w:val="18"/>
        </w:rPr>
      </w:pPr>
      <w:r w:rsidRPr="007A26FB">
        <w:rPr>
          <w:rStyle w:val="FootnoteReference"/>
          <w:sz w:val="18"/>
          <w:szCs w:val="18"/>
        </w:rPr>
        <w:footnoteRef/>
      </w:r>
      <w:r w:rsidRPr="007A26FB">
        <w:rPr>
          <w:sz w:val="18"/>
          <w:szCs w:val="18"/>
        </w:rPr>
        <w:t xml:space="preserve"> </w:t>
      </w:r>
      <w:r w:rsidRPr="003D560D">
        <w:rPr>
          <w:rFonts w:cstheme="minorHAnsi"/>
          <w:sz w:val="18"/>
          <w:szCs w:val="18"/>
        </w:rPr>
        <w:t>Note: The November 2022 entry into force for Malaysia means only 13 months (November 2022 – December 2023) of the review period is relevant.</w:t>
      </w:r>
    </w:p>
  </w:footnote>
  <w:footnote w:id="44">
    <w:p w14:paraId="2B5D5923" w14:textId="63754BA0" w:rsidR="00161BA7" w:rsidRPr="007A26FB" w:rsidRDefault="00161BA7">
      <w:pPr>
        <w:pStyle w:val="FootnoteText"/>
        <w:rPr>
          <w:sz w:val="18"/>
          <w:szCs w:val="18"/>
        </w:rPr>
      </w:pPr>
      <w:r w:rsidRPr="007A26FB">
        <w:rPr>
          <w:rStyle w:val="FootnoteReference"/>
          <w:sz w:val="18"/>
          <w:szCs w:val="18"/>
        </w:rPr>
        <w:footnoteRef/>
      </w:r>
      <w:r w:rsidRPr="007A26FB">
        <w:rPr>
          <w:sz w:val="18"/>
          <w:szCs w:val="18"/>
        </w:rPr>
        <w:t xml:space="preserve"> </w:t>
      </w:r>
      <w:r w:rsidRPr="003D560D">
        <w:rPr>
          <w:rFonts w:cstheme="minorHAnsi"/>
          <w:sz w:val="18"/>
          <w:szCs w:val="18"/>
        </w:rPr>
        <w:t>Note: The February 2023 entry into force date for Chile means only a 9 month (February – December 2023) of the review period is relevant.</w:t>
      </w:r>
    </w:p>
  </w:footnote>
  <w:footnote w:id="45">
    <w:p w14:paraId="3FB05DD3" w14:textId="088BC37F" w:rsidR="00AE6EFA" w:rsidRDefault="00AE6EFA">
      <w:pPr>
        <w:pStyle w:val="FootnoteText"/>
      </w:pPr>
      <w:r>
        <w:rPr>
          <w:rStyle w:val="FootnoteReference"/>
        </w:rPr>
        <w:footnoteRef/>
      </w:r>
      <w:r>
        <w:t xml:space="preserve"> </w:t>
      </w:r>
      <w:r w:rsidRPr="007A26FB">
        <w:rPr>
          <w:rFonts w:cstheme="minorHAnsi"/>
          <w:sz w:val="18"/>
          <w:szCs w:val="18"/>
        </w:rPr>
        <w:t>Note: The September 2021 entry into force for Peru means only 27 months (September 2021 – December 2023) of the review period is relevant.</w:t>
      </w:r>
    </w:p>
  </w:footnote>
  <w:footnote w:id="46">
    <w:p w14:paraId="19399D0C" w14:textId="08D4B212" w:rsidR="00EB4553" w:rsidRPr="00C95911" w:rsidRDefault="00EB4553" w:rsidP="00C95911">
      <w:pPr>
        <w:pStyle w:val="ListParagraph"/>
        <w:numPr>
          <w:ilvl w:val="0"/>
          <w:numId w:val="0"/>
        </w:numPr>
        <w:rPr>
          <w:rFonts w:eastAsiaTheme="minorHAnsi"/>
          <w:sz w:val="18"/>
          <w:szCs w:val="18"/>
          <w:lang w:eastAsia="en-US"/>
        </w:rPr>
      </w:pPr>
      <w:r w:rsidRPr="007A26FB">
        <w:rPr>
          <w:rStyle w:val="FootnoteReference"/>
          <w:rFonts w:eastAsiaTheme="minorHAnsi" w:cstheme="minorBidi"/>
          <w:sz w:val="18"/>
          <w:szCs w:val="18"/>
        </w:rPr>
        <w:footnoteRef/>
      </w:r>
      <w:r w:rsidRPr="007A26FB">
        <w:rPr>
          <w:rStyle w:val="FootnoteReference"/>
          <w:rFonts w:eastAsiaTheme="minorHAnsi" w:cstheme="minorBidi"/>
          <w:sz w:val="18"/>
          <w:szCs w:val="18"/>
        </w:rPr>
        <w:t xml:space="preserve"> </w:t>
      </w:r>
      <w:r w:rsidRPr="00455267">
        <w:rPr>
          <w:rFonts w:eastAsiaTheme="minorHAnsi"/>
          <w:sz w:val="18"/>
          <w:szCs w:val="18"/>
          <w:lang w:eastAsia="en-US"/>
        </w:rPr>
        <w:t xml:space="preserve">Note: Despite goods imports decreasing between 2020 </w:t>
      </w:r>
      <w:proofErr w:type="gramStart"/>
      <w:r w:rsidRPr="00455267">
        <w:rPr>
          <w:rFonts w:eastAsiaTheme="minorHAnsi"/>
          <w:sz w:val="18"/>
          <w:szCs w:val="18"/>
          <w:lang w:eastAsia="en-US"/>
        </w:rPr>
        <w:t>as a result of</w:t>
      </w:r>
      <w:proofErr w:type="gramEnd"/>
      <w:r w:rsidRPr="00455267">
        <w:rPr>
          <w:rFonts w:eastAsiaTheme="minorHAnsi"/>
          <w:sz w:val="18"/>
          <w:szCs w:val="18"/>
          <w:lang w:eastAsia="en-US"/>
        </w:rPr>
        <w:t xml:space="preserve"> COVID-19-related disruptions, the total value of goods imports since 2020 has remained above pre-pandemic levels. </w:t>
      </w:r>
    </w:p>
  </w:footnote>
  <w:footnote w:id="47">
    <w:p w14:paraId="524A8D41" w14:textId="77777777" w:rsidR="00EB4553" w:rsidRPr="007A26FB" w:rsidRDefault="00EB4553" w:rsidP="00EB4553">
      <w:pPr>
        <w:pStyle w:val="FootnoteText"/>
        <w:rPr>
          <w:sz w:val="18"/>
          <w:szCs w:val="18"/>
        </w:rPr>
      </w:pPr>
      <w:r w:rsidRPr="007A26FB">
        <w:rPr>
          <w:rStyle w:val="FootnoteReference"/>
          <w:sz w:val="18"/>
          <w:szCs w:val="18"/>
        </w:rPr>
        <w:footnoteRef/>
      </w:r>
      <w:r w:rsidRPr="007A26FB">
        <w:rPr>
          <w:sz w:val="18"/>
          <w:szCs w:val="18"/>
        </w:rPr>
        <w:t xml:space="preserve"> </w:t>
      </w:r>
      <w:r w:rsidRPr="003D560D">
        <w:rPr>
          <w:rFonts w:cstheme="minorHAnsi"/>
          <w:sz w:val="18"/>
          <w:szCs w:val="18"/>
        </w:rPr>
        <w:t>Note: The July 2023 entry into force for Brunei means only 6 months (July – December 2023) of data would be relevant to CPTPP.</w:t>
      </w:r>
    </w:p>
  </w:footnote>
  <w:footnote w:id="48">
    <w:p w14:paraId="25E4793F" w14:textId="77777777" w:rsidR="00C43552" w:rsidRPr="007A26FB" w:rsidRDefault="00C43552" w:rsidP="00C43552">
      <w:pPr>
        <w:pStyle w:val="FootnoteText"/>
        <w:rPr>
          <w:sz w:val="18"/>
          <w:szCs w:val="18"/>
        </w:rPr>
      </w:pPr>
      <w:r w:rsidRPr="007A26FB">
        <w:rPr>
          <w:rStyle w:val="FootnoteReference"/>
          <w:sz w:val="18"/>
          <w:szCs w:val="18"/>
        </w:rPr>
        <w:footnoteRef/>
      </w:r>
      <w:r w:rsidRPr="007A26FB">
        <w:rPr>
          <w:sz w:val="18"/>
          <w:szCs w:val="18"/>
        </w:rPr>
        <w:t xml:space="preserve"> </w:t>
      </w:r>
      <w:r w:rsidRPr="003D560D">
        <w:rPr>
          <w:rFonts w:cstheme="minorHAnsi"/>
          <w:sz w:val="18"/>
          <w:szCs w:val="18"/>
        </w:rPr>
        <w:t>Note: The November 2022 entry into force for Malaysia means only 13 months (November 2022 – December 2023) of the review period is relevant.</w:t>
      </w:r>
    </w:p>
  </w:footnote>
  <w:footnote w:id="49">
    <w:p w14:paraId="29446273" w14:textId="77777777" w:rsidR="00EB4553" w:rsidRPr="007A26FB" w:rsidRDefault="00EB4553" w:rsidP="00EB4553">
      <w:pPr>
        <w:pStyle w:val="FootnoteText"/>
        <w:rPr>
          <w:sz w:val="18"/>
          <w:szCs w:val="18"/>
        </w:rPr>
      </w:pPr>
      <w:r w:rsidRPr="007A26FB">
        <w:rPr>
          <w:rStyle w:val="FootnoteReference"/>
          <w:sz w:val="18"/>
          <w:szCs w:val="18"/>
        </w:rPr>
        <w:footnoteRef/>
      </w:r>
      <w:r w:rsidRPr="007A26FB">
        <w:rPr>
          <w:sz w:val="18"/>
          <w:szCs w:val="18"/>
        </w:rPr>
        <w:t xml:space="preserve"> </w:t>
      </w:r>
      <w:r w:rsidRPr="003D560D">
        <w:rPr>
          <w:rFonts w:cstheme="minorHAnsi"/>
          <w:sz w:val="18"/>
          <w:szCs w:val="18"/>
        </w:rPr>
        <w:t>Note: The February 2023 entry into force date for Chile means only a 9 month (February – December 2023) of the review period is relevant.</w:t>
      </w:r>
    </w:p>
  </w:footnote>
  <w:footnote w:id="50">
    <w:p w14:paraId="33E9C45B" w14:textId="6949DDA2" w:rsidR="000413CA" w:rsidRDefault="000413CA">
      <w:pPr>
        <w:pStyle w:val="FootnoteText"/>
      </w:pPr>
      <w:r>
        <w:rPr>
          <w:rStyle w:val="FootnoteReference"/>
        </w:rPr>
        <w:footnoteRef/>
      </w:r>
      <w:r>
        <w:t xml:space="preserve"> </w:t>
      </w:r>
      <w:r w:rsidRPr="000413CA">
        <w:rPr>
          <w:rFonts w:cstheme="minorHAnsi"/>
          <w:sz w:val="18"/>
          <w:szCs w:val="18"/>
        </w:rPr>
        <w:t>Note: The September 2021 entry into force for Peru means only 27 months (September 2021 – December 2023) of the review period is relevant.</w:t>
      </w:r>
    </w:p>
  </w:footnote>
  <w:footnote w:id="51">
    <w:p w14:paraId="2CA56DA7" w14:textId="77777777" w:rsidR="00F31A73" w:rsidRPr="003D560D" w:rsidRDefault="00F31A73" w:rsidP="00F31A73">
      <w:pPr>
        <w:pStyle w:val="FootnoteText"/>
        <w:rPr>
          <w:rFonts w:cstheme="minorHAnsi"/>
          <w:sz w:val="18"/>
          <w:szCs w:val="18"/>
        </w:rPr>
      </w:pPr>
      <w:r w:rsidRPr="003D560D">
        <w:rPr>
          <w:rStyle w:val="FootnoteReference"/>
          <w:rFonts w:cstheme="minorHAnsi"/>
          <w:sz w:val="18"/>
          <w:szCs w:val="18"/>
        </w:rPr>
        <w:footnoteRef/>
      </w:r>
      <w:r w:rsidRPr="003D560D">
        <w:rPr>
          <w:rFonts w:cstheme="minorHAnsi"/>
          <w:sz w:val="18"/>
          <w:szCs w:val="18"/>
        </w:rPr>
        <w:t xml:space="preserve"> Certain data has been omitted to protect confidentiality.</w:t>
      </w:r>
    </w:p>
  </w:footnote>
  <w:footnote w:id="52">
    <w:p w14:paraId="762A3D15" w14:textId="377AF305" w:rsidR="00F1756C" w:rsidRPr="003D560D" w:rsidRDefault="00F1756C" w:rsidP="00F1756C">
      <w:pPr>
        <w:pStyle w:val="FootnoteText"/>
        <w:rPr>
          <w:rFonts w:cstheme="minorHAnsi"/>
          <w:sz w:val="18"/>
          <w:szCs w:val="18"/>
        </w:rPr>
      </w:pPr>
      <w:r w:rsidRPr="003D560D">
        <w:rPr>
          <w:rStyle w:val="FootnoteReference"/>
          <w:rFonts w:cstheme="minorHAnsi"/>
          <w:sz w:val="18"/>
          <w:szCs w:val="18"/>
        </w:rPr>
        <w:footnoteRef/>
      </w:r>
      <w:r w:rsidRPr="003D560D">
        <w:rPr>
          <w:rFonts w:cstheme="minorHAnsi"/>
          <w:sz w:val="18"/>
          <w:szCs w:val="18"/>
        </w:rPr>
        <w:t xml:space="preserve"> Note. Five CPTPP members </w:t>
      </w:r>
      <w:r w:rsidR="007A7359">
        <w:rPr>
          <w:rFonts w:cstheme="minorHAnsi"/>
          <w:sz w:val="18"/>
          <w:szCs w:val="18"/>
        </w:rPr>
        <w:t>rank amongst</w:t>
      </w:r>
      <w:r w:rsidR="007A7359" w:rsidRPr="007A26FB">
        <w:rPr>
          <w:rFonts w:cstheme="minorHAnsi"/>
          <w:sz w:val="18"/>
          <w:szCs w:val="18"/>
        </w:rPr>
        <w:t xml:space="preserve"> </w:t>
      </w:r>
      <w:r w:rsidRPr="003D560D">
        <w:rPr>
          <w:rFonts w:cstheme="minorHAnsi"/>
          <w:sz w:val="18"/>
          <w:szCs w:val="18"/>
        </w:rPr>
        <w:t>the leading sources of foreign investment to Australia. The following members were in the top 20 sources of foreign investment by country in 2023: Japan (4</w:t>
      </w:r>
      <w:r w:rsidRPr="003D560D">
        <w:rPr>
          <w:rFonts w:cstheme="minorHAnsi"/>
          <w:sz w:val="18"/>
          <w:szCs w:val="18"/>
          <w:vertAlign w:val="superscript"/>
        </w:rPr>
        <w:t>th</w:t>
      </w:r>
      <w:r w:rsidRPr="003D560D">
        <w:rPr>
          <w:rFonts w:cstheme="minorHAnsi"/>
          <w:sz w:val="18"/>
          <w:szCs w:val="18"/>
        </w:rPr>
        <w:t>), Singapore (6</w:t>
      </w:r>
      <w:r w:rsidRPr="003D560D">
        <w:rPr>
          <w:rFonts w:cstheme="minorHAnsi"/>
          <w:sz w:val="18"/>
          <w:szCs w:val="18"/>
          <w:vertAlign w:val="superscript"/>
        </w:rPr>
        <w:t>th</w:t>
      </w:r>
      <w:r w:rsidRPr="003D560D">
        <w:rPr>
          <w:rFonts w:cstheme="minorHAnsi"/>
          <w:sz w:val="18"/>
          <w:szCs w:val="18"/>
        </w:rPr>
        <w:t>), Canada (8</w:t>
      </w:r>
      <w:r w:rsidRPr="003D560D">
        <w:rPr>
          <w:rFonts w:cstheme="minorHAnsi"/>
          <w:sz w:val="18"/>
          <w:szCs w:val="18"/>
          <w:vertAlign w:val="superscript"/>
        </w:rPr>
        <w:t>th</w:t>
      </w:r>
      <w:r w:rsidRPr="003D560D">
        <w:rPr>
          <w:rFonts w:cstheme="minorHAnsi"/>
          <w:sz w:val="18"/>
          <w:szCs w:val="18"/>
        </w:rPr>
        <w:t>), New Zealand (8</w:t>
      </w:r>
      <w:r w:rsidRPr="003D560D">
        <w:rPr>
          <w:rFonts w:cstheme="minorHAnsi"/>
          <w:sz w:val="18"/>
          <w:szCs w:val="18"/>
          <w:vertAlign w:val="superscript"/>
        </w:rPr>
        <w:t>th</w:t>
      </w:r>
      <w:r w:rsidRPr="003D560D">
        <w:rPr>
          <w:rFonts w:cstheme="minorHAnsi"/>
          <w:sz w:val="18"/>
          <w:szCs w:val="18"/>
        </w:rPr>
        <w:t>), and Malaysia (20</w:t>
      </w:r>
      <w:r w:rsidRPr="003D560D">
        <w:rPr>
          <w:rFonts w:cstheme="minorHAnsi"/>
          <w:sz w:val="18"/>
          <w:szCs w:val="18"/>
          <w:vertAlign w:val="superscript"/>
        </w:rPr>
        <w:t>th</w:t>
      </w:r>
      <w:r w:rsidRPr="003D560D">
        <w:rPr>
          <w:rFonts w:cstheme="minorHAnsi"/>
          <w:sz w:val="18"/>
          <w:szCs w:val="18"/>
        </w:rPr>
        <w:t xml:space="preserve">). </w:t>
      </w:r>
    </w:p>
  </w:footnote>
  <w:footnote w:id="53">
    <w:p w14:paraId="2129CFD7" w14:textId="1B1D9A05" w:rsidR="00F82730" w:rsidRPr="007A26FB" w:rsidRDefault="00F82730">
      <w:pPr>
        <w:pStyle w:val="FootnoteText"/>
        <w:rPr>
          <w:i/>
          <w:sz w:val="18"/>
          <w:szCs w:val="18"/>
        </w:rPr>
      </w:pPr>
      <w:r w:rsidRPr="007A26FB">
        <w:rPr>
          <w:rStyle w:val="FootnoteReference"/>
          <w:sz w:val="18"/>
          <w:szCs w:val="18"/>
        </w:rPr>
        <w:footnoteRef/>
      </w:r>
      <w:r w:rsidRPr="007A26FB">
        <w:rPr>
          <w:sz w:val="18"/>
          <w:szCs w:val="18"/>
        </w:rPr>
        <w:t xml:space="preserve"> </w:t>
      </w:r>
      <w:r w:rsidR="00172FAE" w:rsidRPr="007A26FB">
        <w:rPr>
          <w:i/>
          <w:iCs/>
          <w:sz w:val="18"/>
          <w:szCs w:val="18"/>
        </w:rPr>
        <w:t xml:space="preserve">CPTPP Analysis of Regulatory Impact on Australia </w:t>
      </w:r>
      <w:hyperlink r:id="rId19" w:history="1">
        <w:r w:rsidR="00172FAE" w:rsidRPr="007A26FB">
          <w:rPr>
            <w:rStyle w:val="Hyperlink"/>
            <w:sz w:val="18"/>
            <w:szCs w:val="18"/>
          </w:rPr>
          <w:t>national-interest-analysis-including-analysis-of-regulatory-impact-on-australia.pdf</w:t>
        </w:r>
      </w:hyperlink>
    </w:p>
  </w:footnote>
  <w:footnote w:id="54">
    <w:p w14:paraId="16E3DAD3" w14:textId="77777777" w:rsidR="00AD70BB" w:rsidRPr="003D560D" w:rsidRDefault="00AD70BB" w:rsidP="00AD70BB">
      <w:pPr>
        <w:pStyle w:val="FootnoteText"/>
        <w:rPr>
          <w:rFonts w:cstheme="minorHAnsi"/>
          <w:i/>
          <w:sz w:val="18"/>
          <w:szCs w:val="18"/>
        </w:rPr>
      </w:pPr>
      <w:r w:rsidRPr="003D560D">
        <w:rPr>
          <w:rStyle w:val="FootnoteReference"/>
          <w:rFonts w:cstheme="minorHAnsi"/>
          <w:sz w:val="18"/>
          <w:szCs w:val="18"/>
        </w:rPr>
        <w:footnoteRef/>
      </w:r>
      <w:r w:rsidRPr="003D560D">
        <w:rPr>
          <w:rFonts w:cstheme="minorHAnsi"/>
          <w:sz w:val="18"/>
          <w:szCs w:val="18"/>
        </w:rPr>
        <w:t xml:space="preserve"> WTO Committee on Regional Trade Agreements, </w:t>
      </w:r>
      <w:hyperlink r:id="rId20" w:history="1">
        <w:r w:rsidRPr="007A26FB">
          <w:rPr>
            <w:rStyle w:val="Hyperlink"/>
            <w:rFonts w:cstheme="minorHAnsi"/>
            <w:i/>
            <w:iCs/>
            <w:sz w:val="18"/>
            <w:szCs w:val="18"/>
          </w:rPr>
          <w:t>Note on the Meeting of 18 November 2024</w:t>
        </w:r>
      </w:hyperlink>
      <w:r w:rsidRPr="003D560D">
        <w:rPr>
          <w:rFonts w:cstheme="minorHAnsi"/>
          <w:i/>
          <w:iCs/>
          <w:sz w:val="18"/>
          <w:szCs w:val="18"/>
        </w:rPr>
        <w:t xml:space="preserve"> - </w:t>
      </w:r>
      <w:r w:rsidRPr="003D560D">
        <w:rPr>
          <w:rFonts w:cstheme="minorHAnsi"/>
          <w:i/>
          <w:sz w:val="18"/>
          <w:szCs w:val="18"/>
        </w:rPr>
        <w:t>CPTPP – Entry into Force for Brunei Darussalam, Chile and Malaysia (Goods and Services</w:t>
      </w:r>
      <w:r w:rsidRPr="003D560D">
        <w:rPr>
          <w:rFonts w:cstheme="minorHAnsi"/>
          <w:i/>
          <w:iCs/>
          <w:sz w:val="18"/>
          <w:szCs w:val="18"/>
        </w:rPr>
        <w:t>)</w:t>
      </w:r>
      <w:r w:rsidRPr="003D560D">
        <w:rPr>
          <w:rFonts w:cstheme="minorHAnsi"/>
          <w:sz w:val="18"/>
          <w:szCs w:val="18"/>
        </w:rPr>
        <w:t>, WTO, 2024.</w:t>
      </w:r>
    </w:p>
  </w:footnote>
  <w:footnote w:id="55">
    <w:p w14:paraId="6502CC0E" w14:textId="77777777" w:rsidR="00E029E5" w:rsidRPr="007A26FB" w:rsidRDefault="00E029E5" w:rsidP="00E029E5">
      <w:pPr>
        <w:rPr>
          <w:rFonts w:cstheme="minorHAnsi"/>
          <w:sz w:val="18"/>
          <w:szCs w:val="18"/>
        </w:rPr>
      </w:pPr>
      <w:r w:rsidRPr="007A26FB">
        <w:rPr>
          <w:rStyle w:val="FootnoteReference"/>
          <w:rFonts w:cstheme="minorHAnsi"/>
          <w:sz w:val="18"/>
          <w:szCs w:val="18"/>
        </w:rPr>
        <w:footnoteRef/>
      </w:r>
      <w:r w:rsidRPr="007A26FB">
        <w:rPr>
          <w:rFonts w:cstheme="minorHAnsi"/>
          <w:sz w:val="18"/>
          <w:szCs w:val="18"/>
        </w:rPr>
        <w:t xml:space="preserve"> </w:t>
      </w:r>
      <w:hyperlink r:id="rId21" w:history="1">
        <w:r w:rsidRPr="007A26FB">
          <w:rPr>
            <w:rStyle w:val="Hyperlink"/>
            <w:rFonts w:cstheme="minorHAnsi"/>
            <w:sz w:val="18"/>
            <w:szCs w:val="18"/>
          </w:rPr>
          <w:t>Communique – Third Meeting of the Ministerial Council on Trade and Investment | Minister for Trade and Tourism</w:t>
        </w:r>
      </w:hyperlink>
    </w:p>
  </w:footnote>
  <w:footnote w:id="56">
    <w:p w14:paraId="375B173E" w14:textId="27333DEE" w:rsidR="00E029E5" w:rsidRPr="007A26FB" w:rsidRDefault="00E029E5" w:rsidP="00E029E5">
      <w:pPr>
        <w:rPr>
          <w:rFonts w:cstheme="minorHAnsi"/>
          <w:sz w:val="18"/>
          <w:szCs w:val="18"/>
        </w:rPr>
      </w:pPr>
      <w:r w:rsidRPr="007A26FB">
        <w:rPr>
          <w:rStyle w:val="FootnoteReference"/>
          <w:rFonts w:cstheme="minorHAnsi"/>
          <w:sz w:val="18"/>
          <w:szCs w:val="18"/>
        </w:rPr>
        <w:footnoteRef/>
      </w:r>
      <w:r w:rsidRPr="007A26FB">
        <w:rPr>
          <w:rFonts w:cstheme="minorHAnsi"/>
          <w:sz w:val="18"/>
          <w:szCs w:val="18"/>
        </w:rPr>
        <w:t xml:space="preserve"> </w:t>
      </w:r>
      <w:hyperlink r:id="rId22" w:history="1">
        <w:r w:rsidRPr="007A26FB">
          <w:rPr>
            <w:rStyle w:val="Hyperlink"/>
            <w:rFonts w:cstheme="minorHAnsi"/>
            <w:sz w:val="18"/>
            <w:szCs w:val="18"/>
          </w:rPr>
          <w:t>Communique – Fourth Meeting of the Ministerial Council on Trade and Investment | Minister for Trade and Tourism</w:t>
        </w:r>
      </w:hyperlink>
    </w:p>
  </w:footnote>
  <w:footnote w:id="57">
    <w:p w14:paraId="01C439B7" w14:textId="3B35192A" w:rsidR="004913AD" w:rsidRPr="003D560D" w:rsidRDefault="004913AD">
      <w:pPr>
        <w:pStyle w:val="FootnoteText"/>
        <w:rPr>
          <w:rFonts w:cstheme="minorHAnsi"/>
          <w:sz w:val="18"/>
          <w:szCs w:val="18"/>
        </w:rPr>
      </w:pPr>
      <w:r w:rsidRPr="003D560D">
        <w:rPr>
          <w:rStyle w:val="FootnoteReference"/>
          <w:rFonts w:cstheme="minorHAnsi"/>
          <w:sz w:val="18"/>
          <w:szCs w:val="18"/>
        </w:rPr>
        <w:footnoteRef/>
      </w:r>
      <w:r w:rsidRPr="007A26FB">
        <w:rPr>
          <w:rFonts w:cstheme="minorHAnsi"/>
          <w:sz w:val="18"/>
          <w:szCs w:val="18"/>
        </w:rPr>
        <w:t xml:space="preserve"> </w:t>
      </w:r>
      <w:r w:rsidR="00665A0A" w:rsidRPr="007A26FB">
        <w:rPr>
          <w:rFonts w:cstheme="minorHAnsi"/>
          <w:i/>
          <w:iCs/>
          <w:sz w:val="18"/>
          <w:szCs w:val="18"/>
        </w:rPr>
        <w:t xml:space="preserve">CPTPP Commission meetings </w:t>
      </w:r>
      <w:hyperlink r:id="rId23" w:history="1">
        <w:r w:rsidRPr="007A26FB">
          <w:rPr>
            <w:rStyle w:val="Hyperlink"/>
            <w:rFonts w:cstheme="minorHAnsi"/>
            <w:sz w:val="18"/>
            <w:szCs w:val="18"/>
          </w:rPr>
          <w:t>CPTPP Commission meetings | Australian Government Department of Foreign Affairs and Trade</w:t>
        </w:r>
      </w:hyperlink>
    </w:p>
  </w:footnote>
  <w:footnote w:id="58">
    <w:p w14:paraId="09C1EC40" w14:textId="77777777" w:rsidR="00D03463" w:rsidRPr="003D560D" w:rsidRDefault="00D03463" w:rsidP="00D03463">
      <w:pPr>
        <w:pStyle w:val="FootnoteText"/>
        <w:rPr>
          <w:rFonts w:cstheme="minorHAnsi"/>
          <w:sz w:val="18"/>
          <w:szCs w:val="18"/>
        </w:rPr>
      </w:pPr>
      <w:r w:rsidRPr="003D560D">
        <w:rPr>
          <w:rStyle w:val="FootnoteReference"/>
          <w:rFonts w:cstheme="minorHAnsi"/>
          <w:sz w:val="18"/>
          <w:szCs w:val="18"/>
        </w:rPr>
        <w:footnoteRef/>
      </w:r>
      <w:r w:rsidRPr="007A26FB">
        <w:rPr>
          <w:rFonts w:cstheme="minorHAnsi"/>
          <w:sz w:val="18"/>
          <w:szCs w:val="18"/>
        </w:rPr>
        <w:t xml:space="preserve"> </w:t>
      </w:r>
      <w:r w:rsidRPr="007A26FB">
        <w:rPr>
          <w:rFonts w:cstheme="minorHAnsi"/>
          <w:i/>
          <w:iCs/>
          <w:sz w:val="18"/>
          <w:szCs w:val="18"/>
        </w:rPr>
        <w:t>Terms of Reference for CPTPP General Review</w:t>
      </w:r>
      <w:r w:rsidRPr="007A26FB">
        <w:rPr>
          <w:rFonts w:cstheme="minorHAnsi"/>
          <w:sz w:val="18"/>
          <w:szCs w:val="18"/>
        </w:rPr>
        <w:t xml:space="preserve"> </w:t>
      </w:r>
      <w:hyperlink r:id="rId24" w:history="1">
        <w:r w:rsidRPr="007A26FB">
          <w:rPr>
            <w:rStyle w:val="Hyperlink"/>
            <w:rFonts w:cstheme="minorHAnsi"/>
            <w:sz w:val="18"/>
            <w:szCs w:val="18"/>
          </w:rPr>
          <w:t>Terms of Reference for Conducting the General Review of the Comprehensive and Progressive Agreement for Trans-Pacific Partnership (CPTPP) endorsed at CPTPP Ministerial meeting on 15 November 2023 PST | Australian Government Department of Foreign Affairs and Trade</w:t>
        </w:r>
      </w:hyperlink>
    </w:p>
  </w:footnote>
  <w:footnote w:id="59">
    <w:p w14:paraId="7EADE2F2" w14:textId="33DBCA7A" w:rsidR="009A5B54" w:rsidRPr="003D560D" w:rsidRDefault="009A5B54" w:rsidP="009A5B54">
      <w:pPr>
        <w:pStyle w:val="FootnoteText"/>
        <w:rPr>
          <w:rFonts w:cstheme="minorHAnsi"/>
          <w:i/>
          <w:iCs/>
          <w:sz w:val="18"/>
          <w:szCs w:val="18"/>
        </w:rPr>
      </w:pPr>
      <w:r w:rsidRPr="003D560D">
        <w:rPr>
          <w:rStyle w:val="FootnoteReference"/>
          <w:rFonts w:cstheme="minorHAnsi"/>
          <w:sz w:val="18"/>
          <w:szCs w:val="18"/>
        </w:rPr>
        <w:footnoteRef/>
      </w:r>
      <w:r w:rsidRPr="007A26FB">
        <w:rPr>
          <w:rFonts w:cstheme="minorHAnsi"/>
          <w:sz w:val="18"/>
          <w:szCs w:val="18"/>
        </w:rPr>
        <w:t xml:space="preserve"> </w:t>
      </w:r>
      <w:r w:rsidRPr="007A26FB">
        <w:rPr>
          <w:rFonts w:cstheme="minorHAnsi"/>
          <w:i/>
          <w:iCs/>
          <w:sz w:val="18"/>
          <w:szCs w:val="18"/>
        </w:rPr>
        <w:t>J</w:t>
      </w:r>
      <w:r w:rsidR="00AD06A2">
        <w:rPr>
          <w:rFonts w:cstheme="minorHAnsi"/>
          <w:i/>
          <w:iCs/>
          <w:sz w:val="18"/>
          <w:szCs w:val="18"/>
        </w:rPr>
        <w:t>oint Standing Committee on Foreign Affairs, Defence, and Trade:</w:t>
      </w:r>
      <w:r w:rsidRPr="007A26FB">
        <w:rPr>
          <w:rFonts w:cstheme="minorHAnsi"/>
          <w:i/>
          <w:iCs/>
          <w:sz w:val="18"/>
          <w:szCs w:val="18"/>
        </w:rPr>
        <w:t xml:space="preserve"> </w:t>
      </w:r>
      <w:hyperlink r:id="rId25" w:history="1">
        <w:r w:rsidRPr="007A26FB">
          <w:rPr>
            <w:rStyle w:val="Hyperlink"/>
            <w:rFonts w:cstheme="minorHAnsi"/>
            <w:sz w:val="18"/>
            <w:szCs w:val="18"/>
          </w:rPr>
          <w:t>Expanding the membership of the Comprehensive and Progressive Trans-Pacific Partnership – Parliament of Australia</w:t>
        </w:r>
      </w:hyperlink>
      <w:r w:rsidR="00AD06A2">
        <w:t>, February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4F8D" w14:textId="2C9E404C" w:rsidR="006E55C0" w:rsidRDefault="005F11D9">
    <w:pPr>
      <w:pStyle w:val="Header"/>
    </w:pPr>
    <w:r>
      <w:rPr>
        <w:noProof/>
        <w:lang w:eastAsia="en-AU"/>
      </w:rPr>
      <mc:AlternateContent>
        <mc:Choice Requires="wps">
          <w:drawing>
            <wp:anchor distT="0" distB="0" distL="0" distR="0" simplePos="0" relativeHeight="251658241" behindDoc="0" locked="0" layoutInCell="1" allowOverlap="1" wp14:anchorId="4E157714" wp14:editId="6B4788BB">
              <wp:simplePos x="635" y="635"/>
              <wp:positionH relativeFrom="page">
                <wp:align>center</wp:align>
              </wp:positionH>
              <wp:positionV relativeFrom="page">
                <wp:align>top</wp:align>
              </wp:positionV>
              <wp:extent cx="443865" cy="443865"/>
              <wp:effectExtent l="0" t="0" r="635" b="4445"/>
              <wp:wrapNone/>
              <wp:docPr id="165974560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0CE59C" w14:textId="01D17C39" w:rsidR="005F11D9" w:rsidRPr="005F11D9" w:rsidRDefault="005F11D9" w:rsidP="005F11D9">
                          <w:pPr>
                            <w:spacing w:after="0"/>
                            <w:rPr>
                              <w:rFonts w:ascii="Calibri" w:eastAsia="Calibri" w:hAnsi="Calibri" w:cs="Calibri"/>
                              <w:noProof/>
                              <w:color w:val="FF0000"/>
                              <w:sz w:val="24"/>
                              <w:szCs w:val="24"/>
                            </w:rPr>
                          </w:pPr>
                          <w:r w:rsidRPr="005F11D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157714"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80CE59C" w14:textId="01D17C39" w:rsidR="005F11D9" w:rsidRPr="005F11D9" w:rsidRDefault="005F11D9" w:rsidP="005F11D9">
                    <w:pPr>
                      <w:spacing w:after="0"/>
                      <w:rPr>
                        <w:rFonts w:ascii="Calibri" w:eastAsia="Calibri" w:hAnsi="Calibri" w:cs="Calibri"/>
                        <w:noProof/>
                        <w:color w:val="FF0000"/>
                        <w:sz w:val="24"/>
                        <w:szCs w:val="24"/>
                      </w:rPr>
                    </w:pPr>
                    <w:r w:rsidRPr="005F11D9">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CD83" w14:textId="0E9232F4" w:rsidR="0082045D" w:rsidRPr="00435CA7" w:rsidRDefault="005F11D9" w:rsidP="00C271C1">
    <w:pPr>
      <w:pStyle w:val="Header"/>
      <w:jc w:val="center"/>
      <w:rPr>
        <w:b/>
      </w:rPr>
    </w:pPr>
    <w:r>
      <w:rPr>
        <w:b/>
        <w:noProof/>
        <w:lang w:eastAsia="en-AU"/>
      </w:rPr>
      <mc:AlternateContent>
        <mc:Choice Requires="wps">
          <w:drawing>
            <wp:anchor distT="0" distB="0" distL="0" distR="0" simplePos="0" relativeHeight="251658242" behindDoc="0" locked="0" layoutInCell="1" allowOverlap="1" wp14:anchorId="19B972D7" wp14:editId="5FE6FD88">
              <wp:simplePos x="1143000" y="361950"/>
              <wp:positionH relativeFrom="page">
                <wp:align>center</wp:align>
              </wp:positionH>
              <wp:positionV relativeFrom="page">
                <wp:align>top</wp:align>
              </wp:positionV>
              <wp:extent cx="443865" cy="443865"/>
              <wp:effectExtent l="0" t="0" r="635" b="4445"/>
              <wp:wrapNone/>
              <wp:docPr id="12376428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558EF6" w14:textId="0BDA7A07" w:rsidR="005F11D9" w:rsidRPr="005F11D9" w:rsidRDefault="005F11D9" w:rsidP="005F11D9">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B972D7"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F558EF6" w14:textId="0BDA7A07" w:rsidR="005F11D9" w:rsidRPr="005F11D9" w:rsidRDefault="005F11D9" w:rsidP="005F11D9">
                    <w:pPr>
                      <w:spacing w:after="0"/>
                      <w:rPr>
                        <w:rFonts w:ascii="Calibri" w:eastAsia="Calibri" w:hAnsi="Calibri" w:cs="Calibri"/>
                        <w:noProof/>
                        <w:color w:val="FF0000"/>
                        <w:sz w:val="24"/>
                        <w:szCs w:val="24"/>
                      </w:rPr>
                    </w:pPr>
                  </w:p>
                </w:txbxContent>
              </v:textbox>
              <w10:wrap anchorx="page" anchory="page"/>
            </v:shape>
          </w:pict>
        </mc:Fallback>
      </mc:AlternateContent>
    </w:r>
  </w:p>
  <w:p w14:paraId="1315225C" w14:textId="391E7EEE" w:rsidR="0082045D" w:rsidRPr="00435CA7" w:rsidRDefault="0082045D" w:rsidP="00C271C1">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0D20" w14:textId="1184F2D4" w:rsidR="006E55C0" w:rsidRDefault="005F11D9">
    <w:pPr>
      <w:pStyle w:val="Header"/>
    </w:pPr>
    <w:r>
      <w:rPr>
        <w:noProof/>
        <w:lang w:eastAsia="en-AU"/>
      </w:rPr>
      <mc:AlternateContent>
        <mc:Choice Requires="wps">
          <w:drawing>
            <wp:anchor distT="0" distB="0" distL="0" distR="0" simplePos="0" relativeHeight="251658240" behindDoc="0" locked="0" layoutInCell="1" allowOverlap="1" wp14:anchorId="34647659" wp14:editId="4ADD0D8D">
              <wp:simplePos x="635" y="635"/>
              <wp:positionH relativeFrom="page">
                <wp:align>center</wp:align>
              </wp:positionH>
              <wp:positionV relativeFrom="page">
                <wp:align>top</wp:align>
              </wp:positionV>
              <wp:extent cx="443865" cy="443865"/>
              <wp:effectExtent l="0" t="0" r="635" b="4445"/>
              <wp:wrapNone/>
              <wp:docPr id="19863692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EE9DCB" w14:textId="05285A5A" w:rsidR="005F11D9" w:rsidRPr="005F11D9" w:rsidRDefault="005F11D9" w:rsidP="005F11D9">
                          <w:pPr>
                            <w:spacing w:after="0"/>
                            <w:rPr>
                              <w:rFonts w:ascii="Calibri" w:eastAsia="Calibri" w:hAnsi="Calibri" w:cs="Calibri"/>
                              <w:noProof/>
                              <w:color w:val="FF0000"/>
                              <w:sz w:val="24"/>
                              <w:szCs w:val="24"/>
                            </w:rPr>
                          </w:pPr>
                          <w:r w:rsidRPr="005F11D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647659"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8EE9DCB" w14:textId="05285A5A" w:rsidR="005F11D9" w:rsidRPr="005F11D9" w:rsidRDefault="005F11D9" w:rsidP="005F11D9">
                    <w:pPr>
                      <w:spacing w:after="0"/>
                      <w:rPr>
                        <w:rFonts w:ascii="Calibri" w:eastAsia="Calibri" w:hAnsi="Calibri" w:cs="Calibri"/>
                        <w:noProof/>
                        <w:color w:val="FF0000"/>
                        <w:sz w:val="24"/>
                        <w:szCs w:val="24"/>
                      </w:rPr>
                    </w:pPr>
                    <w:r w:rsidRPr="005F11D9">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DB6"/>
    <w:multiLevelType w:val="multilevel"/>
    <w:tmpl w:val="B4DCEBAA"/>
    <w:styleLink w:val="List19"/>
    <w:lvl w:ilvl="0">
      <w:numFmt w:val="bullet"/>
      <w:lvlText w:val="•"/>
      <w:lvlJc w:val="left"/>
      <w:pPr>
        <w:tabs>
          <w:tab w:val="num" w:pos="690"/>
        </w:tabs>
        <w:ind w:left="690" w:hanging="330"/>
      </w:pPr>
      <w:rPr>
        <w:rFonts w:ascii="Times New Roman" w:eastAsia="Times New Roman" w:hAnsi="Times New Roman" w:cs="Times New Roman"/>
        <w:position w:val="0"/>
        <w:sz w:val="24"/>
        <w:szCs w:val="24"/>
      </w:rPr>
    </w:lvl>
    <w:lvl w:ilvl="1">
      <w:start w:val="1"/>
      <w:numFmt w:val="bullet"/>
      <w:lvlText w:val="o"/>
      <w:lvlJc w:val="left"/>
      <w:pPr>
        <w:tabs>
          <w:tab w:val="num" w:pos="116"/>
        </w:tabs>
      </w:pPr>
      <w:rPr>
        <w:rFonts w:ascii="Times New Roman" w:eastAsia="Times New Roman" w:hAnsi="Times New Roman" w:cs="Times New Roman"/>
        <w:position w:val="0"/>
        <w:sz w:val="24"/>
        <w:szCs w:val="24"/>
      </w:rPr>
    </w:lvl>
    <w:lvl w:ilvl="2">
      <w:start w:val="1"/>
      <w:numFmt w:val="bullet"/>
      <w:lvlText w:val="▪"/>
      <w:lvlJc w:val="left"/>
      <w:pPr>
        <w:tabs>
          <w:tab w:val="num" w:pos="116"/>
        </w:tabs>
      </w:pPr>
      <w:rPr>
        <w:rFonts w:ascii="Times New Roman" w:eastAsia="Times New Roman" w:hAnsi="Times New Roman" w:cs="Times New Roman"/>
        <w:position w:val="0"/>
        <w:sz w:val="24"/>
        <w:szCs w:val="24"/>
      </w:rPr>
    </w:lvl>
    <w:lvl w:ilvl="3">
      <w:start w:val="1"/>
      <w:numFmt w:val="bullet"/>
      <w:lvlText w:val="•"/>
      <w:lvlJc w:val="left"/>
      <w:pPr>
        <w:tabs>
          <w:tab w:val="num" w:pos="116"/>
        </w:tabs>
      </w:pPr>
      <w:rPr>
        <w:rFonts w:ascii="Times New Roman" w:eastAsia="Times New Roman" w:hAnsi="Times New Roman" w:cs="Times New Roman"/>
        <w:position w:val="0"/>
        <w:sz w:val="24"/>
        <w:szCs w:val="24"/>
      </w:rPr>
    </w:lvl>
    <w:lvl w:ilvl="4">
      <w:start w:val="1"/>
      <w:numFmt w:val="bullet"/>
      <w:lvlText w:val="o"/>
      <w:lvlJc w:val="left"/>
      <w:pPr>
        <w:tabs>
          <w:tab w:val="num" w:pos="116"/>
        </w:tabs>
      </w:pPr>
      <w:rPr>
        <w:rFonts w:ascii="Times New Roman" w:eastAsia="Times New Roman" w:hAnsi="Times New Roman" w:cs="Times New Roman"/>
        <w:position w:val="0"/>
        <w:sz w:val="24"/>
        <w:szCs w:val="24"/>
      </w:rPr>
    </w:lvl>
    <w:lvl w:ilvl="5">
      <w:start w:val="1"/>
      <w:numFmt w:val="bullet"/>
      <w:lvlText w:val="▪"/>
      <w:lvlJc w:val="left"/>
      <w:pPr>
        <w:tabs>
          <w:tab w:val="num" w:pos="116"/>
        </w:tabs>
      </w:pPr>
      <w:rPr>
        <w:rFonts w:ascii="Times New Roman" w:eastAsia="Times New Roman" w:hAnsi="Times New Roman" w:cs="Times New Roman"/>
        <w:position w:val="0"/>
        <w:sz w:val="24"/>
        <w:szCs w:val="24"/>
      </w:rPr>
    </w:lvl>
    <w:lvl w:ilvl="6">
      <w:start w:val="1"/>
      <w:numFmt w:val="bullet"/>
      <w:lvlText w:val="•"/>
      <w:lvlJc w:val="left"/>
      <w:pPr>
        <w:tabs>
          <w:tab w:val="num" w:pos="116"/>
        </w:tabs>
      </w:pPr>
      <w:rPr>
        <w:rFonts w:ascii="Times New Roman" w:eastAsia="Times New Roman" w:hAnsi="Times New Roman" w:cs="Times New Roman"/>
        <w:position w:val="0"/>
        <w:sz w:val="24"/>
        <w:szCs w:val="24"/>
      </w:rPr>
    </w:lvl>
    <w:lvl w:ilvl="7">
      <w:start w:val="1"/>
      <w:numFmt w:val="bullet"/>
      <w:lvlText w:val="o"/>
      <w:lvlJc w:val="left"/>
      <w:pPr>
        <w:tabs>
          <w:tab w:val="num" w:pos="116"/>
        </w:tabs>
      </w:pPr>
      <w:rPr>
        <w:rFonts w:ascii="Times New Roman" w:eastAsia="Times New Roman" w:hAnsi="Times New Roman" w:cs="Times New Roman"/>
        <w:position w:val="0"/>
        <w:sz w:val="24"/>
        <w:szCs w:val="24"/>
      </w:rPr>
    </w:lvl>
    <w:lvl w:ilvl="8">
      <w:start w:val="1"/>
      <w:numFmt w:val="bullet"/>
      <w:lvlText w:val="▪"/>
      <w:lvlJc w:val="left"/>
      <w:pPr>
        <w:tabs>
          <w:tab w:val="num" w:pos="116"/>
        </w:tabs>
      </w:pPr>
      <w:rPr>
        <w:rFonts w:ascii="Times New Roman" w:eastAsia="Times New Roman" w:hAnsi="Times New Roman" w:cs="Times New Roman"/>
        <w:position w:val="0"/>
        <w:sz w:val="24"/>
        <w:szCs w:val="24"/>
      </w:rPr>
    </w:lvl>
  </w:abstractNum>
  <w:abstractNum w:abstractNumId="1" w15:restartNumberingAfterBreak="0">
    <w:nsid w:val="012344B1"/>
    <w:multiLevelType w:val="hybridMultilevel"/>
    <w:tmpl w:val="B62C2AE0"/>
    <w:lvl w:ilvl="0" w:tplc="BE102352">
      <w:start w:val="1"/>
      <w:numFmt w:val="bullet"/>
      <w:lvlText w:val=""/>
      <w:lvlJc w:val="left"/>
      <w:pPr>
        <w:ind w:left="720" w:hanging="360"/>
      </w:pPr>
      <w:rPr>
        <w:rFonts w:ascii="Symbol" w:hAnsi="Symbol" w:hint="default"/>
        <w:sz w:val="32"/>
        <w:szCs w:val="3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3B66AA"/>
    <w:multiLevelType w:val="multilevel"/>
    <w:tmpl w:val="F23A2C76"/>
    <w:styleLink w:val="List1"/>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 w15:restartNumberingAfterBreak="0">
    <w:nsid w:val="034A4EEA"/>
    <w:multiLevelType w:val="multilevel"/>
    <w:tmpl w:val="5484DC9A"/>
    <w:styleLink w:val="List15"/>
    <w:lvl w:ilvl="0">
      <w:start w:val="1"/>
      <w:numFmt w:val="bullet"/>
      <w:lvlText w:val="•"/>
      <w:lvlJc w:val="left"/>
      <w:pPr>
        <w:tabs>
          <w:tab w:val="num" w:pos="116"/>
        </w:tabs>
      </w:pPr>
      <w:rPr>
        <w:rFonts w:ascii="Times New Roman" w:eastAsia="Times New Roman" w:hAnsi="Times New Roman" w:cs="Times New Roman"/>
        <w:position w:val="0"/>
        <w:sz w:val="24"/>
        <w:szCs w:val="24"/>
      </w:rPr>
    </w:lvl>
    <w:lvl w:ilvl="1">
      <w:numFmt w:val="bullet"/>
      <w:lvlText w:val="•"/>
      <w:lvlJc w:val="left"/>
      <w:pPr>
        <w:tabs>
          <w:tab w:val="num" w:pos="1410"/>
        </w:tabs>
        <w:ind w:left="1410" w:hanging="330"/>
      </w:pPr>
      <w:rPr>
        <w:rFonts w:ascii="Times New Roman" w:eastAsia="Times New Roman" w:hAnsi="Times New Roman" w:cs="Times New Roman"/>
        <w:position w:val="0"/>
        <w:sz w:val="24"/>
        <w:szCs w:val="24"/>
      </w:rPr>
    </w:lvl>
    <w:lvl w:ilvl="2">
      <w:start w:val="1"/>
      <w:numFmt w:val="bullet"/>
      <w:lvlText w:val="▪"/>
      <w:lvlJc w:val="left"/>
      <w:pPr>
        <w:tabs>
          <w:tab w:val="num" w:pos="116"/>
        </w:tabs>
      </w:pPr>
      <w:rPr>
        <w:rFonts w:ascii="Times New Roman" w:eastAsia="Times New Roman" w:hAnsi="Times New Roman" w:cs="Times New Roman"/>
        <w:position w:val="0"/>
        <w:sz w:val="24"/>
        <w:szCs w:val="24"/>
      </w:rPr>
    </w:lvl>
    <w:lvl w:ilvl="3">
      <w:start w:val="1"/>
      <w:numFmt w:val="bullet"/>
      <w:lvlText w:val="•"/>
      <w:lvlJc w:val="left"/>
      <w:pPr>
        <w:tabs>
          <w:tab w:val="num" w:pos="116"/>
        </w:tabs>
      </w:pPr>
      <w:rPr>
        <w:rFonts w:ascii="Times New Roman" w:eastAsia="Times New Roman" w:hAnsi="Times New Roman" w:cs="Times New Roman"/>
        <w:position w:val="0"/>
        <w:sz w:val="24"/>
        <w:szCs w:val="24"/>
      </w:rPr>
    </w:lvl>
    <w:lvl w:ilvl="4">
      <w:start w:val="1"/>
      <w:numFmt w:val="bullet"/>
      <w:lvlText w:val="o"/>
      <w:lvlJc w:val="left"/>
      <w:pPr>
        <w:tabs>
          <w:tab w:val="num" w:pos="116"/>
        </w:tabs>
      </w:pPr>
      <w:rPr>
        <w:rFonts w:ascii="Times New Roman" w:eastAsia="Times New Roman" w:hAnsi="Times New Roman" w:cs="Times New Roman"/>
        <w:position w:val="0"/>
        <w:sz w:val="24"/>
        <w:szCs w:val="24"/>
      </w:rPr>
    </w:lvl>
    <w:lvl w:ilvl="5">
      <w:start w:val="1"/>
      <w:numFmt w:val="bullet"/>
      <w:lvlText w:val="▪"/>
      <w:lvlJc w:val="left"/>
      <w:pPr>
        <w:tabs>
          <w:tab w:val="num" w:pos="116"/>
        </w:tabs>
      </w:pPr>
      <w:rPr>
        <w:rFonts w:ascii="Times New Roman" w:eastAsia="Times New Roman" w:hAnsi="Times New Roman" w:cs="Times New Roman"/>
        <w:position w:val="0"/>
        <w:sz w:val="24"/>
        <w:szCs w:val="24"/>
      </w:rPr>
    </w:lvl>
    <w:lvl w:ilvl="6">
      <w:start w:val="1"/>
      <w:numFmt w:val="bullet"/>
      <w:lvlText w:val="•"/>
      <w:lvlJc w:val="left"/>
      <w:pPr>
        <w:tabs>
          <w:tab w:val="num" w:pos="116"/>
        </w:tabs>
      </w:pPr>
      <w:rPr>
        <w:rFonts w:ascii="Times New Roman" w:eastAsia="Times New Roman" w:hAnsi="Times New Roman" w:cs="Times New Roman"/>
        <w:position w:val="0"/>
        <w:sz w:val="24"/>
        <w:szCs w:val="24"/>
      </w:rPr>
    </w:lvl>
    <w:lvl w:ilvl="7">
      <w:start w:val="1"/>
      <w:numFmt w:val="bullet"/>
      <w:lvlText w:val="o"/>
      <w:lvlJc w:val="left"/>
      <w:pPr>
        <w:tabs>
          <w:tab w:val="num" w:pos="116"/>
        </w:tabs>
      </w:pPr>
      <w:rPr>
        <w:rFonts w:ascii="Times New Roman" w:eastAsia="Times New Roman" w:hAnsi="Times New Roman" w:cs="Times New Roman"/>
        <w:position w:val="0"/>
        <w:sz w:val="24"/>
        <w:szCs w:val="24"/>
      </w:rPr>
    </w:lvl>
    <w:lvl w:ilvl="8">
      <w:start w:val="1"/>
      <w:numFmt w:val="bullet"/>
      <w:lvlText w:val="▪"/>
      <w:lvlJc w:val="left"/>
      <w:pPr>
        <w:tabs>
          <w:tab w:val="num" w:pos="116"/>
        </w:tabs>
      </w:pPr>
      <w:rPr>
        <w:rFonts w:ascii="Times New Roman" w:eastAsia="Times New Roman" w:hAnsi="Times New Roman" w:cs="Times New Roman"/>
        <w:position w:val="0"/>
        <w:sz w:val="24"/>
        <w:szCs w:val="24"/>
      </w:rPr>
    </w:lvl>
  </w:abstractNum>
  <w:abstractNum w:abstractNumId="4" w15:restartNumberingAfterBreak="0">
    <w:nsid w:val="04D76CAE"/>
    <w:multiLevelType w:val="multilevel"/>
    <w:tmpl w:val="294475A6"/>
    <w:styleLink w:val="List49"/>
    <w:lvl w:ilvl="0">
      <w:numFmt w:val="bullet"/>
      <w:lvlText w:val="•"/>
      <w:lvlJc w:val="left"/>
      <w:pPr>
        <w:tabs>
          <w:tab w:val="num" w:pos="714"/>
        </w:tabs>
        <w:ind w:left="714" w:hanging="357"/>
      </w:pPr>
      <w:rPr>
        <w:rFonts w:ascii="Arial" w:eastAsia="Arial" w:hAnsi="Arial" w:cs="Arial"/>
        <w:caps w:val="0"/>
        <w:smallCaps w:val="0"/>
        <w:strike w:val="0"/>
        <w:dstrike w:val="0"/>
        <w:outline w:val="0"/>
        <w:color w:val="000000"/>
        <w:spacing w:val="0"/>
        <w:kern w:val="0"/>
        <w:position w:val="0"/>
        <w:sz w:val="20"/>
        <w:szCs w:val="20"/>
        <w:u w:val="none" w:color="414042"/>
        <w:vertAlign w:val="baseline"/>
        <w:rtl w:val="0"/>
        <w:lang w:val="en-US"/>
      </w:rPr>
    </w:lvl>
    <w:lvl w:ilvl="1">
      <w:start w:val="1"/>
      <w:numFmt w:val="bullet"/>
      <w:lvlText w:val="o"/>
      <w:lvlJc w:val="left"/>
      <w:pPr>
        <w:tabs>
          <w:tab w:val="num" w:pos="1767"/>
        </w:tabs>
        <w:ind w:left="176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2">
      <w:start w:val="1"/>
      <w:numFmt w:val="bullet"/>
      <w:lvlText w:val="▪"/>
      <w:lvlJc w:val="left"/>
      <w:pPr>
        <w:tabs>
          <w:tab w:val="num" w:pos="2487"/>
        </w:tabs>
        <w:ind w:left="248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3">
      <w:start w:val="1"/>
      <w:numFmt w:val="bullet"/>
      <w:lvlText w:val="•"/>
      <w:lvlJc w:val="left"/>
      <w:pPr>
        <w:tabs>
          <w:tab w:val="num" w:pos="3207"/>
        </w:tabs>
        <w:ind w:left="320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4">
      <w:start w:val="1"/>
      <w:numFmt w:val="bullet"/>
      <w:lvlText w:val="o"/>
      <w:lvlJc w:val="left"/>
      <w:pPr>
        <w:tabs>
          <w:tab w:val="num" w:pos="3927"/>
        </w:tabs>
        <w:ind w:left="392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5">
      <w:start w:val="1"/>
      <w:numFmt w:val="bullet"/>
      <w:lvlText w:val="▪"/>
      <w:lvlJc w:val="left"/>
      <w:pPr>
        <w:tabs>
          <w:tab w:val="num" w:pos="4647"/>
        </w:tabs>
        <w:ind w:left="464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6">
      <w:start w:val="1"/>
      <w:numFmt w:val="bullet"/>
      <w:lvlText w:val="•"/>
      <w:lvlJc w:val="left"/>
      <w:pPr>
        <w:tabs>
          <w:tab w:val="num" w:pos="5367"/>
        </w:tabs>
        <w:ind w:left="536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7">
      <w:start w:val="1"/>
      <w:numFmt w:val="bullet"/>
      <w:lvlText w:val="o"/>
      <w:lvlJc w:val="left"/>
      <w:pPr>
        <w:tabs>
          <w:tab w:val="num" w:pos="6087"/>
        </w:tabs>
        <w:ind w:left="608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8">
      <w:start w:val="1"/>
      <w:numFmt w:val="bullet"/>
      <w:lvlText w:val="▪"/>
      <w:lvlJc w:val="left"/>
      <w:pPr>
        <w:tabs>
          <w:tab w:val="num" w:pos="6807"/>
        </w:tabs>
        <w:ind w:left="680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abstractNum>
  <w:abstractNum w:abstractNumId="5" w15:restartNumberingAfterBreak="0">
    <w:nsid w:val="06093C26"/>
    <w:multiLevelType w:val="multilevel"/>
    <w:tmpl w:val="53E8788C"/>
    <w:styleLink w:val="List9"/>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6" w15:restartNumberingAfterBreak="0">
    <w:nsid w:val="064701B2"/>
    <w:multiLevelType w:val="hybridMultilevel"/>
    <w:tmpl w:val="52E6C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825A8B"/>
    <w:multiLevelType w:val="multilevel"/>
    <w:tmpl w:val="C5922EBA"/>
    <w:styleLink w:val="List18"/>
    <w:lvl w:ilvl="0">
      <w:numFmt w:val="bullet"/>
      <w:lvlText w:val="•"/>
      <w:lvlJc w:val="left"/>
      <w:rPr>
        <w:position w:val="0"/>
        <w:u w:color="3D3935"/>
      </w:rPr>
    </w:lvl>
    <w:lvl w:ilvl="1">
      <w:start w:val="1"/>
      <w:numFmt w:val="bullet"/>
      <w:lvlText w:val="–"/>
      <w:lvlJc w:val="left"/>
      <w:rPr>
        <w:position w:val="0"/>
        <w:u w:color="3D3935"/>
      </w:rPr>
    </w:lvl>
    <w:lvl w:ilvl="2">
      <w:start w:val="1"/>
      <w:numFmt w:val="bullet"/>
      <w:lvlText w:val="•"/>
      <w:lvlJc w:val="left"/>
      <w:rPr>
        <w:position w:val="0"/>
        <w:u w:color="3D3935"/>
      </w:rPr>
    </w:lvl>
    <w:lvl w:ilvl="3">
      <w:start w:val="1"/>
      <w:numFmt w:val="bullet"/>
      <w:lvlText w:val="•"/>
      <w:lvlJc w:val="left"/>
      <w:rPr>
        <w:position w:val="0"/>
        <w:u w:color="3D3935"/>
      </w:rPr>
    </w:lvl>
    <w:lvl w:ilvl="4">
      <w:start w:val="1"/>
      <w:numFmt w:val="bullet"/>
      <w:lvlText w:val="•"/>
      <w:lvlJc w:val="left"/>
      <w:rPr>
        <w:position w:val="0"/>
        <w:u w:color="3D3935"/>
      </w:rPr>
    </w:lvl>
    <w:lvl w:ilvl="5">
      <w:start w:val="1"/>
      <w:numFmt w:val="bullet"/>
      <w:lvlText w:val="•"/>
      <w:lvlJc w:val="left"/>
      <w:rPr>
        <w:position w:val="0"/>
        <w:u w:color="3D3935"/>
      </w:rPr>
    </w:lvl>
    <w:lvl w:ilvl="6">
      <w:start w:val="1"/>
      <w:numFmt w:val="bullet"/>
      <w:lvlText w:val="•"/>
      <w:lvlJc w:val="left"/>
      <w:rPr>
        <w:position w:val="0"/>
        <w:u w:color="3D3935"/>
      </w:rPr>
    </w:lvl>
    <w:lvl w:ilvl="7">
      <w:start w:val="1"/>
      <w:numFmt w:val="bullet"/>
      <w:lvlText w:val="•"/>
      <w:lvlJc w:val="left"/>
      <w:rPr>
        <w:position w:val="0"/>
        <w:u w:color="3D3935"/>
      </w:rPr>
    </w:lvl>
    <w:lvl w:ilvl="8">
      <w:start w:val="1"/>
      <w:numFmt w:val="bullet"/>
      <w:lvlText w:val="•"/>
      <w:lvlJc w:val="left"/>
      <w:rPr>
        <w:position w:val="0"/>
        <w:u w:color="3D3935"/>
      </w:rPr>
    </w:lvl>
  </w:abstractNum>
  <w:abstractNum w:abstractNumId="8" w15:restartNumberingAfterBreak="0">
    <w:nsid w:val="090D5646"/>
    <w:multiLevelType w:val="multilevel"/>
    <w:tmpl w:val="222C7D2E"/>
    <w:styleLink w:val="List62"/>
    <w:lvl w:ilvl="0">
      <w:numFmt w:val="bullet"/>
      <w:lvlText w:val="•"/>
      <w:lvlJc w:val="left"/>
      <w:pPr>
        <w:tabs>
          <w:tab w:val="num" w:pos="568"/>
        </w:tabs>
        <w:ind w:left="568" w:hanging="284"/>
      </w:pPr>
      <w:rPr>
        <w:position w:val="0"/>
        <w:u w:color="414042"/>
      </w:rPr>
    </w:lvl>
    <w:lvl w:ilvl="1">
      <w:start w:val="1"/>
      <w:numFmt w:val="bullet"/>
      <w:lvlText w:val="o"/>
      <w:lvlJc w:val="left"/>
      <w:pPr>
        <w:tabs>
          <w:tab w:val="num" w:pos="1440"/>
        </w:tabs>
        <w:ind w:left="1440" w:hanging="360"/>
      </w:pPr>
      <w:rPr>
        <w:position w:val="0"/>
        <w:u w:color="414042"/>
      </w:rPr>
    </w:lvl>
    <w:lvl w:ilvl="2">
      <w:start w:val="1"/>
      <w:numFmt w:val="bullet"/>
      <w:lvlText w:val="▪"/>
      <w:lvlJc w:val="left"/>
      <w:pPr>
        <w:tabs>
          <w:tab w:val="num" w:pos="2160"/>
        </w:tabs>
        <w:ind w:left="2160" w:hanging="360"/>
      </w:pPr>
      <w:rPr>
        <w:position w:val="0"/>
        <w:u w:color="414042"/>
      </w:rPr>
    </w:lvl>
    <w:lvl w:ilvl="3">
      <w:start w:val="1"/>
      <w:numFmt w:val="bullet"/>
      <w:lvlText w:val="▪"/>
      <w:lvlJc w:val="left"/>
      <w:pPr>
        <w:tabs>
          <w:tab w:val="num" w:pos="2880"/>
        </w:tabs>
        <w:ind w:left="2880" w:hanging="360"/>
      </w:pPr>
      <w:rPr>
        <w:position w:val="0"/>
        <w:u w:color="414042"/>
      </w:rPr>
    </w:lvl>
    <w:lvl w:ilvl="4">
      <w:start w:val="1"/>
      <w:numFmt w:val="bullet"/>
      <w:lvlText w:val="▪"/>
      <w:lvlJc w:val="left"/>
      <w:pPr>
        <w:tabs>
          <w:tab w:val="num" w:pos="3600"/>
        </w:tabs>
        <w:ind w:left="3600" w:hanging="360"/>
      </w:pPr>
      <w:rPr>
        <w:position w:val="0"/>
        <w:u w:color="414042"/>
      </w:rPr>
    </w:lvl>
    <w:lvl w:ilvl="5">
      <w:start w:val="1"/>
      <w:numFmt w:val="bullet"/>
      <w:lvlText w:val="▪"/>
      <w:lvlJc w:val="left"/>
      <w:pPr>
        <w:tabs>
          <w:tab w:val="num" w:pos="4320"/>
        </w:tabs>
        <w:ind w:left="4320" w:hanging="360"/>
      </w:pPr>
      <w:rPr>
        <w:position w:val="0"/>
        <w:u w:color="414042"/>
      </w:rPr>
    </w:lvl>
    <w:lvl w:ilvl="6">
      <w:start w:val="1"/>
      <w:numFmt w:val="bullet"/>
      <w:lvlText w:val="▪"/>
      <w:lvlJc w:val="left"/>
      <w:pPr>
        <w:tabs>
          <w:tab w:val="num" w:pos="5040"/>
        </w:tabs>
        <w:ind w:left="5040" w:hanging="360"/>
      </w:pPr>
      <w:rPr>
        <w:position w:val="0"/>
        <w:u w:color="414042"/>
      </w:rPr>
    </w:lvl>
    <w:lvl w:ilvl="7">
      <w:start w:val="1"/>
      <w:numFmt w:val="bullet"/>
      <w:lvlText w:val="▪"/>
      <w:lvlJc w:val="left"/>
      <w:pPr>
        <w:tabs>
          <w:tab w:val="num" w:pos="5760"/>
        </w:tabs>
        <w:ind w:left="5760" w:hanging="360"/>
      </w:pPr>
      <w:rPr>
        <w:position w:val="0"/>
        <w:u w:color="414042"/>
      </w:rPr>
    </w:lvl>
    <w:lvl w:ilvl="8">
      <w:start w:val="1"/>
      <w:numFmt w:val="bullet"/>
      <w:lvlText w:val="▪"/>
      <w:lvlJc w:val="left"/>
      <w:pPr>
        <w:tabs>
          <w:tab w:val="num" w:pos="6480"/>
        </w:tabs>
        <w:ind w:left="6480" w:hanging="360"/>
      </w:pPr>
      <w:rPr>
        <w:position w:val="0"/>
        <w:u w:color="414042"/>
      </w:rPr>
    </w:lvl>
  </w:abstractNum>
  <w:abstractNum w:abstractNumId="9" w15:restartNumberingAfterBreak="0">
    <w:nsid w:val="117E5569"/>
    <w:multiLevelType w:val="multilevel"/>
    <w:tmpl w:val="D7020920"/>
    <w:styleLink w:val="List50"/>
    <w:lvl w:ilvl="0">
      <w:numFmt w:val="bullet"/>
      <w:lvlText w:val="•"/>
      <w:lvlJc w:val="left"/>
      <w:pPr>
        <w:tabs>
          <w:tab w:val="num" w:pos="714"/>
        </w:tabs>
        <w:ind w:left="714" w:hanging="357"/>
      </w:pPr>
      <w:rPr>
        <w:rFonts w:ascii="Arial" w:eastAsia="Arial" w:hAnsi="Arial" w:cs="Arial"/>
        <w:caps w:val="0"/>
        <w:smallCaps w:val="0"/>
        <w:strike w:val="0"/>
        <w:dstrike w:val="0"/>
        <w:outline w:val="0"/>
        <w:color w:val="000000"/>
        <w:spacing w:val="0"/>
        <w:kern w:val="0"/>
        <w:position w:val="0"/>
        <w:sz w:val="20"/>
        <w:szCs w:val="20"/>
        <w:u w:val="none" w:color="414042"/>
        <w:vertAlign w:val="baseline"/>
        <w:rtl w:val="0"/>
        <w:lang w:val="en-US"/>
      </w:rPr>
    </w:lvl>
    <w:lvl w:ilvl="1">
      <w:start w:val="1"/>
      <w:numFmt w:val="bullet"/>
      <w:lvlText w:val="o"/>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2">
      <w:start w:val="1"/>
      <w:numFmt w:val="bullet"/>
      <w:lvlText w:val="•"/>
      <w:lvlJc w:val="left"/>
      <w:pPr>
        <w:tabs>
          <w:tab w:val="num" w:pos="2850"/>
        </w:tabs>
        <w:ind w:left="28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3">
      <w:start w:val="1"/>
      <w:numFmt w:val="bullet"/>
      <w:lvlText w:val="•"/>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4">
      <w:start w:val="1"/>
      <w:numFmt w:val="bullet"/>
      <w:lvlText w:val="o"/>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5">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6">
      <w:start w:val="1"/>
      <w:numFmt w:val="bullet"/>
      <w:lvlText w:val="•"/>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7">
      <w:start w:val="1"/>
      <w:numFmt w:val="bullet"/>
      <w:lvlText w:val="o"/>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8">
      <w:start w:val="1"/>
      <w:numFmt w:val="bullet"/>
      <w:lvlText w:val="▪"/>
      <w:lvlJc w:val="left"/>
      <w:pPr>
        <w:tabs>
          <w:tab w:val="num" w:pos="7170"/>
        </w:tabs>
        <w:ind w:left="71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abstractNum>
  <w:abstractNum w:abstractNumId="10" w15:restartNumberingAfterBreak="0">
    <w:nsid w:val="11C90E02"/>
    <w:multiLevelType w:val="multilevel"/>
    <w:tmpl w:val="0A1C48BA"/>
    <w:styleLink w:val="List61"/>
    <w:lvl w:ilvl="0">
      <w:numFmt w:val="bullet"/>
      <w:lvlText w:val="•"/>
      <w:lvlJc w:val="left"/>
      <w:pPr>
        <w:tabs>
          <w:tab w:val="num" w:pos="542"/>
        </w:tabs>
        <w:ind w:left="542" w:hanging="258"/>
      </w:pPr>
      <w:rPr>
        <w:rFonts w:ascii="Times New Roman" w:eastAsia="Times New Roman" w:hAnsi="Times New Roman" w:cs="Times New Roman"/>
        <w:position w:val="0"/>
        <w:sz w:val="24"/>
        <w:szCs w:val="24"/>
        <w:u w:color="414042"/>
      </w:rPr>
    </w:lvl>
    <w:lvl w:ilvl="1">
      <w:start w:val="1"/>
      <w:numFmt w:val="bullet"/>
      <w:lvlText w:val="o"/>
      <w:lvlJc w:val="left"/>
      <w:pPr>
        <w:tabs>
          <w:tab w:val="num" w:pos="1080"/>
        </w:tabs>
        <w:ind w:left="1080" w:hanging="360"/>
      </w:pPr>
      <w:rPr>
        <w:rFonts w:ascii="Times New Roman" w:eastAsia="Times New Roman" w:hAnsi="Times New Roman" w:cs="Times New Roman"/>
        <w:position w:val="0"/>
        <w:sz w:val="24"/>
        <w:szCs w:val="24"/>
        <w:u w:color="414042"/>
      </w:rPr>
    </w:lvl>
    <w:lvl w:ilvl="2">
      <w:start w:val="1"/>
      <w:numFmt w:val="bullet"/>
      <w:lvlText w:val="▪"/>
      <w:lvlJc w:val="left"/>
      <w:pPr>
        <w:tabs>
          <w:tab w:val="num" w:pos="1800"/>
        </w:tabs>
        <w:ind w:left="1800" w:hanging="360"/>
      </w:pPr>
      <w:rPr>
        <w:rFonts w:ascii="Times New Roman" w:eastAsia="Times New Roman" w:hAnsi="Times New Roman" w:cs="Times New Roman"/>
        <w:position w:val="0"/>
        <w:sz w:val="24"/>
        <w:szCs w:val="24"/>
        <w:u w:color="414042"/>
      </w:rPr>
    </w:lvl>
    <w:lvl w:ilvl="3">
      <w:start w:val="1"/>
      <w:numFmt w:val="bullet"/>
      <w:lvlText w:val="•"/>
      <w:lvlJc w:val="left"/>
      <w:pPr>
        <w:tabs>
          <w:tab w:val="num" w:pos="2520"/>
        </w:tabs>
        <w:ind w:left="2520" w:hanging="360"/>
      </w:pPr>
      <w:rPr>
        <w:rFonts w:ascii="Times New Roman" w:eastAsia="Times New Roman" w:hAnsi="Times New Roman" w:cs="Times New Roman"/>
        <w:position w:val="0"/>
        <w:sz w:val="24"/>
        <w:szCs w:val="24"/>
        <w:u w:color="414042"/>
      </w:rPr>
    </w:lvl>
    <w:lvl w:ilvl="4">
      <w:start w:val="1"/>
      <w:numFmt w:val="bullet"/>
      <w:lvlText w:val="o"/>
      <w:lvlJc w:val="left"/>
      <w:pPr>
        <w:tabs>
          <w:tab w:val="num" w:pos="3240"/>
        </w:tabs>
        <w:ind w:left="3240" w:hanging="360"/>
      </w:pPr>
      <w:rPr>
        <w:rFonts w:ascii="Times New Roman" w:eastAsia="Times New Roman" w:hAnsi="Times New Roman" w:cs="Times New Roman"/>
        <w:position w:val="0"/>
        <w:sz w:val="24"/>
        <w:szCs w:val="24"/>
        <w:u w:color="414042"/>
      </w:rPr>
    </w:lvl>
    <w:lvl w:ilvl="5">
      <w:start w:val="1"/>
      <w:numFmt w:val="bullet"/>
      <w:lvlText w:val="▪"/>
      <w:lvlJc w:val="left"/>
      <w:pPr>
        <w:tabs>
          <w:tab w:val="num" w:pos="3960"/>
        </w:tabs>
        <w:ind w:left="3960" w:hanging="360"/>
      </w:pPr>
      <w:rPr>
        <w:rFonts w:ascii="Times New Roman" w:eastAsia="Times New Roman" w:hAnsi="Times New Roman" w:cs="Times New Roman"/>
        <w:position w:val="0"/>
        <w:sz w:val="24"/>
        <w:szCs w:val="24"/>
        <w:u w:color="414042"/>
      </w:rPr>
    </w:lvl>
    <w:lvl w:ilvl="6">
      <w:start w:val="1"/>
      <w:numFmt w:val="bullet"/>
      <w:lvlText w:val="•"/>
      <w:lvlJc w:val="left"/>
      <w:pPr>
        <w:tabs>
          <w:tab w:val="num" w:pos="4680"/>
        </w:tabs>
        <w:ind w:left="4680" w:hanging="360"/>
      </w:pPr>
      <w:rPr>
        <w:rFonts w:ascii="Times New Roman" w:eastAsia="Times New Roman" w:hAnsi="Times New Roman" w:cs="Times New Roman"/>
        <w:position w:val="0"/>
        <w:sz w:val="24"/>
        <w:szCs w:val="24"/>
        <w:u w:color="414042"/>
      </w:rPr>
    </w:lvl>
    <w:lvl w:ilvl="7">
      <w:start w:val="1"/>
      <w:numFmt w:val="bullet"/>
      <w:lvlText w:val="o"/>
      <w:lvlJc w:val="left"/>
      <w:pPr>
        <w:tabs>
          <w:tab w:val="num" w:pos="5400"/>
        </w:tabs>
        <w:ind w:left="5400" w:hanging="360"/>
      </w:pPr>
      <w:rPr>
        <w:rFonts w:ascii="Times New Roman" w:eastAsia="Times New Roman" w:hAnsi="Times New Roman" w:cs="Times New Roman"/>
        <w:position w:val="0"/>
        <w:sz w:val="24"/>
        <w:szCs w:val="24"/>
        <w:u w:color="414042"/>
      </w:rPr>
    </w:lvl>
    <w:lvl w:ilvl="8">
      <w:start w:val="1"/>
      <w:numFmt w:val="bullet"/>
      <w:lvlText w:val="▪"/>
      <w:lvlJc w:val="left"/>
      <w:pPr>
        <w:tabs>
          <w:tab w:val="num" w:pos="6120"/>
        </w:tabs>
        <w:ind w:left="6120" w:hanging="360"/>
      </w:pPr>
      <w:rPr>
        <w:rFonts w:ascii="Times New Roman" w:eastAsia="Times New Roman" w:hAnsi="Times New Roman" w:cs="Times New Roman"/>
        <w:position w:val="0"/>
        <w:sz w:val="24"/>
        <w:szCs w:val="24"/>
        <w:u w:color="414042"/>
      </w:rPr>
    </w:lvl>
  </w:abstractNum>
  <w:abstractNum w:abstractNumId="11" w15:restartNumberingAfterBreak="0">
    <w:nsid w:val="12B863B8"/>
    <w:multiLevelType w:val="multilevel"/>
    <w:tmpl w:val="9760E15E"/>
    <w:styleLink w:val="List28"/>
    <w:lvl w:ilvl="0">
      <w:numFmt w:val="bullet"/>
      <w:lvlText w:val="•"/>
      <w:lvlJc w:val="left"/>
      <w:rPr>
        <w:position w:val="0"/>
        <w:u w:color="3D3935"/>
      </w:rPr>
    </w:lvl>
    <w:lvl w:ilvl="1">
      <w:start w:val="1"/>
      <w:numFmt w:val="bullet"/>
      <w:lvlText w:val="•"/>
      <w:lvlJc w:val="left"/>
      <w:rPr>
        <w:position w:val="0"/>
        <w:u w:color="3D3935"/>
      </w:rPr>
    </w:lvl>
    <w:lvl w:ilvl="2">
      <w:start w:val="1"/>
      <w:numFmt w:val="bullet"/>
      <w:lvlText w:val="•"/>
      <w:lvlJc w:val="left"/>
      <w:rPr>
        <w:position w:val="0"/>
        <w:u w:color="3D3935"/>
      </w:rPr>
    </w:lvl>
    <w:lvl w:ilvl="3">
      <w:start w:val="1"/>
      <w:numFmt w:val="bullet"/>
      <w:lvlText w:val="•"/>
      <w:lvlJc w:val="left"/>
      <w:rPr>
        <w:position w:val="0"/>
        <w:u w:color="3D3935"/>
      </w:rPr>
    </w:lvl>
    <w:lvl w:ilvl="4">
      <w:start w:val="1"/>
      <w:numFmt w:val="bullet"/>
      <w:lvlText w:val="•"/>
      <w:lvlJc w:val="left"/>
      <w:rPr>
        <w:position w:val="0"/>
        <w:u w:color="3D3935"/>
      </w:rPr>
    </w:lvl>
    <w:lvl w:ilvl="5">
      <w:start w:val="1"/>
      <w:numFmt w:val="bullet"/>
      <w:lvlText w:val="•"/>
      <w:lvlJc w:val="left"/>
      <w:rPr>
        <w:position w:val="0"/>
        <w:u w:color="3D3935"/>
      </w:rPr>
    </w:lvl>
    <w:lvl w:ilvl="6">
      <w:start w:val="1"/>
      <w:numFmt w:val="bullet"/>
      <w:lvlText w:val="•"/>
      <w:lvlJc w:val="left"/>
      <w:rPr>
        <w:position w:val="0"/>
        <w:u w:color="3D3935"/>
      </w:rPr>
    </w:lvl>
    <w:lvl w:ilvl="7">
      <w:start w:val="1"/>
      <w:numFmt w:val="bullet"/>
      <w:lvlText w:val="•"/>
      <w:lvlJc w:val="left"/>
      <w:rPr>
        <w:position w:val="0"/>
        <w:u w:color="3D3935"/>
      </w:rPr>
    </w:lvl>
    <w:lvl w:ilvl="8">
      <w:start w:val="1"/>
      <w:numFmt w:val="bullet"/>
      <w:lvlText w:val="•"/>
      <w:lvlJc w:val="left"/>
      <w:rPr>
        <w:position w:val="0"/>
        <w:u w:color="3D3935"/>
      </w:rPr>
    </w:lvl>
  </w:abstractNum>
  <w:abstractNum w:abstractNumId="12" w15:restartNumberingAfterBreak="0">
    <w:nsid w:val="130B4AD6"/>
    <w:multiLevelType w:val="multilevel"/>
    <w:tmpl w:val="8C9A9188"/>
    <w:styleLink w:val="List23"/>
    <w:lvl w:ilvl="0">
      <w:numFmt w:val="bullet"/>
      <w:lvlText w:val="•"/>
      <w:lvlJc w:val="left"/>
      <w:rPr>
        <w:position w:val="0"/>
        <w:u w:color="3D3935"/>
      </w:rPr>
    </w:lvl>
    <w:lvl w:ilvl="1">
      <w:start w:val="1"/>
      <w:numFmt w:val="bullet"/>
      <w:lvlText w:val="–"/>
      <w:lvlJc w:val="left"/>
      <w:rPr>
        <w:position w:val="0"/>
        <w:u w:color="3D3935"/>
      </w:rPr>
    </w:lvl>
    <w:lvl w:ilvl="2">
      <w:start w:val="1"/>
      <w:numFmt w:val="bullet"/>
      <w:lvlText w:val="•"/>
      <w:lvlJc w:val="left"/>
      <w:rPr>
        <w:position w:val="0"/>
        <w:u w:color="3D3935"/>
      </w:rPr>
    </w:lvl>
    <w:lvl w:ilvl="3">
      <w:start w:val="1"/>
      <w:numFmt w:val="bullet"/>
      <w:lvlText w:val="•"/>
      <w:lvlJc w:val="left"/>
      <w:rPr>
        <w:position w:val="0"/>
        <w:u w:color="3D3935"/>
      </w:rPr>
    </w:lvl>
    <w:lvl w:ilvl="4">
      <w:start w:val="1"/>
      <w:numFmt w:val="bullet"/>
      <w:lvlText w:val="•"/>
      <w:lvlJc w:val="left"/>
      <w:rPr>
        <w:position w:val="0"/>
        <w:u w:color="3D3935"/>
      </w:rPr>
    </w:lvl>
    <w:lvl w:ilvl="5">
      <w:start w:val="1"/>
      <w:numFmt w:val="bullet"/>
      <w:lvlText w:val="•"/>
      <w:lvlJc w:val="left"/>
      <w:rPr>
        <w:position w:val="0"/>
        <w:u w:color="3D3935"/>
      </w:rPr>
    </w:lvl>
    <w:lvl w:ilvl="6">
      <w:start w:val="1"/>
      <w:numFmt w:val="bullet"/>
      <w:lvlText w:val="•"/>
      <w:lvlJc w:val="left"/>
      <w:rPr>
        <w:position w:val="0"/>
        <w:u w:color="3D3935"/>
      </w:rPr>
    </w:lvl>
    <w:lvl w:ilvl="7">
      <w:start w:val="1"/>
      <w:numFmt w:val="bullet"/>
      <w:lvlText w:val="•"/>
      <w:lvlJc w:val="left"/>
      <w:rPr>
        <w:position w:val="0"/>
        <w:u w:color="3D3935"/>
      </w:rPr>
    </w:lvl>
    <w:lvl w:ilvl="8">
      <w:start w:val="1"/>
      <w:numFmt w:val="bullet"/>
      <w:lvlText w:val="•"/>
      <w:lvlJc w:val="left"/>
      <w:rPr>
        <w:position w:val="0"/>
        <w:u w:color="3D3935"/>
      </w:rPr>
    </w:lvl>
  </w:abstractNum>
  <w:abstractNum w:abstractNumId="13" w15:restartNumberingAfterBreak="0">
    <w:nsid w:val="13B54B39"/>
    <w:multiLevelType w:val="multilevel"/>
    <w:tmpl w:val="0BCA8580"/>
    <w:styleLink w:val="List2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4" w15:restartNumberingAfterBreak="0">
    <w:nsid w:val="14AD6F61"/>
    <w:multiLevelType w:val="multilevel"/>
    <w:tmpl w:val="69009FA2"/>
    <w:styleLink w:val="List60"/>
    <w:lvl w:ilvl="0">
      <w:numFmt w:val="bullet"/>
      <w:lvlText w:val="•"/>
      <w:lvlJc w:val="left"/>
      <w:pPr>
        <w:tabs>
          <w:tab w:val="num" w:pos="677"/>
        </w:tabs>
        <w:ind w:left="677" w:hanging="325"/>
      </w:pPr>
      <w:rPr>
        <w:rFonts w:ascii="Times New Roman" w:eastAsia="Times New Roman" w:hAnsi="Times New Roman" w:cs="Times New Roman"/>
        <w:position w:val="0"/>
        <w:sz w:val="24"/>
        <w:szCs w:val="24"/>
        <w:u w:color="414042"/>
      </w:rPr>
    </w:lvl>
    <w:lvl w:ilvl="1">
      <w:start w:val="1"/>
      <w:numFmt w:val="bullet"/>
      <w:lvlText w:val="o"/>
      <w:lvlJc w:val="left"/>
      <w:pPr>
        <w:tabs>
          <w:tab w:val="num" w:pos="1080"/>
        </w:tabs>
        <w:ind w:left="1080" w:hanging="360"/>
      </w:pPr>
      <w:rPr>
        <w:rFonts w:ascii="Times New Roman" w:eastAsia="Times New Roman" w:hAnsi="Times New Roman" w:cs="Times New Roman"/>
        <w:position w:val="0"/>
        <w:sz w:val="24"/>
        <w:szCs w:val="24"/>
        <w:u w:color="414042"/>
      </w:rPr>
    </w:lvl>
    <w:lvl w:ilvl="2">
      <w:start w:val="1"/>
      <w:numFmt w:val="bullet"/>
      <w:lvlText w:val="▪"/>
      <w:lvlJc w:val="left"/>
      <w:pPr>
        <w:tabs>
          <w:tab w:val="num" w:pos="1800"/>
        </w:tabs>
        <w:ind w:left="1800" w:hanging="360"/>
      </w:pPr>
      <w:rPr>
        <w:rFonts w:ascii="Times New Roman" w:eastAsia="Times New Roman" w:hAnsi="Times New Roman" w:cs="Times New Roman"/>
        <w:position w:val="0"/>
        <w:sz w:val="24"/>
        <w:szCs w:val="24"/>
        <w:u w:color="414042"/>
      </w:rPr>
    </w:lvl>
    <w:lvl w:ilvl="3">
      <w:start w:val="1"/>
      <w:numFmt w:val="bullet"/>
      <w:lvlText w:val="•"/>
      <w:lvlJc w:val="left"/>
      <w:pPr>
        <w:tabs>
          <w:tab w:val="num" w:pos="2520"/>
        </w:tabs>
        <w:ind w:left="2520" w:hanging="360"/>
      </w:pPr>
      <w:rPr>
        <w:rFonts w:ascii="Times New Roman" w:eastAsia="Times New Roman" w:hAnsi="Times New Roman" w:cs="Times New Roman"/>
        <w:position w:val="0"/>
        <w:sz w:val="24"/>
        <w:szCs w:val="24"/>
        <w:u w:color="414042"/>
      </w:rPr>
    </w:lvl>
    <w:lvl w:ilvl="4">
      <w:start w:val="1"/>
      <w:numFmt w:val="bullet"/>
      <w:lvlText w:val="o"/>
      <w:lvlJc w:val="left"/>
      <w:pPr>
        <w:tabs>
          <w:tab w:val="num" w:pos="3240"/>
        </w:tabs>
        <w:ind w:left="3240" w:hanging="360"/>
      </w:pPr>
      <w:rPr>
        <w:rFonts w:ascii="Times New Roman" w:eastAsia="Times New Roman" w:hAnsi="Times New Roman" w:cs="Times New Roman"/>
        <w:position w:val="0"/>
        <w:sz w:val="24"/>
        <w:szCs w:val="24"/>
        <w:u w:color="414042"/>
      </w:rPr>
    </w:lvl>
    <w:lvl w:ilvl="5">
      <w:start w:val="1"/>
      <w:numFmt w:val="bullet"/>
      <w:lvlText w:val="▪"/>
      <w:lvlJc w:val="left"/>
      <w:pPr>
        <w:tabs>
          <w:tab w:val="num" w:pos="3960"/>
        </w:tabs>
        <w:ind w:left="3960" w:hanging="360"/>
      </w:pPr>
      <w:rPr>
        <w:rFonts w:ascii="Times New Roman" w:eastAsia="Times New Roman" w:hAnsi="Times New Roman" w:cs="Times New Roman"/>
        <w:position w:val="0"/>
        <w:sz w:val="24"/>
        <w:szCs w:val="24"/>
        <w:u w:color="414042"/>
      </w:rPr>
    </w:lvl>
    <w:lvl w:ilvl="6">
      <w:start w:val="1"/>
      <w:numFmt w:val="bullet"/>
      <w:lvlText w:val="•"/>
      <w:lvlJc w:val="left"/>
      <w:pPr>
        <w:tabs>
          <w:tab w:val="num" w:pos="4680"/>
        </w:tabs>
        <w:ind w:left="4680" w:hanging="360"/>
      </w:pPr>
      <w:rPr>
        <w:rFonts w:ascii="Times New Roman" w:eastAsia="Times New Roman" w:hAnsi="Times New Roman" w:cs="Times New Roman"/>
        <w:position w:val="0"/>
        <w:sz w:val="24"/>
        <w:szCs w:val="24"/>
        <w:u w:color="414042"/>
      </w:rPr>
    </w:lvl>
    <w:lvl w:ilvl="7">
      <w:start w:val="1"/>
      <w:numFmt w:val="bullet"/>
      <w:lvlText w:val="o"/>
      <w:lvlJc w:val="left"/>
      <w:pPr>
        <w:tabs>
          <w:tab w:val="num" w:pos="5400"/>
        </w:tabs>
        <w:ind w:left="5400" w:hanging="360"/>
      </w:pPr>
      <w:rPr>
        <w:rFonts w:ascii="Times New Roman" w:eastAsia="Times New Roman" w:hAnsi="Times New Roman" w:cs="Times New Roman"/>
        <w:position w:val="0"/>
        <w:sz w:val="24"/>
        <w:szCs w:val="24"/>
        <w:u w:color="414042"/>
      </w:rPr>
    </w:lvl>
    <w:lvl w:ilvl="8">
      <w:start w:val="1"/>
      <w:numFmt w:val="bullet"/>
      <w:lvlText w:val="▪"/>
      <w:lvlJc w:val="left"/>
      <w:pPr>
        <w:tabs>
          <w:tab w:val="num" w:pos="6120"/>
        </w:tabs>
        <w:ind w:left="6120" w:hanging="360"/>
      </w:pPr>
      <w:rPr>
        <w:rFonts w:ascii="Times New Roman" w:eastAsia="Times New Roman" w:hAnsi="Times New Roman" w:cs="Times New Roman"/>
        <w:position w:val="0"/>
        <w:sz w:val="24"/>
        <w:szCs w:val="24"/>
        <w:u w:color="414042"/>
      </w:rPr>
    </w:lvl>
  </w:abstractNum>
  <w:abstractNum w:abstractNumId="15" w15:restartNumberingAfterBreak="0">
    <w:nsid w:val="15062FEC"/>
    <w:multiLevelType w:val="multilevel"/>
    <w:tmpl w:val="6A70D7DC"/>
    <w:styleLink w:val="List45"/>
    <w:lvl w:ilvl="0">
      <w:numFmt w:val="bullet"/>
      <w:lvlText w:val="•"/>
      <w:lvlJc w:val="left"/>
      <w:pPr>
        <w:tabs>
          <w:tab w:val="num" w:pos="714"/>
        </w:tabs>
        <w:ind w:left="714" w:hanging="357"/>
      </w:pPr>
      <w:rPr>
        <w:rFonts w:ascii="Arial" w:eastAsia="Arial" w:hAnsi="Arial" w:cs="Arial"/>
        <w:caps w:val="0"/>
        <w:smallCaps w:val="0"/>
        <w:strike w:val="0"/>
        <w:dstrike w:val="0"/>
        <w:outline w:val="0"/>
        <w:color w:val="000000"/>
        <w:spacing w:val="0"/>
        <w:kern w:val="0"/>
        <w:position w:val="0"/>
        <w:sz w:val="20"/>
        <w:szCs w:val="20"/>
        <w:u w:val="none" w:color="414042"/>
        <w:vertAlign w:val="baseline"/>
        <w:rtl w:val="0"/>
        <w:lang w:val="en-US"/>
      </w:rPr>
    </w:lvl>
    <w:lvl w:ilvl="1">
      <w:start w:val="1"/>
      <w:numFmt w:val="bullet"/>
      <w:lvlText w:val="o"/>
      <w:lvlJc w:val="left"/>
      <w:pPr>
        <w:tabs>
          <w:tab w:val="num" w:pos="1410"/>
        </w:tabs>
        <w:ind w:left="14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2">
      <w:start w:val="1"/>
      <w:numFmt w:val="bullet"/>
      <w:lvlText w:val="▪"/>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3">
      <w:start w:val="1"/>
      <w:numFmt w:val="bullet"/>
      <w:lvlText w:val="•"/>
      <w:lvlJc w:val="left"/>
      <w:pPr>
        <w:tabs>
          <w:tab w:val="num" w:pos="2850"/>
        </w:tabs>
        <w:ind w:left="28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4">
      <w:start w:val="1"/>
      <w:numFmt w:val="bullet"/>
      <w:lvlText w:val="o"/>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5">
      <w:start w:val="1"/>
      <w:numFmt w:val="bullet"/>
      <w:lvlText w:val="▪"/>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6">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7">
      <w:start w:val="1"/>
      <w:numFmt w:val="bullet"/>
      <w:lvlText w:val="o"/>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8">
      <w:start w:val="1"/>
      <w:numFmt w:val="bullet"/>
      <w:lvlText w:val="▪"/>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abstractNum>
  <w:abstractNum w:abstractNumId="16" w15:restartNumberingAfterBreak="0">
    <w:nsid w:val="164E606E"/>
    <w:multiLevelType w:val="multilevel"/>
    <w:tmpl w:val="4F04AB90"/>
    <w:styleLink w:val="List59"/>
    <w:lvl w:ilvl="0">
      <w:numFmt w:val="bullet"/>
      <w:lvlText w:val="•"/>
      <w:lvlJc w:val="left"/>
      <w:rPr>
        <w:b/>
        <w:bCs/>
        <w:position w:val="0"/>
        <w:lang w:val="en-US"/>
      </w:rPr>
    </w:lvl>
    <w:lvl w:ilvl="1">
      <w:start w:val="1"/>
      <w:numFmt w:val="bullet"/>
      <w:lvlText w:val="o"/>
      <w:lvlJc w:val="left"/>
      <w:rPr>
        <w:b/>
        <w:bCs/>
        <w:position w:val="0"/>
        <w:lang w:val="en-US"/>
      </w:rPr>
    </w:lvl>
    <w:lvl w:ilvl="2">
      <w:start w:val="1"/>
      <w:numFmt w:val="bullet"/>
      <w:lvlText w:val="▪"/>
      <w:lvlJc w:val="left"/>
      <w:rPr>
        <w:b/>
        <w:bCs/>
        <w:position w:val="0"/>
        <w:lang w:val="en-US"/>
      </w:rPr>
    </w:lvl>
    <w:lvl w:ilvl="3">
      <w:start w:val="1"/>
      <w:numFmt w:val="bullet"/>
      <w:lvlText w:val="•"/>
      <w:lvlJc w:val="left"/>
      <w:rPr>
        <w:b/>
        <w:bCs/>
        <w:position w:val="0"/>
        <w:lang w:val="en-US"/>
      </w:rPr>
    </w:lvl>
    <w:lvl w:ilvl="4">
      <w:start w:val="1"/>
      <w:numFmt w:val="bullet"/>
      <w:lvlText w:val="o"/>
      <w:lvlJc w:val="left"/>
      <w:rPr>
        <w:b/>
        <w:bCs/>
        <w:position w:val="0"/>
        <w:lang w:val="en-US"/>
      </w:rPr>
    </w:lvl>
    <w:lvl w:ilvl="5">
      <w:start w:val="1"/>
      <w:numFmt w:val="bullet"/>
      <w:lvlText w:val="▪"/>
      <w:lvlJc w:val="left"/>
      <w:rPr>
        <w:b/>
        <w:bCs/>
        <w:position w:val="0"/>
        <w:lang w:val="en-US"/>
      </w:rPr>
    </w:lvl>
    <w:lvl w:ilvl="6">
      <w:start w:val="1"/>
      <w:numFmt w:val="bullet"/>
      <w:lvlText w:val="•"/>
      <w:lvlJc w:val="left"/>
      <w:rPr>
        <w:b/>
        <w:bCs/>
        <w:position w:val="0"/>
        <w:lang w:val="en-US"/>
      </w:rPr>
    </w:lvl>
    <w:lvl w:ilvl="7">
      <w:start w:val="1"/>
      <w:numFmt w:val="bullet"/>
      <w:lvlText w:val="o"/>
      <w:lvlJc w:val="left"/>
      <w:rPr>
        <w:b/>
        <w:bCs/>
        <w:position w:val="0"/>
        <w:lang w:val="en-US"/>
      </w:rPr>
    </w:lvl>
    <w:lvl w:ilvl="8">
      <w:start w:val="1"/>
      <w:numFmt w:val="bullet"/>
      <w:lvlText w:val="▪"/>
      <w:lvlJc w:val="left"/>
      <w:rPr>
        <w:b/>
        <w:bCs/>
        <w:position w:val="0"/>
        <w:lang w:val="en-US"/>
      </w:rPr>
    </w:lvl>
  </w:abstractNum>
  <w:abstractNum w:abstractNumId="17" w15:restartNumberingAfterBreak="0">
    <w:nsid w:val="1AA4470D"/>
    <w:multiLevelType w:val="multilevel"/>
    <w:tmpl w:val="12525A20"/>
    <w:styleLink w:val="List39"/>
    <w:lvl w:ilvl="0">
      <w:numFmt w:val="bullet"/>
      <w:lvlText w:val="•"/>
      <w:lvlJc w:val="left"/>
      <w:pPr>
        <w:tabs>
          <w:tab w:val="num" w:pos="714"/>
        </w:tabs>
        <w:ind w:left="714" w:hanging="357"/>
      </w:pPr>
      <w:rPr>
        <w:rFonts w:ascii="Arial" w:eastAsia="Arial" w:hAnsi="Arial" w:cs="Arial"/>
        <w:caps w:val="0"/>
        <w:smallCaps w:val="0"/>
        <w:strike w:val="0"/>
        <w:dstrike w:val="0"/>
        <w:outline w:val="0"/>
        <w:color w:val="000000"/>
        <w:spacing w:val="0"/>
        <w:kern w:val="0"/>
        <w:position w:val="0"/>
        <w:sz w:val="20"/>
        <w:szCs w:val="20"/>
        <w:u w:val="none" w:color="414042"/>
        <w:vertAlign w:val="baseline"/>
        <w:rtl w:val="0"/>
        <w:lang w:val="en-US"/>
      </w:rPr>
    </w:lvl>
    <w:lvl w:ilvl="1">
      <w:start w:val="1"/>
      <w:numFmt w:val="bullet"/>
      <w:lvlText w:val="o"/>
      <w:lvlJc w:val="left"/>
      <w:pPr>
        <w:tabs>
          <w:tab w:val="num" w:pos="1410"/>
        </w:tabs>
        <w:ind w:left="14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2">
      <w:start w:val="1"/>
      <w:numFmt w:val="bullet"/>
      <w:lvlText w:val="▪"/>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3">
      <w:start w:val="1"/>
      <w:numFmt w:val="bullet"/>
      <w:lvlText w:val="•"/>
      <w:lvlJc w:val="left"/>
      <w:pPr>
        <w:tabs>
          <w:tab w:val="num" w:pos="2850"/>
        </w:tabs>
        <w:ind w:left="28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4">
      <w:start w:val="1"/>
      <w:numFmt w:val="bullet"/>
      <w:lvlText w:val="o"/>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5">
      <w:start w:val="1"/>
      <w:numFmt w:val="bullet"/>
      <w:lvlText w:val="▪"/>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6">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7">
      <w:start w:val="1"/>
      <w:numFmt w:val="bullet"/>
      <w:lvlText w:val="o"/>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8">
      <w:start w:val="1"/>
      <w:numFmt w:val="bullet"/>
      <w:lvlText w:val="▪"/>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abstractNum>
  <w:abstractNum w:abstractNumId="18" w15:restartNumberingAfterBreak="0">
    <w:nsid w:val="1B7D3D28"/>
    <w:multiLevelType w:val="multilevel"/>
    <w:tmpl w:val="CEFE779E"/>
    <w:styleLink w:val="List32"/>
    <w:lvl w:ilvl="0">
      <w:start w:val="13"/>
      <w:numFmt w:val="decimal"/>
      <w:lvlText w:val="%1."/>
      <w:lvlJc w:val="left"/>
      <w:pPr>
        <w:tabs>
          <w:tab w:val="num" w:pos="660"/>
        </w:tabs>
        <w:ind w:left="660" w:hanging="660"/>
      </w:pPr>
      <w:rPr>
        <w:rFonts w:ascii="Times New Roman" w:eastAsia="Times New Roman" w:hAnsi="Times New Roman" w:cs="Times New Roman"/>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position w:val="0"/>
        <w:sz w:val="24"/>
        <w:szCs w:val="24"/>
      </w:rPr>
    </w:lvl>
  </w:abstractNum>
  <w:abstractNum w:abstractNumId="19" w15:restartNumberingAfterBreak="0">
    <w:nsid w:val="1C5D45C6"/>
    <w:multiLevelType w:val="multilevel"/>
    <w:tmpl w:val="F85446B8"/>
    <w:styleLink w:val="List53"/>
    <w:lvl w:ilvl="0">
      <w:numFmt w:val="bullet"/>
      <w:lvlText w:val="•"/>
      <w:lvlJc w:val="left"/>
      <w:pPr>
        <w:tabs>
          <w:tab w:val="num" w:pos="542"/>
        </w:tabs>
        <w:ind w:left="542" w:hanging="258"/>
      </w:pPr>
      <w:rPr>
        <w:rFonts w:ascii="Times New Roman" w:eastAsia="Times New Roman" w:hAnsi="Times New Roman" w:cs="Times New Roman"/>
        <w:position w:val="0"/>
        <w:sz w:val="24"/>
        <w:szCs w:val="24"/>
        <w:u w:color="414042"/>
      </w:rPr>
    </w:lvl>
    <w:lvl w:ilvl="1">
      <w:start w:val="1"/>
      <w:numFmt w:val="bullet"/>
      <w:lvlText w:val="o"/>
      <w:lvlJc w:val="left"/>
      <w:pPr>
        <w:tabs>
          <w:tab w:val="num" w:pos="1440"/>
        </w:tabs>
        <w:ind w:left="1440" w:hanging="360"/>
      </w:pPr>
      <w:rPr>
        <w:rFonts w:ascii="Times New Roman" w:eastAsia="Times New Roman" w:hAnsi="Times New Roman" w:cs="Times New Roman"/>
        <w:position w:val="0"/>
        <w:sz w:val="24"/>
        <w:szCs w:val="24"/>
        <w:u w:color="414042"/>
      </w:rPr>
    </w:lvl>
    <w:lvl w:ilvl="2">
      <w:start w:val="1"/>
      <w:numFmt w:val="bullet"/>
      <w:lvlText w:val="▪"/>
      <w:lvlJc w:val="left"/>
      <w:pPr>
        <w:tabs>
          <w:tab w:val="num" w:pos="2160"/>
        </w:tabs>
        <w:ind w:left="2160" w:hanging="360"/>
      </w:pPr>
      <w:rPr>
        <w:rFonts w:ascii="Times New Roman" w:eastAsia="Times New Roman" w:hAnsi="Times New Roman" w:cs="Times New Roman"/>
        <w:position w:val="0"/>
        <w:sz w:val="24"/>
        <w:szCs w:val="24"/>
        <w:u w:color="414042"/>
      </w:rPr>
    </w:lvl>
    <w:lvl w:ilvl="3">
      <w:start w:val="1"/>
      <w:numFmt w:val="bullet"/>
      <w:lvlText w:val="•"/>
      <w:lvlJc w:val="left"/>
      <w:pPr>
        <w:tabs>
          <w:tab w:val="num" w:pos="2880"/>
        </w:tabs>
        <w:ind w:left="2880" w:hanging="360"/>
      </w:pPr>
      <w:rPr>
        <w:rFonts w:ascii="Times New Roman" w:eastAsia="Times New Roman" w:hAnsi="Times New Roman" w:cs="Times New Roman"/>
        <w:position w:val="0"/>
        <w:sz w:val="24"/>
        <w:szCs w:val="24"/>
        <w:u w:color="414042"/>
      </w:rPr>
    </w:lvl>
    <w:lvl w:ilvl="4">
      <w:start w:val="1"/>
      <w:numFmt w:val="bullet"/>
      <w:lvlText w:val="o"/>
      <w:lvlJc w:val="left"/>
      <w:pPr>
        <w:tabs>
          <w:tab w:val="num" w:pos="3600"/>
        </w:tabs>
        <w:ind w:left="3600" w:hanging="360"/>
      </w:pPr>
      <w:rPr>
        <w:rFonts w:ascii="Times New Roman" w:eastAsia="Times New Roman" w:hAnsi="Times New Roman" w:cs="Times New Roman"/>
        <w:position w:val="0"/>
        <w:sz w:val="24"/>
        <w:szCs w:val="24"/>
        <w:u w:color="414042"/>
      </w:rPr>
    </w:lvl>
    <w:lvl w:ilvl="5">
      <w:start w:val="1"/>
      <w:numFmt w:val="bullet"/>
      <w:lvlText w:val="▪"/>
      <w:lvlJc w:val="left"/>
      <w:pPr>
        <w:tabs>
          <w:tab w:val="num" w:pos="4320"/>
        </w:tabs>
        <w:ind w:left="4320" w:hanging="360"/>
      </w:pPr>
      <w:rPr>
        <w:rFonts w:ascii="Times New Roman" w:eastAsia="Times New Roman" w:hAnsi="Times New Roman" w:cs="Times New Roman"/>
        <w:position w:val="0"/>
        <w:sz w:val="24"/>
        <w:szCs w:val="24"/>
        <w:u w:color="414042"/>
      </w:rPr>
    </w:lvl>
    <w:lvl w:ilvl="6">
      <w:start w:val="1"/>
      <w:numFmt w:val="bullet"/>
      <w:lvlText w:val="•"/>
      <w:lvlJc w:val="left"/>
      <w:pPr>
        <w:tabs>
          <w:tab w:val="num" w:pos="5040"/>
        </w:tabs>
        <w:ind w:left="5040" w:hanging="360"/>
      </w:pPr>
      <w:rPr>
        <w:rFonts w:ascii="Times New Roman" w:eastAsia="Times New Roman" w:hAnsi="Times New Roman" w:cs="Times New Roman"/>
        <w:position w:val="0"/>
        <w:sz w:val="24"/>
        <w:szCs w:val="24"/>
        <w:u w:color="414042"/>
      </w:rPr>
    </w:lvl>
    <w:lvl w:ilvl="7">
      <w:start w:val="1"/>
      <w:numFmt w:val="bullet"/>
      <w:lvlText w:val="o"/>
      <w:lvlJc w:val="left"/>
      <w:pPr>
        <w:tabs>
          <w:tab w:val="num" w:pos="5760"/>
        </w:tabs>
        <w:ind w:left="5760" w:hanging="360"/>
      </w:pPr>
      <w:rPr>
        <w:rFonts w:ascii="Times New Roman" w:eastAsia="Times New Roman" w:hAnsi="Times New Roman" w:cs="Times New Roman"/>
        <w:position w:val="0"/>
        <w:sz w:val="24"/>
        <w:szCs w:val="24"/>
        <w:u w:color="414042"/>
      </w:rPr>
    </w:lvl>
    <w:lvl w:ilvl="8">
      <w:start w:val="1"/>
      <w:numFmt w:val="bullet"/>
      <w:lvlText w:val="▪"/>
      <w:lvlJc w:val="left"/>
      <w:pPr>
        <w:tabs>
          <w:tab w:val="num" w:pos="6480"/>
        </w:tabs>
        <w:ind w:left="6480" w:hanging="360"/>
      </w:pPr>
      <w:rPr>
        <w:rFonts w:ascii="Times New Roman" w:eastAsia="Times New Roman" w:hAnsi="Times New Roman" w:cs="Times New Roman"/>
        <w:position w:val="0"/>
        <w:sz w:val="24"/>
        <w:szCs w:val="24"/>
        <w:u w:color="414042"/>
      </w:rPr>
    </w:lvl>
  </w:abstractNum>
  <w:abstractNum w:abstractNumId="20" w15:restartNumberingAfterBreak="0">
    <w:nsid w:val="1E0D00EA"/>
    <w:multiLevelType w:val="multilevel"/>
    <w:tmpl w:val="96001B7A"/>
    <w:styleLink w:val="List48"/>
    <w:lvl w:ilvl="0">
      <w:start w:val="1"/>
      <w:numFmt w:val="bullet"/>
      <w:lvlText w:val="•"/>
      <w:lvlJc w:val="left"/>
      <w:pPr>
        <w:tabs>
          <w:tab w:val="num" w:pos="1410"/>
        </w:tabs>
        <w:ind w:left="14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1">
      <w:start w:val="1"/>
      <w:numFmt w:val="bullet"/>
      <w:lvlText w:val="o"/>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2">
      <w:numFmt w:val="bullet"/>
      <w:lvlText w:val="•"/>
      <w:lvlJc w:val="left"/>
      <w:pPr>
        <w:tabs>
          <w:tab w:val="num" w:pos="714"/>
        </w:tabs>
        <w:ind w:left="714" w:hanging="357"/>
      </w:pPr>
      <w:rPr>
        <w:rFonts w:ascii="Arial" w:eastAsia="Arial" w:hAnsi="Arial" w:cs="Arial"/>
        <w:caps w:val="0"/>
        <w:smallCaps w:val="0"/>
        <w:strike w:val="0"/>
        <w:dstrike w:val="0"/>
        <w:outline w:val="0"/>
        <w:color w:val="000000"/>
        <w:spacing w:val="0"/>
        <w:kern w:val="0"/>
        <w:position w:val="0"/>
        <w:sz w:val="20"/>
        <w:szCs w:val="20"/>
        <w:u w:val="none" w:color="414042"/>
        <w:vertAlign w:val="baseline"/>
        <w:rtl w:val="0"/>
        <w:lang w:val="en-US"/>
      </w:rPr>
    </w:lvl>
    <w:lvl w:ilvl="3">
      <w:start w:val="1"/>
      <w:numFmt w:val="bullet"/>
      <w:lvlText w:val="•"/>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4">
      <w:start w:val="1"/>
      <w:numFmt w:val="bullet"/>
      <w:lvlText w:val="o"/>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5">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6">
      <w:start w:val="1"/>
      <w:numFmt w:val="bullet"/>
      <w:lvlText w:val="•"/>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7">
      <w:start w:val="1"/>
      <w:numFmt w:val="bullet"/>
      <w:lvlText w:val="o"/>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8">
      <w:start w:val="1"/>
      <w:numFmt w:val="bullet"/>
      <w:lvlText w:val="▪"/>
      <w:lvlJc w:val="left"/>
      <w:pPr>
        <w:tabs>
          <w:tab w:val="num" w:pos="7170"/>
        </w:tabs>
        <w:ind w:left="71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abstractNum>
  <w:abstractNum w:abstractNumId="21" w15:restartNumberingAfterBreak="0">
    <w:nsid w:val="1E2A798E"/>
    <w:multiLevelType w:val="multilevel"/>
    <w:tmpl w:val="2E36548A"/>
    <w:styleLink w:val="List54"/>
    <w:lvl w:ilvl="0">
      <w:numFmt w:val="bullet"/>
      <w:lvlText w:val="•"/>
      <w:lvlJc w:val="left"/>
      <w:pPr>
        <w:tabs>
          <w:tab w:val="num" w:pos="714"/>
        </w:tabs>
        <w:ind w:left="714" w:hanging="357"/>
      </w:pPr>
      <w:rPr>
        <w:rFonts w:ascii="Arial" w:eastAsia="Arial" w:hAnsi="Arial" w:cs="Arial"/>
        <w:caps w:val="0"/>
        <w:smallCaps w:val="0"/>
        <w:strike w:val="0"/>
        <w:dstrike w:val="0"/>
        <w:outline w:val="0"/>
        <w:color w:val="000000"/>
        <w:spacing w:val="0"/>
        <w:kern w:val="0"/>
        <w:position w:val="0"/>
        <w:sz w:val="20"/>
        <w:szCs w:val="20"/>
        <w:u w:val="none" w:color="414042"/>
        <w:vertAlign w:val="baseline"/>
        <w:rtl w:val="0"/>
        <w:lang w:val="en-US"/>
      </w:rPr>
    </w:lvl>
    <w:lvl w:ilvl="1">
      <w:start w:val="1"/>
      <w:numFmt w:val="bullet"/>
      <w:lvlText w:val="o"/>
      <w:lvlJc w:val="left"/>
      <w:pPr>
        <w:tabs>
          <w:tab w:val="num" w:pos="1767"/>
        </w:tabs>
        <w:ind w:left="176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2">
      <w:start w:val="1"/>
      <w:numFmt w:val="bullet"/>
      <w:lvlText w:val="▪"/>
      <w:lvlJc w:val="left"/>
      <w:pPr>
        <w:tabs>
          <w:tab w:val="num" w:pos="2487"/>
        </w:tabs>
        <w:ind w:left="248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3">
      <w:start w:val="1"/>
      <w:numFmt w:val="bullet"/>
      <w:lvlText w:val="•"/>
      <w:lvlJc w:val="left"/>
      <w:pPr>
        <w:tabs>
          <w:tab w:val="num" w:pos="3207"/>
        </w:tabs>
        <w:ind w:left="320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4">
      <w:start w:val="1"/>
      <w:numFmt w:val="bullet"/>
      <w:lvlText w:val="o"/>
      <w:lvlJc w:val="left"/>
      <w:pPr>
        <w:tabs>
          <w:tab w:val="num" w:pos="3927"/>
        </w:tabs>
        <w:ind w:left="392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5">
      <w:start w:val="1"/>
      <w:numFmt w:val="bullet"/>
      <w:lvlText w:val="▪"/>
      <w:lvlJc w:val="left"/>
      <w:pPr>
        <w:tabs>
          <w:tab w:val="num" w:pos="4647"/>
        </w:tabs>
        <w:ind w:left="464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6">
      <w:start w:val="1"/>
      <w:numFmt w:val="bullet"/>
      <w:lvlText w:val="•"/>
      <w:lvlJc w:val="left"/>
      <w:pPr>
        <w:tabs>
          <w:tab w:val="num" w:pos="5367"/>
        </w:tabs>
        <w:ind w:left="536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7">
      <w:start w:val="1"/>
      <w:numFmt w:val="bullet"/>
      <w:lvlText w:val="o"/>
      <w:lvlJc w:val="left"/>
      <w:pPr>
        <w:tabs>
          <w:tab w:val="num" w:pos="6087"/>
        </w:tabs>
        <w:ind w:left="608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8">
      <w:start w:val="1"/>
      <w:numFmt w:val="bullet"/>
      <w:lvlText w:val="▪"/>
      <w:lvlJc w:val="left"/>
      <w:pPr>
        <w:tabs>
          <w:tab w:val="num" w:pos="6807"/>
        </w:tabs>
        <w:ind w:left="6807"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abstractNum>
  <w:abstractNum w:abstractNumId="22" w15:restartNumberingAfterBreak="0">
    <w:nsid w:val="20603F75"/>
    <w:multiLevelType w:val="multilevel"/>
    <w:tmpl w:val="5A12CF66"/>
    <w:styleLink w:val="List47"/>
    <w:lvl w:ilvl="0">
      <w:numFmt w:val="bullet"/>
      <w:lvlText w:val="•"/>
      <w:lvlJc w:val="left"/>
      <w:pPr>
        <w:tabs>
          <w:tab w:val="num" w:pos="720"/>
        </w:tabs>
        <w:ind w:left="720" w:hanging="360"/>
      </w:pPr>
      <w:rPr>
        <w:rFonts w:ascii="Arial" w:eastAsia="Arial" w:hAnsi="Arial" w:cs="Arial"/>
        <w:caps w:val="0"/>
        <w:smallCaps w:val="0"/>
        <w:strike w:val="0"/>
        <w:dstrike w:val="0"/>
        <w:outline w:val="0"/>
        <w:color w:val="000000"/>
        <w:spacing w:val="0"/>
        <w:kern w:val="0"/>
        <w:position w:val="0"/>
        <w:sz w:val="20"/>
        <w:szCs w:val="20"/>
        <w:u w:val="none" w:color="414042"/>
        <w:vertAlign w:val="baseline"/>
        <w:lang w:val="en-US"/>
      </w:rPr>
    </w:lvl>
    <w:lvl w:ilvl="1">
      <w:start w:val="1"/>
      <w:numFmt w:val="bullet"/>
      <w:lvlText w:val="o"/>
      <w:lvlJc w:val="left"/>
      <w:pPr>
        <w:tabs>
          <w:tab w:val="num" w:pos="1410"/>
        </w:tabs>
        <w:ind w:left="14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lvl w:ilvl="2">
      <w:start w:val="1"/>
      <w:numFmt w:val="bullet"/>
      <w:lvlText w:val="▪"/>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lvl w:ilvl="3">
      <w:start w:val="1"/>
      <w:numFmt w:val="bullet"/>
      <w:lvlText w:val="•"/>
      <w:lvlJc w:val="left"/>
      <w:pPr>
        <w:tabs>
          <w:tab w:val="num" w:pos="2850"/>
        </w:tabs>
        <w:ind w:left="28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lvl w:ilvl="4">
      <w:start w:val="1"/>
      <w:numFmt w:val="bullet"/>
      <w:lvlText w:val="o"/>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lvl w:ilvl="5">
      <w:start w:val="1"/>
      <w:numFmt w:val="bullet"/>
      <w:lvlText w:val="▪"/>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lvl w:ilvl="6">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lvl w:ilvl="7">
      <w:start w:val="1"/>
      <w:numFmt w:val="bullet"/>
      <w:lvlText w:val="o"/>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lvl w:ilvl="8">
      <w:start w:val="1"/>
      <w:numFmt w:val="bullet"/>
      <w:lvlText w:val="▪"/>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abstractNum>
  <w:abstractNum w:abstractNumId="23" w15:restartNumberingAfterBreak="0">
    <w:nsid w:val="210148BA"/>
    <w:multiLevelType w:val="multilevel"/>
    <w:tmpl w:val="8346BAE4"/>
    <w:styleLink w:val="List57"/>
    <w:lvl w:ilvl="0">
      <w:start w:val="1"/>
      <w:numFmt w:val="bullet"/>
      <w:lvlText w:val="•"/>
      <w:lvlJc w:val="left"/>
      <w:pPr>
        <w:tabs>
          <w:tab w:val="num" w:pos="720"/>
        </w:tabs>
        <w:ind w:left="720" w:hanging="360"/>
      </w:pPr>
      <w:rPr>
        <w:position w:val="0"/>
        <w:u w:color="414042"/>
      </w:rPr>
    </w:lvl>
    <w:lvl w:ilvl="1">
      <w:numFmt w:val="bullet"/>
      <w:lvlText w:val="−"/>
      <w:lvlJc w:val="left"/>
      <w:pPr>
        <w:tabs>
          <w:tab w:val="num" w:pos="1407"/>
        </w:tabs>
        <w:ind w:left="1407" w:hanging="327"/>
      </w:pPr>
      <w:rPr>
        <w:position w:val="0"/>
        <w:u w:color="414042"/>
      </w:rPr>
    </w:lvl>
    <w:lvl w:ilvl="2">
      <w:start w:val="1"/>
      <w:numFmt w:val="bullet"/>
      <w:lvlText w:val="–"/>
      <w:lvlJc w:val="left"/>
      <w:pPr>
        <w:tabs>
          <w:tab w:val="num" w:pos="2160"/>
        </w:tabs>
        <w:ind w:left="2160" w:hanging="360"/>
      </w:pPr>
      <w:rPr>
        <w:position w:val="0"/>
        <w:u w:color="414042"/>
      </w:rPr>
    </w:lvl>
    <w:lvl w:ilvl="3">
      <w:start w:val="1"/>
      <w:numFmt w:val="bullet"/>
      <w:lvlText w:val="•"/>
      <w:lvlJc w:val="left"/>
      <w:pPr>
        <w:tabs>
          <w:tab w:val="num" w:pos="2880"/>
        </w:tabs>
        <w:ind w:left="2880" w:hanging="360"/>
      </w:pPr>
      <w:rPr>
        <w:position w:val="0"/>
        <w:u w:color="414042"/>
      </w:rPr>
    </w:lvl>
    <w:lvl w:ilvl="4">
      <w:start w:val="1"/>
      <w:numFmt w:val="bullet"/>
      <w:lvlText w:val="o"/>
      <w:lvlJc w:val="left"/>
      <w:pPr>
        <w:tabs>
          <w:tab w:val="num" w:pos="3600"/>
        </w:tabs>
        <w:ind w:left="3600" w:hanging="360"/>
      </w:pPr>
      <w:rPr>
        <w:position w:val="0"/>
        <w:u w:color="414042"/>
      </w:rPr>
    </w:lvl>
    <w:lvl w:ilvl="5">
      <w:start w:val="1"/>
      <w:numFmt w:val="bullet"/>
      <w:lvlText w:val="▪"/>
      <w:lvlJc w:val="left"/>
      <w:pPr>
        <w:tabs>
          <w:tab w:val="num" w:pos="4320"/>
        </w:tabs>
        <w:ind w:left="4320" w:hanging="360"/>
      </w:pPr>
      <w:rPr>
        <w:position w:val="0"/>
        <w:u w:color="414042"/>
      </w:rPr>
    </w:lvl>
    <w:lvl w:ilvl="6">
      <w:start w:val="1"/>
      <w:numFmt w:val="bullet"/>
      <w:lvlText w:val="•"/>
      <w:lvlJc w:val="left"/>
      <w:pPr>
        <w:tabs>
          <w:tab w:val="num" w:pos="5040"/>
        </w:tabs>
        <w:ind w:left="5040" w:hanging="360"/>
      </w:pPr>
      <w:rPr>
        <w:position w:val="0"/>
        <w:u w:color="414042"/>
      </w:rPr>
    </w:lvl>
    <w:lvl w:ilvl="7">
      <w:start w:val="1"/>
      <w:numFmt w:val="bullet"/>
      <w:lvlText w:val="o"/>
      <w:lvlJc w:val="left"/>
      <w:pPr>
        <w:tabs>
          <w:tab w:val="num" w:pos="5760"/>
        </w:tabs>
        <w:ind w:left="5760" w:hanging="360"/>
      </w:pPr>
      <w:rPr>
        <w:position w:val="0"/>
        <w:u w:color="414042"/>
      </w:rPr>
    </w:lvl>
    <w:lvl w:ilvl="8">
      <w:start w:val="1"/>
      <w:numFmt w:val="bullet"/>
      <w:lvlText w:val="▪"/>
      <w:lvlJc w:val="left"/>
      <w:pPr>
        <w:tabs>
          <w:tab w:val="num" w:pos="6480"/>
        </w:tabs>
        <w:ind w:left="6480" w:hanging="360"/>
      </w:pPr>
      <w:rPr>
        <w:position w:val="0"/>
        <w:u w:color="414042"/>
      </w:rPr>
    </w:lvl>
  </w:abstractNum>
  <w:abstractNum w:abstractNumId="24" w15:restartNumberingAfterBreak="0">
    <w:nsid w:val="212B1867"/>
    <w:multiLevelType w:val="multilevel"/>
    <w:tmpl w:val="A7E453F4"/>
    <w:styleLink w:val="List41"/>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5" w15:restartNumberingAfterBreak="0">
    <w:nsid w:val="22AD79CB"/>
    <w:multiLevelType w:val="multilevel"/>
    <w:tmpl w:val="E7CC3A3A"/>
    <w:styleLink w:val="List0"/>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6" w15:restartNumberingAfterBreak="0">
    <w:nsid w:val="249813EE"/>
    <w:multiLevelType w:val="multilevel"/>
    <w:tmpl w:val="80524C54"/>
    <w:styleLink w:val="List66"/>
    <w:lvl w:ilvl="0">
      <w:numFmt w:val="bullet"/>
      <w:lvlText w:val="."/>
      <w:lvlJc w:val="left"/>
      <w:pPr>
        <w:tabs>
          <w:tab w:val="num" w:pos="520"/>
        </w:tabs>
        <w:ind w:left="520" w:hanging="520"/>
      </w:pPr>
      <w:rPr>
        <w:rFonts w:ascii="Times New Roman" w:eastAsia="Times New Roman" w:hAnsi="Times New Roman" w:cs="Times New Roman"/>
        <w:position w:val="0"/>
        <w:sz w:val="24"/>
        <w:szCs w:val="24"/>
      </w:rPr>
    </w:lvl>
    <w:lvl w:ilvl="1">
      <w:start w:val="1"/>
      <w:numFmt w:val="bullet"/>
      <w:lvlText w:val="−"/>
      <w:lvlJc w:val="left"/>
      <w:pPr>
        <w:tabs>
          <w:tab w:val="num" w:pos="1186"/>
        </w:tabs>
        <w:ind w:left="1186" w:hanging="619"/>
      </w:pPr>
      <w:rPr>
        <w:rFonts w:ascii="Times New Roman" w:eastAsia="Times New Roman" w:hAnsi="Times New Roman" w:cs="Times New Roman"/>
        <w:position w:val="0"/>
        <w:sz w:val="24"/>
        <w:szCs w:val="24"/>
      </w:rPr>
    </w:lvl>
    <w:lvl w:ilvl="2">
      <w:start w:val="1"/>
      <w:numFmt w:val="bullet"/>
      <w:lvlText w:val=":"/>
      <w:lvlJc w:val="left"/>
      <w:pPr>
        <w:tabs>
          <w:tab w:val="num" w:pos="1753"/>
        </w:tabs>
        <w:ind w:left="1753" w:hanging="619"/>
      </w:pPr>
      <w:rPr>
        <w:rFonts w:ascii="Times New Roman" w:eastAsia="Times New Roman" w:hAnsi="Times New Roman" w:cs="Times New Roman"/>
        <w:position w:val="0"/>
        <w:sz w:val="24"/>
        <w:szCs w:val="24"/>
      </w:rPr>
    </w:lvl>
    <w:lvl w:ilvl="3">
      <w:start w:val="1"/>
      <w:numFmt w:val="bullet"/>
      <w:lvlText w:val=":"/>
      <w:lvlJc w:val="left"/>
      <w:pPr>
        <w:tabs>
          <w:tab w:val="num" w:pos="2320"/>
        </w:tabs>
        <w:ind w:left="2320" w:hanging="619"/>
      </w:pPr>
      <w:rPr>
        <w:rFonts w:ascii="Times New Roman" w:eastAsia="Times New Roman" w:hAnsi="Times New Roman" w:cs="Times New Roman"/>
        <w:position w:val="0"/>
        <w:sz w:val="24"/>
        <w:szCs w:val="24"/>
      </w:rPr>
    </w:lvl>
    <w:lvl w:ilvl="4">
      <w:start w:val="1"/>
      <w:numFmt w:val="bullet"/>
      <w:lvlText w:val=":"/>
      <w:lvlJc w:val="left"/>
      <w:pPr>
        <w:tabs>
          <w:tab w:val="num" w:pos="2887"/>
        </w:tabs>
        <w:ind w:left="2887" w:hanging="619"/>
      </w:pPr>
      <w:rPr>
        <w:rFonts w:ascii="Times New Roman" w:eastAsia="Times New Roman" w:hAnsi="Times New Roman" w:cs="Times New Roman"/>
        <w:position w:val="0"/>
        <w:sz w:val="24"/>
        <w:szCs w:val="24"/>
      </w:rPr>
    </w:lvl>
    <w:lvl w:ilvl="5">
      <w:start w:val="1"/>
      <w:numFmt w:val="bullet"/>
      <w:lvlText w:val=":"/>
      <w:lvlJc w:val="left"/>
      <w:pPr>
        <w:tabs>
          <w:tab w:val="num" w:pos="3454"/>
        </w:tabs>
        <w:ind w:left="3454" w:hanging="619"/>
      </w:pPr>
      <w:rPr>
        <w:rFonts w:ascii="Times New Roman" w:eastAsia="Times New Roman" w:hAnsi="Times New Roman" w:cs="Times New Roman"/>
        <w:position w:val="0"/>
        <w:sz w:val="24"/>
        <w:szCs w:val="24"/>
      </w:rPr>
    </w:lvl>
    <w:lvl w:ilvl="6">
      <w:start w:val="1"/>
      <w:numFmt w:val="bullet"/>
      <w:lvlText w:val=":"/>
      <w:lvlJc w:val="left"/>
      <w:pPr>
        <w:tabs>
          <w:tab w:val="num" w:pos="2549"/>
        </w:tabs>
        <w:ind w:left="2549" w:hanging="389"/>
      </w:pPr>
      <w:rPr>
        <w:rFonts w:ascii="Times New Roman" w:eastAsia="Times New Roman" w:hAnsi="Times New Roman" w:cs="Times New Roman"/>
        <w:position w:val="0"/>
        <w:sz w:val="24"/>
        <w:szCs w:val="24"/>
      </w:rPr>
    </w:lvl>
    <w:lvl w:ilvl="7">
      <w:start w:val="1"/>
      <w:numFmt w:val="bullet"/>
      <w:lvlText w:val=":"/>
      <w:lvlJc w:val="left"/>
      <w:pPr>
        <w:tabs>
          <w:tab w:val="num" w:pos="2913"/>
        </w:tabs>
        <w:ind w:left="2913" w:hanging="396"/>
      </w:pPr>
      <w:rPr>
        <w:rFonts w:ascii="Times New Roman" w:eastAsia="Times New Roman" w:hAnsi="Times New Roman" w:cs="Times New Roman"/>
        <w:position w:val="0"/>
        <w:sz w:val="24"/>
        <w:szCs w:val="24"/>
      </w:rPr>
    </w:lvl>
    <w:lvl w:ilvl="8">
      <w:start w:val="1"/>
      <w:numFmt w:val="bullet"/>
      <w:lvlText w:val=":"/>
      <w:lvlJc w:val="left"/>
      <w:pPr>
        <w:tabs>
          <w:tab w:val="num" w:pos="3269"/>
        </w:tabs>
        <w:ind w:left="3269" w:hanging="389"/>
      </w:pPr>
      <w:rPr>
        <w:rFonts w:ascii="Times New Roman" w:eastAsia="Times New Roman" w:hAnsi="Times New Roman" w:cs="Times New Roman"/>
        <w:position w:val="0"/>
        <w:sz w:val="24"/>
        <w:szCs w:val="24"/>
      </w:rPr>
    </w:lvl>
  </w:abstractNum>
  <w:abstractNum w:abstractNumId="27" w15:restartNumberingAfterBreak="0">
    <w:nsid w:val="25197A2E"/>
    <w:multiLevelType w:val="multilevel"/>
    <w:tmpl w:val="1B9A247A"/>
    <w:styleLink w:val="List14"/>
    <w:lvl w:ilvl="0">
      <w:start w:val="1"/>
      <w:numFmt w:val="bullet"/>
      <w:lvlText w:val="•"/>
      <w:lvlJc w:val="left"/>
      <w:pPr>
        <w:tabs>
          <w:tab w:val="num" w:pos="720"/>
        </w:tabs>
        <w:ind w:left="720" w:hanging="360"/>
      </w:pPr>
      <w:rPr>
        <w:rFonts w:ascii="Times New Roman" w:eastAsia="Times New Roman" w:hAnsi="Times New Roman" w:cs="Times New Roman"/>
        <w:position w:val="0"/>
        <w:sz w:val="24"/>
        <w:szCs w:val="24"/>
      </w:rPr>
    </w:lvl>
    <w:lvl w:ilvl="1">
      <w:numFmt w:val="bullet"/>
      <w:lvlText w:val="•"/>
      <w:lvlJc w:val="left"/>
      <w:pPr>
        <w:tabs>
          <w:tab w:val="num" w:pos="1410"/>
        </w:tabs>
        <w:ind w:left="1410" w:hanging="330"/>
      </w:pPr>
      <w:rPr>
        <w:rFonts w:ascii="Times New Roman" w:eastAsia="Times New Roman" w:hAnsi="Times New Roman" w:cs="Times New Roman"/>
        <w:position w:val="0"/>
        <w:sz w:val="24"/>
        <w:szCs w:val="24"/>
      </w:rPr>
    </w:lvl>
    <w:lvl w:ilvl="2">
      <w:start w:val="1"/>
      <w:numFmt w:val="bullet"/>
      <w:lvlText w:val="▪"/>
      <w:lvlJc w:val="left"/>
      <w:pPr>
        <w:tabs>
          <w:tab w:val="num" w:pos="2160"/>
        </w:tabs>
        <w:ind w:left="2160" w:hanging="360"/>
      </w:pPr>
      <w:rPr>
        <w:rFonts w:ascii="Times New Roman" w:eastAsia="Times New Roman" w:hAnsi="Times New Roman" w:cs="Times New Roman"/>
        <w:position w:val="0"/>
        <w:sz w:val="24"/>
        <w:szCs w:val="24"/>
      </w:rPr>
    </w:lvl>
    <w:lvl w:ilvl="3">
      <w:start w:val="1"/>
      <w:numFmt w:val="bullet"/>
      <w:lvlText w:val="•"/>
      <w:lvlJc w:val="left"/>
      <w:pPr>
        <w:tabs>
          <w:tab w:val="num" w:pos="2880"/>
        </w:tabs>
        <w:ind w:left="2880" w:hanging="360"/>
      </w:pPr>
      <w:rPr>
        <w:rFonts w:ascii="Times New Roman" w:eastAsia="Times New Roman" w:hAnsi="Times New Roman" w:cs="Times New Roman"/>
        <w:position w:val="0"/>
        <w:sz w:val="24"/>
        <w:szCs w:val="24"/>
      </w:rPr>
    </w:lvl>
    <w:lvl w:ilvl="4">
      <w:start w:val="1"/>
      <w:numFmt w:val="bullet"/>
      <w:lvlText w:val="o"/>
      <w:lvlJc w:val="left"/>
      <w:pPr>
        <w:tabs>
          <w:tab w:val="num" w:pos="3600"/>
        </w:tabs>
        <w:ind w:left="3600" w:hanging="360"/>
      </w:pPr>
      <w:rPr>
        <w:rFonts w:ascii="Times New Roman" w:eastAsia="Times New Roman" w:hAnsi="Times New Roman" w:cs="Times New Roman"/>
        <w:position w:val="0"/>
        <w:sz w:val="24"/>
        <w:szCs w:val="24"/>
      </w:rPr>
    </w:lvl>
    <w:lvl w:ilvl="5">
      <w:start w:val="1"/>
      <w:numFmt w:val="bullet"/>
      <w:lvlText w:val="▪"/>
      <w:lvlJc w:val="left"/>
      <w:pPr>
        <w:tabs>
          <w:tab w:val="num" w:pos="4320"/>
        </w:tabs>
        <w:ind w:left="4320" w:hanging="360"/>
      </w:pPr>
      <w:rPr>
        <w:rFonts w:ascii="Times New Roman" w:eastAsia="Times New Roman" w:hAnsi="Times New Roman" w:cs="Times New Roman"/>
        <w:position w:val="0"/>
        <w:sz w:val="24"/>
        <w:szCs w:val="24"/>
      </w:rPr>
    </w:lvl>
    <w:lvl w:ilvl="6">
      <w:start w:val="1"/>
      <w:numFmt w:val="bullet"/>
      <w:lvlText w:val="•"/>
      <w:lvlJc w:val="left"/>
      <w:pPr>
        <w:tabs>
          <w:tab w:val="num" w:pos="5040"/>
        </w:tabs>
        <w:ind w:left="5040" w:hanging="360"/>
      </w:pPr>
      <w:rPr>
        <w:rFonts w:ascii="Times New Roman" w:eastAsia="Times New Roman" w:hAnsi="Times New Roman" w:cs="Times New Roman"/>
        <w:position w:val="0"/>
        <w:sz w:val="24"/>
        <w:szCs w:val="24"/>
      </w:rPr>
    </w:lvl>
    <w:lvl w:ilvl="7">
      <w:start w:val="1"/>
      <w:numFmt w:val="bullet"/>
      <w:lvlText w:val="o"/>
      <w:lvlJc w:val="left"/>
      <w:pPr>
        <w:tabs>
          <w:tab w:val="num" w:pos="5760"/>
        </w:tabs>
        <w:ind w:left="5760" w:hanging="360"/>
      </w:pPr>
      <w:rPr>
        <w:rFonts w:ascii="Times New Roman" w:eastAsia="Times New Roman" w:hAnsi="Times New Roman" w:cs="Times New Roman"/>
        <w:position w:val="0"/>
        <w:sz w:val="24"/>
        <w:szCs w:val="24"/>
      </w:rPr>
    </w:lvl>
    <w:lvl w:ilvl="8">
      <w:start w:val="1"/>
      <w:numFmt w:val="bullet"/>
      <w:lvlText w:val="▪"/>
      <w:lvlJc w:val="left"/>
      <w:pPr>
        <w:tabs>
          <w:tab w:val="num" w:pos="6480"/>
        </w:tabs>
        <w:ind w:left="6480" w:hanging="360"/>
      </w:pPr>
      <w:rPr>
        <w:rFonts w:ascii="Times New Roman" w:eastAsia="Times New Roman" w:hAnsi="Times New Roman" w:cs="Times New Roman"/>
        <w:position w:val="0"/>
        <w:sz w:val="24"/>
        <w:szCs w:val="24"/>
      </w:rPr>
    </w:lvl>
  </w:abstractNum>
  <w:abstractNum w:abstractNumId="28" w15:restartNumberingAfterBreak="0">
    <w:nsid w:val="274419D0"/>
    <w:multiLevelType w:val="multilevel"/>
    <w:tmpl w:val="E5BC10B8"/>
    <w:styleLink w:val="List65"/>
    <w:lvl w:ilvl="0">
      <w:start w:val="111"/>
      <w:numFmt w:val="decimal"/>
      <w:lvlText w:val="%1."/>
      <w:lvlJc w:val="left"/>
      <w:pPr>
        <w:tabs>
          <w:tab w:val="num" w:pos="605"/>
        </w:tabs>
        <w:ind w:left="605" w:hanging="605"/>
      </w:pPr>
      <w:rPr>
        <w:rFonts w:ascii="Times New Roman" w:eastAsia="Times New Roman" w:hAnsi="Times New Roman" w:cs="Times New Roman"/>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position w:val="0"/>
        <w:sz w:val="24"/>
        <w:szCs w:val="24"/>
      </w:rPr>
    </w:lvl>
  </w:abstractNum>
  <w:abstractNum w:abstractNumId="29" w15:restartNumberingAfterBreak="0">
    <w:nsid w:val="29682EA4"/>
    <w:multiLevelType w:val="multilevel"/>
    <w:tmpl w:val="210E8CBE"/>
    <w:styleLink w:val="List27"/>
    <w:lvl w:ilvl="0">
      <w:numFmt w:val="bullet"/>
      <w:lvlText w:val="•"/>
      <w:lvlJc w:val="left"/>
      <w:rPr>
        <w:position w:val="0"/>
        <w:u w:color="3D3935"/>
      </w:rPr>
    </w:lvl>
    <w:lvl w:ilvl="1">
      <w:start w:val="1"/>
      <w:numFmt w:val="bullet"/>
      <w:lvlText w:val="–"/>
      <w:lvlJc w:val="left"/>
      <w:rPr>
        <w:position w:val="0"/>
        <w:u w:color="3D3935"/>
      </w:rPr>
    </w:lvl>
    <w:lvl w:ilvl="2">
      <w:start w:val="1"/>
      <w:numFmt w:val="bullet"/>
      <w:lvlText w:val="•"/>
      <w:lvlJc w:val="left"/>
      <w:rPr>
        <w:position w:val="0"/>
        <w:u w:color="3D3935"/>
      </w:rPr>
    </w:lvl>
    <w:lvl w:ilvl="3">
      <w:start w:val="1"/>
      <w:numFmt w:val="bullet"/>
      <w:lvlText w:val="•"/>
      <w:lvlJc w:val="left"/>
      <w:rPr>
        <w:position w:val="0"/>
        <w:u w:color="3D3935"/>
      </w:rPr>
    </w:lvl>
    <w:lvl w:ilvl="4">
      <w:start w:val="1"/>
      <w:numFmt w:val="bullet"/>
      <w:lvlText w:val="•"/>
      <w:lvlJc w:val="left"/>
      <w:rPr>
        <w:position w:val="0"/>
        <w:u w:color="3D3935"/>
      </w:rPr>
    </w:lvl>
    <w:lvl w:ilvl="5">
      <w:start w:val="1"/>
      <w:numFmt w:val="bullet"/>
      <w:lvlText w:val="•"/>
      <w:lvlJc w:val="left"/>
      <w:rPr>
        <w:position w:val="0"/>
        <w:u w:color="3D3935"/>
      </w:rPr>
    </w:lvl>
    <w:lvl w:ilvl="6">
      <w:start w:val="1"/>
      <w:numFmt w:val="bullet"/>
      <w:lvlText w:val="•"/>
      <w:lvlJc w:val="left"/>
      <w:rPr>
        <w:position w:val="0"/>
        <w:u w:color="3D3935"/>
      </w:rPr>
    </w:lvl>
    <w:lvl w:ilvl="7">
      <w:start w:val="1"/>
      <w:numFmt w:val="bullet"/>
      <w:lvlText w:val="•"/>
      <w:lvlJc w:val="left"/>
      <w:rPr>
        <w:position w:val="0"/>
        <w:u w:color="3D3935"/>
      </w:rPr>
    </w:lvl>
    <w:lvl w:ilvl="8">
      <w:start w:val="1"/>
      <w:numFmt w:val="bullet"/>
      <w:lvlText w:val="•"/>
      <w:lvlJc w:val="left"/>
      <w:rPr>
        <w:position w:val="0"/>
        <w:u w:color="3D3935"/>
      </w:rPr>
    </w:lvl>
  </w:abstractNum>
  <w:abstractNum w:abstractNumId="30" w15:restartNumberingAfterBreak="0">
    <w:nsid w:val="29C0658F"/>
    <w:multiLevelType w:val="multilevel"/>
    <w:tmpl w:val="C5421030"/>
    <w:styleLink w:val="List58"/>
    <w:lvl w:ilvl="0">
      <w:numFmt w:val="bullet"/>
      <w:lvlText w:val="•"/>
      <w:lvlJc w:val="left"/>
      <w:rPr>
        <w:position w:val="0"/>
        <w:lang w:val="en-US"/>
      </w:rPr>
    </w:lvl>
    <w:lvl w:ilvl="1">
      <w:start w:val="1"/>
      <w:numFmt w:val="bullet"/>
      <w:lvlText w:val="o"/>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o"/>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o"/>
      <w:lvlJc w:val="left"/>
      <w:rPr>
        <w:position w:val="0"/>
        <w:lang w:val="en-US"/>
      </w:rPr>
    </w:lvl>
    <w:lvl w:ilvl="8">
      <w:start w:val="1"/>
      <w:numFmt w:val="bullet"/>
      <w:lvlText w:val="▪"/>
      <w:lvlJc w:val="left"/>
      <w:rPr>
        <w:position w:val="0"/>
        <w:lang w:val="en-US"/>
      </w:rPr>
    </w:lvl>
  </w:abstractNum>
  <w:abstractNum w:abstractNumId="31" w15:restartNumberingAfterBreak="0">
    <w:nsid w:val="2D35779A"/>
    <w:multiLevelType w:val="multilevel"/>
    <w:tmpl w:val="3EB86DA0"/>
    <w:styleLink w:val="List55"/>
    <w:lvl w:ilvl="0">
      <w:start w:val="1"/>
      <w:numFmt w:val="bullet"/>
      <w:lvlText w:val="•"/>
      <w:lvlJc w:val="left"/>
      <w:pPr>
        <w:tabs>
          <w:tab w:val="num" w:pos="720"/>
        </w:tabs>
        <w:ind w:left="720" w:hanging="360"/>
      </w:pPr>
      <w:rPr>
        <w:position w:val="0"/>
        <w:u w:color="414042"/>
      </w:rPr>
    </w:lvl>
    <w:lvl w:ilvl="1">
      <w:numFmt w:val="bullet"/>
      <w:lvlText w:val="−"/>
      <w:lvlJc w:val="left"/>
      <w:pPr>
        <w:tabs>
          <w:tab w:val="num" w:pos="1082"/>
        </w:tabs>
        <w:ind w:left="1082" w:hanging="515"/>
      </w:pPr>
      <w:rPr>
        <w:position w:val="0"/>
        <w:u w:color="414042"/>
      </w:rPr>
    </w:lvl>
    <w:lvl w:ilvl="2">
      <w:start w:val="1"/>
      <w:numFmt w:val="bullet"/>
      <w:lvlText w:val="–"/>
      <w:lvlJc w:val="left"/>
      <w:pPr>
        <w:tabs>
          <w:tab w:val="num" w:pos="2160"/>
        </w:tabs>
        <w:ind w:left="2160" w:hanging="360"/>
      </w:pPr>
      <w:rPr>
        <w:position w:val="0"/>
        <w:u w:color="414042"/>
      </w:rPr>
    </w:lvl>
    <w:lvl w:ilvl="3">
      <w:start w:val="1"/>
      <w:numFmt w:val="bullet"/>
      <w:lvlText w:val="•"/>
      <w:lvlJc w:val="left"/>
      <w:pPr>
        <w:tabs>
          <w:tab w:val="num" w:pos="2880"/>
        </w:tabs>
        <w:ind w:left="2880" w:hanging="360"/>
      </w:pPr>
      <w:rPr>
        <w:position w:val="0"/>
        <w:u w:color="414042"/>
      </w:rPr>
    </w:lvl>
    <w:lvl w:ilvl="4">
      <w:start w:val="1"/>
      <w:numFmt w:val="bullet"/>
      <w:lvlText w:val="o"/>
      <w:lvlJc w:val="left"/>
      <w:pPr>
        <w:tabs>
          <w:tab w:val="num" w:pos="3600"/>
        </w:tabs>
        <w:ind w:left="3600" w:hanging="360"/>
      </w:pPr>
      <w:rPr>
        <w:position w:val="0"/>
        <w:u w:color="414042"/>
      </w:rPr>
    </w:lvl>
    <w:lvl w:ilvl="5">
      <w:start w:val="1"/>
      <w:numFmt w:val="bullet"/>
      <w:lvlText w:val="▪"/>
      <w:lvlJc w:val="left"/>
      <w:pPr>
        <w:tabs>
          <w:tab w:val="num" w:pos="4320"/>
        </w:tabs>
        <w:ind w:left="4320" w:hanging="360"/>
      </w:pPr>
      <w:rPr>
        <w:position w:val="0"/>
        <w:u w:color="414042"/>
      </w:rPr>
    </w:lvl>
    <w:lvl w:ilvl="6">
      <w:start w:val="1"/>
      <w:numFmt w:val="bullet"/>
      <w:lvlText w:val="•"/>
      <w:lvlJc w:val="left"/>
      <w:pPr>
        <w:tabs>
          <w:tab w:val="num" w:pos="5040"/>
        </w:tabs>
        <w:ind w:left="5040" w:hanging="360"/>
      </w:pPr>
      <w:rPr>
        <w:position w:val="0"/>
        <w:u w:color="414042"/>
      </w:rPr>
    </w:lvl>
    <w:lvl w:ilvl="7">
      <w:start w:val="1"/>
      <w:numFmt w:val="bullet"/>
      <w:lvlText w:val="o"/>
      <w:lvlJc w:val="left"/>
      <w:pPr>
        <w:tabs>
          <w:tab w:val="num" w:pos="5760"/>
        </w:tabs>
        <w:ind w:left="5760" w:hanging="360"/>
      </w:pPr>
      <w:rPr>
        <w:position w:val="0"/>
        <w:u w:color="414042"/>
      </w:rPr>
    </w:lvl>
    <w:lvl w:ilvl="8">
      <w:start w:val="1"/>
      <w:numFmt w:val="bullet"/>
      <w:lvlText w:val="▪"/>
      <w:lvlJc w:val="left"/>
      <w:pPr>
        <w:tabs>
          <w:tab w:val="num" w:pos="6480"/>
        </w:tabs>
        <w:ind w:left="6480" w:hanging="360"/>
      </w:pPr>
      <w:rPr>
        <w:position w:val="0"/>
        <w:u w:color="414042"/>
      </w:rPr>
    </w:lvl>
  </w:abstractNum>
  <w:abstractNum w:abstractNumId="32" w15:restartNumberingAfterBreak="0">
    <w:nsid w:val="2EBF1941"/>
    <w:multiLevelType w:val="multilevel"/>
    <w:tmpl w:val="F7D42CC4"/>
    <w:styleLink w:val="List44"/>
    <w:lvl w:ilvl="0">
      <w:numFmt w:val="bullet"/>
      <w:lvlText w:val="−"/>
      <w:lvlJc w:val="left"/>
      <w:pPr>
        <w:tabs>
          <w:tab w:val="num" w:pos="1280"/>
        </w:tabs>
        <w:ind w:left="1280" w:hanging="567"/>
      </w:pPr>
      <w:rPr>
        <w:rFonts w:ascii="Arial" w:eastAsia="Arial" w:hAnsi="Arial" w:cs="Arial"/>
        <w:caps w:val="0"/>
        <w:smallCaps w:val="0"/>
        <w:strike w:val="0"/>
        <w:dstrike w:val="0"/>
        <w:outline w:val="0"/>
        <w:color w:val="000000"/>
        <w:spacing w:val="0"/>
        <w:kern w:val="0"/>
        <w:position w:val="0"/>
        <w:sz w:val="20"/>
        <w:szCs w:val="20"/>
        <w:u w:val="none" w:color="414042"/>
        <w:vertAlign w:val="baseline"/>
        <w:rtl w:val="0"/>
        <w:lang w:val="en-US"/>
      </w:rPr>
    </w:lvl>
    <w:lvl w:ilvl="1">
      <w:start w:val="1"/>
      <w:numFmt w:val="bullet"/>
      <w:lvlText w:val="o"/>
      <w:lvlJc w:val="left"/>
      <w:pPr>
        <w:tabs>
          <w:tab w:val="num" w:pos="1410"/>
        </w:tabs>
        <w:ind w:left="14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2">
      <w:start w:val="1"/>
      <w:numFmt w:val="bullet"/>
      <w:lvlText w:val="▪"/>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3">
      <w:start w:val="1"/>
      <w:numFmt w:val="bullet"/>
      <w:lvlText w:val="•"/>
      <w:lvlJc w:val="left"/>
      <w:pPr>
        <w:tabs>
          <w:tab w:val="num" w:pos="2850"/>
        </w:tabs>
        <w:ind w:left="28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4">
      <w:start w:val="1"/>
      <w:numFmt w:val="bullet"/>
      <w:lvlText w:val="o"/>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5">
      <w:start w:val="1"/>
      <w:numFmt w:val="bullet"/>
      <w:lvlText w:val="▪"/>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6">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7">
      <w:start w:val="1"/>
      <w:numFmt w:val="bullet"/>
      <w:lvlText w:val="o"/>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8">
      <w:start w:val="1"/>
      <w:numFmt w:val="bullet"/>
      <w:lvlText w:val="▪"/>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abstractNum>
  <w:abstractNum w:abstractNumId="33" w15:restartNumberingAfterBreak="0">
    <w:nsid w:val="2FE6554B"/>
    <w:multiLevelType w:val="multilevel"/>
    <w:tmpl w:val="B2D4E5B4"/>
    <w:styleLink w:val="List52"/>
    <w:lvl w:ilvl="0">
      <w:start w:val="1"/>
      <w:numFmt w:val="bullet"/>
      <w:lvlText w:val="•"/>
      <w:lvlJc w:val="left"/>
      <w:pPr>
        <w:tabs>
          <w:tab w:val="num" w:pos="690"/>
        </w:tabs>
        <w:ind w:left="6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1">
      <w:numFmt w:val="bullet"/>
      <w:lvlText w:val="•"/>
      <w:lvlJc w:val="left"/>
      <w:pPr>
        <w:tabs>
          <w:tab w:val="num" w:pos="714"/>
        </w:tabs>
        <w:ind w:left="714" w:hanging="357"/>
      </w:pPr>
      <w:rPr>
        <w:rFonts w:ascii="Arial" w:eastAsia="Arial" w:hAnsi="Arial" w:cs="Arial"/>
        <w:caps w:val="0"/>
        <w:smallCaps w:val="0"/>
        <w:strike w:val="0"/>
        <w:dstrike w:val="0"/>
        <w:outline w:val="0"/>
        <w:color w:val="000000"/>
        <w:spacing w:val="0"/>
        <w:kern w:val="0"/>
        <w:position w:val="0"/>
        <w:sz w:val="20"/>
        <w:szCs w:val="20"/>
        <w:u w:val="none" w:color="414042"/>
        <w:vertAlign w:val="baseline"/>
        <w:rtl w:val="0"/>
        <w:lang w:val="en-US"/>
      </w:rPr>
    </w:lvl>
    <w:lvl w:ilvl="2">
      <w:start w:val="1"/>
      <w:numFmt w:val="bullet"/>
      <w:lvlText w:val="▪"/>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3">
      <w:start w:val="1"/>
      <w:numFmt w:val="bullet"/>
      <w:lvlText w:val="•"/>
      <w:lvlJc w:val="left"/>
      <w:pPr>
        <w:tabs>
          <w:tab w:val="num" w:pos="2850"/>
        </w:tabs>
        <w:ind w:left="28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4">
      <w:start w:val="1"/>
      <w:numFmt w:val="bullet"/>
      <w:lvlText w:val="o"/>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5">
      <w:start w:val="1"/>
      <w:numFmt w:val="bullet"/>
      <w:lvlText w:val="▪"/>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6">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7">
      <w:start w:val="1"/>
      <w:numFmt w:val="bullet"/>
      <w:lvlText w:val="o"/>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8">
      <w:start w:val="1"/>
      <w:numFmt w:val="bullet"/>
      <w:lvlText w:val="▪"/>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abstractNum>
  <w:abstractNum w:abstractNumId="34" w15:restartNumberingAfterBreak="0">
    <w:nsid w:val="3150798F"/>
    <w:multiLevelType w:val="multilevel"/>
    <w:tmpl w:val="5F0497AA"/>
    <w:styleLink w:val="List37"/>
    <w:lvl w:ilvl="0">
      <w:numFmt w:val="bullet"/>
      <w:lvlText w:val="•"/>
      <w:lvlJc w:val="left"/>
      <w:pPr>
        <w:tabs>
          <w:tab w:val="num" w:pos="714"/>
        </w:tabs>
        <w:ind w:left="714" w:hanging="357"/>
      </w:pPr>
      <w:rPr>
        <w:rFonts w:ascii="Arial" w:eastAsia="Arial" w:hAnsi="Arial" w:cs="Arial"/>
        <w:caps w:val="0"/>
        <w:smallCaps w:val="0"/>
        <w:strike w:val="0"/>
        <w:dstrike w:val="0"/>
        <w:outline w:val="0"/>
        <w:color w:val="000000"/>
        <w:spacing w:val="0"/>
        <w:kern w:val="0"/>
        <w:position w:val="0"/>
        <w:sz w:val="20"/>
        <w:szCs w:val="20"/>
        <w:u w:val="none" w:color="414042"/>
        <w:vertAlign w:val="baseline"/>
        <w:rtl w:val="0"/>
        <w:lang w:val="en-US"/>
      </w:rPr>
    </w:lvl>
    <w:lvl w:ilvl="1">
      <w:start w:val="1"/>
      <w:numFmt w:val="bullet"/>
      <w:lvlText w:val="o"/>
      <w:lvlJc w:val="left"/>
      <w:pPr>
        <w:tabs>
          <w:tab w:val="num" w:pos="1410"/>
        </w:tabs>
        <w:ind w:left="14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2">
      <w:start w:val="1"/>
      <w:numFmt w:val="bullet"/>
      <w:lvlText w:val="▪"/>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3">
      <w:start w:val="1"/>
      <w:numFmt w:val="bullet"/>
      <w:lvlText w:val="•"/>
      <w:lvlJc w:val="left"/>
      <w:pPr>
        <w:tabs>
          <w:tab w:val="num" w:pos="2850"/>
        </w:tabs>
        <w:ind w:left="28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4">
      <w:start w:val="1"/>
      <w:numFmt w:val="bullet"/>
      <w:lvlText w:val="o"/>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5">
      <w:start w:val="1"/>
      <w:numFmt w:val="bullet"/>
      <w:lvlText w:val="▪"/>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6">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7">
      <w:start w:val="1"/>
      <w:numFmt w:val="bullet"/>
      <w:lvlText w:val="o"/>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8">
      <w:start w:val="1"/>
      <w:numFmt w:val="bullet"/>
      <w:lvlText w:val="▪"/>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abstractNum>
  <w:abstractNum w:abstractNumId="35" w15:restartNumberingAfterBreak="0">
    <w:nsid w:val="329257EE"/>
    <w:multiLevelType w:val="multilevel"/>
    <w:tmpl w:val="1B8AE170"/>
    <w:styleLink w:val="List63"/>
    <w:lvl w:ilvl="0">
      <w:start w:val="94"/>
      <w:numFmt w:val="decimal"/>
      <w:lvlText w:val="%1."/>
      <w:lvlJc w:val="left"/>
      <w:pPr>
        <w:tabs>
          <w:tab w:val="num" w:pos="605"/>
        </w:tabs>
        <w:ind w:left="605" w:hanging="605"/>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b/>
        <w:bCs/>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b/>
        <w:bCs/>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b/>
        <w:bCs/>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b/>
        <w:bCs/>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b/>
        <w:bCs/>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b/>
        <w:bCs/>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b/>
        <w:bCs/>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b/>
        <w:bCs/>
        <w:position w:val="0"/>
        <w:sz w:val="24"/>
        <w:szCs w:val="24"/>
      </w:rPr>
    </w:lvl>
  </w:abstractNum>
  <w:abstractNum w:abstractNumId="36" w15:restartNumberingAfterBreak="0">
    <w:nsid w:val="345323E6"/>
    <w:multiLevelType w:val="multilevel"/>
    <w:tmpl w:val="AA725D2C"/>
    <w:styleLink w:val="List42"/>
    <w:lvl w:ilvl="0">
      <w:numFmt w:val="bullet"/>
      <w:lvlText w:val="•"/>
      <w:lvlJc w:val="left"/>
      <w:pPr>
        <w:tabs>
          <w:tab w:val="num" w:pos="714"/>
        </w:tabs>
        <w:ind w:left="714" w:hanging="357"/>
      </w:pPr>
      <w:rPr>
        <w:rFonts w:ascii="Arial" w:eastAsia="Arial" w:hAnsi="Arial" w:cs="Arial"/>
        <w:caps w:val="0"/>
        <w:smallCaps w:val="0"/>
        <w:strike w:val="0"/>
        <w:dstrike w:val="0"/>
        <w:outline w:val="0"/>
        <w:color w:val="000000"/>
        <w:spacing w:val="0"/>
        <w:kern w:val="0"/>
        <w:position w:val="0"/>
        <w:sz w:val="20"/>
        <w:szCs w:val="20"/>
        <w:u w:val="none" w:color="414042"/>
        <w:vertAlign w:val="baseline"/>
        <w:rtl w:val="0"/>
        <w:lang w:val="en-US"/>
      </w:rPr>
    </w:lvl>
    <w:lvl w:ilvl="1">
      <w:start w:val="1"/>
      <w:numFmt w:val="bullet"/>
      <w:lvlText w:val="o"/>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2">
      <w:start w:val="1"/>
      <w:numFmt w:val="bullet"/>
      <w:lvlText w:val="▪"/>
      <w:lvlJc w:val="left"/>
      <w:pPr>
        <w:tabs>
          <w:tab w:val="num" w:pos="2850"/>
        </w:tabs>
        <w:ind w:left="28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3">
      <w:start w:val="1"/>
      <w:numFmt w:val="bullet"/>
      <w:lvlText w:val="•"/>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4">
      <w:start w:val="1"/>
      <w:numFmt w:val="bullet"/>
      <w:lvlText w:val="o"/>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5">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6">
      <w:start w:val="1"/>
      <w:numFmt w:val="bullet"/>
      <w:lvlText w:val="•"/>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7">
      <w:start w:val="1"/>
      <w:numFmt w:val="bullet"/>
      <w:lvlText w:val="o"/>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8">
      <w:start w:val="1"/>
      <w:numFmt w:val="bullet"/>
      <w:lvlText w:val="▪"/>
      <w:lvlJc w:val="left"/>
      <w:pPr>
        <w:tabs>
          <w:tab w:val="num" w:pos="7170"/>
        </w:tabs>
        <w:ind w:left="71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abstractNum>
  <w:abstractNum w:abstractNumId="37" w15:restartNumberingAfterBreak="0">
    <w:nsid w:val="34F265EF"/>
    <w:multiLevelType w:val="multilevel"/>
    <w:tmpl w:val="80C8FDC2"/>
    <w:styleLink w:val="List36"/>
    <w:lvl w:ilvl="0">
      <w:start w:val="25"/>
      <w:numFmt w:val="decimal"/>
      <w:lvlText w:val="%1."/>
      <w:lvlJc w:val="left"/>
      <w:pPr>
        <w:tabs>
          <w:tab w:val="num" w:pos="660"/>
        </w:tabs>
        <w:ind w:left="660" w:hanging="660"/>
      </w:pPr>
      <w:rPr>
        <w:rFonts w:ascii="Times New Roman" w:eastAsia="Times New Roman" w:hAnsi="Times New Roman" w:cs="Times New Roman"/>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position w:val="0"/>
        <w:sz w:val="24"/>
        <w:szCs w:val="24"/>
      </w:rPr>
    </w:lvl>
  </w:abstractNum>
  <w:abstractNum w:abstractNumId="38" w15:restartNumberingAfterBreak="0">
    <w:nsid w:val="37AE40E9"/>
    <w:multiLevelType w:val="multilevel"/>
    <w:tmpl w:val="D840D1FA"/>
    <w:styleLink w:val="List46"/>
    <w:lvl w:ilvl="0">
      <w:start w:val="1"/>
      <w:numFmt w:val="bullet"/>
      <w:lvlText w:val="•"/>
      <w:lvlJc w:val="left"/>
      <w:pPr>
        <w:tabs>
          <w:tab w:val="num" w:pos="690"/>
        </w:tabs>
        <w:ind w:left="6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1">
      <w:numFmt w:val="bullet"/>
      <w:lvlText w:val="•"/>
      <w:lvlJc w:val="left"/>
      <w:pPr>
        <w:tabs>
          <w:tab w:val="num" w:pos="714"/>
        </w:tabs>
        <w:ind w:left="714" w:hanging="357"/>
      </w:pPr>
      <w:rPr>
        <w:rFonts w:ascii="Arial" w:eastAsia="Arial" w:hAnsi="Arial" w:cs="Arial"/>
        <w:caps w:val="0"/>
        <w:smallCaps w:val="0"/>
        <w:strike w:val="0"/>
        <w:dstrike w:val="0"/>
        <w:outline w:val="0"/>
        <w:color w:val="000000"/>
        <w:spacing w:val="0"/>
        <w:kern w:val="0"/>
        <w:position w:val="0"/>
        <w:sz w:val="20"/>
        <w:szCs w:val="20"/>
        <w:u w:val="none" w:color="414042"/>
        <w:vertAlign w:val="baseline"/>
        <w:rtl w:val="0"/>
        <w:lang w:val="en-US"/>
      </w:rPr>
    </w:lvl>
    <w:lvl w:ilvl="2">
      <w:start w:val="1"/>
      <w:numFmt w:val="bullet"/>
      <w:lvlText w:val="▪"/>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3">
      <w:start w:val="1"/>
      <w:numFmt w:val="bullet"/>
      <w:lvlText w:val="•"/>
      <w:lvlJc w:val="left"/>
      <w:pPr>
        <w:tabs>
          <w:tab w:val="num" w:pos="2850"/>
        </w:tabs>
        <w:ind w:left="28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4">
      <w:start w:val="1"/>
      <w:numFmt w:val="bullet"/>
      <w:lvlText w:val="o"/>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5">
      <w:start w:val="1"/>
      <w:numFmt w:val="bullet"/>
      <w:lvlText w:val="▪"/>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6">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7">
      <w:start w:val="1"/>
      <w:numFmt w:val="bullet"/>
      <w:lvlText w:val="o"/>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8">
      <w:start w:val="1"/>
      <w:numFmt w:val="bullet"/>
      <w:lvlText w:val="▪"/>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abstractNum>
  <w:abstractNum w:abstractNumId="39" w15:restartNumberingAfterBreak="0">
    <w:nsid w:val="3A1A32DB"/>
    <w:multiLevelType w:val="hybridMultilevel"/>
    <w:tmpl w:val="C39CBB84"/>
    <w:lvl w:ilvl="0" w:tplc="BE102352">
      <w:start w:val="1"/>
      <w:numFmt w:val="bullet"/>
      <w:lvlText w:val=""/>
      <w:lvlJc w:val="left"/>
      <w:pPr>
        <w:ind w:left="720" w:hanging="360"/>
      </w:pPr>
      <w:rPr>
        <w:rFonts w:ascii="Symbol" w:hAnsi="Symbol" w:hint="default"/>
        <w:sz w:val="32"/>
        <w:szCs w:val="3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AA87709"/>
    <w:multiLevelType w:val="multilevel"/>
    <w:tmpl w:val="A936F48A"/>
    <w:styleLink w:val="List16"/>
    <w:lvl w:ilvl="0">
      <w:numFmt w:val="bullet"/>
      <w:lvlText w:val="•"/>
      <w:lvlJc w:val="left"/>
      <w:pPr>
        <w:tabs>
          <w:tab w:val="num" w:pos="690"/>
        </w:tabs>
        <w:ind w:left="690" w:hanging="330"/>
      </w:pPr>
      <w:rPr>
        <w:rFonts w:ascii="Times New Roman" w:eastAsia="Times New Roman" w:hAnsi="Times New Roman" w:cs="Times New Roman"/>
        <w:position w:val="0"/>
        <w:sz w:val="24"/>
        <w:szCs w:val="24"/>
      </w:rPr>
    </w:lvl>
    <w:lvl w:ilvl="1">
      <w:start w:val="1"/>
      <w:numFmt w:val="bullet"/>
      <w:lvlText w:val="o"/>
      <w:lvlJc w:val="left"/>
      <w:pPr>
        <w:tabs>
          <w:tab w:val="num" w:pos="116"/>
        </w:tabs>
      </w:pPr>
      <w:rPr>
        <w:rFonts w:ascii="Times New Roman" w:eastAsia="Times New Roman" w:hAnsi="Times New Roman" w:cs="Times New Roman"/>
        <w:position w:val="0"/>
        <w:sz w:val="24"/>
        <w:szCs w:val="24"/>
      </w:rPr>
    </w:lvl>
    <w:lvl w:ilvl="2">
      <w:start w:val="1"/>
      <w:numFmt w:val="bullet"/>
      <w:lvlText w:val="▪"/>
      <w:lvlJc w:val="left"/>
      <w:pPr>
        <w:tabs>
          <w:tab w:val="num" w:pos="116"/>
        </w:tabs>
      </w:pPr>
      <w:rPr>
        <w:rFonts w:ascii="Times New Roman" w:eastAsia="Times New Roman" w:hAnsi="Times New Roman" w:cs="Times New Roman"/>
        <w:position w:val="0"/>
        <w:sz w:val="24"/>
        <w:szCs w:val="24"/>
      </w:rPr>
    </w:lvl>
    <w:lvl w:ilvl="3">
      <w:start w:val="1"/>
      <w:numFmt w:val="bullet"/>
      <w:lvlText w:val="•"/>
      <w:lvlJc w:val="left"/>
      <w:pPr>
        <w:tabs>
          <w:tab w:val="num" w:pos="116"/>
        </w:tabs>
      </w:pPr>
      <w:rPr>
        <w:rFonts w:ascii="Times New Roman" w:eastAsia="Times New Roman" w:hAnsi="Times New Roman" w:cs="Times New Roman"/>
        <w:position w:val="0"/>
        <w:sz w:val="24"/>
        <w:szCs w:val="24"/>
      </w:rPr>
    </w:lvl>
    <w:lvl w:ilvl="4">
      <w:start w:val="1"/>
      <w:numFmt w:val="bullet"/>
      <w:lvlText w:val="o"/>
      <w:lvlJc w:val="left"/>
      <w:pPr>
        <w:tabs>
          <w:tab w:val="num" w:pos="116"/>
        </w:tabs>
      </w:pPr>
      <w:rPr>
        <w:rFonts w:ascii="Times New Roman" w:eastAsia="Times New Roman" w:hAnsi="Times New Roman" w:cs="Times New Roman"/>
        <w:position w:val="0"/>
        <w:sz w:val="24"/>
        <w:szCs w:val="24"/>
      </w:rPr>
    </w:lvl>
    <w:lvl w:ilvl="5">
      <w:start w:val="1"/>
      <w:numFmt w:val="bullet"/>
      <w:lvlText w:val="▪"/>
      <w:lvlJc w:val="left"/>
      <w:pPr>
        <w:tabs>
          <w:tab w:val="num" w:pos="116"/>
        </w:tabs>
      </w:pPr>
      <w:rPr>
        <w:rFonts w:ascii="Times New Roman" w:eastAsia="Times New Roman" w:hAnsi="Times New Roman" w:cs="Times New Roman"/>
        <w:position w:val="0"/>
        <w:sz w:val="24"/>
        <w:szCs w:val="24"/>
      </w:rPr>
    </w:lvl>
    <w:lvl w:ilvl="6">
      <w:start w:val="1"/>
      <w:numFmt w:val="bullet"/>
      <w:lvlText w:val="•"/>
      <w:lvlJc w:val="left"/>
      <w:pPr>
        <w:tabs>
          <w:tab w:val="num" w:pos="116"/>
        </w:tabs>
      </w:pPr>
      <w:rPr>
        <w:rFonts w:ascii="Times New Roman" w:eastAsia="Times New Roman" w:hAnsi="Times New Roman" w:cs="Times New Roman"/>
        <w:position w:val="0"/>
        <w:sz w:val="24"/>
        <w:szCs w:val="24"/>
      </w:rPr>
    </w:lvl>
    <w:lvl w:ilvl="7">
      <w:start w:val="1"/>
      <w:numFmt w:val="bullet"/>
      <w:lvlText w:val="o"/>
      <w:lvlJc w:val="left"/>
      <w:pPr>
        <w:tabs>
          <w:tab w:val="num" w:pos="116"/>
        </w:tabs>
      </w:pPr>
      <w:rPr>
        <w:rFonts w:ascii="Times New Roman" w:eastAsia="Times New Roman" w:hAnsi="Times New Roman" w:cs="Times New Roman"/>
        <w:position w:val="0"/>
        <w:sz w:val="24"/>
        <w:szCs w:val="24"/>
      </w:rPr>
    </w:lvl>
    <w:lvl w:ilvl="8">
      <w:start w:val="1"/>
      <w:numFmt w:val="bullet"/>
      <w:lvlText w:val="▪"/>
      <w:lvlJc w:val="left"/>
      <w:pPr>
        <w:tabs>
          <w:tab w:val="num" w:pos="116"/>
        </w:tabs>
      </w:pPr>
      <w:rPr>
        <w:rFonts w:ascii="Times New Roman" w:eastAsia="Times New Roman" w:hAnsi="Times New Roman" w:cs="Times New Roman"/>
        <w:position w:val="0"/>
        <w:sz w:val="24"/>
        <w:szCs w:val="24"/>
      </w:rPr>
    </w:lvl>
  </w:abstractNum>
  <w:abstractNum w:abstractNumId="41" w15:restartNumberingAfterBreak="0">
    <w:nsid w:val="3EF27A55"/>
    <w:multiLevelType w:val="multilevel"/>
    <w:tmpl w:val="EB047C20"/>
    <w:styleLink w:val="List21"/>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42" w15:restartNumberingAfterBreak="0">
    <w:nsid w:val="3F9B6E31"/>
    <w:multiLevelType w:val="multilevel"/>
    <w:tmpl w:val="54CEED1A"/>
    <w:styleLink w:val="List12"/>
    <w:lvl w:ilvl="0">
      <w:start w:val="8"/>
      <w:numFmt w:val="decimal"/>
      <w:lvlText w:val="%1."/>
      <w:lvlJc w:val="left"/>
      <w:pPr>
        <w:tabs>
          <w:tab w:val="num" w:pos="605"/>
        </w:tabs>
        <w:ind w:left="605" w:hanging="605"/>
      </w:pPr>
      <w:rPr>
        <w:rFonts w:ascii="Times New Roman" w:eastAsia="Times New Roman" w:hAnsi="Times New Roman" w:cs="Times New Roman"/>
        <w:position w:val="0"/>
        <w:sz w:val="24"/>
        <w:szCs w:val="24"/>
      </w:rPr>
    </w:lvl>
    <w:lvl w:ilvl="1">
      <w:start w:val="1"/>
      <w:numFmt w:val="lowerLetter"/>
      <w:lvlText w:val="%2."/>
      <w:lvlJc w:val="left"/>
      <w:pPr>
        <w:tabs>
          <w:tab w:val="num" w:pos="116"/>
        </w:tabs>
      </w:pPr>
      <w:rPr>
        <w:rFonts w:ascii="Times New Roman" w:eastAsia="Times New Roman" w:hAnsi="Times New Roman" w:cs="Times New Roman"/>
        <w:position w:val="0"/>
        <w:sz w:val="24"/>
        <w:szCs w:val="24"/>
      </w:rPr>
    </w:lvl>
    <w:lvl w:ilvl="2">
      <w:start w:val="1"/>
      <w:numFmt w:val="bullet"/>
      <w:lvlText w:val="-"/>
      <w:lvlJc w:val="left"/>
      <w:pPr>
        <w:tabs>
          <w:tab w:val="num" w:pos="116"/>
        </w:tabs>
      </w:pPr>
      <w:rPr>
        <w:rFonts w:ascii="Times New Roman" w:eastAsia="Times New Roman" w:hAnsi="Times New Roman" w:cs="Times New Roman"/>
        <w:position w:val="0"/>
        <w:sz w:val="24"/>
        <w:szCs w:val="24"/>
      </w:rPr>
    </w:lvl>
    <w:lvl w:ilvl="3">
      <w:start w:val="1"/>
      <w:numFmt w:val="decimal"/>
      <w:lvlText w:val="%4."/>
      <w:lvlJc w:val="left"/>
      <w:pPr>
        <w:tabs>
          <w:tab w:val="num" w:pos="116"/>
        </w:tabs>
      </w:pPr>
      <w:rPr>
        <w:rFonts w:ascii="Times New Roman" w:eastAsia="Times New Roman" w:hAnsi="Times New Roman" w:cs="Times New Roman"/>
        <w:position w:val="0"/>
        <w:sz w:val="24"/>
        <w:szCs w:val="24"/>
      </w:rPr>
    </w:lvl>
    <w:lvl w:ilvl="4">
      <w:start w:val="1"/>
      <w:numFmt w:val="lowerLetter"/>
      <w:lvlText w:val="%5."/>
      <w:lvlJc w:val="left"/>
      <w:pPr>
        <w:tabs>
          <w:tab w:val="num" w:pos="116"/>
        </w:tabs>
      </w:pPr>
      <w:rPr>
        <w:rFonts w:ascii="Times New Roman" w:eastAsia="Times New Roman" w:hAnsi="Times New Roman" w:cs="Times New Roman"/>
        <w:position w:val="0"/>
        <w:sz w:val="24"/>
        <w:szCs w:val="24"/>
      </w:rPr>
    </w:lvl>
    <w:lvl w:ilvl="5">
      <w:start w:val="1"/>
      <w:numFmt w:val="lowerRoman"/>
      <w:lvlText w:val="%6."/>
      <w:lvlJc w:val="left"/>
      <w:pPr>
        <w:tabs>
          <w:tab w:val="num" w:pos="116"/>
        </w:tabs>
      </w:pPr>
      <w:rPr>
        <w:rFonts w:ascii="Times New Roman" w:eastAsia="Times New Roman" w:hAnsi="Times New Roman" w:cs="Times New Roman"/>
        <w:position w:val="0"/>
        <w:sz w:val="24"/>
        <w:szCs w:val="24"/>
      </w:rPr>
    </w:lvl>
    <w:lvl w:ilvl="6">
      <w:start w:val="1"/>
      <w:numFmt w:val="decimal"/>
      <w:lvlText w:val="%7."/>
      <w:lvlJc w:val="left"/>
      <w:pPr>
        <w:tabs>
          <w:tab w:val="num" w:pos="116"/>
        </w:tabs>
      </w:pPr>
      <w:rPr>
        <w:rFonts w:ascii="Times New Roman" w:eastAsia="Times New Roman" w:hAnsi="Times New Roman" w:cs="Times New Roman"/>
        <w:position w:val="0"/>
        <w:sz w:val="24"/>
        <w:szCs w:val="24"/>
      </w:rPr>
    </w:lvl>
    <w:lvl w:ilvl="7">
      <w:start w:val="1"/>
      <w:numFmt w:val="lowerLetter"/>
      <w:lvlText w:val="%8."/>
      <w:lvlJc w:val="left"/>
      <w:pPr>
        <w:tabs>
          <w:tab w:val="num" w:pos="116"/>
        </w:tabs>
      </w:pPr>
      <w:rPr>
        <w:rFonts w:ascii="Times New Roman" w:eastAsia="Times New Roman" w:hAnsi="Times New Roman" w:cs="Times New Roman"/>
        <w:position w:val="0"/>
        <w:sz w:val="24"/>
        <w:szCs w:val="24"/>
      </w:rPr>
    </w:lvl>
    <w:lvl w:ilvl="8">
      <w:start w:val="1"/>
      <w:numFmt w:val="lowerRoman"/>
      <w:lvlText w:val="%9."/>
      <w:lvlJc w:val="left"/>
      <w:pPr>
        <w:tabs>
          <w:tab w:val="num" w:pos="116"/>
        </w:tabs>
      </w:pPr>
      <w:rPr>
        <w:rFonts w:ascii="Times New Roman" w:eastAsia="Times New Roman" w:hAnsi="Times New Roman" w:cs="Times New Roman"/>
        <w:position w:val="0"/>
        <w:sz w:val="24"/>
        <w:szCs w:val="24"/>
      </w:rPr>
    </w:lvl>
  </w:abstractNum>
  <w:abstractNum w:abstractNumId="43" w15:restartNumberingAfterBreak="0">
    <w:nsid w:val="3FAC768C"/>
    <w:multiLevelType w:val="multilevel"/>
    <w:tmpl w:val="59C6544A"/>
    <w:styleLink w:val="List22"/>
    <w:lvl w:ilvl="0">
      <w:numFmt w:val="bullet"/>
      <w:lvlText w:val="•"/>
      <w:lvlJc w:val="left"/>
      <w:rPr>
        <w:position w:val="0"/>
        <w:u w:color="3D3935"/>
      </w:rPr>
    </w:lvl>
    <w:lvl w:ilvl="1">
      <w:start w:val="1"/>
      <w:numFmt w:val="bullet"/>
      <w:lvlText w:val="–"/>
      <w:lvlJc w:val="left"/>
      <w:rPr>
        <w:position w:val="0"/>
        <w:u w:color="3D3935"/>
      </w:rPr>
    </w:lvl>
    <w:lvl w:ilvl="2">
      <w:start w:val="1"/>
      <w:numFmt w:val="bullet"/>
      <w:lvlText w:val="•"/>
      <w:lvlJc w:val="left"/>
      <w:rPr>
        <w:position w:val="0"/>
        <w:u w:color="3D3935"/>
      </w:rPr>
    </w:lvl>
    <w:lvl w:ilvl="3">
      <w:start w:val="1"/>
      <w:numFmt w:val="bullet"/>
      <w:lvlText w:val="•"/>
      <w:lvlJc w:val="left"/>
      <w:rPr>
        <w:position w:val="0"/>
        <w:u w:color="3D3935"/>
      </w:rPr>
    </w:lvl>
    <w:lvl w:ilvl="4">
      <w:start w:val="1"/>
      <w:numFmt w:val="bullet"/>
      <w:lvlText w:val="•"/>
      <w:lvlJc w:val="left"/>
      <w:rPr>
        <w:position w:val="0"/>
        <w:u w:color="3D3935"/>
      </w:rPr>
    </w:lvl>
    <w:lvl w:ilvl="5">
      <w:start w:val="1"/>
      <w:numFmt w:val="bullet"/>
      <w:lvlText w:val="•"/>
      <w:lvlJc w:val="left"/>
      <w:rPr>
        <w:position w:val="0"/>
        <w:u w:color="3D3935"/>
      </w:rPr>
    </w:lvl>
    <w:lvl w:ilvl="6">
      <w:start w:val="1"/>
      <w:numFmt w:val="bullet"/>
      <w:lvlText w:val="•"/>
      <w:lvlJc w:val="left"/>
      <w:rPr>
        <w:position w:val="0"/>
        <w:u w:color="3D3935"/>
      </w:rPr>
    </w:lvl>
    <w:lvl w:ilvl="7">
      <w:start w:val="1"/>
      <w:numFmt w:val="bullet"/>
      <w:lvlText w:val="•"/>
      <w:lvlJc w:val="left"/>
      <w:rPr>
        <w:position w:val="0"/>
        <w:u w:color="3D3935"/>
      </w:rPr>
    </w:lvl>
    <w:lvl w:ilvl="8">
      <w:start w:val="1"/>
      <w:numFmt w:val="bullet"/>
      <w:lvlText w:val="•"/>
      <w:lvlJc w:val="left"/>
      <w:rPr>
        <w:position w:val="0"/>
        <w:u w:color="3D3935"/>
      </w:rPr>
    </w:lvl>
  </w:abstractNum>
  <w:abstractNum w:abstractNumId="44" w15:restartNumberingAfterBreak="0">
    <w:nsid w:val="3FE616B7"/>
    <w:multiLevelType w:val="multilevel"/>
    <w:tmpl w:val="4D960200"/>
    <w:lvl w:ilvl="0">
      <w:start w:val="1"/>
      <w:numFmt w:val="bullet"/>
      <w:pStyle w:val="Dotpointstyle"/>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45" w15:restartNumberingAfterBreak="0">
    <w:nsid w:val="41F64096"/>
    <w:multiLevelType w:val="multilevel"/>
    <w:tmpl w:val="095C7F6E"/>
    <w:styleLink w:val="List31"/>
    <w:lvl w:ilvl="0">
      <w:numFmt w:val="bullet"/>
      <w:lvlText w:val="•"/>
      <w:lvlJc w:val="left"/>
      <w:rPr>
        <w:b/>
        <w:bCs/>
        <w:position w:val="0"/>
        <w:u w:color="3D3935"/>
      </w:rPr>
    </w:lvl>
    <w:lvl w:ilvl="1">
      <w:start w:val="1"/>
      <w:numFmt w:val="bullet"/>
      <w:lvlText w:val="–"/>
      <w:lvlJc w:val="left"/>
      <w:rPr>
        <w:b/>
        <w:bCs/>
        <w:position w:val="0"/>
        <w:u w:color="3D3935"/>
      </w:rPr>
    </w:lvl>
    <w:lvl w:ilvl="2">
      <w:start w:val="1"/>
      <w:numFmt w:val="bullet"/>
      <w:lvlText w:val="•"/>
      <w:lvlJc w:val="left"/>
      <w:rPr>
        <w:b/>
        <w:bCs/>
        <w:position w:val="0"/>
        <w:u w:color="3D3935"/>
      </w:rPr>
    </w:lvl>
    <w:lvl w:ilvl="3">
      <w:start w:val="1"/>
      <w:numFmt w:val="bullet"/>
      <w:lvlText w:val="•"/>
      <w:lvlJc w:val="left"/>
      <w:rPr>
        <w:b/>
        <w:bCs/>
        <w:position w:val="0"/>
        <w:u w:color="3D3935"/>
      </w:rPr>
    </w:lvl>
    <w:lvl w:ilvl="4">
      <w:start w:val="1"/>
      <w:numFmt w:val="bullet"/>
      <w:lvlText w:val="•"/>
      <w:lvlJc w:val="left"/>
      <w:rPr>
        <w:b/>
        <w:bCs/>
        <w:position w:val="0"/>
        <w:u w:color="3D3935"/>
      </w:rPr>
    </w:lvl>
    <w:lvl w:ilvl="5">
      <w:start w:val="1"/>
      <w:numFmt w:val="bullet"/>
      <w:lvlText w:val="•"/>
      <w:lvlJc w:val="left"/>
      <w:rPr>
        <w:b/>
        <w:bCs/>
        <w:position w:val="0"/>
        <w:u w:color="3D3935"/>
      </w:rPr>
    </w:lvl>
    <w:lvl w:ilvl="6">
      <w:start w:val="1"/>
      <w:numFmt w:val="bullet"/>
      <w:lvlText w:val="•"/>
      <w:lvlJc w:val="left"/>
      <w:rPr>
        <w:b/>
        <w:bCs/>
        <w:position w:val="0"/>
        <w:u w:color="3D3935"/>
      </w:rPr>
    </w:lvl>
    <w:lvl w:ilvl="7">
      <w:start w:val="1"/>
      <w:numFmt w:val="bullet"/>
      <w:lvlText w:val="•"/>
      <w:lvlJc w:val="left"/>
      <w:rPr>
        <w:b/>
        <w:bCs/>
        <w:position w:val="0"/>
        <w:u w:color="3D3935"/>
      </w:rPr>
    </w:lvl>
    <w:lvl w:ilvl="8">
      <w:start w:val="1"/>
      <w:numFmt w:val="bullet"/>
      <w:lvlText w:val="•"/>
      <w:lvlJc w:val="left"/>
      <w:rPr>
        <w:b/>
        <w:bCs/>
        <w:position w:val="0"/>
        <w:u w:color="3D3935"/>
      </w:rPr>
    </w:lvl>
  </w:abstractNum>
  <w:abstractNum w:abstractNumId="46" w15:restartNumberingAfterBreak="0">
    <w:nsid w:val="463E7BDE"/>
    <w:multiLevelType w:val="multilevel"/>
    <w:tmpl w:val="BDC6F2C2"/>
    <w:styleLink w:val="List8"/>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47" w15:restartNumberingAfterBreak="0">
    <w:nsid w:val="464D438E"/>
    <w:multiLevelType w:val="multilevel"/>
    <w:tmpl w:val="ADFC5152"/>
    <w:styleLink w:val="List34"/>
    <w:lvl w:ilvl="0">
      <w:start w:val="12"/>
      <w:numFmt w:val="decimal"/>
      <w:lvlText w:val="%1."/>
      <w:lvlJc w:val="left"/>
      <w:pPr>
        <w:tabs>
          <w:tab w:val="num" w:pos="605"/>
        </w:tabs>
        <w:ind w:left="605" w:hanging="605"/>
      </w:pPr>
      <w:rPr>
        <w:rFonts w:ascii="Times New Roman" w:eastAsia="Times New Roman" w:hAnsi="Times New Roman" w:cs="Times New Roman"/>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position w:val="0"/>
        <w:sz w:val="24"/>
        <w:szCs w:val="24"/>
      </w:rPr>
    </w:lvl>
  </w:abstractNum>
  <w:abstractNum w:abstractNumId="48" w15:restartNumberingAfterBreak="0">
    <w:nsid w:val="49FF73C6"/>
    <w:multiLevelType w:val="multilevel"/>
    <w:tmpl w:val="6F8CE1A8"/>
    <w:styleLink w:val="List33"/>
    <w:lvl w:ilvl="0">
      <w:numFmt w:val="bullet"/>
      <w:lvlText w:val="•"/>
      <w:lvlJc w:val="left"/>
      <w:pPr>
        <w:tabs>
          <w:tab w:val="num" w:pos="690"/>
        </w:tabs>
        <w:ind w:left="690" w:hanging="330"/>
      </w:pPr>
      <w:rPr>
        <w:rFonts w:ascii="Times New Roman" w:eastAsia="Times New Roman" w:hAnsi="Times New Roman" w:cs="Times New Roman"/>
        <w:position w:val="0"/>
        <w:sz w:val="24"/>
        <w:szCs w:val="24"/>
      </w:rPr>
    </w:lvl>
    <w:lvl w:ilvl="1">
      <w:start w:val="1"/>
      <w:numFmt w:val="bullet"/>
      <w:lvlText w:val="o"/>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160"/>
        </w:tabs>
        <w:ind w:left="2160" w:hanging="360"/>
      </w:pPr>
      <w:rPr>
        <w:rFonts w:ascii="Times New Roman" w:eastAsia="Times New Roman" w:hAnsi="Times New Roman" w:cs="Times New Roman"/>
        <w:position w:val="0"/>
        <w:sz w:val="24"/>
        <w:szCs w:val="24"/>
      </w:rPr>
    </w:lvl>
    <w:lvl w:ilvl="3">
      <w:start w:val="1"/>
      <w:numFmt w:val="bullet"/>
      <w:lvlText w:val="•"/>
      <w:lvlJc w:val="left"/>
      <w:pPr>
        <w:tabs>
          <w:tab w:val="num" w:pos="2880"/>
        </w:tabs>
        <w:ind w:left="2880" w:hanging="360"/>
      </w:pPr>
      <w:rPr>
        <w:rFonts w:ascii="Times New Roman" w:eastAsia="Times New Roman" w:hAnsi="Times New Roman" w:cs="Times New Roman"/>
        <w:position w:val="0"/>
        <w:sz w:val="24"/>
        <w:szCs w:val="24"/>
      </w:rPr>
    </w:lvl>
    <w:lvl w:ilvl="4">
      <w:start w:val="1"/>
      <w:numFmt w:val="bullet"/>
      <w:lvlText w:val="o"/>
      <w:lvlJc w:val="left"/>
      <w:pPr>
        <w:tabs>
          <w:tab w:val="num" w:pos="3600"/>
        </w:tabs>
        <w:ind w:left="3600" w:hanging="360"/>
      </w:pPr>
      <w:rPr>
        <w:rFonts w:ascii="Times New Roman" w:eastAsia="Times New Roman" w:hAnsi="Times New Roman" w:cs="Times New Roman"/>
        <w:position w:val="0"/>
        <w:sz w:val="24"/>
        <w:szCs w:val="24"/>
      </w:rPr>
    </w:lvl>
    <w:lvl w:ilvl="5">
      <w:start w:val="1"/>
      <w:numFmt w:val="bullet"/>
      <w:lvlText w:val="▪"/>
      <w:lvlJc w:val="left"/>
      <w:pPr>
        <w:tabs>
          <w:tab w:val="num" w:pos="4320"/>
        </w:tabs>
        <w:ind w:left="4320" w:hanging="360"/>
      </w:pPr>
      <w:rPr>
        <w:rFonts w:ascii="Times New Roman" w:eastAsia="Times New Roman" w:hAnsi="Times New Roman" w:cs="Times New Roman"/>
        <w:position w:val="0"/>
        <w:sz w:val="24"/>
        <w:szCs w:val="24"/>
      </w:rPr>
    </w:lvl>
    <w:lvl w:ilvl="6">
      <w:start w:val="1"/>
      <w:numFmt w:val="bullet"/>
      <w:lvlText w:val="•"/>
      <w:lvlJc w:val="left"/>
      <w:pPr>
        <w:tabs>
          <w:tab w:val="num" w:pos="5040"/>
        </w:tabs>
        <w:ind w:left="5040" w:hanging="360"/>
      </w:pPr>
      <w:rPr>
        <w:rFonts w:ascii="Times New Roman" w:eastAsia="Times New Roman" w:hAnsi="Times New Roman" w:cs="Times New Roman"/>
        <w:position w:val="0"/>
        <w:sz w:val="24"/>
        <w:szCs w:val="24"/>
      </w:rPr>
    </w:lvl>
    <w:lvl w:ilvl="7">
      <w:start w:val="1"/>
      <w:numFmt w:val="bullet"/>
      <w:lvlText w:val="o"/>
      <w:lvlJc w:val="left"/>
      <w:pPr>
        <w:tabs>
          <w:tab w:val="num" w:pos="5760"/>
        </w:tabs>
        <w:ind w:left="5760" w:hanging="360"/>
      </w:pPr>
      <w:rPr>
        <w:rFonts w:ascii="Times New Roman" w:eastAsia="Times New Roman" w:hAnsi="Times New Roman" w:cs="Times New Roman"/>
        <w:position w:val="0"/>
        <w:sz w:val="24"/>
        <w:szCs w:val="24"/>
      </w:rPr>
    </w:lvl>
    <w:lvl w:ilvl="8">
      <w:start w:val="1"/>
      <w:numFmt w:val="bullet"/>
      <w:lvlText w:val="▪"/>
      <w:lvlJc w:val="left"/>
      <w:pPr>
        <w:tabs>
          <w:tab w:val="num" w:pos="6480"/>
        </w:tabs>
        <w:ind w:left="6480" w:hanging="360"/>
      </w:pPr>
      <w:rPr>
        <w:rFonts w:ascii="Times New Roman" w:eastAsia="Times New Roman" w:hAnsi="Times New Roman" w:cs="Times New Roman"/>
        <w:position w:val="0"/>
        <w:sz w:val="24"/>
        <w:szCs w:val="24"/>
      </w:rPr>
    </w:lvl>
  </w:abstractNum>
  <w:abstractNum w:abstractNumId="49" w15:restartNumberingAfterBreak="0">
    <w:nsid w:val="4BAA7292"/>
    <w:multiLevelType w:val="multilevel"/>
    <w:tmpl w:val="41163D62"/>
    <w:styleLink w:val="List26"/>
    <w:lvl w:ilvl="0">
      <w:numFmt w:val="bullet"/>
      <w:lvlText w:val="•"/>
      <w:lvlJc w:val="left"/>
      <w:rPr>
        <w:position w:val="0"/>
        <w:u w:color="3D3935"/>
      </w:rPr>
    </w:lvl>
    <w:lvl w:ilvl="1">
      <w:start w:val="1"/>
      <w:numFmt w:val="bullet"/>
      <w:lvlText w:val="•"/>
      <w:lvlJc w:val="left"/>
      <w:rPr>
        <w:position w:val="0"/>
        <w:u w:color="3D3935"/>
      </w:rPr>
    </w:lvl>
    <w:lvl w:ilvl="2">
      <w:start w:val="1"/>
      <w:numFmt w:val="bullet"/>
      <w:lvlText w:val="•"/>
      <w:lvlJc w:val="left"/>
      <w:rPr>
        <w:position w:val="0"/>
        <w:u w:color="3D3935"/>
      </w:rPr>
    </w:lvl>
    <w:lvl w:ilvl="3">
      <w:start w:val="1"/>
      <w:numFmt w:val="bullet"/>
      <w:lvlText w:val="•"/>
      <w:lvlJc w:val="left"/>
      <w:rPr>
        <w:position w:val="0"/>
        <w:u w:color="3D3935"/>
      </w:rPr>
    </w:lvl>
    <w:lvl w:ilvl="4">
      <w:start w:val="1"/>
      <w:numFmt w:val="bullet"/>
      <w:lvlText w:val="•"/>
      <w:lvlJc w:val="left"/>
      <w:rPr>
        <w:position w:val="0"/>
        <w:u w:color="3D3935"/>
      </w:rPr>
    </w:lvl>
    <w:lvl w:ilvl="5">
      <w:start w:val="1"/>
      <w:numFmt w:val="bullet"/>
      <w:lvlText w:val="•"/>
      <w:lvlJc w:val="left"/>
      <w:rPr>
        <w:position w:val="0"/>
        <w:u w:color="3D3935"/>
      </w:rPr>
    </w:lvl>
    <w:lvl w:ilvl="6">
      <w:start w:val="1"/>
      <w:numFmt w:val="bullet"/>
      <w:lvlText w:val="•"/>
      <w:lvlJc w:val="left"/>
      <w:rPr>
        <w:position w:val="0"/>
        <w:u w:color="3D3935"/>
      </w:rPr>
    </w:lvl>
    <w:lvl w:ilvl="7">
      <w:start w:val="1"/>
      <w:numFmt w:val="bullet"/>
      <w:lvlText w:val="•"/>
      <w:lvlJc w:val="left"/>
      <w:rPr>
        <w:position w:val="0"/>
        <w:u w:color="3D3935"/>
      </w:rPr>
    </w:lvl>
    <w:lvl w:ilvl="8">
      <w:start w:val="1"/>
      <w:numFmt w:val="bullet"/>
      <w:lvlText w:val="•"/>
      <w:lvlJc w:val="left"/>
      <w:rPr>
        <w:position w:val="0"/>
        <w:u w:color="3D3935"/>
      </w:rPr>
    </w:lvl>
  </w:abstractNum>
  <w:abstractNum w:abstractNumId="50" w15:restartNumberingAfterBreak="0">
    <w:nsid w:val="4BD867E4"/>
    <w:multiLevelType w:val="multilevel"/>
    <w:tmpl w:val="BFDA8592"/>
    <w:styleLink w:val="List13"/>
    <w:lvl w:ilvl="0">
      <w:start w:val="8"/>
      <w:numFmt w:val="decimal"/>
      <w:lvlText w:val="%1."/>
      <w:lvlJc w:val="left"/>
      <w:pPr>
        <w:tabs>
          <w:tab w:val="num" w:pos="605"/>
        </w:tabs>
        <w:ind w:left="605" w:hanging="605"/>
      </w:pPr>
      <w:rPr>
        <w:rFonts w:ascii="Times New Roman" w:eastAsia="Times New Roman" w:hAnsi="Times New Roman" w:cs="Times New Roman"/>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position w:val="0"/>
        <w:sz w:val="24"/>
        <w:szCs w:val="24"/>
      </w:rPr>
    </w:lvl>
  </w:abstractNum>
  <w:abstractNum w:abstractNumId="51" w15:restartNumberingAfterBreak="0">
    <w:nsid w:val="4D5C000B"/>
    <w:multiLevelType w:val="multilevel"/>
    <w:tmpl w:val="DC8ED492"/>
    <w:styleLink w:val="List10"/>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52" w15:restartNumberingAfterBreak="0">
    <w:nsid w:val="4EB07269"/>
    <w:multiLevelType w:val="multilevel"/>
    <w:tmpl w:val="EC6C9CF8"/>
    <w:styleLink w:val="List11"/>
    <w:lvl w:ilvl="0">
      <w:start w:val="3"/>
      <w:numFmt w:val="decimal"/>
      <w:lvlText w:val="%1."/>
      <w:lvlJc w:val="left"/>
      <w:pPr>
        <w:tabs>
          <w:tab w:val="num" w:pos="660"/>
        </w:tabs>
        <w:ind w:left="660" w:hanging="660"/>
      </w:pPr>
      <w:rPr>
        <w:rFonts w:ascii="Times New Roman" w:eastAsia="Times New Roman" w:hAnsi="Times New Roman" w:cs="Times New Roman"/>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position w:val="0"/>
        <w:sz w:val="24"/>
        <w:szCs w:val="24"/>
      </w:rPr>
    </w:lvl>
  </w:abstractNum>
  <w:abstractNum w:abstractNumId="53" w15:restartNumberingAfterBreak="0">
    <w:nsid w:val="4F094F02"/>
    <w:multiLevelType w:val="hybridMultilevel"/>
    <w:tmpl w:val="D884F82A"/>
    <w:lvl w:ilvl="0" w:tplc="3814EA56">
      <w:start w:val="1"/>
      <w:numFmt w:val="decimal"/>
      <w:lvlText w:val="%1."/>
      <w:lvlJc w:val="left"/>
      <w:pPr>
        <w:ind w:left="360" w:hanging="360"/>
      </w:pPr>
      <w:rPr>
        <w:rFonts w:hint="default"/>
        <w:b w:val="0"/>
        <w:i w:val="0"/>
        <w:iCs/>
        <w:color w:val="auto"/>
        <w:sz w:val="24"/>
        <w:szCs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4F301F43"/>
    <w:multiLevelType w:val="multilevel"/>
    <w:tmpl w:val="F9168D78"/>
    <w:styleLink w:val="List56"/>
    <w:lvl w:ilvl="0">
      <w:numFmt w:val="bullet"/>
      <w:lvlText w:val="•"/>
      <w:lvlJc w:val="left"/>
      <w:rPr>
        <w:b/>
        <w:bCs/>
        <w:position w:val="0"/>
      </w:rPr>
    </w:lvl>
    <w:lvl w:ilvl="1">
      <w:start w:val="1"/>
      <w:numFmt w:val="bullet"/>
      <w:lvlText w:val="o"/>
      <w:lvlJc w:val="left"/>
      <w:rPr>
        <w:b/>
        <w:bCs/>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o"/>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o"/>
      <w:lvlJc w:val="left"/>
      <w:rPr>
        <w:b/>
        <w:bCs/>
        <w:position w:val="0"/>
      </w:rPr>
    </w:lvl>
    <w:lvl w:ilvl="8">
      <w:start w:val="1"/>
      <w:numFmt w:val="bullet"/>
      <w:lvlText w:val="▪"/>
      <w:lvlJc w:val="left"/>
      <w:rPr>
        <w:b/>
        <w:bCs/>
        <w:position w:val="0"/>
      </w:rPr>
    </w:lvl>
  </w:abstractNum>
  <w:abstractNum w:abstractNumId="55" w15:restartNumberingAfterBreak="0">
    <w:nsid w:val="55EF787C"/>
    <w:multiLevelType w:val="multilevel"/>
    <w:tmpl w:val="05E697D8"/>
    <w:styleLink w:val="List17"/>
    <w:lvl w:ilvl="0">
      <w:start w:val="1"/>
      <w:numFmt w:val="bullet"/>
      <w:lvlText w:val="•"/>
      <w:lvlJc w:val="left"/>
      <w:pPr>
        <w:tabs>
          <w:tab w:val="num" w:pos="116"/>
        </w:tabs>
      </w:pPr>
      <w:rPr>
        <w:rFonts w:ascii="Times New Roman" w:eastAsia="Times New Roman" w:hAnsi="Times New Roman" w:cs="Times New Roman"/>
        <w:position w:val="0"/>
        <w:sz w:val="24"/>
        <w:szCs w:val="24"/>
      </w:rPr>
    </w:lvl>
    <w:lvl w:ilvl="1">
      <w:numFmt w:val="bullet"/>
      <w:lvlText w:val="•"/>
      <w:lvlJc w:val="left"/>
      <w:pPr>
        <w:tabs>
          <w:tab w:val="num" w:pos="1410"/>
        </w:tabs>
        <w:ind w:left="1410" w:hanging="330"/>
      </w:pPr>
      <w:rPr>
        <w:rFonts w:ascii="Times New Roman" w:eastAsia="Times New Roman" w:hAnsi="Times New Roman" w:cs="Times New Roman"/>
        <w:position w:val="0"/>
        <w:sz w:val="24"/>
        <w:szCs w:val="24"/>
      </w:rPr>
    </w:lvl>
    <w:lvl w:ilvl="2">
      <w:start w:val="1"/>
      <w:numFmt w:val="bullet"/>
      <w:lvlText w:val="▪"/>
      <w:lvlJc w:val="left"/>
      <w:pPr>
        <w:tabs>
          <w:tab w:val="num" w:pos="116"/>
        </w:tabs>
      </w:pPr>
      <w:rPr>
        <w:rFonts w:ascii="Times New Roman" w:eastAsia="Times New Roman" w:hAnsi="Times New Roman" w:cs="Times New Roman"/>
        <w:position w:val="0"/>
        <w:sz w:val="24"/>
        <w:szCs w:val="24"/>
      </w:rPr>
    </w:lvl>
    <w:lvl w:ilvl="3">
      <w:start w:val="1"/>
      <w:numFmt w:val="bullet"/>
      <w:lvlText w:val="•"/>
      <w:lvlJc w:val="left"/>
      <w:pPr>
        <w:tabs>
          <w:tab w:val="num" w:pos="116"/>
        </w:tabs>
      </w:pPr>
      <w:rPr>
        <w:rFonts w:ascii="Times New Roman" w:eastAsia="Times New Roman" w:hAnsi="Times New Roman" w:cs="Times New Roman"/>
        <w:position w:val="0"/>
        <w:sz w:val="24"/>
        <w:szCs w:val="24"/>
      </w:rPr>
    </w:lvl>
    <w:lvl w:ilvl="4">
      <w:start w:val="1"/>
      <w:numFmt w:val="bullet"/>
      <w:lvlText w:val="o"/>
      <w:lvlJc w:val="left"/>
      <w:pPr>
        <w:tabs>
          <w:tab w:val="num" w:pos="116"/>
        </w:tabs>
      </w:pPr>
      <w:rPr>
        <w:rFonts w:ascii="Times New Roman" w:eastAsia="Times New Roman" w:hAnsi="Times New Roman" w:cs="Times New Roman"/>
        <w:position w:val="0"/>
        <w:sz w:val="24"/>
        <w:szCs w:val="24"/>
      </w:rPr>
    </w:lvl>
    <w:lvl w:ilvl="5">
      <w:start w:val="1"/>
      <w:numFmt w:val="bullet"/>
      <w:lvlText w:val="▪"/>
      <w:lvlJc w:val="left"/>
      <w:pPr>
        <w:tabs>
          <w:tab w:val="num" w:pos="116"/>
        </w:tabs>
      </w:pPr>
      <w:rPr>
        <w:rFonts w:ascii="Times New Roman" w:eastAsia="Times New Roman" w:hAnsi="Times New Roman" w:cs="Times New Roman"/>
        <w:position w:val="0"/>
        <w:sz w:val="24"/>
        <w:szCs w:val="24"/>
      </w:rPr>
    </w:lvl>
    <w:lvl w:ilvl="6">
      <w:start w:val="1"/>
      <w:numFmt w:val="bullet"/>
      <w:lvlText w:val="•"/>
      <w:lvlJc w:val="left"/>
      <w:pPr>
        <w:tabs>
          <w:tab w:val="num" w:pos="116"/>
        </w:tabs>
      </w:pPr>
      <w:rPr>
        <w:rFonts w:ascii="Times New Roman" w:eastAsia="Times New Roman" w:hAnsi="Times New Roman" w:cs="Times New Roman"/>
        <w:position w:val="0"/>
        <w:sz w:val="24"/>
        <w:szCs w:val="24"/>
      </w:rPr>
    </w:lvl>
    <w:lvl w:ilvl="7">
      <w:start w:val="1"/>
      <w:numFmt w:val="bullet"/>
      <w:lvlText w:val="o"/>
      <w:lvlJc w:val="left"/>
      <w:pPr>
        <w:tabs>
          <w:tab w:val="num" w:pos="116"/>
        </w:tabs>
      </w:pPr>
      <w:rPr>
        <w:rFonts w:ascii="Times New Roman" w:eastAsia="Times New Roman" w:hAnsi="Times New Roman" w:cs="Times New Roman"/>
        <w:position w:val="0"/>
        <w:sz w:val="24"/>
        <w:szCs w:val="24"/>
      </w:rPr>
    </w:lvl>
    <w:lvl w:ilvl="8">
      <w:start w:val="1"/>
      <w:numFmt w:val="bullet"/>
      <w:lvlText w:val="▪"/>
      <w:lvlJc w:val="left"/>
      <w:pPr>
        <w:tabs>
          <w:tab w:val="num" w:pos="116"/>
        </w:tabs>
      </w:pPr>
      <w:rPr>
        <w:rFonts w:ascii="Times New Roman" w:eastAsia="Times New Roman" w:hAnsi="Times New Roman" w:cs="Times New Roman"/>
        <w:position w:val="0"/>
        <w:sz w:val="24"/>
        <w:szCs w:val="24"/>
      </w:rPr>
    </w:lvl>
  </w:abstractNum>
  <w:abstractNum w:abstractNumId="56" w15:restartNumberingAfterBreak="0">
    <w:nsid w:val="56EC5DFD"/>
    <w:multiLevelType w:val="multilevel"/>
    <w:tmpl w:val="80BE9BC0"/>
    <w:styleLink w:val="List51"/>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57" w15:restartNumberingAfterBreak="0">
    <w:nsid w:val="59DF7B00"/>
    <w:multiLevelType w:val="multilevel"/>
    <w:tmpl w:val="FD54294E"/>
    <w:styleLink w:val="List30"/>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58" w15:restartNumberingAfterBreak="0">
    <w:nsid w:val="5BF05984"/>
    <w:multiLevelType w:val="multilevel"/>
    <w:tmpl w:val="7390D842"/>
    <w:styleLink w:val="CABNETList"/>
    <w:lvl w:ilvl="0">
      <w:start w:val="1"/>
      <w:numFmt w:val="decimal"/>
      <w:pStyle w:val="Kevin"/>
      <w:lvlText w:val="%1."/>
      <w:lvlJc w:val="left"/>
      <w:pPr>
        <w:tabs>
          <w:tab w:val="num" w:pos="360"/>
        </w:tabs>
        <w:ind w:left="0" w:firstLine="0"/>
      </w:pPr>
      <w:rPr>
        <w:rFonts w:hint="default"/>
        <w:b w:val="0"/>
        <w:bCs w:val="0"/>
      </w:rPr>
    </w:lvl>
    <w:lvl w:ilvl="1">
      <w:start w:val="1"/>
      <w:numFmt w:val="lowerLetter"/>
      <w:lvlText w:val="%2)"/>
      <w:lvlJc w:val="left"/>
      <w:pPr>
        <w:tabs>
          <w:tab w:val="num" w:pos="-5040"/>
        </w:tabs>
        <w:ind w:left="-5403" w:firstLine="3"/>
      </w:pPr>
      <w:rPr>
        <w:rFonts w:hint="default"/>
        <w:b w:val="0"/>
        <w:bCs w:val="0"/>
        <w:i w:val="0"/>
        <w:iCs w:val="0"/>
      </w:rPr>
    </w:lvl>
    <w:lvl w:ilvl="2">
      <w:start w:val="1"/>
      <w:numFmt w:val="lowerRoman"/>
      <w:lvlText w:val="%3)"/>
      <w:lvlJc w:val="left"/>
      <w:pPr>
        <w:tabs>
          <w:tab w:val="num" w:pos="-4680"/>
        </w:tabs>
        <w:ind w:left="-4680" w:hanging="360"/>
      </w:pPr>
      <w:rPr>
        <w:rFonts w:hint="default"/>
      </w:rPr>
    </w:lvl>
    <w:lvl w:ilvl="3">
      <w:start w:val="1"/>
      <w:numFmt w:val="decimal"/>
      <w:lvlText w:val="(%4)"/>
      <w:lvlJc w:val="left"/>
      <w:pPr>
        <w:tabs>
          <w:tab w:val="num" w:pos="-4320"/>
        </w:tabs>
        <w:ind w:left="-432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59" w15:restartNumberingAfterBreak="0">
    <w:nsid w:val="5D1A06FC"/>
    <w:multiLevelType w:val="multilevel"/>
    <w:tmpl w:val="26A27E38"/>
    <w:styleLink w:val="List25"/>
    <w:lvl w:ilvl="0">
      <w:numFmt w:val="bullet"/>
      <w:lvlText w:val="•"/>
      <w:lvlJc w:val="left"/>
      <w:rPr>
        <w:position w:val="0"/>
        <w:u w:color="3D3935"/>
      </w:rPr>
    </w:lvl>
    <w:lvl w:ilvl="1">
      <w:start w:val="1"/>
      <w:numFmt w:val="bullet"/>
      <w:lvlText w:val="–"/>
      <w:lvlJc w:val="left"/>
      <w:rPr>
        <w:position w:val="0"/>
        <w:u w:color="3D3935"/>
      </w:rPr>
    </w:lvl>
    <w:lvl w:ilvl="2">
      <w:start w:val="1"/>
      <w:numFmt w:val="bullet"/>
      <w:lvlText w:val="•"/>
      <w:lvlJc w:val="left"/>
      <w:rPr>
        <w:position w:val="0"/>
        <w:u w:color="3D3935"/>
      </w:rPr>
    </w:lvl>
    <w:lvl w:ilvl="3">
      <w:start w:val="1"/>
      <w:numFmt w:val="bullet"/>
      <w:lvlText w:val="•"/>
      <w:lvlJc w:val="left"/>
      <w:rPr>
        <w:position w:val="0"/>
        <w:u w:color="3D3935"/>
      </w:rPr>
    </w:lvl>
    <w:lvl w:ilvl="4">
      <w:start w:val="1"/>
      <w:numFmt w:val="bullet"/>
      <w:lvlText w:val="•"/>
      <w:lvlJc w:val="left"/>
      <w:rPr>
        <w:position w:val="0"/>
        <w:u w:color="3D3935"/>
      </w:rPr>
    </w:lvl>
    <w:lvl w:ilvl="5">
      <w:start w:val="1"/>
      <w:numFmt w:val="bullet"/>
      <w:lvlText w:val="•"/>
      <w:lvlJc w:val="left"/>
      <w:rPr>
        <w:position w:val="0"/>
        <w:u w:color="3D3935"/>
      </w:rPr>
    </w:lvl>
    <w:lvl w:ilvl="6">
      <w:start w:val="1"/>
      <w:numFmt w:val="bullet"/>
      <w:lvlText w:val="•"/>
      <w:lvlJc w:val="left"/>
      <w:rPr>
        <w:position w:val="0"/>
        <w:u w:color="3D3935"/>
      </w:rPr>
    </w:lvl>
    <w:lvl w:ilvl="7">
      <w:start w:val="1"/>
      <w:numFmt w:val="bullet"/>
      <w:lvlText w:val="•"/>
      <w:lvlJc w:val="left"/>
      <w:rPr>
        <w:position w:val="0"/>
        <w:u w:color="3D3935"/>
      </w:rPr>
    </w:lvl>
    <w:lvl w:ilvl="8">
      <w:start w:val="1"/>
      <w:numFmt w:val="bullet"/>
      <w:lvlText w:val="•"/>
      <w:lvlJc w:val="left"/>
      <w:rPr>
        <w:position w:val="0"/>
        <w:u w:color="3D3935"/>
      </w:rPr>
    </w:lvl>
  </w:abstractNum>
  <w:abstractNum w:abstractNumId="60" w15:restartNumberingAfterBreak="0">
    <w:nsid w:val="5E437B43"/>
    <w:multiLevelType w:val="multilevel"/>
    <w:tmpl w:val="14E4F05A"/>
    <w:styleLink w:val="List24"/>
    <w:lvl w:ilvl="0">
      <w:numFmt w:val="bullet"/>
      <w:lvlText w:val="•"/>
      <w:lvlJc w:val="left"/>
      <w:rPr>
        <w:position w:val="0"/>
        <w:u w:color="3D3935"/>
      </w:rPr>
    </w:lvl>
    <w:lvl w:ilvl="1">
      <w:start w:val="1"/>
      <w:numFmt w:val="bullet"/>
      <w:lvlText w:val="•"/>
      <w:lvlJc w:val="left"/>
      <w:rPr>
        <w:position w:val="0"/>
        <w:u w:color="3D3935"/>
      </w:rPr>
    </w:lvl>
    <w:lvl w:ilvl="2">
      <w:start w:val="1"/>
      <w:numFmt w:val="bullet"/>
      <w:lvlText w:val="•"/>
      <w:lvlJc w:val="left"/>
      <w:rPr>
        <w:position w:val="0"/>
        <w:u w:color="3D3935"/>
      </w:rPr>
    </w:lvl>
    <w:lvl w:ilvl="3">
      <w:start w:val="1"/>
      <w:numFmt w:val="bullet"/>
      <w:lvlText w:val="•"/>
      <w:lvlJc w:val="left"/>
      <w:rPr>
        <w:position w:val="0"/>
        <w:u w:color="3D3935"/>
      </w:rPr>
    </w:lvl>
    <w:lvl w:ilvl="4">
      <w:start w:val="1"/>
      <w:numFmt w:val="bullet"/>
      <w:lvlText w:val="•"/>
      <w:lvlJc w:val="left"/>
      <w:rPr>
        <w:position w:val="0"/>
        <w:u w:color="3D3935"/>
      </w:rPr>
    </w:lvl>
    <w:lvl w:ilvl="5">
      <w:start w:val="1"/>
      <w:numFmt w:val="bullet"/>
      <w:lvlText w:val="•"/>
      <w:lvlJc w:val="left"/>
      <w:rPr>
        <w:position w:val="0"/>
        <w:u w:color="3D3935"/>
      </w:rPr>
    </w:lvl>
    <w:lvl w:ilvl="6">
      <w:start w:val="1"/>
      <w:numFmt w:val="bullet"/>
      <w:lvlText w:val="•"/>
      <w:lvlJc w:val="left"/>
      <w:rPr>
        <w:position w:val="0"/>
        <w:u w:color="3D3935"/>
      </w:rPr>
    </w:lvl>
    <w:lvl w:ilvl="7">
      <w:start w:val="1"/>
      <w:numFmt w:val="bullet"/>
      <w:lvlText w:val="•"/>
      <w:lvlJc w:val="left"/>
      <w:rPr>
        <w:position w:val="0"/>
        <w:u w:color="3D3935"/>
      </w:rPr>
    </w:lvl>
    <w:lvl w:ilvl="8">
      <w:start w:val="1"/>
      <w:numFmt w:val="bullet"/>
      <w:lvlText w:val="•"/>
      <w:lvlJc w:val="left"/>
      <w:rPr>
        <w:position w:val="0"/>
        <w:u w:color="3D3935"/>
      </w:rPr>
    </w:lvl>
  </w:abstractNum>
  <w:abstractNum w:abstractNumId="61" w15:restartNumberingAfterBreak="0">
    <w:nsid w:val="62FE03BA"/>
    <w:multiLevelType w:val="multilevel"/>
    <w:tmpl w:val="57BE8FAC"/>
    <w:styleLink w:val="List35"/>
    <w:lvl w:ilvl="0">
      <w:start w:val="17"/>
      <w:numFmt w:val="decimal"/>
      <w:lvlText w:val="%1."/>
      <w:lvlJc w:val="left"/>
      <w:pPr>
        <w:tabs>
          <w:tab w:val="num" w:pos="605"/>
        </w:tabs>
        <w:ind w:left="605" w:hanging="605"/>
      </w:pPr>
      <w:rPr>
        <w:rFonts w:ascii="Times New Roman" w:eastAsia="Times New Roman" w:hAnsi="Times New Roman" w:cs="Times New Roman"/>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position w:val="0"/>
        <w:sz w:val="24"/>
        <w:szCs w:val="24"/>
      </w:rPr>
    </w:lvl>
  </w:abstractNum>
  <w:abstractNum w:abstractNumId="62" w15:restartNumberingAfterBreak="0">
    <w:nsid w:val="6D2912C4"/>
    <w:multiLevelType w:val="multilevel"/>
    <w:tmpl w:val="0D8C3940"/>
    <w:styleLink w:val="List7"/>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63" w15:restartNumberingAfterBreak="0">
    <w:nsid w:val="714D7832"/>
    <w:multiLevelType w:val="hybridMultilevel"/>
    <w:tmpl w:val="9B4083FC"/>
    <w:lvl w:ilvl="0" w:tplc="FC1EB37C">
      <w:start w:val="1"/>
      <w:numFmt w:val="decimal"/>
      <w:pStyle w:val="ListParagraph"/>
      <w:lvlText w:val="%1."/>
      <w:lvlJc w:val="left"/>
      <w:pPr>
        <w:ind w:left="360" w:hanging="360"/>
      </w:pPr>
      <w:rPr>
        <w:rFonts w:hint="default"/>
        <w:b w:val="0"/>
        <w:i w:val="0"/>
        <w:color w:val="auto"/>
        <w:sz w:val="24"/>
        <w:szCs w:val="24"/>
      </w:rPr>
    </w:lvl>
    <w:lvl w:ilvl="1" w:tplc="0C090019">
      <w:start w:val="1"/>
      <w:numFmt w:val="lowerLetter"/>
      <w:lvlText w:val="%2."/>
      <w:lvlJc w:val="left"/>
      <w:pPr>
        <w:ind w:left="-26200" w:hanging="360"/>
      </w:pPr>
    </w:lvl>
    <w:lvl w:ilvl="2" w:tplc="82EC29E2">
      <w:numFmt w:val="bullet"/>
      <w:lvlText w:val="-"/>
      <w:lvlJc w:val="left"/>
      <w:pPr>
        <w:ind w:left="-25300" w:hanging="360"/>
      </w:pPr>
      <w:rPr>
        <w:rFonts w:ascii="Times New Roman" w:eastAsiaTheme="minorHAnsi" w:hAnsi="Times New Roman" w:cs="Times New Roman" w:hint="default"/>
      </w:rPr>
    </w:lvl>
    <w:lvl w:ilvl="3" w:tplc="0C09000F" w:tentative="1">
      <w:start w:val="1"/>
      <w:numFmt w:val="decimal"/>
      <w:lvlText w:val="%4."/>
      <w:lvlJc w:val="left"/>
      <w:pPr>
        <w:ind w:left="-24760" w:hanging="360"/>
      </w:pPr>
    </w:lvl>
    <w:lvl w:ilvl="4" w:tplc="0C090019" w:tentative="1">
      <w:start w:val="1"/>
      <w:numFmt w:val="lowerLetter"/>
      <w:lvlText w:val="%5."/>
      <w:lvlJc w:val="left"/>
      <w:pPr>
        <w:ind w:left="-24040" w:hanging="360"/>
      </w:pPr>
    </w:lvl>
    <w:lvl w:ilvl="5" w:tplc="0C09001B" w:tentative="1">
      <w:start w:val="1"/>
      <w:numFmt w:val="lowerRoman"/>
      <w:lvlText w:val="%6."/>
      <w:lvlJc w:val="right"/>
      <w:pPr>
        <w:ind w:left="-23320" w:hanging="180"/>
      </w:pPr>
    </w:lvl>
    <w:lvl w:ilvl="6" w:tplc="0C09000F" w:tentative="1">
      <w:start w:val="1"/>
      <w:numFmt w:val="decimal"/>
      <w:lvlText w:val="%7."/>
      <w:lvlJc w:val="left"/>
      <w:pPr>
        <w:ind w:left="-22600" w:hanging="360"/>
      </w:pPr>
    </w:lvl>
    <w:lvl w:ilvl="7" w:tplc="0C090019" w:tentative="1">
      <w:start w:val="1"/>
      <w:numFmt w:val="lowerLetter"/>
      <w:lvlText w:val="%8."/>
      <w:lvlJc w:val="left"/>
      <w:pPr>
        <w:ind w:left="-21880" w:hanging="360"/>
      </w:pPr>
    </w:lvl>
    <w:lvl w:ilvl="8" w:tplc="0C09001B" w:tentative="1">
      <w:start w:val="1"/>
      <w:numFmt w:val="lowerRoman"/>
      <w:lvlText w:val="%9."/>
      <w:lvlJc w:val="right"/>
      <w:pPr>
        <w:ind w:left="-21160" w:hanging="180"/>
      </w:pPr>
    </w:lvl>
  </w:abstractNum>
  <w:abstractNum w:abstractNumId="64" w15:restartNumberingAfterBreak="0">
    <w:nsid w:val="71A506D6"/>
    <w:multiLevelType w:val="multilevel"/>
    <w:tmpl w:val="FF88995E"/>
    <w:styleLink w:val="List43"/>
    <w:lvl w:ilvl="0">
      <w:numFmt w:val="bullet"/>
      <w:lvlText w:val="•"/>
      <w:lvlJc w:val="left"/>
      <w:pPr>
        <w:tabs>
          <w:tab w:val="num" w:pos="720"/>
        </w:tabs>
        <w:ind w:left="720" w:hanging="360"/>
      </w:pPr>
      <w:rPr>
        <w:rFonts w:ascii="Arial" w:eastAsia="Arial" w:hAnsi="Arial" w:cs="Arial"/>
        <w:caps w:val="0"/>
        <w:smallCaps w:val="0"/>
        <w:strike w:val="0"/>
        <w:dstrike w:val="0"/>
        <w:outline w:val="0"/>
        <w:color w:val="000000"/>
        <w:spacing w:val="0"/>
        <w:kern w:val="0"/>
        <w:position w:val="0"/>
        <w:sz w:val="20"/>
        <w:szCs w:val="20"/>
        <w:u w:val="none" w:color="414042"/>
        <w:vertAlign w:val="baseline"/>
        <w:rtl w:val="0"/>
        <w:lang w:val="en-US"/>
      </w:rPr>
    </w:lvl>
    <w:lvl w:ilvl="1">
      <w:start w:val="1"/>
      <w:numFmt w:val="bullet"/>
      <w:lvlText w:val="o"/>
      <w:lvlJc w:val="left"/>
      <w:pPr>
        <w:tabs>
          <w:tab w:val="num" w:pos="1410"/>
        </w:tabs>
        <w:ind w:left="14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2">
      <w:start w:val="1"/>
      <w:numFmt w:val="bullet"/>
      <w:lvlText w:val="▪"/>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3">
      <w:start w:val="1"/>
      <w:numFmt w:val="bullet"/>
      <w:lvlText w:val="•"/>
      <w:lvlJc w:val="left"/>
      <w:pPr>
        <w:tabs>
          <w:tab w:val="num" w:pos="2850"/>
        </w:tabs>
        <w:ind w:left="28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4">
      <w:start w:val="1"/>
      <w:numFmt w:val="bullet"/>
      <w:lvlText w:val="o"/>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5">
      <w:start w:val="1"/>
      <w:numFmt w:val="bullet"/>
      <w:lvlText w:val="▪"/>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6">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7">
      <w:start w:val="1"/>
      <w:numFmt w:val="bullet"/>
      <w:lvlText w:val="o"/>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8">
      <w:start w:val="1"/>
      <w:numFmt w:val="bullet"/>
      <w:lvlText w:val="▪"/>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abstractNum>
  <w:abstractNum w:abstractNumId="65" w15:restartNumberingAfterBreak="0">
    <w:nsid w:val="74604A5B"/>
    <w:multiLevelType w:val="multilevel"/>
    <w:tmpl w:val="7BBAF284"/>
    <w:styleLink w:val="List38"/>
    <w:lvl w:ilvl="0">
      <w:numFmt w:val="bullet"/>
      <w:lvlText w:val="•"/>
      <w:lvlJc w:val="left"/>
      <w:pPr>
        <w:tabs>
          <w:tab w:val="num" w:pos="750"/>
        </w:tabs>
        <w:ind w:left="750" w:hanging="393"/>
      </w:pPr>
      <w:rPr>
        <w:rFonts w:ascii="Times New Roman" w:eastAsia="Times New Roman" w:hAnsi="Times New Roman" w:cs="Times New Roman"/>
        <w:caps w:val="0"/>
        <w:smallCaps w:val="0"/>
        <w:strike w:val="0"/>
        <w:dstrike w:val="0"/>
        <w:outline w:val="0"/>
        <w:color w:val="000000"/>
        <w:spacing w:val="0"/>
        <w:kern w:val="0"/>
        <w:position w:val="0"/>
        <w:sz w:val="20"/>
        <w:szCs w:val="20"/>
        <w:u w:val="none" w:color="414042"/>
        <w:vertAlign w:val="baseline"/>
        <w:lang w:val="en-US"/>
      </w:rPr>
    </w:lvl>
    <w:lvl w:ilvl="1">
      <w:start w:val="1"/>
      <w:numFmt w:val="bullet"/>
      <w:lvlText w:val="o"/>
      <w:lvlJc w:val="left"/>
      <w:pPr>
        <w:tabs>
          <w:tab w:val="num" w:pos="1410"/>
        </w:tabs>
        <w:ind w:left="14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lvl w:ilvl="2">
      <w:start w:val="1"/>
      <w:numFmt w:val="bullet"/>
      <w:lvlText w:val="▪"/>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lvl w:ilvl="3">
      <w:start w:val="1"/>
      <w:numFmt w:val="bullet"/>
      <w:lvlText w:val="•"/>
      <w:lvlJc w:val="left"/>
      <w:pPr>
        <w:tabs>
          <w:tab w:val="num" w:pos="2850"/>
        </w:tabs>
        <w:ind w:left="28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lvl w:ilvl="4">
      <w:start w:val="1"/>
      <w:numFmt w:val="bullet"/>
      <w:lvlText w:val="o"/>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lvl w:ilvl="5">
      <w:start w:val="1"/>
      <w:numFmt w:val="bullet"/>
      <w:lvlText w:val="▪"/>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lvl w:ilvl="6">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lvl w:ilvl="7">
      <w:start w:val="1"/>
      <w:numFmt w:val="bullet"/>
      <w:lvlText w:val="o"/>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lvl w:ilvl="8">
      <w:start w:val="1"/>
      <w:numFmt w:val="bullet"/>
      <w:lvlText w:val="▪"/>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lang w:val="en-US"/>
      </w:rPr>
    </w:lvl>
  </w:abstractNum>
  <w:abstractNum w:abstractNumId="66" w15:restartNumberingAfterBreak="0">
    <w:nsid w:val="74721AB0"/>
    <w:multiLevelType w:val="hybridMultilevel"/>
    <w:tmpl w:val="16B0DCAC"/>
    <w:lvl w:ilvl="0" w:tplc="D8A6E9C8">
      <w:start w:val="1"/>
      <w:numFmt w:val="decimal"/>
      <w:pStyle w:val="Numberedpara"/>
      <w:lvlText w:val="%1."/>
      <w:lvlJc w:val="left"/>
      <w:pPr>
        <w:tabs>
          <w:tab w:val="num" w:pos="720"/>
        </w:tabs>
        <w:ind w:left="0" w:firstLine="0"/>
      </w:pPr>
      <w:rPr>
        <w:rFonts w:hint="default"/>
        <w:i w:val="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7" w15:restartNumberingAfterBreak="0">
    <w:nsid w:val="78291BD0"/>
    <w:multiLevelType w:val="multilevel"/>
    <w:tmpl w:val="436A960C"/>
    <w:styleLink w:val="List40"/>
    <w:lvl w:ilvl="0">
      <w:numFmt w:val="bullet"/>
      <w:lvlText w:val="•"/>
      <w:lvlJc w:val="left"/>
      <w:pPr>
        <w:tabs>
          <w:tab w:val="num" w:pos="720"/>
        </w:tabs>
        <w:ind w:left="720" w:hanging="360"/>
      </w:pPr>
      <w:rPr>
        <w:rFonts w:ascii="Arial" w:eastAsia="Arial" w:hAnsi="Arial" w:cs="Arial"/>
        <w:caps w:val="0"/>
        <w:smallCaps w:val="0"/>
        <w:strike w:val="0"/>
        <w:dstrike w:val="0"/>
        <w:outline w:val="0"/>
        <w:color w:val="000000"/>
        <w:spacing w:val="0"/>
        <w:kern w:val="0"/>
        <w:position w:val="0"/>
        <w:sz w:val="20"/>
        <w:szCs w:val="20"/>
        <w:u w:val="none" w:color="414042"/>
        <w:vertAlign w:val="baseline"/>
        <w:rtl w:val="0"/>
        <w:lang w:val="en-US"/>
      </w:rPr>
    </w:lvl>
    <w:lvl w:ilvl="1">
      <w:start w:val="1"/>
      <w:numFmt w:val="bullet"/>
      <w:lvlText w:val="o"/>
      <w:lvlJc w:val="left"/>
      <w:pPr>
        <w:tabs>
          <w:tab w:val="num" w:pos="1410"/>
        </w:tabs>
        <w:ind w:left="14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2">
      <w:start w:val="1"/>
      <w:numFmt w:val="bullet"/>
      <w:lvlText w:val="▪"/>
      <w:lvlJc w:val="left"/>
      <w:pPr>
        <w:tabs>
          <w:tab w:val="num" w:pos="2130"/>
        </w:tabs>
        <w:ind w:left="21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3">
      <w:start w:val="1"/>
      <w:numFmt w:val="bullet"/>
      <w:lvlText w:val="•"/>
      <w:lvlJc w:val="left"/>
      <w:pPr>
        <w:tabs>
          <w:tab w:val="num" w:pos="2850"/>
        </w:tabs>
        <w:ind w:left="28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4">
      <w:start w:val="1"/>
      <w:numFmt w:val="bullet"/>
      <w:lvlText w:val="o"/>
      <w:lvlJc w:val="left"/>
      <w:pPr>
        <w:tabs>
          <w:tab w:val="num" w:pos="3570"/>
        </w:tabs>
        <w:ind w:left="357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5">
      <w:start w:val="1"/>
      <w:numFmt w:val="bullet"/>
      <w:lvlText w:val="▪"/>
      <w:lvlJc w:val="left"/>
      <w:pPr>
        <w:tabs>
          <w:tab w:val="num" w:pos="4290"/>
        </w:tabs>
        <w:ind w:left="429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6">
      <w:start w:val="1"/>
      <w:numFmt w:val="bullet"/>
      <w:lvlText w:val="•"/>
      <w:lvlJc w:val="left"/>
      <w:pPr>
        <w:tabs>
          <w:tab w:val="num" w:pos="5010"/>
        </w:tabs>
        <w:ind w:left="501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7">
      <w:start w:val="1"/>
      <w:numFmt w:val="bullet"/>
      <w:lvlText w:val="o"/>
      <w:lvlJc w:val="left"/>
      <w:pPr>
        <w:tabs>
          <w:tab w:val="num" w:pos="5730"/>
        </w:tabs>
        <w:ind w:left="573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lvl w:ilvl="8">
      <w:start w:val="1"/>
      <w:numFmt w:val="bullet"/>
      <w:lvlText w:val="▪"/>
      <w:lvlJc w:val="left"/>
      <w:pPr>
        <w:tabs>
          <w:tab w:val="num" w:pos="6450"/>
        </w:tabs>
        <w:ind w:left="6450" w:hanging="330"/>
      </w:pPr>
      <w:rPr>
        <w:rFonts w:ascii="Arial" w:eastAsia="Arial" w:hAnsi="Arial" w:cs="Arial"/>
        <w:caps w:val="0"/>
        <w:smallCaps w:val="0"/>
        <w:strike w:val="0"/>
        <w:dstrike w:val="0"/>
        <w:outline w:val="0"/>
        <w:color w:val="000000"/>
        <w:spacing w:val="0"/>
        <w:kern w:val="0"/>
        <w:position w:val="0"/>
        <w:sz w:val="22"/>
        <w:szCs w:val="22"/>
        <w:u w:val="none" w:color="414042"/>
        <w:vertAlign w:val="baseline"/>
        <w:rtl w:val="0"/>
        <w:lang w:val="en-US"/>
      </w:rPr>
    </w:lvl>
  </w:abstractNum>
  <w:abstractNum w:abstractNumId="68" w15:restartNumberingAfterBreak="0">
    <w:nsid w:val="789A7F8E"/>
    <w:multiLevelType w:val="multilevel"/>
    <w:tmpl w:val="0186E32E"/>
    <w:styleLink w:val="List6"/>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69" w15:restartNumberingAfterBreak="0">
    <w:nsid w:val="78BE58A0"/>
    <w:multiLevelType w:val="multilevel"/>
    <w:tmpl w:val="99A00090"/>
    <w:styleLink w:val="List64"/>
    <w:lvl w:ilvl="0">
      <w:start w:val="100"/>
      <w:numFmt w:val="decimal"/>
      <w:lvlText w:val="%1."/>
      <w:lvlJc w:val="left"/>
      <w:pPr>
        <w:tabs>
          <w:tab w:val="num" w:pos="605"/>
        </w:tabs>
        <w:ind w:left="605" w:hanging="605"/>
      </w:pPr>
      <w:rPr>
        <w:rFonts w:ascii="Times New Roman" w:eastAsia="Times New Roman" w:hAnsi="Times New Roman" w:cs="Times New Roman"/>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position w:val="0"/>
        <w:sz w:val="24"/>
        <w:szCs w:val="24"/>
      </w:rPr>
    </w:lvl>
  </w:abstractNum>
  <w:abstractNum w:abstractNumId="70" w15:restartNumberingAfterBreak="0">
    <w:nsid w:val="79561D69"/>
    <w:multiLevelType w:val="hybridMultilevel"/>
    <w:tmpl w:val="AA52BD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A032192"/>
    <w:multiLevelType w:val="multilevel"/>
    <w:tmpl w:val="1D1C1F58"/>
    <w:styleLink w:val="List29"/>
    <w:lvl w:ilvl="0">
      <w:numFmt w:val="bullet"/>
      <w:lvlText w:val="•"/>
      <w:lvlJc w:val="left"/>
      <w:rPr>
        <w:color w:val="3D3935"/>
        <w:position w:val="0"/>
        <w:u w:color="3D3935"/>
      </w:rPr>
    </w:lvl>
    <w:lvl w:ilvl="1">
      <w:start w:val="1"/>
      <w:numFmt w:val="bullet"/>
      <w:lvlText w:val="–"/>
      <w:lvlJc w:val="left"/>
      <w:rPr>
        <w:color w:val="3D3935"/>
        <w:position w:val="0"/>
        <w:u w:color="3D3935"/>
      </w:rPr>
    </w:lvl>
    <w:lvl w:ilvl="2">
      <w:start w:val="1"/>
      <w:numFmt w:val="bullet"/>
      <w:lvlText w:val="•"/>
      <w:lvlJc w:val="left"/>
      <w:rPr>
        <w:color w:val="3D3935"/>
        <w:position w:val="0"/>
        <w:u w:color="3D3935"/>
      </w:rPr>
    </w:lvl>
    <w:lvl w:ilvl="3">
      <w:start w:val="1"/>
      <w:numFmt w:val="bullet"/>
      <w:lvlText w:val="•"/>
      <w:lvlJc w:val="left"/>
      <w:rPr>
        <w:color w:val="3D3935"/>
        <w:position w:val="0"/>
        <w:u w:color="3D3935"/>
      </w:rPr>
    </w:lvl>
    <w:lvl w:ilvl="4">
      <w:start w:val="1"/>
      <w:numFmt w:val="bullet"/>
      <w:lvlText w:val="•"/>
      <w:lvlJc w:val="left"/>
      <w:rPr>
        <w:color w:val="3D3935"/>
        <w:position w:val="0"/>
        <w:u w:color="3D3935"/>
      </w:rPr>
    </w:lvl>
    <w:lvl w:ilvl="5">
      <w:start w:val="1"/>
      <w:numFmt w:val="bullet"/>
      <w:lvlText w:val="•"/>
      <w:lvlJc w:val="left"/>
      <w:rPr>
        <w:color w:val="3D3935"/>
        <w:position w:val="0"/>
        <w:u w:color="3D3935"/>
      </w:rPr>
    </w:lvl>
    <w:lvl w:ilvl="6">
      <w:start w:val="1"/>
      <w:numFmt w:val="bullet"/>
      <w:lvlText w:val="•"/>
      <w:lvlJc w:val="left"/>
      <w:rPr>
        <w:color w:val="3D3935"/>
        <w:position w:val="0"/>
        <w:u w:color="3D3935"/>
      </w:rPr>
    </w:lvl>
    <w:lvl w:ilvl="7">
      <w:start w:val="1"/>
      <w:numFmt w:val="bullet"/>
      <w:lvlText w:val="•"/>
      <w:lvlJc w:val="left"/>
      <w:rPr>
        <w:color w:val="3D3935"/>
        <w:position w:val="0"/>
        <w:u w:color="3D3935"/>
      </w:rPr>
    </w:lvl>
    <w:lvl w:ilvl="8">
      <w:start w:val="1"/>
      <w:numFmt w:val="bullet"/>
      <w:lvlText w:val="•"/>
      <w:lvlJc w:val="left"/>
      <w:rPr>
        <w:color w:val="3D3935"/>
        <w:position w:val="0"/>
        <w:u w:color="3D3935"/>
      </w:rPr>
    </w:lvl>
  </w:abstractNum>
  <w:num w:numId="1" w16cid:durableId="1047530478">
    <w:abstractNumId w:val="63"/>
  </w:num>
  <w:num w:numId="2" w16cid:durableId="602225056">
    <w:abstractNumId w:val="58"/>
  </w:num>
  <w:num w:numId="3" w16cid:durableId="1343625341">
    <w:abstractNumId w:val="44"/>
  </w:num>
  <w:num w:numId="4" w16cid:durableId="1503277204">
    <w:abstractNumId w:val="66"/>
  </w:num>
  <w:num w:numId="5" w16cid:durableId="390883969">
    <w:abstractNumId w:val="53"/>
  </w:num>
  <w:num w:numId="6" w16cid:durableId="521478805">
    <w:abstractNumId w:val="1"/>
  </w:num>
  <w:num w:numId="7" w16cid:durableId="324749650">
    <w:abstractNumId w:val="39"/>
  </w:num>
  <w:num w:numId="8" w16cid:durableId="313074034">
    <w:abstractNumId w:val="70"/>
  </w:num>
  <w:num w:numId="9" w16cid:durableId="993217311">
    <w:abstractNumId w:val="2"/>
  </w:num>
  <w:num w:numId="10" w16cid:durableId="1773429753">
    <w:abstractNumId w:val="41"/>
  </w:num>
  <w:num w:numId="11" w16cid:durableId="1843929566">
    <w:abstractNumId w:val="25"/>
  </w:num>
  <w:num w:numId="12" w16cid:durableId="789518671">
    <w:abstractNumId w:val="24"/>
  </w:num>
  <w:num w:numId="13" w16cid:durableId="908882293">
    <w:abstractNumId w:val="56"/>
  </w:num>
  <w:num w:numId="14" w16cid:durableId="534386562">
    <w:abstractNumId w:val="68"/>
  </w:num>
  <w:num w:numId="15" w16cid:durableId="833956364">
    <w:abstractNumId w:val="62"/>
  </w:num>
  <w:num w:numId="16" w16cid:durableId="116066197">
    <w:abstractNumId w:val="46"/>
  </w:num>
  <w:num w:numId="17" w16cid:durableId="1061712363">
    <w:abstractNumId w:val="5"/>
  </w:num>
  <w:num w:numId="18" w16cid:durableId="318733835">
    <w:abstractNumId w:val="51"/>
  </w:num>
  <w:num w:numId="19" w16cid:durableId="1635015606">
    <w:abstractNumId w:val="52"/>
  </w:num>
  <w:num w:numId="20" w16cid:durableId="1756394130">
    <w:abstractNumId w:val="42"/>
  </w:num>
  <w:num w:numId="21" w16cid:durableId="1721323390">
    <w:abstractNumId w:val="50"/>
  </w:num>
  <w:num w:numId="22" w16cid:durableId="1307516817">
    <w:abstractNumId w:val="27"/>
  </w:num>
  <w:num w:numId="23" w16cid:durableId="528565326">
    <w:abstractNumId w:val="3"/>
  </w:num>
  <w:num w:numId="24" w16cid:durableId="1351837820">
    <w:abstractNumId w:val="55"/>
  </w:num>
  <w:num w:numId="25" w16cid:durableId="1505776772">
    <w:abstractNumId w:val="40"/>
  </w:num>
  <w:num w:numId="26" w16cid:durableId="2121756638">
    <w:abstractNumId w:val="7"/>
  </w:num>
  <w:num w:numId="27" w16cid:durableId="687565979">
    <w:abstractNumId w:val="0"/>
  </w:num>
  <w:num w:numId="28" w16cid:durableId="312763165">
    <w:abstractNumId w:val="13"/>
  </w:num>
  <w:num w:numId="29" w16cid:durableId="1855263506">
    <w:abstractNumId w:val="45"/>
  </w:num>
  <w:num w:numId="30" w16cid:durableId="2015180741">
    <w:abstractNumId w:val="43"/>
  </w:num>
  <w:num w:numId="31" w16cid:durableId="1405758525">
    <w:abstractNumId w:val="12"/>
  </w:num>
  <w:num w:numId="32" w16cid:durableId="219638030">
    <w:abstractNumId w:val="60"/>
  </w:num>
  <w:num w:numId="33" w16cid:durableId="1291327583">
    <w:abstractNumId w:val="59"/>
  </w:num>
  <w:num w:numId="34" w16cid:durableId="1502770971">
    <w:abstractNumId w:val="49"/>
  </w:num>
  <w:num w:numId="35" w16cid:durableId="2116903259">
    <w:abstractNumId w:val="29"/>
  </w:num>
  <w:num w:numId="36" w16cid:durableId="127822689">
    <w:abstractNumId w:val="11"/>
  </w:num>
  <w:num w:numId="37" w16cid:durableId="1732535963">
    <w:abstractNumId w:val="71"/>
  </w:num>
  <w:num w:numId="38" w16cid:durableId="1185829696">
    <w:abstractNumId w:val="57"/>
  </w:num>
  <w:num w:numId="39" w16cid:durableId="1257405271">
    <w:abstractNumId w:val="48"/>
  </w:num>
  <w:num w:numId="40" w16cid:durableId="240722680">
    <w:abstractNumId w:val="47"/>
  </w:num>
  <w:num w:numId="41" w16cid:durableId="240258815">
    <w:abstractNumId w:val="18"/>
  </w:num>
  <w:num w:numId="42" w16cid:durableId="1368021337">
    <w:abstractNumId w:val="61"/>
  </w:num>
  <w:num w:numId="43" w16cid:durableId="1622875840">
    <w:abstractNumId w:val="37"/>
  </w:num>
  <w:num w:numId="44" w16cid:durableId="2129742327">
    <w:abstractNumId w:val="34"/>
  </w:num>
  <w:num w:numId="45" w16cid:durableId="265503695">
    <w:abstractNumId w:val="17"/>
  </w:num>
  <w:num w:numId="46" w16cid:durableId="879900650">
    <w:abstractNumId w:val="65"/>
  </w:num>
  <w:num w:numId="47" w16cid:durableId="774402852">
    <w:abstractNumId w:val="67"/>
  </w:num>
  <w:num w:numId="48" w16cid:durableId="699352925">
    <w:abstractNumId w:val="36"/>
  </w:num>
  <w:num w:numId="49" w16cid:durableId="645354270">
    <w:abstractNumId w:val="64"/>
  </w:num>
  <w:num w:numId="50" w16cid:durableId="60449617">
    <w:abstractNumId w:val="15"/>
  </w:num>
  <w:num w:numId="51" w16cid:durableId="914583458">
    <w:abstractNumId w:val="32"/>
  </w:num>
  <w:num w:numId="52" w16cid:durableId="1108894381">
    <w:abstractNumId w:val="38"/>
  </w:num>
  <w:num w:numId="53" w16cid:durableId="536041427">
    <w:abstractNumId w:val="22"/>
  </w:num>
  <w:num w:numId="54" w16cid:durableId="2127386455">
    <w:abstractNumId w:val="4"/>
  </w:num>
  <w:num w:numId="55" w16cid:durableId="864901956">
    <w:abstractNumId w:val="20"/>
  </w:num>
  <w:num w:numId="56" w16cid:durableId="579219614">
    <w:abstractNumId w:val="9"/>
  </w:num>
  <w:num w:numId="57" w16cid:durableId="1974170591">
    <w:abstractNumId w:val="33"/>
  </w:num>
  <w:num w:numId="58" w16cid:durableId="1165243605">
    <w:abstractNumId w:val="21"/>
  </w:num>
  <w:num w:numId="59" w16cid:durableId="303707211">
    <w:abstractNumId w:val="19"/>
  </w:num>
  <w:num w:numId="60" w16cid:durableId="1658067969">
    <w:abstractNumId w:val="31"/>
  </w:num>
  <w:num w:numId="61" w16cid:durableId="1839885661">
    <w:abstractNumId w:val="54"/>
  </w:num>
  <w:num w:numId="62" w16cid:durableId="383213688">
    <w:abstractNumId w:val="23"/>
  </w:num>
  <w:num w:numId="63" w16cid:durableId="884944530">
    <w:abstractNumId w:val="30"/>
  </w:num>
  <w:num w:numId="64" w16cid:durableId="454713489">
    <w:abstractNumId w:val="16"/>
  </w:num>
  <w:num w:numId="65" w16cid:durableId="730806615">
    <w:abstractNumId w:val="14"/>
  </w:num>
  <w:num w:numId="66" w16cid:durableId="762645412">
    <w:abstractNumId w:val="10"/>
  </w:num>
  <w:num w:numId="67" w16cid:durableId="2061439697">
    <w:abstractNumId w:val="8"/>
  </w:num>
  <w:num w:numId="68" w16cid:durableId="1837918786">
    <w:abstractNumId w:val="35"/>
  </w:num>
  <w:num w:numId="69" w16cid:durableId="1211070290">
    <w:abstractNumId w:val="69"/>
  </w:num>
  <w:num w:numId="70" w16cid:durableId="827137878">
    <w:abstractNumId w:val="28"/>
  </w:num>
  <w:num w:numId="71" w16cid:durableId="1273591169">
    <w:abstractNumId w:val="26"/>
  </w:num>
  <w:num w:numId="72" w16cid:durableId="200171014">
    <w:abstractNumId w:val="6"/>
  </w:num>
  <w:num w:numId="73" w16cid:durableId="324211321">
    <w:abstractNumId w:val="63"/>
  </w:num>
  <w:num w:numId="74" w16cid:durableId="1576285598">
    <w:abstractNumId w:val="63"/>
  </w:num>
  <w:num w:numId="75" w16cid:durableId="346448570">
    <w:abstractNumId w:val="63"/>
  </w:num>
  <w:num w:numId="76" w16cid:durableId="1941253754">
    <w:abstractNumId w:val="63"/>
  </w:num>
  <w:num w:numId="77" w16cid:durableId="2128040891">
    <w:abstractNumId w:val="63"/>
  </w:num>
  <w:num w:numId="78" w16cid:durableId="2106001745">
    <w:abstractNumId w:val="63"/>
  </w:num>
  <w:num w:numId="79" w16cid:durableId="2014062779">
    <w:abstractNumId w:val="63"/>
  </w:num>
  <w:num w:numId="80" w16cid:durableId="776293731">
    <w:abstractNumId w:val="63"/>
  </w:num>
  <w:num w:numId="81" w16cid:durableId="981230876">
    <w:abstractNumId w:val="63"/>
  </w:num>
  <w:num w:numId="82" w16cid:durableId="474025521">
    <w:abstractNumId w:val="6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activeWritingStyle w:appName="MSWord" w:lang="fr-FR" w:vendorID="64" w:dllVersion="6" w:nlCheck="1" w:checkStyle="0"/>
  <w:activeWritingStyle w:appName="MSWord" w:lang="en-AU" w:vendorID="64" w:dllVersion="6" w:nlCheck="1" w:checkStyle="1"/>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F75"/>
    <w:rsid w:val="00000344"/>
    <w:rsid w:val="000003C5"/>
    <w:rsid w:val="00000A68"/>
    <w:rsid w:val="00001325"/>
    <w:rsid w:val="000013FA"/>
    <w:rsid w:val="00001548"/>
    <w:rsid w:val="0000189C"/>
    <w:rsid w:val="00001B86"/>
    <w:rsid w:val="00001BEC"/>
    <w:rsid w:val="00001E6D"/>
    <w:rsid w:val="00002115"/>
    <w:rsid w:val="00002131"/>
    <w:rsid w:val="00002140"/>
    <w:rsid w:val="000022C4"/>
    <w:rsid w:val="0000241F"/>
    <w:rsid w:val="000029C0"/>
    <w:rsid w:val="00002D85"/>
    <w:rsid w:val="00002F1B"/>
    <w:rsid w:val="000033E7"/>
    <w:rsid w:val="00003C0C"/>
    <w:rsid w:val="00003DD5"/>
    <w:rsid w:val="00003EBB"/>
    <w:rsid w:val="000040C5"/>
    <w:rsid w:val="00004394"/>
    <w:rsid w:val="000043D4"/>
    <w:rsid w:val="0000507D"/>
    <w:rsid w:val="00005655"/>
    <w:rsid w:val="0000580F"/>
    <w:rsid w:val="00005865"/>
    <w:rsid w:val="00005B0B"/>
    <w:rsid w:val="00005E72"/>
    <w:rsid w:val="0000646D"/>
    <w:rsid w:val="000065AC"/>
    <w:rsid w:val="000065CD"/>
    <w:rsid w:val="000067F0"/>
    <w:rsid w:val="00006852"/>
    <w:rsid w:val="00006CA9"/>
    <w:rsid w:val="00006F91"/>
    <w:rsid w:val="00007050"/>
    <w:rsid w:val="00007A6F"/>
    <w:rsid w:val="00007BFC"/>
    <w:rsid w:val="00007DEF"/>
    <w:rsid w:val="000100D8"/>
    <w:rsid w:val="00010643"/>
    <w:rsid w:val="000109D6"/>
    <w:rsid w:val="00010EE5"/>
    <w:rsid w:val="00010F4C"/>
    <w:rsid w:val="000113EC"/>
    <w:rsid w:val="00011781"/>
    <w:rsid w:val="0001190E"/>
    <w:rsid w:val="00011A56"/>
    <w:rsid w:val="00011EB1"/>
    <w:rsid w:val="0001232B"/>
    <w:rsid w:val="000123AB"/>
    <w:rsid w:val="0001240B"/>
    <w:rsid w:val="000124D2"/>
    <w:rsid w:val="000124D8"/>
    <w:rsid w:val="00012566"/>
    <w:rsid w:val="0001258F"/>
    <w:rsid w:val="0001280B"/>
    <w:rsid w:val="000128E9"/>
    <w:rsid w:val="000129F6"/>
    <w:rsid w:val="00012B80"/>
    <w:rsid w:val="00012FAD"/>
    <w:rsid w:val="000130E1"/>
    <w:rsid w:val="0001328B"/>
    <w:rsid w:val="0001368A"/>
    <w:rsid w:val="0001370A"/>
    <w:rsid w:val="0001434F"/>
    <w:rsid w:val="00014615"/>
    <w:rsid w:val="000147EB"/>
    <w:rsid w:val="00015136"/>
    <w:rsid w:val="000154AF"/>
    <w:rsid w:val="00015590"/>
    <w:rsid w:val="0001572D"/>
    <w:rsid w:val="0001588C"/>
    <w:rsid w:val="00015939"/>
    <w:rsid w:val="00015C2A"/>
    <w:rsid w:val="00015CA1"/>
    <w:rsid w:val="00015D3B"/>
    <w:rsid w:val="00016131"/>
    <w:rsid w:val="0001623A"/>
    <w:rsid w:val="0001627B"/>
    <w:rsid w:val="000164FA"/>
    <w:rsid w:val="00016823"/>
    <w:rsid w:val="00016B89"/>
    <w:rsid w:val="00016E27"/>
    <w:rsid w:val="000172F7"/>
    <w:rsid w:val="000174E9"/>
    <w:rsid w:val="00017BB4"/>
    <w:rsid w:val="000201F5"/>
    <w:rsid w:val="00020A9A"/>
    <w:rsid w:val="000214CC"/>
    <w:rsid w:val="000214EF"/>
    <w:rsid w:val="00021698"/>
    <w:rsid w:val="00021EC8"/>
    <w:rsid w:val="00021F94"/>
    <w:rsid w:val="0002226D"/>
    <w:rsid w:val="0002231F"/>
    <w:rsid w:val="0002239B"/>
    <w:rsid w:val="00022527"/>
    <w:rsid w:val="0002267F"/>
    <w:rsid w:val="00022700"/>
    <w:rsid w:val="000232D1"/>
    <w:rsid w:val="000234D5"/>
    <w:rsid w:val="00023791"/>
    <w:rsid w:val="000238E0"/>
    <w:rsid w:val="00023DF7"/>
    <w:rsid w:val="00024145"/>
    <w:rsid w:val="0002433E"/>
    <w:rsid w:val="0002456B"/>
    <w:rsid w:val="000246AF"/>
    <w:rsid w:val="000246DF"/>
    <w:rsid w:val="00024890"/>
    <w:rsid w:val="000248C5"/>
    <w:rsid w:val="00024A53"/>
    <w:rsid w:val="00024B0A"/>
    <w:rsid w:val="00024D2C"/>
    <w:rsid w:val="00024FD1"/>
    <w:rsid w:val="00025214"/>
    <w:rsid w:val="00025581"/>
    <w:rsid w:val="000257D3"/>
    <w:rsid w:val="0002610D"/>
    <w:rsid w:val="00026359"/>
    <w:rsid w:val="000273EA"/>
    <w:rsid w:val="00027550"/>
    <w:rsid w:val="000275CD"/>
    <w:rsid w:val="00027807"/>
    <w:rsid w:val="00027821"/>
    <w:rsid w:val="00027901"/>
    <w:rsid w:val="0002794F"/>
    <w:rsid w:val="00027C43"/>
    <w:rsid w:val="00030161"/>
    <w:rsid w:val="00030166"/>
    <w:rsid w:val="00030328"/>
    <w:rsid w:val="00030830"/>
    <w:rsid w:val="0003096F"/>
    <w:rsid w:val="00030BA0"/>
    <w:rsid w:val="00030E97"/>
    <w:rsid w:val="000310EC"/>
    <w:rsid w:val="00031474"/>
    <w:rsid w:val="0003151B"/>
    <w:rsid w:val="00031647"/>
    <w:rsid w:val="000316C1"/>
    <w:rsid w:val="000316E1"/>
    <w:rsid w:val="000317E4"/>
    <w:rsid w:val="00031E68"/>
    <w:rsid w:val="0003234B"/>
    <w:rsid w:val="000326F0"/>
    <w:rsid w:val="000329C3"/>
    <w:rsid w:val="00032BE6"/>
    <w:rsid w:val="000331F4"/>
    <w:rsid w:val="00033292"/>
    <w:rsid w:val="0003330D"/>
    <w:rsid w:val="000333FF"/>
    <w:rsid w:val="00033685"/>
    <w:rsid w:val="00033C60"/>
    <w:rsid w:val="00033EEE"/>
    <w:rsid w:val="00034833"/>
    <w:rsid w:val="000348D4"/>
    <w:rsid w:val="00034CCD"/>
    <w:rsid w:val="00034E9B"/>
    <w:rsid w:val="00034FEB"/>
    <w:rsid w:val="000350D6"/>
    <w:rsid w:val="0003571B"/>
    <w:rsid w:val="00035767"/>
    <w:rsid w:val="000357AD"/>
    <w:rsid w:val="000357F5"/>
    <w:rsid w:val="00035878"/>
    <w:rsid w:val="0003596F"/>
    <w:rsid w:val="00035B4F"/>
    <w:rsid w:val="00035C5D"/>
    <w:rsid w:val="0003610E"/>
    <w:rsid w:val="00036562"/>
    <w:rsid w:val="00036758"/>
    <w:rsid w:val="0003682E"/>
    <w:rsid w:val="00036C78"/>
    <w:rsid w:val="00036DD8"/>
    <w:rsid w:val="00037014"/>
    <w:rsid w:val="0003701F"/>
    <w:rsid w:val="000370B0"/>
    <w:rsid w:val="00037307"/>
    <w:rsid w:val="000374E2"/>
    <w:rsid w:val="0003770C"/>
    <w:rsid w:val="00037725"/>
    <w:rsid w:val="0003775C"/>
    <w:rsid w:val="000377EB"/>
    <w:rsid w:val="000379A4"/>
    <w:rsid w:val="00037B5C"/>
    <w:rsid w:val="00037F30"/>
    <w:rsid w:val="00037F3B"/>
    <w:rsid w:val="00037F8D"/>
    <w:rsid w:val="00040270"/>
    <w:rsid w:val="00040296"/>
    <w:rsid w:val="000403DC"/>
    <w:rsid w:val="00040838"/>
    <w:rsid w:val="00040B1D"/>
    <w:rsid w:val="00040F56"/>
    <w:rsid w:val="00040F5E"/>
    <w:rsid w:val="000413CA"/>
    <w:rsid w:val="000413E6"/>
    <w:rsid w:val="000415FD"/>
    <w:rsid w:val="000419AF"/>
    <w:rsid w:val="00041C4B"/>
    <w:rsid w:val="00041CA5"/>
    <w:rsid w:val="000426D2"/>
    <w:rsid w:val="00042780"/>
    <w:rsid w:val="0004293D"/>
    <w:rsid w:val="0004297C"/>
    <w:rsid w:val="00042EBB"/>
    <w:rsid w:val="00043064"/>
    <w:rsid w:val="000433E1"/>
    <w:rsid w:val="0004350B"/>
    <w:rsid w:val="00043646"/>
    <w:rsid w:val="00043AE2"/>
    <w:rsid w:val="00043B2E"/>
    <w:rsid w:val="00043F55"/>
    <w:rsid w:val="0004430E"/>
    <w:rsid w:val="000443B1"/>
    <w:rsid w:val="000446BC"/>
    <w:rsid w:val="0004494F"/>
    <w:rsid w:val="00044A5F"/>
    <w:rsid w:val="00044AEF"/>
    <w:rsid w:val="00044D0B"/>
    <w:rsid w:val="00044F1E"/>
    <w:rsid w:val="00045209"/>
    <w:rsid w:val="00045584"/>
    <w:rsid w:val="00045DCB"/>
    <w:rsid w:val="00045E0F"/>
    <w:rsid w:val="000460E0"/>
    <w:rsid w:val="0004610E"/>
    <w:rsid w:val="00046690"/>
    <w:rsid w:val="00046767"/>
    <w:rsid w:val="00046C14"/>
    <w:rsid w:val="00046E35"/>
    <w:rsid w:val="00046E48"/>
    <w:rsid w:val="00047044"/>
    <w:rsid w:val="0004774A"/>
    <w:rsid w:val="0004796B"/>
    <w:rsid w:val="00047BA3"/>
    <w:rsid w:val="00050A60"/>
    <w:rsid w:val="00050D7B"/>
    <w:rsid w:val="00050DD9"/>
    <w:rsid w:val="0005116F"/>
    <w:rsid w:val="00051370"/>
    <w:rsid w:val="0005160B"/>
    <w:rsid w:val="000518FE"/>
    <w:rsid w:val="00051B9A"/>
    <w:rsid w:val="00051C49"/>
    <w:rsid w:val="00051F98"/>
    <w:rsid w:val="0005200C"/>
    <w:rsid w:val="00052021"/>
    <w:rsid w:val="000524F8"/>
    <w:rsid w:val="00052DDB"/>
    <w:rsid w:val="000531BC"/>
    <w:rsid w:val="000535C8"/>
    <w:rsid w:val="0005364B"/>
    <w:rsid w:val="00053C51"/>
    <w:rsid w:val="00053ECB"/>
    <w:rsid w:val="000540B6"/>
    <w:rsid w:val="00054476"/>
    <w:rsid w:val="000544D3"/>
    <w:rsid w:val="0005479B"/>
    <w:rsid w:val="0005481E"/>
    <w:rsid w:val="000549DA"/>
    <w:rsid w:val="00054A54"/>
    <w:rsid w:val="00054DF2"/>
    <w:rsid w:val="00055040"/>
    <w:rsid w:val="00055154"/>
    <w:rsid w:val="000551D0"/>
    <w:rsid w:val="00055CF7"/>
    <w:rsid w:val="0005602E"/>
    <w:rsid w:val="00056299"/>
    <w:rsid w:val="00056ACE"/>
    <w:rsid w:val="00056AEF"/>
    <w:rsid w:val="000573F8"/>
    <w:rsid w:val="00057724"/>
    <w:rsid w:val="00057E8E"/>
    <w:rsid w:val="0006008F"/>
    <w:rsid w:val="00060135"/>
    <w:rsid w:val="000601C8"/>
    <w:rsid w:val="00060673"/>
    <w:rsid w:val="000606D6"/>
    <w:rsid w:val="0006099E"/>
    <w:rsid w:val="000617FF"/>
    <w:rsid w:val="0006223B"/>
    <w:rsid w:val="00062BE6"/>
    <w:rsid w:val="00063014"/>
    <w:rsid w:val="0006322B"/>
    <w:rsid w:val="000633A7"/>
    <w:rsid w:val="000633AC"/>
    <w:rsid w:val="00063505"/>
    <w:rsid w:val="0006397A"/>
    <w:rsid w:val="00063C9E"/>
    <w:rsid w:val="00063E19"/>
    <w:rsid w:val="00064549"/>
    <w:rsid w:val="00064E1F"/>
    <w:rsid w:val="00065604"/>
    <w:rsid w:val="0006563F"/>
    <w:rsid w:val="00065916"/>
    <w:rsid w:val="00065C69"/>
    <w:rsid w:val="00065E36"/>
    <w:rsid w:val="00066193"/>
    <w:rsid w:val="0006626D"/>
    <w:rsid w:val="00066273"/>
    <w:rsid w:val="00066302"/>
    <w:rsid w:val="00066D6B"/>
    <w:rsid w:val="00067094"/>
    <w:rsid w:val="0006739E"/>
    <w:rsid w:val="000673D0"/>
    <w:rsid w:val="00067748"/>
    <w:rsid w:val="00067777"/>
    <w:rsid w:val="000679CA"/>
    <w:rsid w:val="00067B40"/>
    <w:rsid w:val="00067E02"/>
    <w:rsid w:val="00067F41"/>
    <w:rsid w:val="000701E8"/>
    <w:rsid w:val="00070254"/>
    <w:rsid w:val="000704A7"/>
    <w:rsid w:val="0007074D"/>
    <w:rsid w:val="00070876"/>
    <w:rsid w:val="00070886"/>
    <w:rsid w:val="00070ABA"/>
    <w:rsid w:val="00070B93"/>
    <w:rsid w:val="0007109E"/>
    <w:rsid w:val="00071311"/>
    <w:rsid w:val="000713C0"/>
    <w:rsid w:val="0007169E"/>
    <w:rsid w:val="000716C5"/>
    <w:rsid w:val="0007199E"/>
    <w:rsid w:val="00071BE3"/>
    <w:rsid w:val="00071E5D"/>
    <w:rsid w:val="00071E94"/>
    <w:rsid w:val="00071E9B"/>
    <w:rsid w:val="00072191"/>
    <w:rsid w:val="00072491"/>
    <w:rsid w:val="00072827"/>
    <w:rsid w:val="00072EE7"/>
    <w:rsid w:val="00072FEB"/>
    <w:rsid w:val="000730F7"/>
    <w:rsid w:val="00073718"/>
    <w:rsid w:val="0007386B"/>
    <w:rsid w:val="000738FE"/>
    <w:rsid w:val="00073A82"/>
    <w:rsid w:val="00073B9C"/>
    <w:rsid w:val="00073ED5"/>
    <w:rsid w:val="0007413D"/>
    <w:rsid w:val="00074818"/>
    <w:rsid w:val="00074AE5"/>
    <w:rsid w:val="00074B07"/>
    <w:rsid w:val="00074C7F"/>
    <w:rsid w:val="00074F86"/>
    <w:rsid w:val="00075235"/>
    <w:rsid w:val="00075267"/>
    <w:rsid w:val="000756DC"/>
    <w:rsid w:val="0007573A"/>
    <w:rsid w:val="00075A73"/>
    <w:rsid w:val="00075C6D"/>
    <w:rsid w:val="00075DCF"/>
    <w:rsid w:val="00076D32"/>
    <w:rsid w:val="00076E07"/>
    <w:rsid w:val="00077225"/>
    <w:rsid w:val="00077764"/>
    <w:rsid w:val="0007777D"/>
    <w:rsid w:val="00077B5D"/>
    <w:rsid w:val="00077C90"/>
    <w:rsid w:val="00077DC8"/>
    <w:rsid w:val="00077ECD"/>
    <w:rsid w:val="00080695"/>
    <w:rsid w:val="00080DCF"/>
    <w:rsid w:val="00080E8C"/>
    <w:rsid w:val="00080F17"/>
    <w:rsid w:val="000811DC"/>
    <w:rsid w:val="000812B5"/>
    <w:rsid w:val="000813D3"/>
    <w:rsid w:val="00081531"/>
    <w:rsid w:val="000819CA"/>
    <w:rsid w:val="000819F3"/>
    <w:rsid w:val="00081AAF"/>
    <w:rsid w:val="00081CCB"/>
    <w:rsid w:val="00081CDB"/>
    <w:rsid w:val="00081D28"/>
    <w:rsid w:val="00081E37"/>
    <w:rsid w:val="00082019"/>
    <w:rsid w:val="0008201E"/>
    <w:rsid w:val="000825B5"/>
    <w:rsid w:val="00082EE8"/>
    <w:rsid w:val="000831F6"/>
    <w:rsid w:val="00083545"/>
    <w:rsid w:val="00083684"/>
    <w:rsid w:val="0008380D"/>
    <w:rsid w:val="000839B8"/>
    <w:rsid w:val="00083A66"/>
    <w:rsid w:val="00083E43"/>
    <w:rsid w:val="0008409E"/>
    <w:rsid w:val="00084568"/>
    <w:rsid w:val="000846CB"/>
    <w:rsid w:val="00084DE2"/>
    <w:rsid w:val="00084E27"/>
    <w:rsid w:val="0008502B"/>
    <w:rsid w:val="00086378"/>
    <w:rsid w:val="000864CC"/>
    <w:rsid w:val="0008697D"/>
    <w:rsid w:val="00086F04"/>
    <w:rsid w:val="0008721B"/>
    <w:rsid w:val="0008725B"/>
    <w:rsid w:val="000877E8"/>
    <w:rsid w:val="0008789E"/>
    <w:rsid w:val="00087EAB"/>
    <w:rsid w:val="0009000A"/>
    <w:rsid w:val="00090328"/>
    <w:rsid w:val="000908B7"/>
    <w:rsid w:val="00091081"/>
    <w:rsid w:val="0009108E"/>
    <w:rsid w:val="000911A4"/>
    <w:rsid w:val="000916AA"/>
    <w:rsid w:val="00091923"/>
    <w:rsid w:val="000919FB"/>
    <w:rsid w:val="00091B17"/>
    <w:rsid w:val="00091E0A"/>
    <w:rsid w:val="000920EB"/>
    <w:rsid w:val="0009221F"/>
    <w:rsid w:val="00092428"/>
    <w:rsid w:val="00092452"/>
    <w:rsid w:val="000928C7"/>
    <w:rsid w:val="00092F61"/>
    <w:rsid w:val="0009300E"/>
    <w:rsid w:val="00093161"/>
    <w:rsid w:val="0009317B"/>
    <w:rsid w:val="000934F3"/>
    <w:rsid w:val="00093667"/>
    <w:rsid w:val="0009385C"/>
    <w:rsid w:val="00093F18"/>
    <w:rsid w:val="000940DC"/>
    <w:rsid w:val="00094198"/>
    <w:rsid w:val="000944B0"/>
    <w:rsid w:val="00094593"/>
    <w:rsid w:val="000947AF"/>
    <w:rsid w:val="00094A17"/>
    <w:rsid w:val="000956CD"/>
    <w:rsid w:val="00095B1C"/>
    <w:rsid w:val="00095B48"/>
    <w:rsid w:val="00095DBF"/>
    <w:rsid w:val="00095DD7"/>
    <w:rsid w:val="000962AE"/>
    <w:rsid w:val="000963D2"/>
    <w:rsid w:val="000965A5"/>
    <w:rsid w:val="000966F5"/>
    <w:rsid w:val="000966F6"/>
    <w:rsid w:val="0009683F"/>
    <w:rsid w:val="00096B34"/>
    <w:rsid w:val="000970BE"/>
    <w:rsid w:val="00097124"/>
    <w:rsid w:val="00097126"/>
    <w:rsid w:val="0009752F"/>
    <w:rsid w:val="0009795B"/>
    <w:rsid w:val="00097A3A"/>
    <w:rsid w:val="00097AE0"/>
    <w:rsid w:val="00097DA3"/>
    <w:rsid w:val="00097DB7"/>
    <w:rsid w:val="000A007E"/>
    <w:rsid w:val="000A0735"/>
    <w:rsid w:val="000A0C73"/>
    <w:rsid w:val="000A100D"/>
    <w:rsid w:val="000A1109"/>
    <w:rsid w:val="000A1171"/>
    <w:rsid w:val="000A1352"/>
    <w:rsid w:val="000A140E"/>
    <w:rsid w:val="000A18AD"/>
    <w:rsid w:val="000A18C0"/>
    <w:rsid w:val="000A1A62"/>
    <w:rsid w:val="000A1E07"/>
    <w:rsid w:val="000A20DD"/>
    <w:rsid w:val="000A227D"/>
    <w:rsid w:val="000A291C"/>
    <w:rsid w:val="000A2AC3"/>
    <w:rsid w:val="000A2ACC"/>
    <w:rsid w:val="000A2B19"/>
    <w:rsid w:val="000A2BC3"/>
    <w:rsid w:val="000A2EB7"/>
    <w:rsid w:val="000A2F0A"/>
    <w:rsid w:val="000A31CE"/>
    <w:rsid w:val="000A3459"/>
    <w:rsid w:val="000A361A"/>
    <w:rsid w:val="000A377B"/>
    <w:rsid w:val="000A37E4"/>
    <w:rsid w:val="000A41D0"/>
    <w:rsid w:val="000A4204"/>
    <w:rsid w:val="000A48FD"/>
    <w:rsid w:val="000A4A22"/>
    <w:rsid w:val="000A4CBD"/>
    <w:rsid w:val="000A4D70"/>
    <w:rsid w:val="000A4E21"/>
    <w:rsid w:val="000A4F7F"/>
    <w:rsid w:val="000A5032"/>
    <w:rsid w:val="000A5202"/>
    <w:rsid w:val="000A52CF"/>
    <w:rsid w:val="000A5688"/>
    <w:rsid w:val="000A5B96"/>
    <w:rsid w:val="000A5C6F"/>
    <w:rsid w:val="000A5C9E"/>
    <w:rsid w:val="000A5E04"/>
    <w:rsid w:val="000A6274"/>
    <w:rsid w:val="000A650C"/>
    <w:rsid w:val="000A672E"/>
    <w:rsid w:val="000A67C5"/>
    <w:rsid w:val="000A6920"/>
    <w:rsid w:val="000A6A83"/>
    <w:rsid w:val="000A6AEA"/>
    <w:rsid w:val="000A6C48"/>
    <w:rsid w:val="000A6CC2"/>
    <w:rsid w:val="000A7016"/>
    <w:rsid w:val="000A7368"/>
    <w:rsid w:val="000A7823"/>
    <w:rsid w:val="000A7942"/>
    <w:rsid w:val="000A7AC6"/>
    <w:rsid w:val="000A7AEC"/>
    <w:rsid w:val="000A7BEE"/>
    <w:rsid w:val="000A7C5D"/>
    <w:rsid w:val="000A7F6C"/>
    <w:rsid w:val="000B054E"/>
    <w:rsid w:val="000B0591"/>
    <w:rsid w:val="000B0980"/>
    <w:rsid w:val="000B09E4"/>
    <w:rsid w:val="000B0BE5"/>
    <w:rsid w:val="000B0C45"/>
    <w:rsid w:val="000B1035"/>
    <w:rsid w:val="000B1037"/>
    <w:rsid w:val="000B11DE"/>
    <w:rsid w:val="000B1609"/>
    <w:rsid w:val="000B1B5C"/>
    <w:rsid w:val="000B1BE8"/>
    <w:rsid w:val="000B2006"/>
    <w:rsid w:val="000B226A"/>
    <w:rsid w:val="000B23CA"/>
    <w:rsid w:val="000B265A"/>
    <w:rsid w:val="000B26AC"/>
    <w:rsid w:val="000B2A29"/>
    <w:rsid w:val="000B2BBF"/>
    <w:rsid w:val="000B2F49"/>
    <w:rsid w:val="000B3009"/>
    <w:rsid w:val="000B326F"/>
    <w:rsid w:val="000B341F"/>
    <w:rsid w:val="000B36B5"/>
    <w:rsid w:val="000B3871"/>
    <w:rsid w:val="000B392D"/>
    <w:rsid w:val="000B40DB"/>
    <w:rsid w:val="000B416E"/>
    <w:rsid w:val="000B4224"/>
    <w:rsid w:val="000B4C5B"/>
    <w:rsid w:val="000B5394"/>
    <w:rsid w:val="000B59C1"/>
    <w:rsid w:val="000B5A60"/>
    <w:rsid w:val="000B5E33"/>
    <w:rsid w:val="000B6167"/>
    <w:rsid w:val="000B6938"/>
    <w:rsid w:val="000B6974"/>
    <w:rsid w:val="000B69EE"/>
    <w:rsid w:val="000B6D3F"/>
    <w:rsid w:val="000B6DC6"/>
    <w:rsid w:val="000B7071"/>
    <w:rsid w:val="000B72D6"/>
    <w:rsid w:val="000B731D"/>
    <w:rsid w:val="000B74DF"/>
    <w:rsid w:val="000B764D"/>
    <w:rsid w:val="000B7700"/>
    <w:rsid w:val="000B7F1D"/>
    <w:rsid w:val="000C00BD"/>
    <w:rsid w:val="000C0757"/>
    <w:rsid w:val="000C0B38"/>
    <w:rsid w:val="000C16AF"/>
    <w:rsid w:val="000C16D9"/>
    <w:rsid w:val="000C1827"/>
    <w:rsid w:val="000C1D53"/>
    <w:rsid w:val="000C1E72"/>
    <w:rsid w:val="000C1FEA"/>
    <w:rsid w:val="000C20BD"/>
    <w:rsid w:val="000C256D"/>
    <w:rsid w:val="000C277D"/>
    <w:rsid w:val="000C2A10"/>
    <w:rsid w:val="000C30CE"/>
    <w:rsid w:val="000C3681"/>
    <w:rsid w:val="000C3931"/>
    <w:rsid w:val="000C41A8"/>
    <w:rsid w:val="000C48BC"/>
    <w:rsid w:val="000C4C1F"/>
    <w:rsid w:val="000C4CC6"/>
    <w:rsid w:val="000C4D9C"/>
    <w:rsid w:val="000C5336"/>
    <w:rsid w:val="000C535F"/>
    <w:rsid w:val="000C58F7"/>
    <w:rsid w:val="000C5AA2"/>
    <w:rsid w:val="000C5DBD"/>
    <w:rsid w:val="000C5DCD"/>
    <w:rsid w:val="000C5E94"/>
    <w:rsid w:val="000C6054"/>
    <w:rsid w:val="000C6379"/>
    <w:rsid w:val="000C673B"/>
    <w:rsid w:val="000C675B"/>
    <w:rsid w:val="000C6E5B"/>
    <w:rsid w:val="000C6F84"/>
    <w:rsid w:val="000C6FC5"/>
    <w:rsid w:val="000C702D"/>
    <w:rsid w:val="000C75BB"/>
    <w:rsid w:val="000C77E0"/>
    <w:rsid w:val="000C79C1"/>
    <w:rsid w:val="000C7A72"/>
    <w:rsid w:val="000D00D0"/>
    <w:rsid w:val="000D017D"/>
    <w:rsid w:val="000D02F3"/>
    <w:rsid w:val="000D04B4"/>
    <w:rsid w:val="000D0AEE"/>
    <w:rsid w:val="000D0B22"/>
    <w:rsid w:val="000D0BD8"/>
    <w:rsid w:val="000D0C45"/>
    <w:rsid w:val="000D0D8C"/>
    <w:rsid w:val="000D14AE"/>
    <w:rsid w:val="000D1719"/>
    <w:rsid w:val="000D1730"/>
    <w:rsid w:val="000D192E"/>
    <w:rsid w:val="000D219A"/>
    <w:rsid w:val="000D2500"/>
    <w:rsid w:val="000D271B"/>
    <w:rsid w:val="000D27EA"/>
    <w:rsid w:val="000D2B17"/>
    <w:rsid w:val="000D2C2D"/>
    <w:rsid w:val="000D3069"/>
    <w:rsid w:val="000D3949"/>
    <w:rsid w:val="000D3964"/>
    <w:rsid w:val="000D3AD5"/>
    <w:rsid w:val="000D3B2B"/>
    <w:rsid w:val="000D3BCB"/>
    <w:rsid w:val="000D3C7A"/>
    <w:rsid w:val="000D3F0A"/>
    <w:rsid w:val="000D420B"/>
    <w:rsid w:val="000D4510"/>
    <w:rsid w:val="000D4560"/>
    <w:rsid w:val="000D4B5D"/>
    <w:rsid w:val="000D4D03"/>
    <w:rsid w:val="000D5146"/>
    <w:rsid w:val="000D5206"/>
    <w:rsid w:val="000D52A1"/>
    <w:rsid w:val="000D549C"/>
    <w:rsid w:val="000D5C6D"/>
    <w:rsid w:val="000D6111"/>
    <w:rsid w:val="000D6281"/>
    <w:rsid w:val="000D62D4"/>
    <w:rsid w:val="000D6BF4"/>
    <w:rsid w:val="000D6D19"/>
    <w:rsid w:val="000D7784"/>
    <w:rsid w:val="000D787A"/>
    <w:rsid w:val="000D78F7"/>
    <w:rsid w:val="000D7A92"/>
    <w:rsid w:val="000D7BFB"/>
    <w:rsid w:val="000D7D7F"/>
    <w:rsid w:val="000D7E76"/>
    <w:rsid w:val="000D7EB7"/>
    <w:rsid w:val="000E016C"/>
    <w:rsid w:val="000E020F"/>
    <w:rsid w:val="000E04C5"/>
    <w:rsid w:val="000E04EA"/>
    <w:rsid w:val="000E076E"/>
    <w:rsid w:val="000E07B8"/>
    <w:rsid w:val="000E0E14"/>
    <w:rsid w:val="000E0E9C"/>
    <w:rsid w:val="000E10E8"/>
    <w:rsid w:val="000E11AB"/>
    <w:rsid w:val="000E1ABC"/>
    <w:rsid w:val="000E1BA8"/>
    <w:rsid w:val="000E1CB7"/>
    <w:rsid w:val="000E1D03"/>
    <w:rsid w:val="000E2657"/>
    <w:rsid w:val="000E292B"/>
    <w:rsid w:val="000E29DC"/>
    <w:rsid w:val="000E2A33"/>
    <w:rsid w:val="000E2A40"/>
    <w:rsid w:val="000E2AC3"/>
    <w:rsid w:val="000E2D55"/>
    <w:rsid w:val="000E2FD2"/>
    <w:rsid w:val="000E33C6"/>
    <w:rsid w:val="000E377F"/>
    <w:rsid w:val="000E3AAB"/>
    <w:rsid w:val="000E3FE5"/>
    <w:rsid w:val="000E4436"/>
    <w:rsid w:val="000E4A52"/>
    <w:rsid w:val="000E4EA5"/>
    <w:rsid w:val="000E5260"/>
    <w:rsid w:val="000E560D"/>
    <w:rsid w:val="000E57A5"/>
    <w:rsid w:val="000E5AE6"/>
    <w:rsid w:val="000E61BA"/>
    <w:rsid w:val="000E659B"/>
    <w:rsid w:val="000E65AF"/>
    <w:rsid w:val="000E685C"/>
    <w:rsid w:val="000E6863"/>
    <w:rsid w:val="000E6F7B"/>
    <w:rsid w:val="000E759A"/>
    <w:rsid w:val="000E7663"/>
    <w:rsid w:val="000E7954"/>
    <w:rsid w:val="000E7FB6"/>
    <w:rsid w:val="000F0160"/>
    <w:rsid w:val="000F02EF"/>
    <w:rsid w:val="000F0C4D"/>
    <w:rsid w:val="000F0EA0"/>
    <w:rsid w:val="000F1442"/>
    <w:rsid w:val="000F1570"/>
    <w:rsid w:val="000F15C3"/>
    <w:rsid w:val="000F1662"/>
    <w:rsid w:val="000F16DF"/>
    <w:rsid w:val="000F1A0E"/>
    <w:rsid w:val="000F2044"/>
    <w:rsid w:val="000F2590"/>
    <w:rsid w:val="000F316A"/>
    <w:rsid w:val="000F37D7"/>
    <w:rsid w:val="000F3831"/>
    <w:rsid w:val="000F3C4D"/>
    <w:rsid w:val="000F3CCE"/>
    <w:rsid w:val="000F41E0"/>
    <w:rsid w:val="000F4325"/>
    <w:rsid w:val="000F4A46"/>
    <w:rsid w:val="000F4B1E"/>
    <w:rsid w:val="000F4B2E"/>
    <w:rsid w:val="000F4C1E"/>
    <w:rsid w:val="000F4D39"/>
    <w:rsid w:val="000F5417"/>
    <w:rsid w:val="000F5833"/>
    <w:rsid w:val="000F58CE"/>
    <w:rsid w:val="000F59DC"/>
    <w:rsid w:val="000F5FB0"/>
    <w:rsid w:val="000F632C"/>
    <w:rsid w:val="000F668C"/>
    <w:rsid w:val="000F66FF"/>
    <w:rsid w:val="000F67B4"/>
    <w:rsid w:val="000F69B3"/>
    <w:rsid w:val="000F7262"/>
    <w:rsid w:val="000F7535"/>
    <w:rsid w:val="000F779A"/>
    <w:rsid w:val="000F7C69"/>
    <w:rsid w:val="000F7E7D"/>
    <w:rsid w:val="00100247"/>
    <w:rsid w:val="0010038D"/>
    <w:rsid w:val="00100563"/>
    <w:rsid w:val="00100DBB"/>
    <w:rsid w:val="0010106C"/>
    <w:rsid w:val="001011E7"/>
    <w:rsid w:val="00101448"/>
    <w:rsid w:val="00101833"/>
    <w:rsid w:val="00101B17"/>
    <w:rsid w:val="0010213F"/>
    <w:rsid w:val="00102564"/>
    <w:rsid w:val="00102886"/>
    <w:rsid w:val="00102C3A"/>
    <w:rsid w:val="00102DD8"/>
    <w:rsid w:val="00102F5B"/>
    <w:rsid w:val="0010309B"/>
    <w:rsid w:val="00103284"/>
    <w:rsid w:val="00103318"/>
    <w:rsid w:val="00103457"/>
    <w:rsid w:val="00103572"/>
    <w:rsid w:val="0010359F"/>
    <w:rsid w:val="00103663"/>
    <w:rsid w:val="00103CDF"/>
    <w:rsid w:val="00103E34"/>
    <w:rsid w:val="001040F8"/>
    <w:rsid w:val="00104421"/>
    <w:rsid w:val="0010493F"/>
    <w:rsid w:val="00104B14"/>
    <w:rsid w:val="00104CF1"/>
    <w:rsid w:val="00105502"/>
    <w:rsid w:val="00105666"/>
    <w:rsid w:val="001056A7"/>
    <w:rsid w:val="001057C5"/>
    <w:rsid w:val="00105AD4"/>
    <w:rsid w:val="00105B12"/>
    <w:rsid w:val="00105BDB"/>
    <w:rsid w:val="00105CA3"/>
    <w:rsid w:val="001061D0"/>
    <w:rsid w:val="00106E16"/>
    <w:rsid w:val="0010714E"/>
    <w:rsid w:val="001078B6"/>
    <w:rsid w:val="001079A7"/>
    <w:rsid w:val="00107A37"/>
    <w:rsid w:val="00107DDA"/>
    <w:rsid w:val="001106CD"/>
    <w:rsid w:val="00110896"/>
    <w:rsid w:val="00110A40"/>
    <w:rsid w:val="00110A92"/>
    <w:rsid w:val="00110E54"/>
    <w:rsid w:val="00111009"/>
    <w:rsid w:val="001114E7"/>
    <w:rsid w:val="00111522"/>
    <w:rsid w:val="00111BDA"/>
    <w:rsid w:val="00111C6C"/>
    <w:rsid w:val="00111D0B"/>
    <w:rsid w:val="00112A11"/>
    <w:rsid w:val="001131E0"/>
    <w:rsid w:val="001131FF"/>
    <w:rsid w:val="001132F6"/>
    <w:rsid w:val="00113302"/>
    <w:rsid w:val="001133C5"/>
    <w:rsid w:val="001133EC"/>
    <w:rsid w:val="001138C3"/>
    <w:rsid w:val="001138CD"/>
    <w:rsid w:val="001138D5"/>
    <w:rsid w:val="00113ACE"/>
    <w:rsid w:val="00113DCB"/>
    <w:rsid w:val="00113DCF"/>
    <w:rsid w:val="00113DF8"/>
    <w:rsid w:val="001141C3"/>
    <w:rsid w:val="00114406"/>
    <w:rsid w:val="0011467B"/>
    <w:rsid w:val="00114958"/>
    <w:rsid w:val="0011530B"/>
    <w:rsid w:val="0011543E"/>
    <w:rsid w:val="0011549C"/>
    <w:rsid w:val="00115846"/>
    <w:rsid w:val="00115B8F"/>
    <w:rsid w:val="00115C9E"/>
    <w:rsid w:val="00115FBF"/>
    <w:rsid w:val="00116657"/>
    <w:rsid w:val="001168EE"/>
    <w:rsid w:val="00116D50"/>
    <w:rsid w:val="00116E81"/>
    <w:rsid w:val="00117427"/>
    <w:rsid w:val="00117452"/>
    <w:rsid w:val="00117657"/>
    <w:rsid w:val="001176DB"/>
    <w:rsid w:val="001177A0"/>
    <w:rsid w:val="001178B7"/>
    <w:rsid w:val="00117C59"/>
    <w:rsid w:val="00120654"/>
    <w:rsid w:val="001207EC"/>
    <w:rsid w:val="00120A25"/>
    <w:rsid w:val="00120C5C"/>
    <w:rsid w:val="00120C62"/>
    <w:rsid w:val="00120C76"/>
    <w:rsid w:val="00120EB2"/>
    <w:rsid w:val="00121057"/>
    <w:rsid w:val="00121163"/>
    <w:rsid w:val="001211E4"/>
    <w:rsid w:val="001214D9"/>
    <w:rsid w:val="0012153E"/>
    <w:rsid w:val="0012169D"/>
    <w:rsid w:val="00121729"/>
    <w:rsid w:val="00121955"/>
    <w:rsid w:val="00121CB9"/>
    <w:rsid w:val="00121D8E"/>
    <w:rsid w:val="001220CE"/>
    <w:rsid w:val="00122E0E"/>
    <w:rsid w:val="00122ECE"/>
    <w:rsid w:val="00122F80"/>
    <w:rsid w:val="0012315A"/>
    <w:rsid w:val="00123AD3"/>
    <w:rsid w:val="00123E2C"/>
    <w:rsid w:val="00123F38"/>
    <w:rsid w:val="00124070"/>
    <w:rsid w:val="0012418B"/>
    <w:rsid w:val="00124191"/>
    <w:rsid w:val="001242D1"/>
    <w:rsid w:val="00124303"/>
    <w:rsid w:val="0012471F"/>
    <w:rsid w:val="00124F4A"/>
    <w:rsid w:val="0012518C"/>
    <w:rsid w:val="0012520E"/>
    <w:rsid w:val="001256C2"/>
    <w:rsid w:val="00125763"/>
    <w:rsid w:val="001257EA"/>
    <w:rsid w:val="00125CED"/>
    <w:rsid w:val="001263BF"/>
    <w:rsid w:val="00126409"/>
    <w:rsid w:val="001264CD"/>
    <w:rsid w:val="001268B1"/>
    <w:rsid w:val="00126967"/>
    <w:rsid w:val="001269C0"/>
    <w:rsid w:val="00126AB1"/>
    <w:rsid w:val="00126E12"/>
    <w:rsid w:val="00126E3F"/>
    <w:rsid w:val="001272D1"/>
    <w:rsid w:val="00127B1D"/>
    <w:rsid w:val="00127F36"/>
    <w:rsid w:val="001301F7"/>
    <w:rsid w:val="001306C1"/>
    <w:rsid w:val="001306C6"/>
    <w:rsid w:val="00130826"/>
    <w:rsid w:val="001308DA"/>
    <w:rsid w:val="00130AB4"/>
    <w:rsid w:val="00130E44"/>
    <w:rsid w:val="00130E64"/>
    <w:rsid w:val="001313C9"/>
    <w:rsid w:val="0013180B"/>
    <w:rsid w:val="00131881"/>
    <w:rsid w:val="001318EC"/>
    <w:rsid w:val="00131B23"/>
    <w:rsid w:val="00131C97"/>
    <w:rsid w:val="00131D90"/>
    <w:rsid w:val="001321CF"/>
    <w:rsid w:val="00132A57"/>
    <w:rsid w:val="00132DE4"/>
    <w:rsid w:val="00133205"/>
    <w:rsid w:val="00134001"/>
    <w:rsid w:val="00134222"/>
    <w:rsid w:val="0013437C"/>
    <w:rsid w:val="001353CF"/>
    <w:rsid w:val="00135919"/>
    <w:rsid w:val="00135CC8"/>
    <w:rsid w:val="00135EB4"/>
    <w:rsid w:val="00135ECE"/>
    <w:rsid w:val="00136039"/>
    <w:rsid w:val="0013690A"/>
    <w:rsid w:val="001373D5"/>
    <w:rsid w:val="001374EB"/>
    <w:rsid w:val="001377E6"/>
    <w:rsid w:val="001378C4"/>
    <w:rsid w:val="001379A2"/>
    <w:rsid w:val="00140F22"/>
    <w:rsid w:val="001410DF"/>
    <w:rsid w:val="001411A8"/>
    <w:rsid w:val="0014130E"/>
    <w:rsid w:val="00141600"/>
    <w:rsid w:val="0014167B"/>
    <w:rsid w:val="00141F26"/>
    <w:rsid w:val="00142054"/>
    <w:rsid w:val="0014224F"/>
    <w:rsid w:val="00142306"/>
    <w:rsid w:val="001428FF"/>
    <w:rsid w:val="00142A83"/>
    <w:rsid w:val="00142B64"/>
    <w:rsid w:val="00142C6D"/>
    <w:rsid w:val="00142DC8"/>
    <w:rsid w:val="0014328D"/>
    <w:rsid w:val="0014367C"/>
    <w:rsid w:val="001438F7"/>
    <w:rsid w:val="001439EA"/>
    <w:rsid w:val="00143B03"/>
    <w:rsid w:val="00144194"/>
    <w:rsid w:val="0014446A"/>
    <w:rsid w:val="001444AE"/>
    <w:rsid w:val="00144AF8"/>
    <w:rsid w:val="00144DE0"/>
    <w:rsid w:val="00145043"/>
    <w:rsid w:val="0014521C"/>
    <w:rsid w:val="0014587B"/>
    <w:rsid w:val="00145BA4"/>
    <w:rsid w:val="00145C38"/>
    <w:rsid w:val="00145D49"/>
    <w:rsid w:val="00146198"/>
    <w:rsid w:val="0014673C"/>
    <w:rsid w:val="0014698F"/>
    <w:rsid w:val="00146BA8"/>
    <w:rsid w:val="00146C0C"/>
    <w:rsid w:val="0014700B"/>
    <w:rsid w:val="0014757C"/>
    <w:rsid w:val="0014789E"/>
    <w:rsid w:val="00147BA6"/>
    <w:rsid w:val="00147E08"/>
    <w:rsid w:val="001500E1"/>
    <w:rsid w:val="0015048C"/>
    <w:rsid w:val="00150ABA"/>
    <w:rsid w:val="00150AC6"/>
    <w:rsid w:val="00150B96"/>
    <w:rsid w:val="00150ED9"/>
    <w:rsid w:val="00151677"/>
    <w:rsid w:val="00151773"/>
    <w:rsid w:val="00151976"/>
    <w:rsid w:val="00151A50"/>
    <w:rsid w:val="00151A8C"/>
    <w:rsid w:val="00151C95"/>
    <w:rsid w:val="00152CA6"/>
    <w:rsid w:val="00152EC0"/>
    <w:rsid w:val="001534F9"/>
    <w:rsid w:val="00153500"/>
    <w:rsid w:val="001535A2"/>
    <w:rsid w:val="00153FA8"/>
    <w:rsid w:val="00154024"/>
    <w:rsid w:val="001545C9"/>
    <w:rsid w:val="00154869"/>
    <w:rsid w:val="00154B21"/>
    <w:rsid w:val="00154C2A"/>
    <w:rsid w:val="00154EE9"/>
    <w:rsid w:val="001552CE"/>
    <w:rsid w:val="00155451"/>
    <w:rsid w:val="00155780"/>
    <w:rsid w:val="001557BD"/>
    <w:rsid w:val="001559C4"/>
    <w:rsid w:val="001559D3"/>
    <w:rsid w:val="00155AD8"/>
    <w:rsid w:val="00155B8A"/>
    <w:rsid w:val="00155D48"/>
    <w:rsid w:val="00155F5C"/>
    <w:rsid w:val="00156172"/>
    <w:rsid w:val="001567C9"/>
    <w:rsid w:val="00156AEA"/>
    <w:rsid w:val="0015727E"/>
    <w:rsid w:val="001574D8"/>
    <w:rsid w:val="00157612"/>
    <w:rsid w:val="0015785B"/>
    <w:rsid w:val="00157BD3"/>
    <w:rsid w:val="00157C79"/>
    <w:rsid w:val="00157D68"/>
    <w:rsid w:val="00157F8C"/>
    <w:rsid w:val="0016079E"/>
    <w:rsid w:val="001607B5"/>
    <w:rsid w:val="00160BC2"/>
    <w:rsid w:val="00160CC7"/>
    <w:rsid w:val="00160F95"/>
    <w:rsid w:val="0016139F"/>
    <w:rsid w:val="001614F6"/>
    <w:rsid w:val="001616D3"/>
    <w:rsid w:val="001618B5"/>
    <w:rsid w:val="00161BA7"/>
    <w:rsid w:val="00162265"/>
    <w:rsid w:val="0016235A"/>
    <w:rsid w:val="0016238C"/>
    <w:rsid w:val="001623E3"/>
    <w:rsid w:val="00162BDA"/>
    <w:rsid w:val="00162DE5"/>
    <w:rsid w:val="0016308E"/>
    <w:rsid w:val="0016356A"/>
    <w:rsid w:val="001635C6"/>
    <w:rsid w:val="00163909"/>
    <w:rsid w:val="0016391D"/>
    <w:rsid w:val="00163B89"/>
    <w:rsid w:val="00163C43"/>
    <w:rsid w:val="00163E6F"/>
    <w:rsid w:val="00164254"/>
    <w:rsid w:val="0016446D"/>
    <w:rsid w:val="001647DC"/>
    <w:rsid w:val="00164811"/>
    <w:rsid w:val="00164823"/>
    <w:rsid w:val="00164862"/>
    <w:rsid w:val="0016523A"/>
    <w:rsid w:val="00165DC3"/>
    <w:rsid w:val="00165F6F"/>
    <w:rsid w:val="00166373"/>
    <w:rsid w:val="0016667E"/>
    <w:rsid w:val="00166896"/>
    <w:rsid w:val="00166DBB"/>
    <w:rsid w:val="00166E2E"/>
    <w:rsid w:val="00166F0D"/>
    <w:rsid w:val="001670F8"/>
    <w:rsid w:val="0016745B"/>
    <w:rsid w:val="0016769F"/>
    <w:rsid w:val="00167818"/>
    <w:rsid w:val="001678E4"/>
    <w:rsid w:val="00167C93"/>
    <w:rsid w:val="00167FC5"/>
    <w:rsid w:val="001700E8"/>
    <w:rsid w:val="001703E5"/>
    <w:rsid w:val="001705FD"/>
    <w:rsid w:val="00170618"/>
    <w:rsid w:val="00170781"/>
    <w:rsid w:val="00170A0A"/>
    <w:rsid w:val="00170CB0"/>
    <w:rsid w:val="00170D76"/>
    <w:rsid w:val="001713C1"/>
    <w:rsid w:val="00171C3C"/>
    <w:rsid w:val="00171C75"/>
    <w:rsid w:val="00171D81"/>
    <w:rsid w:val="00172093"/>
    <w:rsid w:val="001720A5"/>
    <w:rsid w:val="00172233"/>
    <w:rsid w:val="00172244"/>
    <w:rsid w:val="0017288D"/>
    <w:rsid w:val="00172DBC"/>
    <w:rsid w:val="00172FAE"/>
    <w:rsid w:val="001733B3"/>
    <w:rsid w:val="0017355B"/>
    <w:rsid w:val="00173678"/>
    <w:rsid w:val="00173765"/>
    <w:rsid w:val="00173C94"/>
    <w:rsid w:val="00173F93"/>
    <w:rsid w:val="0017417C"/>
    <w:rsid w:val="00174CEB"/>
    <w:rsid w:val="00175140"/>
    <w:rsid w:val="00175294"/>
    <w:rsid w:val="00175357"/>
    <w:rsid w:val="00175449"/>
    <w:rsid w:val="0017564F"/>
    <w:rsid w:val="001758D9"/>
    <w:rsid w:val="00175BCC"/>
    <w:rsid w:val="00175BDA"/>
    <w:rsid w:val="00175C95"/>
    <w:rsid w:val="00175CDB"/>
    <w:rsid w:val="00175F41"/>
    <w:rsid w:val="001763EC"/>
    <w:rsid w:val="00176544"/>
    <w:rsid w:val="00176563"/>
    <w:rsid w:val="00176779"/>
    <w:rsid w:val="00176BC2"/>
    <w:rsid w:val="00176BDF"/>
    <w:rsid w:val="00176BEF"/>
    <w:rsid w:val="00176D53"/>
    <w:rsid w:val="00177264"/>
    <w:rsid w:val="001775C4"/>
    <w:rsid w:val="00177757"/>
    <w:rsid w:val="00177B10"/>
    <w:rsid w:val="00177D7E"/>
    <w:rsid w:val="0018050F"/>
    <w:rsid w:val="00180755"/>
    <w:rsid w:val="001807A4"/>
    <w:rsid w:val="0018084D"/>
    <w:rsid w:val="0018089C"/>
    <w:rsid w:val="00180CFD"/>
    <w:rsid w:val="00180D3B"/>
    <w:rsid w:val="00180D49"/>
    <w:rsid w:val="0018111D"/>
    <w:rsid w:val="0018116F"/>
    <w:rsid w:val="0018127F"/>
    <w:rsid w:val="0018133D"/>
    <w:rsid w:val="00181811"/>
    <w:rsid w:val="00181C94"/>
    <w:rsid w:val="0018223F"/>
    <w:rsid w:val="001822EC"/>
    <w:rsid w:val="00182405"/>
    <w:rsid w:val="00182448"/>
    <w:rsid w:val="001828D9"/>
    <w:rsid w:val="00183305"/>
    <w:rsid w:val="001833F5"/>
    <w:rsid w:val="00183572"/>
    <w:rsid w:val="001835B2"/>
    <w:rsid w:val="00183F7D"/>
    <w:rsid w:val="00184130"/>
    <w:rsid w:val="001841F8"/>
    <w:rsid w:val="001842EF"/>
    <w:rsid w:val="001845C0"/>
    <w:rsid w:val="001846D7"/>
    <w:rsid w:val="0018477E"/>
    <w:rsid w:val="00184862"/>
    <w:rsid w:val="001848D5"/>
    <w:rsid w:val="00184C2A"/>
    <w:rsid w:val="0018519D"/>
    <w:rsid w:val="001851CC"/>
    <w:rsid w:val="0018577E"/>
    <w:rsid w:val="00185985"/>
    <w:rsid w:val="00185AD9"/>
    <w:rsid w:val="00185BD9"/>
    <w:rsid w:val="00185DF7"/>
    <w:rsid w:val="00186182"/>
    <w:rsid w:val="00186250"/>
    <w:rsid w:val="0018643F"/>
    <w:rsid w:val="001865AF"/>
    <w:rsid w:val="00186607"/>
    <w:rsid w:val="00186755"/>
    <w:rsid w:val="00186916"/>
    <w:rsid w:val="0018692A"/>
    <w:rsid w:val="00186B18"/>
    <w:rsid w:val="00187937"/>
    <w:rsid w:val="00187CFD"/>
    <w:rsid w:val="00187D5C"/>
    <w:rsid w:val="001905A3"/>
    <w:rsid w:val="00190753"/>
    <w:rsid w:val="00190B3A"/>
    <w:rsid w:val="00190FE5"/>
    <w:rsid w:val="00191379"/>
    <w:rsid w:val="00191F26"/>
    <w:rsid w:val="00192041"/>
    <w:rsid w:val="00192105"/>
    <w:rsid w:val="001923AA"/>
    <w:rsid w:val="001923E6"/>
    <w:rsid w:val="0019243C"/>
    <w:rsid w:val="0019247D"/>
    <w:rsid w:val="001926E7"/>
    <w:rsid w:val="00192EB6"/>
    <w:rsid w:val="001936A9"/>
    <w:rsid w:val="0019381A"/>
    <w:rsid w:val="00193B06"/>
    <w:rsid w:val="00193DB4"/>
    <w:rsid w:val="001941B4"/>
    <w:rsid w:val="00194305"/>
    <w:rsid w:val="0019440A"/>
    <w:rsid w:val="00194C32"/>
    <w:rsid w:val="00194CDE"/>
    <w:rsid w:val="0019505F"/>
    <w:rsid w:val="0019528D"/>
    <w:rsid w:val="001953D3"/>
    <w:rsid w:val="001958BC"/>
    <w:rsid w:val="001962E5"/>
    <w:rsid w:val="001968B3"/>
    <w:rsid w:val="001969F3"/>
    <w:rsid w:val="00196E26"/>
    <w:rsid w:val="001975A3"/>
    <w:rsid w:val="00197777"/>
    <w:rsid w:val="0019780E"/>
    <w:rsid w:val="00197B10"/>
    <w:rsid w:val="001A034D"/>
    <w:rsid w:val="001A055D"/>
    <w:rsid w:val="001A0970"/>
    <w:rsid w:val="001A0CF1"/>
    <w:rsid w:val="001A0D13"/>
    <w:rsid w:val="001A0E8A"/>
    <w:rsid w:val="001A11AE"/>
    <w:rsid w:val="001A1A4B"/>
    <w:rsid w:val="001A1AD2"/>
    <w:rsid w:val="001A1B19"/>
    <w:rsid w:val="001A2005"/>
    <w:rsid w:val="001A209B"/>
    <w:rsid w:val="001A31C3"/>
    <w:rsid w:val="001A34B0"/>
    <w:rsid w:val="001A356E"/>
    <w:rsid w:val="001A37D7"/>
    <w:rsid w:val="001A3C96"/>
    <w:rsid w:val="001A3F20"/>
    <w:rsid w:val="001A42A0"/>
    <w:rsid w:val="001A43AC"/>
    <w:rsid w:val="001A4717"/>
    <w:rsid w:val="001A48BA"/>
    <w:rsid w:val="001A48CC"/>
    <w:rsid w:val="001A521C"/>
    <w:rsid w:val="001A5353"/>
    <w:rsid w:val="001A54BA"/>
    <w:rsid w:val="001A5FC7"/>
    <w:rsid w:val="001A6658"/>
    <w:rsid w:val="001A66B1"/>
    <w:rsid w:val="001A6D2C"/>
    <w:rsid w:val="001A7574"/>
    <w:rsid w:val="001A79B9"/>
    <w:rsid w:val="001A79DA"/>
    <w:rsid w:val="001B0446"/>
    <w:rsid w:val="001B04B3"/>
    <w:rsid w:val="001B09D6"/>
    <w:rsid w:val="001B0A84"/>
    <w:rsid w:val="001B0C88"/>
    <w:rsid w:val="001B0D74"/>
    <w:rsid w:val="001B0D79"/>
    <w:rsid w:val="001B11B1"/>
    <w:rsid w:val="001B122E"/>
    <w:rsid w:val="001B140D"/>
    <w:rsid w:val="001B145B"/>
    <w:rsid w:val="001B1D2B"/>
    <w:rsid w:val="001B1FD6"/>
    <w:rsid w:val="001B20BA"/>
    <w:rsid w:val="001B20D6"/>
    <w:rsid w:val="001B2634"/>
    <w:rsid w:val="001B26F2"/>
    <w:rsid w:val="001B28C1"/>
    <w:rsid w:val="001B2AA1"/>
    <w:rsid w:val="001B2D32"/>
    <w:rsid w:val="001B2F77"/>
    <w:rsid w:val="001B315D"/>
    <w:rsid w:val="001B3359"/>
    <w:rsid w:val="001B33A4"/>
    <w:rsid w:val="001B3463"/>
    <w:rsid w:val="001B3E22"/>
    <w:rsid w:val="001B4093"/>
    <w:rsid w:val="001B42F7"/>
    <w:rsid w:val="001B436D"/>
    <w:rsid w:val="001B4381"/>
    <w:rsid w:val="001B4B95"/>
    <w:rsid w:val="001B4BB4"/>
    <w:rsid w:val="001B4CA1"/>
    <w:rsid w:val="001B5025"/>
    <w:rsid w:val="001B55FF"/>
    <w:rsid w:val="001B5726"/>
    <w:rsid w:val="001B5B97"/>
    <w:rsid w:val="001B5C74"/>
    <w:rsid w:val="001B5CC9"/>
    <w:rsid w:val="001B5E62"/>
    <w:rsid w:val="001B603C"/>
    <w:rsid w:val="001B677C"/>
    <w:rsid w:val="001B6816"/>
    <w:rsid w:val="001B6DF5"/>
    <w:rsid w:val="001B715B"/>
    <w:rsid w:val="001B73AB"/>
    <w:rsid w:val="001B7510"/>
    <w:rsid w:val="001B75F4"/>
    <w:rsid w:val="001B78B2"/>
    <w:rsid w:val="001B7908"/>
    <w:rsid w:val="001B7A11"/>
    <w:rsid w:val="001B7ECE"/>
    <w:rsid w:val="001C04BF"/>
    <w:rsid w:val="001C05E3"/>
    <w:rsid w:val="001C08F4"/>
    <w:rsid w:val="001C0CD3"/>
    <w:rsid w:val="001C0D6F"/>
    <w:rsid w:val="001C0E4F"/>
    <w:rsid w:val="001C0E6C"/>
    <w:rsid w:val="001C101E"/>
    <w:rsid w:val="001C1477"/>
    <w:rsid w:val="001C1654"/>
    <w:rsid w:val="001C1E49"/>
    <w:rsid w:val="001C278A"/>
    <w:rsid w:val="001C2842"/>
    <w:rsid w:val="001C28D0"/>
    <w:rsid w:val="001C36EE"/>
    <w:rsid w:val="001C3763"/>
    <w:rsid w:val="001C40B0"/>
    <w:rsid w:val="001C4637"/>
    <w:rsid w:val="001C4655"/>
    <w:rsid w:val="001C481D"/>
    <w:rsid w:val="001C4A4F"/>
    <w:rsid w:val="001C562D"/>
    <w:rsid w:val="001C57B4"/>
    <w:rsid w:val="001C5987"/>
    <w:rsid w:val="001C5B7B"/>
    <w:rsid w:val="001C5D4C"/>
    <w:rsid w:val="001C5DE7"/>
    <w:rsid w:val="001C6047"/>
    <w:rsid w:val="001C62D9"/>
    <w:rsid w:val="001C63C9"/>
    <w:rsid w:val="001C6548"/>
    <w:rsid w:val="001C665D"/>
    <w:rsid w:val="001C6943"/>
    <w:rsid w:val="001C6AD3"/>
    <w:rsid w:val="001C6E67"/>
    <w:rsid w:val="001C6E98"/>
    <w:rsid w:val="001C7046"/>
    <w:rsid w:val="001C7212"/>
    <w:rsid w:val="001C76A3"/>
    <w:rsid w:val="001C77AC"/>
    <w:rsid w:val="001C789E"/>
    <w:rsid w:val="001C7B56"/>
    <w:rsid w:val="001D03EF"/>
    <w:rsid w:val="001D0A97"/>
    <w:rsid w:val="001D0EFC"/>
    <w:rsid w:val="001D0F4F"/>
    <w:rsid w:val="001D0F83"/>
    <w:rsid w:val="001D104C"/>
    <w:rsid w:val="001D1139"/>
    <w:rsid w:val="001D1151"/>
    <w:rsid w:val="001D1281"/>
    <w:rsid w:val="001D17CD"/>
    <w:rsid w:val="001D1B4F"/>
    <w:rsid w:val="001D1BBB"/>
    <w:rsid w:val="001D1C0B"/>
    <w:rsid w:val="001D1F83"/>
    <w:rsid w:val="001D20DC"/>
    <w:rsid w:val="001D227D"/>
    <w:rsid w:val="001D2434"/>
    <w:rsid w:val="001D2529"/>
    <w:rsid w:val="001D27BC"/>
    <w:rsid w:val="001D2F71"/>
    <w:rsid w:val="001D363E"/>
    <w:rsid w:val="001D386D"/>
    <w:rsid w:val="001D38AD"/>
    <w:rsid w:val="001D3B94"/>
    <w:rsid w:val="001D3BC9"/>
    <w:rsid w:val="001D3C3E"/>
    <w:rsid w:val="001D3E91"/>
    <w:rsid w:val="001D3F69"/>
    <w:rsid w:val="001D3F7F"/>
    <w:rsid w:val="001D41FD"/>
    <w:rsid w:val="001D43EC"/>
    <w:rsid w:val="001D447A"/>
    <w:rsid w:val="001D506C"/>
    <w:rsid w:val="001D527D"/>
    <w:rsid w:val="001D52F1"/>
    <w:rsid w:val="001D5D19"/>
    <w:rsid w:val="001D5EDD"/>
    <w:rsid w:val="001D5F93"/>
    <w:rsid w:val="001D63B6"/>
    <w:rsid w:val="001D63F5"/>
    <w:rsid w:val="001D6499"/>
    <w:rsid w:val="001D64D3"/>
    <w:rsid w:val="001D66AA"/>
    <w:rsid w:val="001D6765"/>
    <w:rsid w:val="001D6C89"/>
    <w:rsid w:val="001D6D2E"/>
    <w:rsid w:val="001D7125"/>
    <w:rsid w:val="001D7153"/>
    <w:rsid w:val="001D754F"/>
    <w:rsid w:val="001D7C89"/>
    <w:rsid w:val="001D7D03"/>
    <w:rsid w:val="001D7E88"/>
    <w:rsid w:val="001D7FAF"/>
    <w:rsid w:val="001E0871"/>
    <w:rsid w:val="001E0932"/>
    <w:rsid w:val="001E0D92"/>
    <w:rsid w:val="001E0E98"/>
    <w:rsid w:val="001E0EC1"/>
    <w:rsid w:val="001E0F28"/>
    <w:rsid w:val="001E1190"/>
    <w:rsid w:val="001E1ED3"/>
    <w:rsid w:val="001E20B9"/>
    <w:rsid w:val="001E212F"/>
    <w:rsid w:val="001E21D0"/>
    <w:rsid w:val="001E30A8"/>
    <w:rsid w:val="001E333E"/>
    <w:rsid w:val="001E3405"/>
    <w:rsid w:val="001E3BA0"/>
    <w:rsid w:val="001E3DED"/>
    <w:rsid w:val="001E3FC0"/>
    <w:rsid w:val="001E4006"/>
    <w:rsid w:val="001E4025"/>
    <w:rsid w:val="001E440E"/>
    <w:rsid w:val="001E44F7"/>
    <w:rsid w:val="001E457A"/>
    <w:rsid w:val="001E4593"/>
    <w:rsid w:val="001E480A"/>
    <w:rsid w:val="001E4AB1"/>
    <w:rsid w:val="001E4B9D"/>
    <w:rsid w:val="001E4F2E"/>
    <w:rsid w:val="001E52C2"/>
    <w:rsid w:val="001E5489"/>
    <w:rsid w:val="001E5A52"/>
    <w:rsid w:val="001E5F04"/>
    <w:rsid w:val="001E66B2"/>
    <w:rsid w:val="001E6C0D"/>
    <w:rsid w:val="001E6DC2"/>
    <w:rsid w:val="001E7030"/>
    <w:rsid w:val="001E71E0"/>
    <w:rsid w:val="001E7618"/>
    <w:rsid w:val="001E77A2"/>
    <w:rsid w:val="001E7A66"/>
    <w:rsid w:val="001E7AF3"/>
    <w:rsid w:val="001E7E33"/>
    <w:rsid w:val="001E7E9B"/>
    <w:rsid w:val="001E7F0C"/>
    <w:rsid w:val="001F0728"/>
    <w:rsid w:val="001F107B"/>
    <w:rsid w:val="001F10BB"/>
    <w:rsid w:val="001F10CF"/>
    <w:rsid w:val="001F10ED"/>
    <w:rsid w:val="001F11A3"/>
    <w:rsid w:val="001F1252"/>
    <w:rsid w:val="001F1267"/>
    <w:rsid w:val="001F175E"/>
    <w:rsid w:val="001F1BB0"/>
    <w:rsid w:val="001F1D3C"/>
    <w:rsid w:val="001F1E3A"/>
    <w:rsid w:val="001F25A3"/>
    <w:rsid w:val="001F28FA"/>
    <w:rsid w:val="001F2918"/>
    <w:rsid w:val="001F291A"/>
    <w:rsid w:val="001F2D77"/>
    <w:rsid w:val="001F2D80"/>
    <w:rsid w:val="001F2E3E"/>
    <w:rsid w:val="001F2EA1"/>
    <w:rsid w:val="001F2FF8"/>
    <w:rsid w:val="001F3098"/>
    <w:rsid w:val="001F3245"/>
    <w:rsid w:val="001F35D7"/>
    <w:rsid w:val="001F3709"/>
    <w:rsid w:val="001F3CA3"/>
    <w:rsid w:val="001F3E6F"/>
    <w:rsid w:val="001F4094"/>
    <w:rsid w:val="001F4503"/>
    <w:rsid w:val="001F45BD"/>
    <w:rsid w:val="001F4632"/>
    <w:rsid w:val="001F4962"/>
    <w:rsid w:val="001F4AFB"/>
    <w:rsid w:val="001F4F71"/>
    <w:rsid w:val="001F5AA0"/>
    <w:rsid w:val="001F60B0"/>
    <w:rsid w:val="001F6261"/>
    <w:rsid w:val="001F6354"/>
    <w:rsid w:val="001F6560"/>
    <w:rsid w:val="001F69FC"/>
    <w:rsid w:val="001F6A93"/>
    <w:rsid w:val="001F766E"/>
    <w:rsid w:val="001F79EE"/>
    <w:rsid w:val="001F7BDA"/>
    <w:rsid w:val="002000CD"/>
    <w:rsid w:val="00200480"/>
    <w:rsid w:val="00200679"/>
    <w:rsid w:val="00200785"/>
    <w:rsid w:val="002007BB"/>
    <w:rsid w:val="00200848"/>
    <w:rsid w:val="00200853"/>
    <w:rsid w:val="00200DB4"/>
    <w:rsid w:val="0020108A"/>
    <w:rsid w:val="002012EC"/>
    <w:rsid w:val="0020188A"/>
    <w:rsid w:val="002018EE"/>
    <w:rsid w:val="00201AB3"/>
    <w:rsid w:val="0020263B"/>
    <w:rsid w:val="00202A76"/>
    <w:rsid w:val="00202AAC"/>
    <w:rsid w:val="00202EC8"/>
    <w:rsid w:val="00203073"/>
    <w:rsid w:val="00203311"/>
    <w:rsid w:val="002034A2"/>
    <w:rsid w:val="00203512"/>
    <w:rsid w:val="002038E8"/>
    <w:rsid w:val="00203B81"/>
    <w:rsid w:val="00203CFA"/>
    <w:rsid w:val="00203DC4"/>
    <w:rsid w:val="0020457C"/>
    <w:rsid w:val="00204717"/>
    <w:rsid w:val="00204D0B"/>
    <w:rsid w:val="00204E0A"/>
    <w:rsid w:val="00204E78"/>
    <w:rsid w:val="0020549A"/>
    <w:rsid w:val="00205CE9"/>
    <w:rsid w:val="002063BE"/>
    <w:rsid w:val="002067C4"/>
    <w:rsid w:val="0020689C"/>
    <w:rsid w:val="00206B8E"/>
    <w:rsid w:val="00206EFA"/>
    <w:rsid w:val="00207283"/>
    <w:rsid w:val="002078AB"/>
    <w:rsid w:val="00207B7B"/>
    <w:rsid w:val="00210076"/>
    <w:rsid w:val="0021014F"/>
    <w:rsid w:val="0021039C"/>
    <w:rsid w:val="002103AE"/>
    <w:rsid w:val="00210968"/>
    <w:rsid w:val="00210BB3"/>
    <w:rsid w:val="00210C4F"/>
    <w:rsid w:val="00210C8D"/>
    <w:rsid w:val="00210D97"/>
    <w:rsid w:val="00210F0C"/>
    <w:rsid w:val="002113F9"/>
    <w:rsid w:val="00211758"/>
    <w:rsid w:val="00212103"/>
    <w:rsid w:val="002122F4"/>
    <w:rsid w:val="00212752"/>
    <w:rsid w:val="00212BEF"/>
    <w:rsid w:val="00213C3F"/>
    <w:rsid w:val="00213E15"/>
    <w:rsid w:val="0021449D"/>
    <w:rsid w:val="00214DAA"/>
    <w:rsid w:val="00214F27"/>
    <w:rsid w:val="00215116"/>
    <w:rsid w:val="002152B3"/>
    <w:rsid w:val="00215CF0"/>
    <w:rsid w:val="00216180"/>
    <w:rsid w:val="00216250"/>
    <w:rsid w:val="002164E3"/>
    <w:rsid w:val="0021697F"/>
    <w:rsid w:val="00216C5D"/>
    <w:rsid w:val="00216D02"/>
    <w:rsid w:val="00216F07"/>
    <w:rsid w:val="00217304"/>
    <w:rsid w:val="00217355"/>
    <w:rsid w:val="00217650"/>
    <w:rsid w:val="002176D2"/>
    <w:rsid w:val="00217D2C"/>
    <w:rsid w:val="0022027D"/>
    <w:rsid w:val="002204AA"/>
    <w:rsid w:val="00220510"/>
    <w:rsid w:val="0022068D"/>
    <w:rsid w:val="00220F60"/>
    <w:rsid w:val="002210AD"/>
    <w:rsid w:val="00221610"/>
    <w:rsid w:val="0022203A"/>
    <w:rsid w:val="0022209A"/>
    <w:rsid w:val="00222193"/>
    <w:rsid w:val="00222267"/>
    <w:rsid w:val="0022276A"/>
    <w:rsid w:val="00222D52"/>
    <w:rsid w:val="00222DAB"/>
    <w:rsid w:val="00223036"/>
    <w:rsid w:val="0022307D"/>
    <w:rsid w:val="002236E4"/>
    <w:rsid w:val="0022374E"/>
    <w:rsid w:val="00223C3B"/>
    <w:rsid w:val="00223FF9"/>
    <w:rsid w:val="00224468"/>
    <w:rsid w:val="002245E5"/>
    <w:rsid w:val="0022461B"/>
    <w:rsid w:val="0022535D"/>
    <w:rsid w:val="00225604"/>
    <w:rsid w:val="00225681"/>
    <w:rsid w:val="00225C56"/>
    <w:rsid w:val="00226044"/>
    <w:rsid w:val="00226305"/>
    <w:rsid w:val="0022639C"/>
    <w:rsid w:val="002267ED"/>
    <w:rsid w:val="002269DF"/>
    <w:rsid w:val="00226B05"/>
    <w:rsid w:val="0022706D"/>
    <w:rsid w:val="00227345"/>
    <w:rsid w:val="00227555"/>
    <w:rsid w:val="002275A2"/>
    <w:rsid w:val="002276C2"/>
    <w:rsid w:val="00227880"/>
    <w:rsid w:val="0022790E"/>
    <w:rsid w:val="00227CA3"/>
    <w:rsid w:val="00227E6F"/>
    <w:rsid w:val="00227F8C"/>
    <w:rsid w:val="00230470"/>
    <w:rsid w:val="002304A8"/>
    <w:rsid w:val="002309CA"/>
    <w:rsid w:val="00230CD1"/>
    <w:rsid w:val="002313B6"/>
    <w:rsid w:val="0023151E"/>
    <w:rsid w:val="00231AC8"/>
    <w:rsid w:val="00231F55"/>
    <w:rsid w:val="00232061"/>
    <w:rsid w:val="0023262E"/>
    <w:rsid w:val="002326C3"/>
    <w:rsid w:val="002326EB"/>
    <w:rsid w:val="0023279E"/>
    <w:rsid w:val="00232890"/>
    <w:rsid w:val="00232E65"/>
    <w:rsid w:val="00233A9D"/>
    <w:rsid w:val="00233AE0"/>
    <w:rsid w:val="00233CE6"/>
    <w:rsid w:val="00233DF6"/>
    <w:rsid w:val="00233E40"/>
    <w:rsid w:val="002342CF"/>
    <w:rsid w:val="0023454D"/>
    <w:rsid w:val="00234550"/>
    <w:rsid w:val="00234F16"/>
    <w:rsid w:val="002351D8"/>
    <w:rsid w:val="00235652"/>
    <w:rsid w:val="002356AE"/>
    <w:rsid w:val="0023588A"/>
    <w:rsid w:val="00235ACF"/>
    <w:rsid w:val="00235CE6"/>
    <w:rsid w:val="00235DB4"/>
    <w:rsid w:val="00235DB9"/>
    <w:rsid w:val="00235F43"/>
    <w:rsid w:val="00236362"/>
    <w:rsid w:val="00236368"/>
    <w:rsid w:val="00236603"/>
    <w:rsid w:val="00236848"/>
    <w:rsid w:val="00236DF1"/>
    <w:rsid w:val="00236F87"/>
    <w:rsid w:val="002372C7"/>
    <w:rsid w:val="002374E7"/>
    <w:rsid w:val="0023750E"/>
    <w:rsid w:val="00237664"/>
    <w:rsid w:val="00237DA0"/>
    <w:rsid w:val="0024002C"/>
    <w:rsid w:val="002401E1"/>
    <w:rsid w:val="00240365"/>
    <w:rsid w:val="0024078C"/>
    <w:rsid w:val="00240C45"/>
    <w:rsid w:val="00241384"/>
    <w:rsid w:val="00241505"/>
    <w:rsid w:val="002416C9"/>
    <w:rsid w:val="00241715"/>
    <w:rsid w:val="0024196A"/>
    <w:rsid w:val="002419B4"/>
    <w:rsid w:val="00241FF5"/>
    <w:rsid w:val="002421E0"/>
    <w:rsid w:val="0024243E"/>
    <w:rsid w:val="00242698"/>
    <w:rsid w:val="002426BF"/>
    <w:rsid w:val="00242733"/>
    <w:rsid w:val="00242798"/>
    <w:rsid w:val="002429B3"/>
    <w:rsid w:val="00242B41"/>
    <w:rsid w:val="00242F72"/>
    <w:rsid w:val="00243770"/>
    <w:rsid w:val="00243901"/>
    <w:rsid w:val="00243D04"/>
    <w:rsid w:val="00243E93"/>
    <w:rsid w:val="00243EE2"/>
    <w:rsid w:val="00243F17"/>
    <w:rsid w:val="00244182"/>
    <w:rsid w:val="002443A8"/>
    <w:rsid w:val="0024444A"/>
    <w:rsid w:val="00244788"/>
    <w:rsid w:val="002447FE"/>
    <w:rsid w:val="002448CC"/>
    <w:rsid w:val="002449BE"/>
    <w:rsid w:val="00244A89"/>
    <w:rsid w:val="00244ECF"/>
    <w:rsid w:val="00244FE6"/>
    <w:rsid w:val="002450F1"/>
    <w:rsid w:val="00245587"/>
    <w:rsid w:val="00245C44"/>
    <w:rsid w:val="00245D1A"/>
    <w:rsid w:val="00245E8F"/>
    <w:rsid w:val="002465AE"/>
    <w:rsid w:val="002477A8"/>
    <w:rsid w:val="00247869"/>
    <w:rsid w:val="00247942"/>
    <w:rsid w:val="00247D10"/>
    <w:rsid w:val="00247F78"/>
    <w:rsid w:val="00250391"/>
    <w:rsid w:val="00250966"/>
    <w:rsid w:val="00250CE9"/>
    <w:rsid w:val="00250CF4"/>
    <w:rsid w:val="002512D8"/>
    <w:rsid w:val="00251B61"/>
    <w:rsid w:val="00251C7C"/>
    <w:rsid w:val="00251EC0"/>
    <w:rsid w:val="00252117"/>
    <w:rsid w:val="002521AA"/>
    <w:rsid w:val="002521AC"/>
    <w:rsid w:val="002522AB"/>
    <w:rsid w:val="002526D8"/>
    <w:rsid w:val="00253266"/>
    <w:rsid w:val="002533FF"/>
    <w:rsid w:val="0025379F"/>
    <w:rsid w:val="00253B96"/>
    <w:rsid w:val="00253C74"/>
    <w:rsid w:val="00253F24"/>
    <w:rsid w:val="002541F2"/>
    <w:rsid w:val="00254385"/>
    <w:rsid w:val="002544EA"/>
    <w:rsid w:val="00254570"/>
    <w:rsid w:val="0025482A"/>
    <w:rsid w:val="002548DB"/>
    <w:rsid w:val="00254CC3"/>
    <w:rsid w:val="00254CFA"/>
    <w:rsid w:val="0025528C"/>
    <w:rsid w:val="0025533B"/>
    <w:rsid w:val="00255410"/>
    <w:rsid w:val="00255525"/>
    <w:rsid w:val="00255527"/>
    <w:rsid w:val="00255952"/>
    <w:rsid w:val="00255BC6"/>
    <w:rsid w:val="00255FF8"/>
    <w:rsid w:val="002562B2"/>
    <w:rsid w:val="00256699"/>
    <w:rsid w:val="00256C86"/>
    <w:rsid w:val="00256CE6"/>
    <w:rsid w:val="00256DB9"/>
    <w:rsid w:val="00256EDE"/>
    <w:rsid w:val="0025700D"/>
    <w:rsid w:val="00257072"/>
    <w:rsid w:val="00257258"/>
    <w:rsid w:val="00257385"/>
    <w:rsid w:val="00257994"/>
    <w:rsid w:val="00257BC1"/>
    <w:rsid w:val="00257DDB"/>
    <w:rsid w:val="002600E2"/>
    <w:rsid w:val="00260A7A"/>
    <w:rsid w:val="00260B1F"/>
    <w:rsid w:val="00260BAE"/>
    <w:rsid w:val="00260D3E"/>
    <w:rsid w:val="0026116A"/>
    <w:rsid w:val="00261517"/>
    <w:rsid w:val="00261563"/>
    <w:rsid w:val="0026183B"/>
    <w:rsid w:val="0026194A"/>
    <w:rsid w:val="00261A99"/>
    <w:rsid w:val="00261BF7"/>
    <w:rsid w:val="00261C5A"/>
    <w:rsid w:val="002621A1"/>
    <w:rsid w:val="002621CE"/>
    <w:rsid w:val="0026224A"/>
    <w:rsid w:val="002623BF"/>
    <w:rsid w:val="00262403"/>
    <w:rsid w:val="00262528"/>
    <w:rsid w:val="00262591"/>
    <w:rsid w:val="002629EC"/>
    <w:rsid w:val="00262CE1"/>
    <w:rsid w:val="00262D30"/>
    <w:rsid w:val="00262EF6"/>
    <w:rsid w:val="00263758"/>
    <w:rsid w:val="002643C3"/>
    <w:rsid w:val="00264433"/>
    <w:rsid w:val="002646E3"/>
    <w:rsid w:val="002647AA"/>
    <w:rsid w:val="002648EE"/>
    <w:rsid w:val="002648F8"/>
    <w:rsid w:val="002649AE"/>
    <w:rsid w:val="00264BAD"/>
    <w:rsid w:val="00264FE6"/>
    <w:rsid w:val="0026511C"/>
    <w:rsid w:val="00265389"/>
    <w:rsid w:val="00265789"/>
    <w:rsid w:val="00265C58"/>
    <w:rsid w:val="00265DD9"/>
    <w:rsid w:val="00265E71"/>
    <w:rsid w:val="00265F4E"/>
    <w:rsid w:val="00266398"/>
    <w:rsid w:val="002665DF"/>
    <w:rsid w:val="00266603"/>
    <w:rsid w:val="00266725"/>
    <w:rsid w:val="00266901"/>
    <w:rsid w:val="00266A9D"/>
    <w:rsid w:val="00266AE5"/>
    <w:rsid w:val="00266B54"/>
    <w:rsid w:val="00266E8E"/>
    <w:rsid w:val="00266EB6"/>
    <w:rsid w:val="00266F6E"/>
    <w:rsid w:val="00267125"/>
    <w:rsid w:val="00267B13"/>
    <w:rsid w:val="00267CCC"/>
    <w:rsid w:val="0027021D"/>
    <w:rsid w:val="0027077B"/>
    <w:rsid w:val="00270E2C"/>
    <w:rsid w:val="00270FA6"/>
    <w:rsid w:val="0027141F"/>
    <w:rsid w:val="002714CE"/>
    <w:rsid w:val="00271619"/>
    <w:rsid w:val="00271925"/>
    <w:rsid w:val="00271C51"/>
    <w:rsid w:val="00271F2A"/>
    <w:rsid w:val="00271FDB"/>
    <w:rsid w:val="002724C6"/>
    <w:rsid w:val="002727A7"/>
    <w:rsid w:val="00272B1E"/>
    <w:rsid w:val="00272C5E"/>
    <w:rsid w:val="0027303A"/>
    <w:rsid w:val="002734B0"/>
    <w:rsid w:val="00273ADE"/>
    <w:rsid w:val="00273D2F"/>
    <w:rsid w:val="00273ECE"/>
    <w:rsid w:val="00273F8D"/>
    <w:rsid w:val="00274166"/>
    <w:rsid w:val="002744DF"/>
    <w:rsid w:val="0027484A"/>
    <w:rsid w:val="00274B35"/>
    <w:rsid w:val="00274BAD"/>
    <w:rsid w:val="00274DE8"/>
    <w:rsid w:val="00275583"/>
    <w:rsid w:val="00275711"/>
    <w:rsid w:val="00275BC0"/>
    <w:rsid w:val="00275BE9"/>
    <w:rsid w:val="00275C41"/>
    <w:rsid w:val="00275C62"/>
    <w:rsid w:val="00275CCB"/>
    <w:rsid w:val="002767B8"/>
    <w:rsid w:val="00276B36"/>
    <w:rsid w:val="00276E95"/>
    <w:rsid w:val="00277661"/>
    <w:rsid w:val="002779DC"/>
    <w:rsid w:val="002804B8"/>
    <w:rsid w:val="002807E3"/>
    <w:rsid w:val="002807FA"/>
    <w:rsid w:val="00280B26"/>
    <w:rsid w:val="002811CA"/>
    <w:rsid w:val="00281B25"/>
    <w:rsid w:val="00281D94"/>
    <w:rsid w:val="00281DD2"/>
    <w:rsid w:val="00281F0F"/>
    <w:rsid w:val="00281F18"/>
    <w:rsid w:val="00282077"/>
    <w:rsid w:val="0028214E"/>
    <w:rsid w:val="002821B7"/>
    <w:rsid w:val="0028225D"/>
    <w:rsid w:val="00282442"/>
    <w:rsid w:val="0028247E"/>
    <w:rsid w:val="00282767"/>
    <w:rsid w:val="00282B3D"/>
    <w:rsid w:val="00282E76"/>
    <w:rsid w:val="00283028"/>
    <w:rsid w:val="002830C4"/>
    <w:rsid w:val="00283874"/>
    <w:rsid w:val="00283A00"/>
    <w:rsid w:val="00283A1B"/>
    <w:rsid w:val="00284BEF"/>
    <w:rsid w:val="00284D08"/>
    <w:rsid w:val="00284F73"/>
    <w:rsid w:val="002850AF"/>
    <w:rsid w:val="00285177"/>
    <w:rsid w:val="0028585F"/>
    <w:rsid w:val="00285D27"/>
    <w:rsid w:val="002860B5"/>
    <w:rsid w:val="00286183"/>
    <w:rsid w:val="00286433"/>
    <w:rsid w:val="00286B58"/>
    <w:rsid w:val="00286BF7"/>
    <w:rsid w:val="00286CCA"/>
    <w:rsid w:val="00286D01"/>
    <w:rsid w:val="00287022"/>
    <w:rsid w:val="0028707B"/>
    <w:rsid w:val="002871B3"/>
    <w:rsid w:val="00287286"/>
    <w:rsid w:val="00287887"/>
    <w:rsid w:val="00287903"/>
    <w:rsid w:val="0028792D"/>
    <w:rsid w:val="0028795B"/>
    <w:rsid w:val="00287A3E"/>
    <w:rsid w:val="00287F4F"/>
    <w:rsid w:val="00290A18"/>
    <w:rsid w:val="00290D35"/>
    <w:rsid w:val="0029171A"/>
    <w:rsid w:val="002917F2"/>
    <w:rsid w:val="00291C36"/>
    <w:rsid w:val="002920A4"/>
    <w:rsid w:val="0029248F"/>
    <w:rsid w:val="00292696"/>
    <w:rsid w:val="00292752"/>
    <w:rsid w:val="0029289C"/>
    <w:rsid w:val="002928C7"/>
    <w:rsid w:val="00292A74"/>
    <w:rsid w:val="00292E60"/>
    <w:rsid w:val="0029302D"/>
    <w:rsid w:val="002930D5"/>
    <w:rsid w:val="002931A3"/>
    <w:rsid w:val="002934F7"/>
    <w:rsid w:val="00293526"/>
    <w:rsid w:val="00293603"/>
    <w:rsid w:val="00293652"/>
    <w:rsid w:val="00293FDC"/>
    <w:rsid w:val="00294236"/>
    <w:rsid w:val="00294485"/>
    <w:rsid w:val="00294511"/>
    <w:rsid w:val="002950EC"/>
    <w:rsid w:val="0029516B"/>
    <w:rsid w:val="00295309"/>
    <w:rsid w:val="00295643"/>
    <w:rsid w:val="002957AF"/>
    <w:rsid w:val="00295997"/>
    <w:rsid w:val="002959A9"/>
    <w:rsid w:val="00295D8E"/>
    <w:rsid w:val="00296227"/>
    <w:rsid w:val="00296788"/>
    <w:rsid w:val="002968E7"/>
    <w:rsid w:val="00296B10"/>
    <w:rsid w:val="00296E6E"/>
    <w:rsid w:val="00296FA6"/>
    <w:rsid w:val="00297349"/>
    <w:rsid w:val="00297B66"/>
    <w:rsid w:val="00297B8E"/>
    <w:rsid w:val="00297C15"/>
    <w:rsid w:val="00297C85"/>
    <w:rsid w:val="002A0574"/>
    <w:rsid w:val="002A0785"/>
    <w:rsid w:val="002A0ABE"/>
    <w:rsid w:val="002A0B6F"/>
    <w:rsid w:val="002A11D6"/>
    <w:rsid w:val="002A12B1"/>
    <w:rsid w:val="002A140B"/>
    <w:rsid w:val="002A155B"/>
    <w:rsid w:val="002A166C"/>
    <w:rsid w:val="002A2026"/>
    <w:rsid w:val="002A215E"/>
    <w:rsid w:val="002A21E0"/>
    <w:rsid w:val="002A21F0"/>
    <w:rsid w:val="002A29A5"/>
    <w:rsid w:val="002A2A67"/>
    <w:rsid w:val="002A2B0F"/>
    <w:rsid w:val="002A2BBE"/>
    <w:rsid w:val="002A32F8"/>
    <w:rsid w:val="002A386E"/>
    <w:rsid w:val="002A3A60"/>
    <w:rsid w:val="002A3D50"/>
    <w:rsid w:val="002A4181"/>
    <w:rsid w:val="002A4471"/>
    <w:rsid w:val="002A4830"/>
    <w:rsid w:val="002A4B64"/>
    <w:rsid w:val="002A4C39"/>
    <w:rsid w:val="002A4D87"/>
    <w:rsid w:val="002A4FE7"/>
    <w:rsid w:val="002A596D"/>
    <w:rsid w:val="002A5C5A"/>
    <w:rsid w:val="002A5C62"/>
    <w:rsid w:val="002A5EB9"/>
    <w:rsid w:val="002A6447"/>
    <w:rsid w:val="002A6819"/>
    <w:rsid w:val="002A6C7E"/>
    <w:rsid w:val="002A6DD7"/>
    <w:rsid w:val="002A6F1E"/>
    <w:rsid w:val="002A6FB4"/>
    <w:rsid w:val="002A74D0"/>
    <w:rsid w:val="002A7732"/>
    <w:rsid w:val="002A7DE3"/>
    <w:rsid w:val="002B031E"/>
    <w:rsid w:val="002B058C"/>
    <w:rsid w:val="002B05F9"/>
    <w:rsid w:val="002B07F6"/>
    <w:rsid w:val="002B0A37"/>
    <w:rsid w:val="002B0C0D"/>
    <w:rsid w:val="002B0F0D"/>
    <w:rsid w:val="002B1273"/>
    <w:rsid w:val="002B1817"/>
    <w:rsid w:val="002B1D8A"/>
    <w:rsid w:val="002B1DC1"/>
    <w:rsid w:val="002B1E2D"/>
    <w:rsid w:val="002B261E"/>
    <w:rsid w:val="002B2675"/>
    <w:rsid w:val="002B2888"/>
    <w:rsid w:val="002B2DF0"/>
    <w:rsid w:val="002B3565"/>
    <w:rsid w:val="002B3709"/>
    <w:rsid w:val="002B3833"/>
    <w:rsid w:val="002B3970"/>
    <w:rsid w:val="002B3A9D"/>
    <w:rsid w:val="002B3D34"/>
    <w:rsid w:val="002B4211"/>
    <w:rsid w:val="002B4389"/>
    <w:rsid w:val="002B441E"/>
    <w:rsid w:val="002B4989"/>
    <w:rsid w:val="002B4A91"/>
    <w:rsid w:val="002B567B"/>
    <w:rsid w:val="002B58A9"/>
    <w:rsid w:val="002B58C3"/>
    <w:rsid w:val="002B5E6C"/>
    <w:rsid w:val="002B5ECE"/>
    <w:rsid w:val="002B6268"/>
    <w:rsid w:val="002B63BF"/>
    <w:rsid w:val="002B6571"/>
    <w:rsid w:val="002B677E"/>
    <w:rsid w:val="002B68A4"/>
    <w:rsid w:val="002B690C"/>
    <w:rsid w:val="002B6A98"/>
    <w:rsid w:val="002B6C8F"/>
    <w:rsid w:val="002B6C9C"/>
    <w:rsid w:val="002B6ED8"/>
    <w:rsid w:val="002B71E9"/>
    <w:rsid w:val="002B7462"/>
    <w:rsid w:val="002B750B"/>
    <w:rsid w:val="002B764A"/>
    <w:rsid w:val="002B7982"/>
    <w:rsid w:val="002B7D92"/>
    <w:rsid w:val="002C05B6"/>
    <w:rsid w:val="002C0805"/>
    <w:rsid w:val="002C0833"/>
    <w:rsid w:val="002C0869"/>
    <w:rsid w:val="002C0B31"/>
    <w:rsid w:val="002C0B62"/>
    <w:rsid w:val="002C0E31"/>
    <w:rsid w:val="002C164F"/>
    <w:rsid w:val="002C17D9"/>
    <w:rsid w:val="002C1853"/>
    <w:rsid w:val="002C1A7C"/>
    <w:rsid w:val="002C1E1C"/>
    <w:rsid w:val="002C2165"/>
    <w:rsid w:val="002C2491"/>
    <w:rsid w:val="002C28EC"/>
    <w:rsid w:val="002C28F0"/>
    <w:rsid w:val="002C29B7"/>
    <w:rsid w:val="002C29E3"/>
    <w:rsid w:val="002C2A35"/>
    <w:rsid w:val="002C3103"/>
    <w:rsid w:val="002C31F0"/>
    <w:rsid w:val="002C33A1"/>
    <w:rsid w:val="002C3EDB"/>
    <w:rsid w:val="002C4BD3"/>
    <w:rsid w:val="002C514A"/>
    <w:rsid w:val="002C566C"/>
    <w:rsid w:val="002C5AC5"/>
    <w:rsid w:val="002C5C8B"/>
    <w:rsid w:val="002C5DF0"/>
    <w:rsid w:val="002C5F06"/>
    <w:rsid w:val="002C6105"/>
    <w:rsid w:val="002C68A1"/>
    <w:rsid w:val="002C6936"/>
    <w:rsid w:val="002C6A69"/>
    <w:rsid w:val="002C6BF6"/>
    <w:rsid w:val="002C6F00"/>
    <w:rsid w:val="002C73CA"/>
    <w:rsid w:val="002C73D5"/>
    <w:rsid w:val="002C78E0"/>
    <w:rsid w:val="002C7D9B"/>
    <w:rsid w:val="002C7E24"/>
    <w:rsid w:val="002C7F96"/>
    <w:rsid w:val="002D01AE"/>
    <w:rsid w:val="002D0584"/>
    <w:rsid w:val="002D06C6"/>
    <w:rsid w:val="002D0DE1"/>
    <w:rsid w:val="002D1164"/>
    <w:rsid w:val="002D1224"/>
    <w:rsid w:val="002D18AB"/>
    <w:rsid w:val="002D193F"/>
    <w:rsid w:val="002D2527"/>
    <w:rsid w:val="002D2A5B"/>
    <w:rsid w:val="002D3036"/>
    <w:rsid w:val="002D30DD"/>
    <w:rsid w:val="002D36E5"/>
    <w:rsid w:val="002D37E2"/>
    <w:rsid w:val="002D42B1"/>
    <w:rsid w:val="002D4993"/>
    <w:rsid w:val="002D4A10"/>
    <w:rsid w:val="002D5256"/>
    <w:rsid w:val="002D52E5"/>
    <w:rsid w:val="002D577E"/>
    <w:rsid w:val="002D5AEB"/>
    <w:rsid w:val="002D5BB1"/>
    <w:rsid w:val="002D5D27"/>
    <w:rsid w:val="002D5E2E"/>
    <w:rsid w:val="002D6445"/>
    <w:rsid w:val="002D6454"/>
    <w:rsid w:val="002D64B6"/>
    <w:rsid w:val="002D66C9"/>
    <w:rsid w:val="002D6957"/>
    <w:rsid w:val="002D6C9F"/>
    <w:rsid w:val="002D72E0"/>
    <w:rsid w:val="002D7335"/>
    <w:rsid w:val="002D7378"/>
    <w:rsid w:val="002D7408"/>
    <w:rsid w:val="002D7CDE"/>
    <w:rsid w:val="002E0148"/>
    <w:rsid w:val="002E01A9"/>
    <w:rsid w:val="002E0707"/>
    <w:rsid w:val="002E0769"/>
    <w:rsid w:val="002E0820"/>
    <w:rsid w:val="002E0BD5"/>
    <w:rsid w:val="002E0CC6"/>
    <w:rsid w:val="002E0DE2"/>
    <w:rsid w:val="002E14B5"/>
    <w:rsid w:val="002E16FB"/>
    <w:rsid w:val="002E18C8"/>
    <w:rsid w:val="002E1922"/>
    <w:rsid w:val="002E1B48"/>
    <w:rsid w:val="002E1D48"/>
    <w:rsid w:val="002E1D6E"/>
    <w:rsid w:val="002E1D70"/>
    <w:rsid w:val="002E1F07"/>
    <w:rsid w:val="002E200D"/>
    <w:rsid w:val="002E2020"/>
    <w:rsid w:val="002E20AC"/>
    <w:rsid w:val="002E218C"/>
    <w:rsid w:val="002E23F0"/>
    <w:rsid w:val="002E26BD"/>
    <w:rsid w:val="002E26D0"/>
    <w:rsid w:val="002E2F4B"/>
    <w:rsid w:val="002E316A"/>
    <w:rsid w:val="002E3311"/>
    <w:rsid w:val="002E334E"/>
    <w:rsid w:val="002E363E"/>
    <w:rsid w:val="002E380C"/>
    <w:rsid w:val="002E397B"/>
    <w:rsid w:val="002E3CEA"/>
    <w:rsid w:val="002E413C"/>
    <w:rsid w:val="002E4484"/>
    <w:rsid w:val="002E4590"/>
    <w:rsid w:val="002E4713"/>
    <w:rsid w:val="002E4817"/>
    <w:rsid w:val="002E4893"/>
    <w:rsid w:val="002E5085"/>
    <w:rsid w:val="002E5096"/>
    <w:rsid w:val="002E5238"/>
    <w:rsid w:val="002E5620"/>
    <w:rsid w:val="002E5915"/>
    <w:rsid w:val="002E59D5"/>
    <w:rsid w:val="002E5AC5"/>
    <w:rsid w:val="002E5D68"/>
    <w:rsid w:val="002E67AF"/>
    <w:rsid w:val="002E6838"/>
    <w:rsid w:val="002E685D"/>
    <w:rsid w:val="002E6B65"/>
    <w:rsid w:val="002E6C4E"/>
    <w:rsid w:val="002E6EBC"/>
    <w:rsid w:val="002E709E"/>
    <w:rsid w:val="002E7858"/>
    <w:rsid w:val="002E7A20"/>
    <w:rsid w:val="002F0054"/>
    <w:rsid w:val="002F025B"/>
    <w:rsid w:val="002F0278"/>
    <w:rsid w:val="002F027A"/>
    <w:rsid w:val="002F0644"/>
    <w:rsid w:val="002F07D9"/>
    <w:rsid w:val="002F0DF4"/>
    <w:rsid w:val="002F0FE1"/>
    <w:rsid w:val="002F13B0"/>
    <w:rsid w:val="002F156C"/>
    <w:rsid w:val="002F167A"/>
    <w:rsid w:val="002F17A8"/>
    <w:rsid w:val="002F1926"/>
    <w:rsid w:val="002F19E7"/>
    <w:rsid w:val="002F219F"/>
    <w:rsid w:val="002F2423"/>
    <w:rsid w:val="002F2426"/>
    <w:rsid w:val="002F27C5"/>
    <w:rsid w:val="002F28AF"/>
    <w:rsid w:val="002F2B4A"/>
    <w:rsid w:val="002F308F"/>
    <w:rsid w:val="002F33A4"/>
    <w:rsid w:val="002F3BE8"/>
    <w:rsid w:val="002F3F95"/>
    <w:rsid w:val="002F3F9C"/>
    <w:rsid w:val="002F40EB"/>
    <w:rsid w:val="002F43FD"/>
    <w:rsid w:val="002F4A13"/>
    <w:rsid w:val="002F4A4E"/>
    <w:rsid w:val="002F52A0"/>
    <w:rsid w:val="002F55A1"/>
    <w:rsid w:val="002F5B5D"/>
    <w:rsid w:val="002F67E1"/>
    <w:rsid w:val="002F68F2"/>
    <w:rsid w:val="002F69B4"/>
    <w:rsid w:val="002F69E8"/>
    <w:rsid w:val="002F6AA2"/>
    <w:rsid w:val="002F73CD"/>
    <w:rsid w:val="002F7BE4"/>
    <w:rsid w:val="003001A8"/>
    <w:rsid w:val="0030021E"/>
    <w:rsid w:val="00300409"/>
    <w:rsid w:val="00300457"/>
    <w:rsid w:val="003009F5"/>
    <w:rsid w:val="00300F66"/>
    <w:rsid w:val="00300FFF"/>
    <w:rsid w:val="00301327"/>
    <w:rsid w:val="00301435"/>
    <w:rsid w:val="003014F4"/>
    <w:rsid w:val="0030182E"/>
    <w:rsid w:val="00301FEC"/>
    <w:rsid w:val="00302024"/>
    <w:rsid w:val="003021C1"/>
    <w:rsid w:val="00302EFF"/>
    <w:rsid w:val="0030318F"/>
    <w:rsid w:val="0030343A"/>
    <w:rsid w:val="00303E3D"/>
    <w:rsid w:val="003041FA"/>
    <w:rsid w:val="0030423B"/>
    <w:rsid w:val="003044C9"/>
    <w:rsid w:val="0030483B"/>
    <w:rsid w:val="003049C7"/>
    <w:rsid w:val="00304C28"/>
    <w:rsid w:val="00305080"/>
    <w:rsid w:val="003050EE"/>
    <w:rsid w:val="00305101"/>
    <w:rsid w:val="00305365"/>
    <w:rsid w:val="00305702"/>
    <w:rsid w:val="00305740"/>
    <w:rsid w:val="003057C2"/>
    <w:rsid w:val="003057D5"/>
    <w:rsid w:val="00305B36"/>
    <w:rsid w:val="00305C37"/>
    <w:rsid w:val="00305E5D"/>
    <w:rsid w:val="00306047"/>
    <w:rsid w:val="00306200"/>
    <w:rsid w:val="00306246"/>
    <w:rsid w:val="00306825"/>
    <w:rsid w:val="00306DAB"/>
    <w:rsid w:val="00306F00"/>
    <w:rsid w:val="003072EE"/>
    <w:rsid w:val="003074EC"/>
    <w:rsid w:val="00310381"/>
    <w:rsid w:val="00310446"/>
    <w:rsid w:val="00310611"/>
    <w:rsid w:val="00310904"/>
    <w:rsid w:val="00311917"/>
    <w:rsid w:val="00311CB5"/>
    <w:rsid w:val="00311DEA"/>
    <w:rsid w:val="00311F4F"/>
    <w:rsid w:val="0031216F"/>
    <w:rsid w:val="003121B2"/>
    <w:rsid w:val="00312AD0"/>
    <w:rsid w:val="00312C12"/>
    <w:rsid w:val="00312D30"/>
    <w:rsid w:val="00312D61"/>
    <w:rsid w:val="003137BB"/>
    <w:rsid w:val="0031395F"/>
    <w:rsid w:val="00313CB9"/>
    <w:rsid w:val="00314591"/>
    <w:rsid w:val="00314809"/>
    <w:rsid w:val="003149F2"/>
    <w:rsid w:val="00314A21"/>
    <w:rsid w:val="00314BB2"/>
    <w:rsid w:val="00314FA2"/>
    <w:rsid w:val="003151E5"/>
    <w:rsid w:val="00315382"/>
    <w:rsid w:val="0031538A"/>
    <w:rsid w:val="00315405"/>
    <w:rsid w:val="00315429"/>
    <w:rsid w:val="00315506"/>
    <w:rsid w:val="003159D4"/>
    <w:rsid w:val="00315C3E"/>
    <w:rsid w:val="00315CBF"/>
    <w:rsid w:val="0031621D"/>
    <w:rsid w:val="00316823"/>
    <w:rsid w:val="00316A40"/>
    <w:rsid w:val="00316C19"/>
    <w:rsid w:val="00316F89"/>
    <w:rsid w:val="00316FEA"/>
    <w:rsid w:val="003170BF"/>
    <w:rsid w:val="003172B9"/>
    <w:rsid w:val="0031731F"/>
    <w:rsid w:val="0031764C"/>
    <w:rsid w:val="003176D0"/>
    <w:rsid w:val="00317765"/>
    <w:rsid w:val="00317A06"/>
    <w:rsid w:val="00317AC4"/>
    <w:rsid w:val="00317E86"/>
    <w:rsid w:val="00320255"/>
    <w:rsid w:val="0032030E"/>
    <w:rsid w:val="00320366"/>
    <w:rsid w:val="00320418"/>
    <w:rsid w:val="003205FA"/>
    <w:rsid w:val="0032079A"/>
    <w:rsid w:val="00320869"/>
    <w:rsid w:val="00320FB1"/>
    <w:rsid w:val="00321284"/>
    <w:rsid w:val="00321490"/>
    <w:rsid w:val="00321628"/>
    <w:rsid w:val="0032168A"/>
    <w:rsid w:val="0032188F"/>
    <w:rsid w:val="00321A63"/>
    <w:rsid w:val="00321D3D"/>
    <w:rsid w:val="00321D69"/>
    <w:rsid w:val="00321DB4"/>
    <w:rsid w:val="0032203B"/>
    <w:rsid w:val="00322305"/>
    <w:rsid w:val="00322801"/>
    <w:rsid w:val="0032292E"/>
    <w:rsid w:val="00322C51"/>
    <w:rsid w:val="00322CD7"/>
    <w:rsid w:val="00322D97"/>
    <w:rsid w:val="00323189"/>
    <w:rsid w:val="00323380"/>
    <w:rsid w:val="0032380C"/>
    <w:rsid w:val="003238D6"/>
    <w:rsid w:val="003239F1"/>
    <w:rsid w:val="0032416D"/>
    <w:rsid w:val="003241C3"/>
    <w:rsid w:val="00324991"/>
    <w:rsid w:val="00324C83"/>
    <w:rsid w:val="00325030"/>
    <w:rsid w:val="00325187"/>
    <w:rsid w:val="0032533B"/>
    <w:rsid w:val="0032533D"/>
    <w:rsid w:val="00325383"/>
    <w:rsid w:val="00325665"/>
    <w:rsid w:val="00326314"/>
    <w:rsid w:val="0032669F"/>
    <w:rsid w:val="00326B73"/>
    <w:rsid w:val="00326D35"/>
    <w:rsid w:val="00326ECE"/>
    <w:rsid w:val="00326FC7"/>
    <w:rsid w:val="00327223"/>
    <w:rsid w:val="003273FF"/>
    <w:rsid w:val="00327689"/>
    <w:rsid w:val="003278D4"/>
    <w:rsid w:val="0033090F"/>
    <w:rsid w:val="0033098B"/>
    <w:rsid w:val="003309F0"/>
    <w:rsid w:val="00330AC8"/>
    <w:rsid w:val="00330C45"/>
    <w:rsid w:val="0033123D"/>
    <w:rsid w:val="003316B2"/>
    <w:rsid w:val="00331827"/>
    <w:rsid w:val="003318F6"/>
    <w:rsid w:val="00331A3E"/>
    <w:rsid w:val="00331D7D"/>
    <w:rsid w:val="0033254F"/>
    <w:rsid w:val="003328F5"/>
    <w:rsid w:val="00332B98"/>
    <w:rsid w:val="00332C9F"/>
    <w:rsid w:val="00332E9F"/>
    <w:rsid w:val="00332EC1"/>
    <w:rsid w:val="00332F1A"/>
    <w:rsid w:val="00333E97"/>
    <w:rsid w:val="003345D6"/>
    <w:rsid w:val="00334A6B"/>
    <w:rsid w:val="00334AC9"/>
    <w:rsid w:val="00334B5A"/>
    <w:rsid w:val="00334D4A"/>
    <w:rsid w:val="0033522F"/>
    <w:rsid w:val="003361E6"/>
    <w:rsid w:val="00336219"/>
    <w:rsid w:val="003368AE"/>
    <w:rsid w:val="00336A8A"/>
    <w:rsid w:val="00336D3D"/>
    <w:rsid w:val="00336DB8"/>
    <w:rsid w:val="003378EB"/>
    <w:rsid w:val="00337BAF"/>
    <w:rsid w:val="00337C43"/>
    <w:rsid w:val="00340206"/>
    <w:rsid w:val="003406C5"/>
    <w:rsid w:val="003406CB"/>
    <w:rsid w:val="00340891"/>
    <w:rsid w:val="00340B41"/>
    <w:rsid w:val="00340B7F"/>
    <w:rsid w:val="00340CC8"/>
    <w:rsid w:val="00341010"/>
    <w:rsid w:val="00341279"/>
    <w:rsid w:val="003413F7"/>
    <w:rsid w:val="0034176A"/>
    <w:rsid w:val="003417C5"/>
    <w:rsid w:val="00341B03"/>
    <w:rsid w:val="00341B15"/>
    <w:rsid w:val="00341B9C"/>
    <w:rsid w:val="00342425"/>
    <w:rsid w:val="00342538"/>
    <w:rsid w:val="003427B6"/>
    <w:rsid w:val="0034294A"/>
    <w:rsid w:val="00342951"/>
    <w:rsid w:val="003429C9"/>
    <w:rsid w:val="003431C5"/>
    <w:rsid w:val="00343574"/>
    <w:rsid w:val="00343B0C"/>
    <w:rsid w:val="00343D29"/>
    <w:rsid w:val="00343EC1"/>
    <w:rsid w:val="00343FCB"/>
    <w:rsid w:val="003443B5"/>
    <w:rsid w:val="0034464E"/>
    <w:rsid w:val="003448F2"/>
    <w:rsid w:val="00344E1A"/>
    <w:rsid w:val="00344FAE"/>
    <w:rsid w:val="0034527E"/>
    <w:rsid w:val="00345600"/>
    <w:rsid w:val="00345DB3"/>
    <w:rsid w:val="00346094"/>
    <w:rsid w:val="003460EC"/>
    <w:rsid w:val="003461AF"/>
    <w:rsid w:val="003468BC"/>
    <w:rsid w:val="00346D56"/>
    <w:rsid w:val="003471EA"/>
    <w:rsid w:val="003472B1"/>
    <w:rsid w:val="003478D0"/>
    <w:rsid w:val="00347A60"/>
    <w:rsid w:val="00347BC7"/>
    <w:rsid w:val="0035048B"/>
    <w:rsid w:val="00350723"/>
    <w:rsid w:val="003509AA"/>
    <w:rsid w:val="00350AC8"/>
    <w:rsid w:val="00350B2F"/>
    <w:rsid w:val="00350E9B"/>
    <w:rsid w:val="00350F61"/>
    <w:rsid w:val="0035101D"/>
    <w:rsid w:val="003513E5"/>
    <w:rsid w:val="003515E5"/>
    <w:rsid w:val="00351627"/>
    <w:rsid w:val="00351801"/>
    <w:rsid w:val="003519F5"/>
    <w:rsid w:val="00351AD3"/>
    <w:rsid w:val="00351B07"/>
    <w:rsid w:val="00351FC4"/>
    <w:rsid w:val="003520A7"/>
    <w:rsid w:val="003524EB"/>
    <w:rsid w:val="0035297E"/>
    <w:rsid w:val="00352E16"/>
    <w:rsid w:val="00352FCC"/>
    <w:rsid w:val="003534D0"/>
    <w:rsid w:val="0035359B"/>
    <w:rsid w:val="00353861"/>
    <w:rsid w:val="00353F9C"/>
    <w:rsid w:val="0035438E"/>
    <w:rsid w:val="00354AB9"/>
    <w:rsid w:val="003559EB"/>
    <w:rsid w:val="00355A9C"/>
    <w:rsid w:val="00355C9B"/>
    <w:rsid w:val="00355E5A"/>
    <w:rsid w:val="00355EFA"/>
    <w:rsid w:val="0035600B"/>
    <w:rsid w:val="00356A58"/>
    <w:rsid w:val="00357197"/>
    <w:rsid w:val="003571D5"/>
    <w:rsid w:val="00357379"/>
    <w:rsid w:val="00357A00"/>
    <w:rsid w:val="00357B04"/>
    <w:rsid w:val="00357C7D"/>
    <w:rsid w:val="003600B3"/>
    <w:rsid w:val="00360991"/>
    <w:rsid w:val="00360E54"/>
    <w:rsid w:val="003615E0"/>
    <w:rsid w:val="0036230B"/>
    <w:rsid w:val="00362C82"/>
    <w:rsid w:val="00362C98"/>
    <w:rsid w:val="00362D57"/>
    <w:rsid w:val="00363254"/>
    <w:rsid w:val="0036344A"/>
    <w:rsid w:val="003634A1"/>
    <w:rsid w:val="00363810"/>
    <w:rsid w:val="003639E3"/>
    <w:rsid w:val="00363DAD"/>
    <w:rsid w:val="00363F66"/>
    <w:rsid w:val="00364114"/>
    <w:rsid w:val="0036415C"/>
    <w:rsid w:val="003643C8"/>
    <w:rsid w:val="00364486"/>
    <w:rsid w:val="00364797"/>
    <w:rsid w:val="00364B3A"/>
    <w:rsid w:val="00364D29"/>
    <w:rsid w:val="00364D41"/>
    <w:rsid w:val="00365043"/>
    <w:rsid w:val="003651BD"/>
    <w:rsid w:val="003657E2"/>
    <w:rsid w:val="00365806"/>
    <w:rsid w:val="00365918"/>
    <w:rsid w:val="00365B53"/>
    <w:rsid w:val="00365C3A"/>
    <w:rsid w:val="00365C9F"/>
    <w:rsid w:val="00365CF6"/>
    <w:rsid w:val="00365F66"/>
    <w:rsid w:val="00366852"/>
    <w:rsid w:val="00366A8D"/>
    <w:rsid w:val="00366DC0"/>
    <w:rsid w:val="00367406"/>
    <w:rsid w:val="003674B5"/>
    <w:rsid w:val="00367A3D"/>
    <w:rsid w:val="00367B20"/>
    <w:rsid w:val="00370437"/>
    <w:rsid w:val="0037092C"/>
    <w:rsid w:val="003709D1"/>
    <w:rsid w:val="00370B4A"/>
    <w:rsid w:val="00370BA9"/>
    <w:rsid w:val="00371269"/>
    <w:rsid w:val="0037140E"/>
    <w:rsid w:val="00371576"/>
    <w:rsid w:val="0037161B"/>
    <w:rsid w:val="00371815"/>
    <w:rsid w:val="00371ABC"/>
    <w:rsid w:val="00371C8F"/>
    <w:rsid w:val="003722AF"/>
    <w:rsid w:val="00372725"/>
    <w:rsid w:val="00372749"/>
    <w:rsid w:val="003728C9"/>
    <w:rsid w:val="003729E7"/>
    <w:rsid w:val="00372F5E"/>
    <w:rsid w:val="00373235"/>
    <w:rsid w:val="003732A6"/>
    <w:rsid w:val="003732C3"/>
    <w:rsid w:val="00373364"/>
    <w:rsid w:val="00373C03"/>
    <w:rsid w:val="0037424F"/>
    <w:rsid w:val="003742F7"/>
    <w:rsid w:val="00374511"/>
    <w:rsid w:val="0037453D"/>
    <w:rsid w:val="0037476D"/>
    <w:rsid w:val="003747B8"/>
    <w:rsid w:val="00374B9F"/>
    <w:rsid w:val="0037549A"/>
    <w:rsid w:val="00375897"/>
    <w:rsid w:val="00375C25"/>
    <w:rsid w:val="00375E6C"/>
    <w:rsid w:val="00376382"/>
    <w:rsid w:val="00376426"/>
    <w:rsid w:val="0037652C"/>
    <w:rsid w:val="00376A27"/>
    <w:rsid w:val="00376E56"/>
    <w:rsid w:val="00377160"/>
    <w:rsid w:val="003772E4"/>
    <w:rsid w:val="00377389"/>
    <w:rsid w:val="00377602"/>
    <w:rsid w:val="00377A11"/>
    <w:rsid w:val="00377C34"/>
    <w:rsid w:val="00377D40"/>
    <w:rsid w:val="0038002E"/>
    <w:rsid w:val="0038015B"/>
    <w:rsid w:val="00380211"/>
    <w:rsid w:val="0038046A"/>
    <w:rsid w:val="0038086A"/>
    <w:rsid w:val="00380913"/>
    <w:rsid w:val="003809D1"/>
    <w:rsid w:val="00380BB0"/>
    <w:rsid w:val="00380C65"/>
    <w:rsid w:val="00380D8B"/>
    <w:rsid w:val="0038101B"/>
    <w:rsid w:val="003810FA"/>
    <w:rsid w:val="00381311"/>
    <w:rsid w:val="003813AE"/>
    <w:rsid w:val="003814BB"/>
    <w:rsid w:val="003815AE"/>
    <w:rsid w:val="003816B1"/>
    <w:rsid w:val="00381810"/>
    <w:rsid w:val="00381847"/>
    <w:rsid w:val="003818A2"/>
    <w:rsid w:val="003819E8"/>
    <w:rsid w:val="00381B92"/>
    <w:rsid w:val="00382B73"/>
    <w:rsid w:val="003833F1"/>
    <w:rsid w:val="00383740"/>
    <w:rsid w:val="00383963"/>
    <w:rsid w:val="003839C2"/>
    <w:rsid w:val="00383A1A"/>
    <w:rsid w:val="00383C66"/>
    <w:rsid w:val="00383D90"/>
    <w:rsid w:val="00384019"/>
    <w:rsid w:val="003841FF"/>
    <w:rsid w:val="003846ED"/>
    <w:rsid w:val="0038480B"/>
    <w:rsid w:val="0038481A"/>
    <w:rsid w:val="0038487D"/>
    <w:rsid w:val="00384DE4"/>
    <w:rsid w:val="00384FF5"/>
    <w:rsid w:val="00385476"/>
    <w:rsid w:val="0038554C"/>
    <w:rsid w:val="003859D6"/>
    <w:rsid w:val="00385EB9"/>
    <w:rsid w:val="00386EE2"/>
    <w:rsid w:val="00387B18"/>
    <w:rsid w:val="00387CCD"/>
    <w:rsid w:val="00387D71"/>
    <w:rsid w:val="00387EB9"/>
    <w:rsid w:val="003908AF"/>
    <w:rsid w:val="00390C21"/>
    <w:rsid w:val="00390C50"/>
    <w:rsid w:val="00390CCD"/>
    <w:rsid w:val="00390DDC"/>
    <w:rsid w:val="00390E88"/>
    <w:rsid w:val="00390FB2"/>
    <w:rsid w:val="0039172D"/>
    <w:rsid w:val="00391A33"/>
    <w:rsid w:val="00391D97"/>
    <w:rsid w:val="00391F1E"/>
    <w:rsid w:val="00392639"/>
    <w:rsid w:val="003927B2"/>
    <w:rsid w:val="00392847"/>
    <w:rsid w:val="00392868"/>
    <w:rsid w:val="00392990"/>
    <w:rsid w:val="00393139"/>
    <w:rsid w:val="003932C6"/>
    <w:rsid w:val="0039357F"/>
    <w:rsid w:val="00393964"/>
    <w:rsid w:val="00393DA3"/>
    <w:rsid w:val="00393DD7"/>
    <w:rsid w:val="00393F65"/>
    <w:rsid w:val="003944A6"/>
    <w:rsid w:val="00394EFE"/>
    <w:rsid w:val="00394F5E"/>
    <w:rsid w:val="00395168"/>
    <w:rsid w:val="00395288"/>
    <w:rsid w:val="00395432"/>
    <w:rsid w:val="00395D0F"/>
    <w:rsid w:val="00395D1C"/>
    <w:rsid w:val="00395EC0"/>
    <w:rsid w:val="00396162"/>
    <w:rsid w:val="003961E4"/>
    <w:rsid w:val="00396397"/>
    <w:rsid w:val="003963DC"/>
    <w:rsid w:val="00396498"/>
    <w:rsid w:val="00397000"/>
    <w:rsid w:val="0039797A"/>
    <w:rsid w:val="00397EF4"/>
    <w:rsid w:val="003A004F"/>
    <w:rsid w:val="003A03B5"/>
    <w:rsid w:val="003A046A"/>
    <w:rsid w:val="003A06CB"/>
    <w:rsid w:val="003A0781"/>
    <w:rsid w:val="003A0BA6"/>
    <w:rsid w:val="003A0C85"/>
    <w:rsid w:val="003A0F87"/>
    <w:rsid w:val="003A138A"/>
    <w:rsid w:val="003A1501"/>
    <w:rsid w:val="003A185F"/>
    <w:rsid w:val="003A1983"/>
    <w:rsid w:val="003A20B0"/>
    <w:rsid w:val="003A240D"/>
    <w:rsid w:val="003A2F53"/>
    <w:rsid w:val="003A2F58"/>
    <w:rsid w:val="003A3544"/>
    <w:rsid w:val="003A3680"/>
    <w:rsid w:val="003A37BC"/>
    <w:rsid w:val="003A37FF"/>
    <w:rsid w:val="003A38BE"/>
    <w:rsid w:val="003A39FE"/>
    <w:rsid w:val="003A3AD6"/>
    <w:rsid w:val="003A3C46"/>
    <w:rsid w:val="003A3E51"/>
    <w:rsid w:val="003A41B0"/>
    <w:rsid w:val="003A4340"/>
    <w:rsid w:val="003A4608"/>
    <w:rsid w:val="003A475B"/>
    <w:rsid w:val="003A49AB"/>
    <w:rsid w:val="003A4B95"/>
    <w:rsid w:val="003A4CF9"/>
    <w:rsid w:val="003A4D34"/>
    <w:rsid w:val="003A5CD6"/>
    <w:rsid w:val="003A5E03"/>
    <w:rsid w:val="003A60DA"/>
    <w:rsid w:val="003A62AA"/>
    <w:rsid w:val="003A658E"/>
    <w:rsid w:val="003A667D"/>
    <w:rsid w:val="003A6800"/>
    <w:rsid w:val="003A6828"/>
    <w:rsid w:val="003A69E9"/>
    <w:rsid w:val="003A6A77"/>
    <w:rsid w:val="003A77F4"/>
    <w:rsid w:val="003A7867"/>
    <w:rsid w:val="003A7AD3"/>
    <w:rsid w:val="003B0589"/>
    <w:rsid w:val="003B0A2C"/>
    <w:rsid w:val="003B0EB4"/>
    <w:rsid w:val="003B111B"/>
    <w:rsid w:val="003B14E0"/>
    <w:rsid w:val="003B155A"/>
    <w:rsid w:val="003B188D"/>
    <w:rsid w:val="003B1AB5"/>
    <w:rsid w:val="003B1D55"/>
    <w:rsid w:val="003B1FC4"/>
    <w:rsid w:val="003B2655"/>
    <w:rsid w:val="003B280D"/>
    <w:rsid w:val="003B2A86"/>
    <w:rsid w:val="003B2CBA"/>
    <w:rsid w:val="003B2CC4"/>
    <w:rsid w:val="003B3032"/>
    <w:rsid w:val="003B311E"/>
    <w:rsid w:val="003B342B"/>
    <w:rsid w:val="003B3603"/>
    <w:rsid w:val="003B3731"/>
    <w:rsid w:val="003B3DB1"/>
    <w:rsid w:val="003B3E5D"/>
    <w:rsid w:val="003B444D"/>
    <w:rsid w:val="003B4E74"/>
    <w:rsid w:val="003B521A"/>
    <w:rsid w:val="003B56EF"/>
    <w:rsid w:val="003B58D4"/>
    <w:rsid w:val="003B5ACE"/>
    <w:rsid w:val="003B5BB2"/>
    <w:rsid w:val="003B5C12"/>
    <w:rsid w:val="003B5F76"/>
    <w:rsid w:val="003B613A"/>
    <w:rsid w:val="003B617C"/>
    <w:rsid w:val="003B6185"/>
    <w:rsid w:val="003B6481"/>
    <w:rsid w:val="003B650E"/>
    <w:rsid w:val="003B682D"/>
    <w:rsid w:val="003B6EDE"/>
    <w:rsid w:val="003B711D"/>
    <w:rsid w:val="003B7484"/>
    <w:rsid w:val="003B7625"/>
    <w:rsid w:val="003B7ADE"/>
    <w:rsid w:val="003B7CE2"/>
    <w:rsid w:val="003B7ED2"/>
    <w:rsid w:val="003C0A51"/>
    <w:rsid w:val="003C0B46"/>
    <w:rsid w:val="003C0BD3"/>
    <w:rsid w:val="003C0C74"/>
    <w:rsid w:val="003C0EC7"/>
    <w:rsid w:val="003C11A3"/>
    <w:rsid w:val="003C11F7"/>
    <w:rsid w:val="003C140C"/>
    <w:rsid w:val="003C14D2"/>
    <w:rsid w:val="003C14DF"/>
    <w:rsid w:val="003C1884"/>
    <w:rsid w:val="003C1ACE"/>
    <w:rsid w:val="003C1D9C"/>
    <w:rsid w:val="003C1EC7"/>
    <w:rsid w:val="003C2304"/>
    <w:rsid w:val="003C2431"/>
    <w:rsid w:val="003C24DF"/>
    <w:rsid w:val="003C25B5"/>
    <w:rsid w:val="003C2BA9"/>
    <w:rsid w:val="003C3370"/>
    <w:rsid w:val="003C3400"/>
    <w:rsid w:val="003C3679"/>
    <w:rsid w:val="003C3CF9"/>
    <w:rsid w:val="003C3D14"/>
    <w:rsid w:val="003C3EE7"/>
    <w:rsid w:val="003C3FD1"/>
    <w:rsid w:val="003C4B00"/>
    <w:rsid w:val="003C4B94"/>
    <w:rsid w:val="003C51CB"/>
    <w:rsid w:val="003C5399"/>
    <w:rsid w:val="003C55E7"/>
    <w:rsid w:val="003C5625"/>
    <w:rsid w:val="003C5D2B"/>
    <w:rsid w:val="003C5EE6"/>
    <w:rsid w:val="003C63B8"/>
    <w:rsid w:val="003C6665"/>
    <w:rsid w:val="003C6AF5"/>
    <w:rsid w:val="003C720E"/>
    <w:rsid w:val="003C7622"/>
    <w:rsid w:val="003C7766"/>
    <w:rsid w:val="003C7779"/>
    <w:rsid w:val="003C7910"/>
    <w:rsid w:val="003C7E95"/>
    <w:rsid w:val="003D0246"/>
    <w:rsid w:val="003D07C4"/>
    <w:rsid w:val="003D08EF"/>
    <w:rsid w:val="003D09BF"/>
    <w:rsid w:val="003D1970"/>
    <w:rsid w:val="003D1A0C"/>
    <w:rsid w:val="003D1E6B"/>
    <w:rsid w:val="003D1FCE"/>
    <w:rsid w:val="003D1FFE"/>
    <w:rsid w:val="003D221D"/>
    <w:rsid w:val="003D2544"/>
    <w:rsid w:val="003D2717"/>
    <w:rsid w:val="003D2A3A"/>
    <w:rsid w:val="003D2D16"/>
    <w:rsid w:val="003D3A9D"/>
    <w:rsid w:val="003D3C99"/>
    <w:rsid w:val="003D3F6B"/>
    <w:rsid w:val="003D3FD4"/>
    <w:rsid w:val="003D4273"/>
    <w:rsid w:val="003D4EFE"/>
    <w:rsid w:val="003D4FD5"/>
    <w:rsid w:val="003D506F"/>
    <w:rsid w:val="003D52A1"/>
    <w:rsid w:val="003D560D"/>
    <w:rsid w:val="003D5AB9"/>
    <w:rsid w:val="003D5B32"/>
    <w:rsid w:val="003D617E"/>
    <w:rsid w:val="003D665B"/>
    <w:rsid w:val="003D66E2"/>
    <w:rsid w:val="003D696E"/>
    <w:rsid w:val="003D6A5A"/>
    <w:rsid w:val="003D6BFB"/>
    <w:rsid w:val="003D709D"/>
    <w:rsid w:val="003D76D5"/>
    <w:rsid w:val="003D7A1B"/>
    <w:rsid w:val="003D7A6D"/>
    <w:rsid w:val="003D7E37"/>
    <w:rsid w:val="003D7F4A"/>
    <w:rsid w:val="003E0205"/>
    <w:rsid w:val="003E0634"/>
    <w:rsid w:val="003E084F"/>
    <w:rsid w:val="003E0ED4"/>
    <w:rsid w:val="003E163A"/>
    <w:rsid w:val="003E17CB"/>
    <w:rsid w:val="003E19A5"/>
    <w:rsid w:val="003E1AAA"/>
    <w:rsid w:val="003E1C2E"/>
    <w:rsid w:val="003E1E1D"/>
    <w:rsid w:val="003E1F48"/>
    <w:rsid w:val="003E2574"/>
    <w:rsid w:val="003E343A"/>
    <w:rsid w:val="003E373E"/>
    <w:rsid w:val="003E3DE4"/>
    <w:rsid w:val="003E3E18"/>
    <w:rsid w:val="003E4058"/>
    <w:rsid w:val="003E46C0"/>
    <w:rsid w:val="003E4B37"/>
    <w:rsid w:val="003E4C49"/>
    <w:rsid w:val="003E4D0C"/>
    <w:rsid w:val="003E4E06"/>
    <w:rsid w:val="003E5187"/>
    <w:rsid w:val="003E51F7"/>
    <w:rsid w:val="003E57B1"/>
    <w:rsid w:val="003E57B6"/>
    <w:rsid w:val="003E5A2F"/>
    <w:rsid w:val="003E5DBD"/>
    <w:rsid w:val="003E5DC1"/>
    <w:rsid w:val="003E630E"/>
    <w:rsid w:val="003E64CF"/>
    <w:rsid w:val="003E7138"/>
    <w:rsid w:val="003E72EC"/>
    <w:rsid w:val="003E75A9"/>
    <w:rsid w:val="003E7628"/>
    <w:rsid w:val="003E76BE"/>
    <w:rsid w:val="003E7D9C"/>
    <w:rsid w:val="003E7F20"/>
    <w:rsid w:val="003F01A4"/>
    <w:rsid w:val="003F0328"/>
    <w:rsid w:val="003F0441"/>
    <w:rsid w:val="003F0BF4"/>
    <w:rsid w:val="003F0D60"/>
    <w:rsid w:val="003F0DBC"/>
    <w:rsid w:val="003F0E93"/>
    <w:rsid w:val="003F11C8"/>
    <w:rsid w:val="003F12B8"/>
    <w:rsid w:val="003F142F"/>
    <w:rsid w:val="003F14C0"/>
    <w:rsid w:val="003F17CC"/>
    <w:rsid w:val="003F1807"/>
    <w:rsid w:val="003F1BE7"/>
    <w:rsid w:val="003F1D02"/>
    <w:rsid w:val="003F22AE"/>
    <w:rsid w:val="003F22D8"/>
    <w:rsid w:val="003F27FA"/>
    <w:rsid w:val="003F2814"/>
    <w:rsid w:val="003F2895"/>
    <w:rsid w:val="003F2958"/>
    <w:rsid w:val="003F2970"/>
    <w:rsid w:val="003F2A2D"/>
    <w:rsid w:val="003F2A72"/>
    <w:rsid w:val="003F2C09"/>
    <w:rsid w:val="003F3080"/>
    <w:rsid w:val="003F31A2"/>
    <w:rsid w:val="003F31FE"/>
    <w:rsid w:val="003F33E3"/>
    <w:rsid w:val="003F3400"/>
    <w:rsid w:val="003F3771"/>
    <w:rsid w:val="003F3EAC"/>
    <w:rsid w:val="003F4741"/>
    <w:rsid w:val="003F4BE0"/>
    <w:rsid w:val="003F4E3C"/>
    <w:rsid w:val="003F4E5D"/>
    <w:rsid w:val="003F53EB"/>
    <w:rsid w:val="003F55E6"/>
    <w:rsid w:val="003F57B9"/>
    <w:rsid w:val="003F5936"/>
    <w:rsid w:val="003F5B6E"/>
    <w:rsid w:val="003F5B9D"/>
    <w:rsid w:val="003F5E21"/>
    <w:rsid w:val="003F639F"/>
    <w:rsid w:val="003F6A15"/>
    <w:rsid w:val="003F6A4D"/>
    <w:rsid w:val="003F6BC2"/>
    <w:rsid w:val="003F6D3A"/>
    <w:rsid w:val="003F6D87"/>
    <w:rsid w:val="003F6F26"/>
    <w:rsid w:val="003F70DD"/>
    <w:rsid w:val="003F71CB"/>
    <w:rsid w:val="003F72D2"/>
    <w:rsid w:val="003F7B73"/>
    <w:rsid w:val="003F7BF7"/>
    <w:rsid w:val="003F7C7D"/>
    <w:rsid w:val="003F7D49"/>
    <w:rsid w:val="0040018C"/>
    <w:rsid w:val="00400419"/>
    <w:rsid w:val="0040086E"/>
    <w:rsid w:val="004008F9"/>
    <w:rsid w:val="00400A04"/>
    <w:rsid w:val="00401026"/>
    <w:rsid w:val="004011A3"/>
    <w:rsid w:val="00401634"/>
    <w:rsid w:val="00401BD3"/>
    <w:rsid w:val="00401DBB"/>
    <w:rsid w:val="00401E7E"/>
    <w:rsid w:val="00402011"/>
    <w:rsid w:val="004020B4"/>
    <w:rsid w:val="004020E2"/>
    <w:rsid w:val="00402C4C"/>
    <w:rsid w:val="00402DC8"/>
    <w:rsid w:val="00402DD9"/>
    <w:rsid w:val="00402E8B"/>
    <w:rsid w:val="00402FF3"/>
    <w:rsid w:val="0040323D"/>
    <w:rsid w:val="004033AE"/>
    <w:rsid w:val="004033D3"/>
    <w:rsid w:val="004036FC"/>
    <w:rsid w:val="00403C0F"/>
    <w:rsid w:val="00403D28"/>
    <w:rsid w:val="00403D33"/>
    <w:rsid w:val="00403E52"/>
    <w:rsid w:val="00404588"/>
    <w:rsid w:val="004046E9"/>
    <w:rsid w:val="00404C8A"/>
    <w:rsid w:val="00404CEF"/>
    <w:rsid w:val="00404D8D"/>
    <w:rsid w:val="004052E0"/>
    <w:rsid w:val="00405C96"/>
    <w:rsid w:val="00406049"/>
    <w:rsid w:val="004062EC"/>
    <w:rsid w:val="00406436"/>
    <w:rsid w:val="00406829"/>
    <w:rsid w:val="00406DBF"/>
    <w:rsid w:val="004070B3"/>
    <w:rsid w:val="00407526"/>
    <w:rsid w:val="00407593"/>
    <w:rsid w:val="004075B1"/>
    <w:rsid w:val="0040763B"/>
    <w:rsid w:val="004076D6"/>
    <w:rsid w:val="004078E1"/>
    <w:rsid w:val="00407B92"/>
    <w:rsid w:val="00410070"/>
    <w:rsid w:val="00410228"/>
    <w:rsid w:val="004104ED"/>
    <w:rsid w:val="00410A46"/>
    <w:rsid w:val="0041121F"/>
    <w:rsid w:val="004113EA"/>
    <w:rsid w:val="00411425"/>
    <w:rsid w:val="00411972"/>
    <w:rsid w:val="00411FFE"/>
    <w:rsid w:val="00412112"/>
    <w:rsid w:val="00412142"/>
    <w:rsid w:val="004121A2"/>
    <w:rsid w:val="004123D9"/>
    <w:rsid w:val="00412769"/>
    <w:rsid w:val="00412817"/>
    <w:rsid w:val="00412A38"/>
    <w:rsid w:val="00412CDB"/>
    <w:rsid w:val="00412D54"/>
    <w:rsid w:val="00412D7F"/>
    <w:rsid w:val="0041311C"/>
    <w:rsid w:val="00413177"/>
    <w:rsid w:val="004132F3"/>
    <w:rsid w:val="00413613"/>
    <w:rsid w:val="004136FB"/>
    <w:rsid w:val="004139FF"/>
    <w:rsid w:val="00413B3F"/>
    <w:rsid w:val="004144D8"/>
    <w:rsid w:val="0041492D"/>
    <w:rsid w:val="00414D1E"/>
    <w:rsid w:val="00414D81"/>
    <w:rsid w:val="004150C1"/>
    <w:rsid w:val="004150DC"/>
    <w:rsid w:val="004151A8"/>
    <w:rsid w:val="0041527B"/>
    <w:rsid w:val="00415381"/>
    <w:rsid w:val="0041555D"/>
    <w:rsid w:val="00415739"/>
    <w:rsid w:val="00415A7D"/>
    <w:rsid w:val="00415C31"/>
    <w:rsid w:val="00415DA9"/>
    <w:rsid w:val="00415ED3"/>
    <w:rsid w:val="00415EFA"/>
    <w:rsid w:val="0041671D"/>
    <w:rsid w:val="004168C0"/>
    <w:rsid w:val="00416A95"/>
    <w:rsid w:val="00416D22"/>
    <w:rsid w:val="00416F61"/>
    <w:rsid w:val="004173CC"/>
    <w:rsid w:val="00417752"/>
    <w:rsid w:val="00417AF7"/>
    <w:rsid w:val="00417D13"/>
    <w:rsid w:val="004204E4"/>
    <w:rsid w:val="0042064A"/>
    <w:rsid w:val="00420B48"/>
    <w:rsid w:val="00420E6D"/>
    <w:rsid w:val="004210F9"/>
    <w:rsid w:val="00421252"/>
    <w:rsid w:val="00421810"/>
    <w:rsid w:val="00421889"/>
    <w:rsid w:val="00421897"/>
    <w:rsid w:val="00421B42"/>
    <w:rsid w:val="00421CA6"/>
    <w:rsid w:val="00421E9C"/>
    <w:rsid w:val="00421EF6"/>
    <w:rsid w:val="00422197"/>
    <w:rsid w:val="00422204"/>
    <w:rsid w:val="004223FC"/>
    <w:rsid w:val="00422410"/>
    <w:rsid w:val="00422D0F"/>
    <w:rsid w:val="00422E34"/>
    <w:rsid w:val="00422E8F"/>
    <w:rsid w:val="00422ED4"/>
    <w:rsid w:val="004232A6"/>
    <w:rsid w:val="00423512"/>
    <w:rsid w:val="004235F2"/>
    <w:rsid w:val="00423C64"/>
    <w:rsid w:val="00423D07"/>
    <w:rsid w:val="00424096"/>
    <w:rsid w:val="004245B0"/>
    <w:rsid w:val="004246B4"/>
    <w:rsid w:val="00424B44"/>
    <w:rsid w:val="00424C6B"/>
    <w:rsid w:val="00424CDE"/>
    <w:rsid w:val="004252B2"/>
    <w:rsid w:val="00425388"/>
    <w:rsid w:val="00425425"/>
    <w:rsid w:val="004255E1"/>
    <w:rsid w:val="0042562F"/>
    <w:rsid w:val="0042574D"/>
    <w:rsid w:val="00425A76"/>
    <w:rsid w:val="00425B6F"/>
    <w:rsid w:val="00425DBB"/>
    <w:rsid w:val="004264AA"/>
    <w:rsid w:val="00426A32"/>
    <w:rsid w:val="00426A75"/>
    <w:rsid w:val="00426C68"/>
    <w:rsid w:val="00426E17"/>
    <w:rsid w:val="00427077"/>
    <w:rsid w:val="004271C7"/>
    <w:rsid w:val="004273D9"/>
    <w:rsid w:val="0042762A"/>
    <w:rsid w:val="00427DB2"/>
    <w:rsid w:val="00427EB6"/>
    <w:rsid w:val="00430002"/>
    <w:rsid w:val="004301C4"/>
    <w:rsid w:val="00431012"/>
    <w:rsid w:val="0043119E"/>
    <w:rsid w:val="004312A8"/>
    <w:rsid w:val="00431426"/>
    <w:rsid w:val="004314BB"/>
    <w:rsid w:val="0043150E"/>
    <w:rsid w:val="004317B7"/>
    <w:rsid w:val="004317E7"/>
    <w:rsid w:val="00431D89"/>
    <w:rsid w:val="00431E34"/>
    <w:rsid w:val="00431E6D"/>
    <w:rsid w:val="00431FE0"/>
    <w:rsid w:val="004320ED"/>
    <w:rsid w:val="00432405"/>
    <w:rsid w:val="004327D7"/>
    <w:rsid w:val="00432AE9"/>
    <w:rsid w:val="00432C87"/>
    <w:rsid w:val="00432E5D"/>
    <w:rsid w:val="004332A3"/>
    <w:rsid w:val="00433313"/>
    <w:rsid w:val="00433BBC"/>
    <w:rsid w:val="00433CE3"/>
    <w:rsid w:val="00433E0C"/>
    <w:rsid w:val="004341D0"/>
    <w:rsid w:val="004343A5"/>
    <w:rsid w:val="004344EB"/>
    <w:rsid w:val="0043472A"/>
    <w:rsid w:val="00434ADF"/>
    <w:rsid w:val="00434B79"/>
    <w:rsid w:val="00435552"/>
    <w:rsid w:val="004355AD"/>
    <w:rsid w:val="00435797"/>
    <w:rsid w:val="00435988"/>
    <w:rsid w:val="00435D79"/>
    <w:rsid w:val="00435DE8"/>
    <w:rsid w:val="0043616E"/>
    <w:rsid w:val="00436186"/>
    <w:rsid w:val="004362D8"/>
    <w:rsid w:val="0043631F"/>
    <w:rsid w:val="004363C0"/>
    <w:rsid w:val="004366D1"/>
    <w:rsid w:val="004366EB"/>
    <w:rsid w:val="00436846"/>
    <w:rsid w:val="00437517"/>
    <w:rsid w:val="00437554"/>
    <w:rsid w:val="004376B5"/>
    <w:rsid w:val="00437DCC"/>
    <w:rsid w:val="00437EC9"/>
    <w:rsid w:val="0044002E"/>
    <w:rsid w:val="0044023C"/>
    <w:rsid w:val="0044068E"/>
    <w:rsid w:val="004406A6"/>
    <w:rsid w:val="00440793"/>
    <w:rsid w:val="00440910"/>
    <w:rsid w:val="0044097F"/>
    <w:rsid w:val="00440C65"/>
    <w:rsid w:val="00440C80"/>
    <w:rsid w:val="00440D69"/>
    <w:rsid w:val="00440ED0"/>
    <w:rsid w:val="00440F1B"/>
    <w:rsid w:val="0044109D"/>
    <w:rsid w:val="00441281"/>
    <w:rsid w:val="0044149E"/>
    <w:rsid w:val="0044166D"/>
    <w:rsid w:val="004416E5"/>
    <w:rsid w:val="00441C37"/>
    <w:rsid w:val="00441C88"/>
    <w:rsid w:val="00441DDE"/>
    <w:rsid w:val="00441E50"/>
    <w:rsid w:val="00441F5F"/>
    <w:rsid w:val="0044207D"/>
    <w:rsid w:val="004420C4"/>
    <w:rsid w:val="004421B1"/>
    <w:rsid w:val="0044247C"/>
    <w:rsid w:val="0044270B"/>
    <w:rsid w:val="00442D49"/>
    <w:rsid w:val="0044382E"/>
    <w:rsid w:val="00443ABC"/>
    <w:rsid w:val="00443D58"/>
    <w:rsid w:val="00444B9A"/>
    <w:rsid w:val="00445160"/>
    <w:rsid w:val="00445182"/>
    <w:rsid w:val="00445593"/>
    <w:rsid w:val="004459A0"/>
    <w:rsid w:val="00445AE5"/>
    <w:rsid w:val="00445C07"/>
    <w:rsid w:val="00445CAF"/>
    <w:rsid w:val="00445E71"/>
    <w:rsid w:val="004463AB"/>
    <w:rsid w:val="00446892"/>
    <w:rsid w:val="00446945"/>
    <w:rsid w:val="00446C9A"/>
    <w:rsid w:val="00446CED"/>
    <w:rsid w:val="0044740B"/>
    <w:rsid w:val="0044762D"/>
    <w:rsid w:val="00447645"/>
    <w:rsid w:val="00447755"/>
    <w:rsid w:val="004477B2"/>
    <w:rsid w:val="00447BEC"/>
    <w:rsid w:val="00447ED0"/>
    <w:rsid w:val="004502D1"/>
    <w:rsid w:val="00450840"/>
    <w:rsid w:val="004509BF"/>
    <w:rsid w:val="00450BF7"/>
    <w:rsid w:val="00450C46"/>
    <w:rsid w:val="00451135"/>
    <w:rsid w:val="004511C4"/>
    <w:rsid w:val="004514B2"/>
    <w:rsid w:val="0045173C"/>
    <w:rsid w:val="00451B52"/>
    <w:rsid w:val="00451BC4"/>
    <w:rsid w:val="0045209B"/>
    <w:rsid w:val="00452106"/>
    <w:rsid w:val="004523D9"/>
    <w:rsid w:val="00452D99"/>
    <w:rsid w:val="004532A6"/>
    <w:rsid w:val="00453423"/>
    <w:rsid w:val="00453485"/>
    <w:rsid w:val="00454AF9"/>
    <w:rsid w:val="00454E57"/>
    <w:rsid w:val="00455538"/>
    <w:rsid w:val="00455762"/>
    <w:rsid w:val="0045595F"/>
    <w:rsid w:val="00455F1B"/>
    <w:rsid w:val="00455FB2"/>
    <w:rsid w:val="0045625B"/>
    <w:rsid w:val="00456499"/>
    <w:rsid w:val="004566A9"/>
    <w:rsid w:val="004569A8"/>
    <w:rsid w:val="00456A25"/>
    <w:rsid w:val="00456D43"/>
    <w:rsid w:val="00456F5D"/>
    <w:rsid w:val="0045751A"/>
    <w:rsid w:val="00457774"/>
    <w:rsid w:val="0045779F"/>
    <w:rsid w:val="00457B9B"/>
    <w:rsid w:val="00457CB2"/>
    <w:rsid w:val="00457D6C"/>
    <w:rsid w:val="00457D7B"/>
    <w:rsid w:val="00457E4D"/>
    <w:rsid w:val="00460107"/>
    <w:rsid w:val="0046033C"/>
    <w:rsid w:val="004604DC"/>
    <w:rsid w:val="00460711"/>
    <w:rsid w:val="00460836"/>
    <w:rsid w:val="00460871"/>
    <w:rsid w:val="00460C4C"/>
    <w:rsid w:val="00461251"/>
    <w:rsid w:val="00461437"/>
    <w:rsid w:val="00461916"/>
    <w:rsid w:val="00461CC6"/>
    <w:rsid w:val="00461F03"/>
    <w:rsid w:val="004628E1"/>
    <w:rsid w:val="004629A6"/>
    <w:rsid w:val="00462CE5"/>
    <w:rsid w:val="00462D0B"/>
    <w:rsid w:val="0046315D"/>
    <w:rsid w:val="004631E9"/>
    <w:rsid w:val="004632F8"/>
    <w:rsid w:val="004639A0"/>
    <w:rsid w:val="00463AA0"/>
    <w:rsid w:val="00464097"/>
    <w:rsid w:val="00464111"/>
    <w:rsid w:val="0046435B"/>
    <w:rsid w:val="00464BFB"/>
    <w:rsid w:val="00464D18"/>
    <w:rsid w:val="00464DCD"/>
    <w:rsid w:val="00464DD7"/>
    <w:rsid w:val="00465517"/>
    <w:rsid w:val="0046567A"/>
    <w:rsid w:val="00465B02"/>
    <w:rsid w:val="004663A5"/>
    <w:rsid w:val="00466DB4"/>
    <w:rsid w:val="00466E6F"/>
    <w:rsid w:val="004673AC"/>
    <w:rsid w:val="00467A69"/>
    <w:rsid w:val="00467B33"/>
    <w:rsid w:val="00467ED1"/>
    <w:rsid w:val="00467FE2"/>
    <w:rsid w:val="004707ED"/>
    <w:rsid w:val="0047088B"/>
    <w:rsid w:val="00470BF9"/>
    <w:rsid w:val="00471425"/>
    <w:rsid w:val="00471521"/>
    <w:rsid w:val="004715CF"/>
    <w:rsid w:val="00471BC5"/>
    <w:rsid w:val="00471F2F"/>
    <w:rsid w:val="00472551"/>
    <w:rsid w:val="00472625"/>
    <w:rsid w:val="00472AFA"/>
    <w:rsid w:val="00472F29"/>
    <w:rsid w:val="00472F43"/>
    <w:rsid w:val="00473038"/>
    <w:rsid w:val="00473190"/>
    <w:rsid w:val="00473748"/>
    <w:rsid w:val="00473A51"/>
    <w:rsid w:val="00473B41"/>
    <w:rsid w:val="004742C0"/>
    <w:rsid w:val="0047466E"/>
    <w:rsid w:val="00474A0B"/>
    <w:rsid w:val="00474A5F"/>
    <w:rsid w:val="00474E3C"/>
    <w:rsid w:val="00475110"/>
    <w:rsid w:val="004752C8"/>
    <w:rsid w:val="00475416"/>
    <w:rsid w:val="004756FD"/>
    <w:rsid w:val="00475817"/>
    <w:rsid w:val="004759A1"/>
    <w:rsid w:val="00475AA3"/>
    <w:rsid w:val="00475C62"/>
    <w:rsid w:val="00475D20"/>
    <w:rsid w:val="00475D9E"/>
    <w:rsid w:val="00475E36"/>
    <w:rsid w:val="00475FBC"/>
    <w:rsid w:val="004764B6"/>
    <w:rsid w:val="004765C5"/>
    <w:rsid w:val="0047698D"/>
    <w:rsid w:val="00476D78"/>
    <w:rsid w:val="004774CF"/>
    <w:rsid w:val="0047795B"/>
    <w:rsid w:val="00477B33"/>
    <w:rsid w:val="004804E3"/>
    <w:rsid w:val="004806AA"/>
    <w:rsid w:val="00480E5A"/>
    <w:rsid w:val="0048106E"/>
    <w:rsid w:val="00481105"/>
    <w:rsid w:val="0048127E"/>
    <w:rsid w:val="00481544"/>
    <w:rsid w:val="00481BE7"/>
    <w:rsid w:val="00482822"/>
    <w:rsid w:val="004828A0"/>
    <w:rsid w:val="00482985"/>
    <w:rsid w:val="00482A4F"/>
    <w:rsid w:val="00482C15"/>
    <w:rsid w:val="00483400"/>
    <w:rsid w:val="004835DA"/>
    <w:rsid w:val="00483740"/>
    <w:rsid w:val="0048377E"/>
    <w:rsid w:val="004839E5"/>
    <w:rsid w:val="00483A03"/>
    <w:rsid w:val="00483E90"/>
    <w:rsid w:val="004841A5"/>
    <w:rsid w:val="004841E2"/>
    <w:rsid w:val="004850CE"/>
    <w:rsid w:val="00485425"/>
    <w:rsid w:val="00485A1F"/>
    <w:rsid w:val="00485D0A"/>
    <w:rsid w:val="00485FB5"/>
    <w:rsid w:val="00486066"/>
    <w:rsid w:val="00486515"/>
    <w:rsid w:val="004865A2"/>
    <w:rsid w:val="00486926"/>
    <w:rsid w:val="00486E97"/>
    <w:rsid w:val="00486F7C"/>
    <w:rsid w:val="004870B8"/>
    <w:rsid w:val="00487583"/>
    <w:rsid w:val="00487A74"/>
    <w:rsid w:val="00487C5A"/>
    <w:rsid w:val="00487CD4"/>
    <w:rsid w:val="00487DE8"/>
    <w:rsid w:val="00487E1D"/>
    <w:rsid w:val="00487FFA"/>
    <w:rsid w:val="00490162"/>
    <w:rsid w:val="004907A6"/>
    <w:rsid w:val="004908F4"/>
    <w:rsid w:val="00490EBC"/>
    <w:rsid w:val="0049126B"/>
    <w:rsid w:val="004913AD"/>
    <w:rsid w:val="00491574"/>
    <w:rsid w:val="00491D56"/>
    <w:rsid w:val="00491EE6"/>
    <w:rsid w:val="00491F7B"/>
    <w:rsid w:val="00492249"/>
    <w:rsid w:val="004925DB"/>
    <w:rsid w:val="004928F9"/>
    <w:rsid w:val="0049298A"/>
    <w:rsid w:val="00493389"/>
    <w:rsid w:val="00493422"/>
    <w:rsid w:val="00493563"/>
    <w:rsid w:val="004938CB"/>
    <w:rsid w:val="00493A04"/>
    <w:rsid w:val="00493C73"/>
    <w:rsid w:val="00493DB3"/>
    <w:rsid w:val="004943B5"/>
    <w:rsid w:val="004944CD"/>
    <w:rsid w:val="00494510"/>
    <w:rsid w:val="00494845"/>
    <w:rsid w:val="00494C50"/>
    <w:rsid w:val="00494CF4"/>
    <w:rsid w:val="00494DFA"/>
    <w:rsid w:val="0049579E"/>
    <w:rsid w:val="00495881"/>
    <w:rsid w:val="00495DE7"/>
    <w:rsid w:val="00496163"/>
    <w:rsid w:val="004962E1"/>
    <w:rsid w:val="0049642B"/>
    <w:rsid w:val="004964E6"/>
    <w:rsid w:val="004965D3"/>
    <w:rsid w:val="00496872"/>
    <w:rsid w:val="00496CB4"/>
    <w:rsid w:val="004974AA"/>
    <w:rsid w:val="004974D7"/>
    <w:rsid w:val="004977CD"/>
    <w:rsid w:val="004978E1"/>
    <w:rsid w:val="00497EE1"/>
    <w:rsid w:val="004A0231"/>
    <w:rsid w:val="004A04CE"/>
    <w:rsid w:val="004A093C"/>
    <w:rsid w:val="004A0A4D"/>
    <w:rsid w:val="004A0E32"/>
    <w:rsid w:val="004A0F2A"/>
    <w:rsid w:val="004A14B1"/>
    <w:rsid w:val="004A15D2"/>
    <w:rsid w:val="004A1A73"/>
    <w:rsid w:val="004A1F8E"/>
    <w:rsid w:val="004A1FF9"/>
    <w:rsid w:val="004A2A62"/>
    <w:rsid w:val="004A2C0A"/>
    <w:rsid w:val="004A300D"/>
    <w:rsid w:val="004A33E8"/>
    <w:rsid w:val="004A3C30"/>
    <w:rsid w:val="004A3E7A"/>
    <w:rsid w:val="004A3FB6"/>
    <w:rsid w:val="004A4106"/>
    <w:rsid w:val="004A422F"/>
    <w:rsid w:val="004A4805"/>
    <w:rsid w:val="004A48D5"/>
    <w:rsid w:val="004A4AE9"/>
    <w:rsid w:val="004A4EFD"/>
    <w:rsid w:val="004A5116"/>
    <w:rsid w:val="004A5275"/>
    <w:rsid w:val="004A5552"/>
    <w:rsid w:val="004A5E09"/>
    <w:rsid w:val="004A63AD"/>
    <w:rsid w:val="004A68F1"/>
    <w:rsid w:val="004A6EEE"/>
    <w:rsid w:val="004A709C"/>
    <w:rsid w:val="004A73F8"/>
    <w:rsid w:val="004A798A"/>
    <w:rsid w:val="004A7992"/>
    <w:rsid w:val="004A7A5F"/>
    <w:rsid w:val="004A7B2D"/>
    <w:rsid w:val="004A7BD3"/>
    <w:rsid w:val="004A7C71"/>
    <w:rsid w:val="004A7C8A"/>
    <w:rsid w:val="004A7EBF"/>
    <w:rsid w:val="004B0132"/>
    <w:rsid w:val="004B060F"/>
    <w:rsid w:val="004B0B56"/>
    <w:rsid w:val="004B0EED"/>
    <w:rsid w:val="004B11D9"/>
    <w:rsid w:val="004B1D26"/>
    <w:rsid w:val="004B1F45"/>
    <w:rsid w:val="004B1F77"/>
    <w:rsid w:val="004B20EB"/>
    <w:rsid w:val="004B2210"/>
    <w:rsid w:val="004B23BA"/>
    <w:rsid w:val="004B2A4B"/>
    <w:rsid w:val="004B2B43"/>
    <w:rsid w:val="004B2D89"/>
    <w:rsid w:val="004B31BD"/>
    <w:rsid w:val="004B3280"/>
    <w:rsid w:val="004B3551"/>
    <w:rsid w:val="004B4287"/>
    <w:rsid w:val="004B4404"/>
    <w:rsid w:val="004B4872"/>
    <w:rsid w:val="004B4B34"/>
    <w:rsid w:val="004B4C19"/>
    <w:rsid w:val="004B5375"/>
    <w:rsid w:val="004B5851"/>
    <w:rsid w:val="004B5A81"/>
    <w:rsid w:val="004B6106"/>
    <w:rsid w:val="004B6274"/>
    <w:rsid w:val="004B6593"/>
    <w:rsid w:val="004B659B"/>
    <w:rsid w:val="004B6871"/>
    <w:rsid w:val="004B6C3D"/>
    <w:rsid w:val="004B6EBE"/>
    <w:rsid w:val="004B7556"/>
    <w:rsid w:val="004B75E8"/>
    <w:rsid w:val="004B781A"/>
    <w:rsid w:val="004B7B70"/>
    <w:rsid w:val="004B7C7D"/>
    <w:rsid w:val="004B7E15"/>
    <w:rsid w:val="004C049A"/>
    <w:rsid w:val="004C0693"/>
    <w:rsid w:val="004C090D"/>
    <w:rsid w:val="004C0A98"/>
    <w:rsid w:val="004C0EFA"/>
    <w:rsid w:val="004C1145"/>
    <w:rsid w:val="004C247A"/>
    <w:rsid w:val="004C269C"/>
    <w:rsid w:val="004C27E4"/>
    <w:rsid w:val="004C2824"/>
    <w:rsid w:val="004C28FB"/>
    <w:rsid w:val="004C2BD6"/>
    <w:rsid w:val="004C2D28"/>
    <w:rsid w:val="004C34D4"/>
    <w:rsid w:val="004C38E8"/>
    <w:rsid w:val="004C3A99"/>
    <w:rsid w:val="004C3F5F"/>
    <w:rsid w:val="004C4213"/>
    <w:rsid w:val="004C4B08"/>
    <w:rsid w:val="004C4C70"/>
    <w:rsid w:val="004C4D7E"/>
    <w:rsid w:val="004C5503"/>
    <w:rsid w:val="004C5DB4"/>
    <w:rsid w:val="004C5E48"/>
    <w:rsid w:val="004C656E"/>
    <w:rsid w:val="004C6CCD"/>
    <w:rsid w:val="004C6CFE"/>
    <w:rsid w:val="004C6D05"/>
    <w:rsid w:val="004C6DAE"/>
    <w:rsid w:val="004C6DF0"/>
    <w:rsid w:val="004C793B"/>
    <w:rsid w:val="004C7DAA"/>
    <w:rsid w:val="004D0103"/>
    <w:rsid w:val="004D019C"/>
    <w:rsid w:val="004D06CF"/>
    <w:rsid w:val="004D0ACA"/>
    <w:rsid w:val="004D0AF6"/>
    <w:rsid w:val="004D0C80"/>
    <w:rsid w:val="004D0F41"/>
    <w:rsid w:val="004D10D8"/>
    <w:rsid w:val="004D119F"/>
    <w:rsid w:val="004D1205"/>
    <w:rsid w:val="004D1334"/>
    <w:rsid w:val="004D180C"/>
    <w:rsid w:val="004D1A90"/>
    <w:rsid w:val="004D21D6"/>
    <w:rsid w:val="004D2301"/>
    <w:rsid w:val="004D246F"/>
    <w:rsid w:val="004D2741"/>
    <w:rsid w:val="004D2ADC"/>
    <w:rsid w:val="004D3107"/>
    <w:rsid w:val="004D3247"/>
    <w:rsid w:val="004D36BC"/>
    <w:rsid w:val="004D39F6"/>
    <w:rsid w:val="004D4830"/>
    <w:rsid w:val="004D48E2"/>
    <w:rsid w:val="004D4A0E"/>
    <w:rsid w:val="004D4CAC"/>
    <w:rsid w:val="004D4DA8"/>
    <w:rsid w:val="004D4FF9"/>
    <w:rsid w:val="004D565B"/>
    <w:rsid w:val="004D5AD7"/>
    <w:rsid w:val="004D64AA"/>
    <w:rsid w:val="004D64D5"/>
    <w:rsid w:val="004D6642"/>
    <w:rsid w:val="004D6717"/>
    <w:rsid w:val="004D6ED3"/>
    <w:rsid w:val="004D75AB"/>
    <w:rsid w:val="004D79FB"/>
    <w:rsid w:val="004D7D2B"/>
    <w:rsid w:val="004E011A"/>
    <w:rsid w:val="004E01CF"/>
    <w:rsid w:val="004E039F"/>
    <w:rsid w:val="004E062E"/>
    <w:rsid w:val="004E06CE"/>
    <w:rsid w:val="004E0710"/>
    <w:rsid w:val="004E0A45"/>
    <w:rsid w:val="004E0D60"/>
    <w:rsid w:val="004E0E24"/>
    <w:rsid w:val="004E0ED3"/>
    <w:rsid w:val="004E0FEE"/>
    <w:rsid w:val="004E1984"/>
    <w:rsid w:val="004E1A1A"/>
    <w:rsid w:val="004E1BB3"/>
    <w:rsid w:val="004E1C4E"/>
    <w:rsid w:val="004E2019"/>
    <w:rsid w:val="004E2023"/>
    <w:rsid w:val="004E23F8"/>
    <w:rsid w:val="004E261A"/>
    <w:rsid w:val="004E2652"/>
    <w:rsid w:val="004E28FB"/>
    <w:rsid w:val="004E290A"/>
    <w:rsid w:val="004E2F9A"/>
    <w:rsid w:val="004E2FBA"/>
    <w:rsid w:val="004E312F"/>
    <w:rsid w:val="004E37F6"/>
    <w:rsid w:val="004E3931"/>
    <w:rsid w:val="004E4251"/>
    <w:rsid w:val="004E447E"/>
    <w:rsid w:val="004E46E9"/>
    <w:rsid w:val="004E4DE3"/>
    <w:rsid w:val="004E5057"/>
    <w:rsid w:val="004E52D8"/>
    <w:rsid w:val="004E55B9"/>
    <w:rsid w:val="004E5775"/>
    <w:rsid w:val="004E5806"/>
    <w:rsid w:val="004E5A1B"/>
    <w:rsid w:val="004E5AC9"/>
    <w:rsid w:val="004E5DC3"/>
    <w:rsid w:val="004E5F70"/>
    <w:rsid w:val="004E61DD"/>
    <w:rsid w:val="004E6501"/>
    <w:rsid w:val="004E651A"/>
    <w:rsid w:val="004E6C59"/>
    <w:rsid w:val="004E6C61"/>
    <w:rsid w:val="004E70F3"/>
    <w:rsid w:val="004E73BD"/>
    <w:rsid w:val="004E760B"/>
    <w:rsid w:val="004E7643"/>
    <w:rsid w:val="004E7909"/>
    <w:rsid w:val="004E795B"/>
    <w:rsid w:val="004E7A3C"/>
    <w:rsid w:val="004E7A4C"/>
    <w:rsid w:val="004E7C52"/>
    <w:rsid w:val="004E7C8D"/>
    <w:rsid w:val="004E7DC4"/>
    <w:rsid w:val="004E7E25"/>
    <w:rsid w:val="004E7F6E"/>
    <w:rsid w:val="004F064C"/>
    <w:rsid w:val="004F0A05"/>
    <w:rsid w:val="004F0A0E"/>
    <w:rsid w:val="004F0E25"/>
    <w:rsid w:val="004F0FEB"/>
    <w:rsid w:val="004F1301"/>
    <w:rsid w:val="004F1364"/>
    <w:rsid w:val="004F1546"/>
    <w:rsid w:val="004F161F"/>
    <w:rsid w:val="004F1861"/>
    <w:rsid w:val="004F1B8E"/>
    <w:rsid w:val="004F1D48"/>
    <w:rsid w:val="004F1E8F"/>
    <w:rsid w:val="004F1E92"/>
    <w:rsid w:val="004F1F03"/>
    <w:rsid w:val="004F2D8B"/>
    <w:rsid w:val="004F2E42"/>
    <w:rsid w:val="004F2F96"/>
    <w:rsid w:val="004F32B7"/>
    <w:rsid w:val="004F3369"/>
    <w:rsid w:val="004F33BA"/>
    <w:rsid w:val="004F36AE"/>
    <w:rsid w:val="004F3A6F"/>
    <w:rsid w:val="004F47D6"/>
    <w:rsid w:val="004F55DE"/>
    <w:rsid w:val="004F56B8"/>
    <w:rsid w:val="004F5F80"/>
    <w:rsid w:val="004F60AE"/>
    <w:rsid w:val="004F61A2"/>
    <w:rsid w:val="004F6223"/>
    <w:rsid w:val="004F67B0"/>
    <w:rsid w:val="004F6840"/>
    <w:rsid w:val="004F69EE"/>
    <w:rsid w:val="004F6AF7"/>
    <w:rsid w:val="004F6C61"/>
    <w:rsid w:val="004F71EF"/>
    <w:rsid w:val="004F73D1"/>
    <w:rsid w:val="004F754C"/>
    <w:rsid w:val="004F7571"/>
    <w:rsid w:val="004F79FA"/>
    <w:rsid w:val="00500148"/>
    <w:rsid w:val="00500416"/>
    <w:rsid w:val="00500541"/>
    <w:rsid w:val="00500B21"/>
    <w:rsid w:val="0050106C"/>
    <w:rsid w:val="0050117C"/>
    <w:rsid w:val="00501287"/>
    <w:rsid w:val="005012FE"/>
    <w:rsid w:val="00501446"/>
    <w:rsid w:val="00501758"/>
    <w:rsid w:val="00501D9B"/>
    <w:rsid w:val="00502186"/>
    <w:rsid w:val="00502461"/>
    <w:rsid w:val="005029AD"/>
    <w:rsid w:val="00502F50"/>
    <w:rsid w:val="00503164"/>
    <w:rsid w:val="005035EC"/>
    <w:rsid w:val="005035F7"/>
    <w:rsid w:val="00503619"/>
    <w:rsid w:val="0050390C"/>
    <w:rsid w:val="00503A4A"/>
    <w:rsid w:val="00503B38"/>
    <w:rsid w:val="00503BD0"/>
    <w:rsid w:val="00503CBC"/>
    <w:rsid w:val="00503EC7"/>
    <w:rsid w:val="00503F4B"/>
    <w:rsid w:val="00504137"/>
    <w:rsid w:val="0050443B"/>
    <w:rsid w:val="005044D3"/>
    <w:rsid w:val="00504818"/>
    <w:rsid w:val="00504F15"/>
    <w:rsid w:val="00504F2F"/>
    <w:rsid w:val="0050544E"/>
    <w:rsid w:val="00505782"/>
    <w:rsid w:val="00505C33"/>
    <w:rsid w:val="00505C40"/>
    <w:rsid w:val="00505DB2"/>
    <w:rsid w:val="00505E5B"/>
    <w:rsid w:val="00506475"/>
    <w:rsid w:val="005064F4"/>
    <w:rsid w:val="005069D8"/>
    <w:rsid w:val="00506B16"/>
    <w:rsid w:val="00506B48"/>
    <w:rsid w:val="00506F7F"/>
    <w:rsid w:val="00506FB2"/>
    <w:rsid w:val="00507094"/>
    <w:rsid w:val="00507127"/>
    <w:rsid w:val="005072A1"/>
    <w:rsid w:val="005103EC"/>
    <w:rsid w:val="005104B3"/>
    <w:rsid w:val="0051056C"/>
    <w:rsid w:val="0051074D"/>
    <w:rsid w:val="005107B6"/>
    <w:rsid w:val="00510D86"/>
    <w:rsid w:val="00510DAD"/>
    <w:rsid w:val="0051102B"/>
    <w:rsid w:val="005110F5"/>
    <w:rsid w:val="0051129C"/>
    <w:rsid w:val="005116E1"/>
    <w:rsid w:val="0051178C"/>
    <w:rsid w:val="00511C96"/>
    <w:rsid w:val="00512097"/>
    <w:rsid w:val="005120B8"/>
    <w:rsid w:val="00512BEF"/>
    <w:rsid w:val="00513382"/>
    <w:rsid w:val="0051339A"/>
    <w:rsid w:val="005133B6"/>
    <w:rsid w:val="0051349E"/>
    <w:rsid w:val="005135DB"/>
    <w:rsid w:val="0051375A"/>
    <w:rsid w:val="00513975"/>
    <w:rsid w:val="00513C63"/>
    <w:rsid w:val="00513CB7"/>
    <w:rsid w:val="00513EDC"/>
    <w:rsid w:val="0051402F"/>
    <w:rsid w:val="00514122"/>
    <w:rsid w:val="005141DF"/>
    <w:rsid w:val="005147B8"/>
    <w:rsid w:val="00514A5C"/>
    <w:rsid w:val="00514C26"/>
    <w:rsid w:val="0051522B"/>
    <w:rsid w:val="005155DB"/>
    <w:rsid w:val="0051572A"/>
    <w:rsid w:val="0051582B"/>
    <w:rsid w:val="00515A0A"/>
    <w:rsid w:val="00515DAE"/>
    <w:rsid w:val="005161D5"/>
    <w:rsid w:val="005164E9"/>
    <w:rsid w:val="005165C8"/>
    <w:rsid w:val="00516652"/>
    <w:rsid w:val="0051665D"/>
    <w:rsid w:val="005168E7"/>
    <w:rsid w:val="00516A47"/>
    <w:rsid w:val="00516A93"/>
    <w:rsid w:val="00516BF1"/>
    <w:rsid w:val="00517048"/>
    <w:rsid w:val="00517080"/>
    <w:rsid w:val="005170ED"/>
    <w:rsid w:val="00517409"/>
    <w:rsid w:val="005179C8"/>
    <w:rsid w:val="00517B58"/>
    <w:rsid w:val="00517BB4"/>
    <w:rsid w:val="00517BC8"/>
    <w:rsid w:val="0052010B"/>
    <w:rsid w:val="005205DA"/>
    <w:rsid w:val="00520801"/>
    <w:rsid w:val="0052081C"/>
    <w:rsid w:val="00520AD0"/>
    <w:rsid w:val="00520E7C"/>
    <w:rsid w:val="0052132B"/>
    <w:rsid w:val="00521F04"/>
    <w:rsid w:val="005221A4"/>
    <w:rsid w:val="00522215"/>
    <w:rsid w:val="0052241B"/>
    <w:rsid w:val="0052253A"/>
    <w:rsid w:val="00522575"/>
    <w:rsid w:val="0052274E"/>
    <w:rsid w:val="00522A24"/>
    <w:rsid w:val="00522B9A"/>
    <w:rsid w:val="00522BBC"/>
    <w:rsid w:val="00522E82"/>
    <w:rsid w:val="00523350"/>
    <w:rsid w:val="00523627"/>
    <w:rsid w:val="005238CB"/>
    <w:rsid w:val="00523AE0"/>
    <w:rsid w:val="00523B30"/>
    <w:rsid w:val="005241E3"/>
    <w:rsid w:val="005243B1"/>
    <w:rsid w:val="00524421"/>
    <w:rsid w:val="0052471B"/>
    <w:rsid w:val="00524FDF"/>
    <w:rsid w:val="005253CF"/>
    <w:rsid w:val="005257D9"/>
    <w:rsid w:val="0052591D"/>
    <w:rsid w:val="0052599E"/>
    <w:rsid w:val="00525A4F"/>
    <w:rsid w:val="00525AFC"/>
    <w:rsid w:val="005261AD"/>
    <w:rsid w:val="00526446"/>
    <w:rsid w:val="00526A32"/>
    <w:rsid w:val="00526AB6"/>
    <w:rsid w:val="00526D60"/>
    <w:rsid w:val="00526E74"/>
    <w:rsid w:val="005270B6"/>
    <w:rsid w:val="00527266"/>
    <w:rsid w:val="00527AFE"/>
    <w:rsid w:val="00527BB9"/>
    <w:rsid w:val="0053033D"/>
    <w:rsid w:val="00530667"/>
    <w:rsid w:val="0053089A"/>
    <w:rsid w:val="00530B1E"/>
    <w:rsid w:val="00530BFA"/>
    <w:rsid w:val="00530C3F"/>
    <w:rsid w:val="00530E0A"/>
    <w:rsid w:val="005313AC"/>
    <w:rsid w:val="00531439"/>
    <w:rsid w:val="005315D6"/>
    <w:rsid w:val="0053176B"/>
    <w:rsid w:val="00531872"/>
    <w:rsid w:val="00531A67"/>
    <w:rsid w:val="00531D6B"/>
    <w:rsid w:val="00531D7B"/>
    <w:rsid w:val="00531DDD"/>
    <w:rsid w:val="00531E2C"/>
    <w:rsid w:val="00532021"/>
    <w:rsid w:val="00532283"/>
    <w:rsid w:val="005323B7"/>
    <w:rsid w:val="00532421"/>
    <w:rsid w:val="0053254E"/>
    <w:rsid w:val="0053262A"/>
    <w:rsid w:val="00532740"/>
    <w:rsid w:val="00532962"/>
    <w:rsid w:val="00532EA8"/>
    <w:rsid w:val="00532F1D"/>
    <w:rsid w:val="0053310A"/>
    <w:rsid w:val="0053338A"/>
    <w:rsid w:val="0053339D"/>
    <w:rsid w:val="00533B01"/>
    <w:rsid w:val="00534339"/>
    <w:rsid w:val="0053462A"/>
    <w:rsid w:val="00534814"/>
    <w:rsid w:val="00534901"/>
    <w:rsid w:val="005349C6"/>
    <w:rsid w:val="00535142"/>
    <w:rsid w:val="005352E2"/>
    <w:rsid w:val="00535416"/>
    <w:rsid w:val="005356EF"/>
    <w:rsid w:val="00535BB9"/>
    <w:rsid w:val="005360E9"/>
    <w:rsid w:val="00536253"/>
    <w:rsid w:val="00536324"/>
    <w:rsid w:val="00536A8E"/>
    <w:rsid w:val="00536D98"/>
    <w:rsid w:val="005370E8"/>
    <w:rsid w:val="005372EE"/>
    <w:rsid w:val="00537E11"/>
    <w:rsid w:val="00537E2D"/>
    <w:rsid w:val="00537E63"/>
    <w:rsid w:val="005401EC"/>
    <w:rsid w:val="005401EF"/>
    <w:rsid w:val="005402C1"/>
    <w:rsid w:val="005402FA"/>
    <w:rsid w:val="00540434"/>
    <w:rsid w:val="005409A4"/>
    <w:rsid w:val="00540D4F"/>
    <w:rsid w:val="0054100C"/>
    <w:rsid w:val="0054166F"/>
    <w:rsid w:val="00541F40"/>
    <w:rsid w:val="00542002"/>
    <w:rsid w:val="005421BA"/>
    <w:rsid w:val="00542302"/>
    <w:rsid w:val="0054249B"/>
    <w:rsid w:val="00542576"/>
    <w:rsid w:val="00542583"/>
    <w:rsid w:val="00542608"/>
    <w:rsid w:val="005429C5"/>
    <w:rsid w:val="00542AA1"/>
    <w:rsid w:val="00542CF7"/>
    <w:rsid w:val="00543189"/>
    <w:rsid w:val="00543227"/>
    <w:rsid w:val="00543647"/>
    <w:rsid w:val="005436B1"/>
    <w:rsid w:val="0054396B"/>
    <w:rsid w:val="0054396D"/>
    <w:rsid w:val="00543A0E"/>
    <w:rsid w:val="00543A99"/>
    <w:rsid w:val="00543B6F"/>
    <w:rsid w:val="00543C5B"/>
    <w:rsid w:val="00543D2F"/>
    <w:rsid w:val="00543DE3"/>
    <w:rsid w:val="00544066"/>
    <w:rsid w:val="005440D3"/>
    <w:rsid w:val="00544910"/>
    <w:rsid w:val="00544959"/>
    <w:rsid w:val="00544B1D"/>
    <w:rsid w:val="005452E8"/>
    <w:rsid w:val="00545694"/>
    <w:rsid w:val="00545725"/>
    <w:rsid w:val="00546382"/>
    <w:rsid w:val="0054647D"/>
    <w:rsid w:val="005465EE"/>
    <w:rsid w:val="00546651"/>
    <w:rsid w:val="00546B91"/>
    <w:rsid w:val="005470FC"/>
    <w:rsid w:val="00547B69"/>
    <w:rsid w:val="00547BE5"/>
    <w:rsid w:val="005501B6"/>
    <w:rsid w:val="00550A33"/>
    <w:rsid w:val="00550A9F"/>
    <w:rsid w:val="00550D2E"/>
    <w:rsid w:val="00550D93"/>
    <w:rsid w:val="005511FE"/>
    <w:rsid w:val="00551A09"/>
    <w:rsid w:val="00551ABF"/>
    <w:rsid w:val="00551C0B"/>
    <w:rsid w:val="00551EBD"/>
    <w:rsid w:val="0055218A"/>
    <w:rsid w:val="005525D8"/>
    <w:rsid w:val="00552907"/>
    <w:rsid w:val="00552975"/>
    <w:rsid w:val="005529F9"/>
    <w:rsid w:val="00552D91"/>
    <w:rsid w:val="00553271"/>
    <w:rsid w:val="005533EB"/>
    <w:rsid w:val="00553439"/>
    <w:rsid w:val="005537F9"/>
    <w:rsid w:val="00553804"/>
    <w:rsid w:val="00553899"/>
    <w:rsid w:val="00553B2D"/>
    <w:rsid w:val="00553C54"/>
    <w:rsid w:val="00554046"/>
    <w:rsid w:val="00554687"/>
    <w:rsid w:val="00554BDD"/>
    <w:rsid w:val="00554F2D"/>
    <w:rsid w:val="00554F3B"/>
    <w:rsid w:val="00554FE4"/>
    <w:rsid w:val="00555BEA"/>
    <w:rsid w:val="00555DC5"/>
    <w:rsid w:val="005564F8"/>
    <w:rsid w:val="00556572"/>
    <w:rsid w:val="00556661"/>
    <w:rsid w:val="0055683D"/>
    <w:rsid w:val="00557016"/>
    <w:rsid w:val="005575A8"/>
    <w:rsid w:val="0055761C"/>
    <w:rsid w:val="005577A5"/>
    <w:rsid w:val="00557A94"/>
    <w:rsid w:val="00557BF3"/>
    <w:rsid w:val="00557C51"/>
    <w:rsid w:val="005600C1"/>
    <w:rsid w:val="005607D0"/>
    <w:rsid w:val="00560885"/>
    <w:rsid w:val="00560E7C"/>
    <w:rsid w:val="00560E9E"/>
    <w:rsid w:val="0056119B"/>
    <w:rsid w:val="0056147C"/>
    <w:rsid w:val="005614B9"/>
    <w:rsid w:val="00561932"/>
    <w:rsid w:val="00561B88"/>
    <w:rsid w:val="00561C67"/>
    <w:rsid w:val="00561D1C"/>
    <w:rsid w:val="00561E8D"/>
    <w:rsid w:val="00562481"/>
    <w:rsid w:val="00562C93"/>
    <w:rsid w:val="00562CD7"/>
    <w:rsid w:val="00562D64"/>
    <w:rsid w:val="00562EE2"/>
    <w:rsid w:val="00563922"/>
    <w:rsid w:val="00563BC1"/>
    <w:rsid w:val="00563C32"/>
    <w:rsid w:val="00563D18"/>
    <w:rsid w:val="0056406E"/>
    <w:rsid w:val="00564622"/>
    <w:rsid w:val="00564B82"/>
    <w:rsid w:val="00564D69"/>
    <w:rsid w:val="00564E82"/>
    <w:rsid w:val="0056550A"/>
    <w:rsid w:val="00565627"/>
    <w:rsid w:val="00565828"/>
    <w:rsid w:val="00565C81"/>
    <w:rsid w:val="00565EFA"/>
    <w:rsid w:val="005660BF"/>
    <w:rsid w:val="005660FC"/>
    <w:rsid w:val="00566203"/>
    <w:rsid w:val="0056621A"/>
    <w:rsid w:val="005666B4"/>
    <w:rsid w:val="0056696F"/>
    <w:rsid w:val="00566CC5"/>
    <w:rsid w:val="00566D2D"/>
    <w:rsid w:val="005670E9"/>
    <w:rsid w:val="00567560"/>
    <w:rsid w:val="0056783C"/>
    <w:rsid w:val="00567937"/>
    <w:rsid w:val="00567C78"/>
    <w:rsid w:val="005707C3"/>
    <w:rsid w:val="0057097B"/>
    <w:rsid w:val="005709FC"/>
    <w:rsid w:val="00570A65"/>
    <w:rsid w:val="005710C7"/>
    <w:rsid w:val="0057183C"/>
    <w:rsid w:val="00571B3A"/>
    <w:rsid w:val="0057241F"/>
    <w:rsid w:val="0057265E"/>
    <w:rsid w:val="00572704"/>
    <w:rsid w:val="005727DF"/>
    <w:rsid w:val="005728C2"/>
    <w:rsid w:val="005737C8"/>
    <w:rsid w:val="00573CD9"/>
    <w:rsid w:val="00573FBC"/>
    <w:rsid w:val="00574809"/>
    <w:rsid w:val="00574D16"/>
    <w:rsid w:val="00574EC2"/>
    <w:rsid w:val="0057552D"/>
    <w:rsid w:val="00575B1A"/>
    <w:rsid w:val="00575E60"/>
    <w:rsid w:val="00576219"/>
    <w:rsid w:val="005768BF"/>
    <w:rsid w:val="00577473"/>
    <w:rsid w:val="005774A7"/>
    <w:rsid w:val="00577801"/>
    <w:rsid w:val="00577942"/>
    <w:rsid w:val="00577C57"/>
    <w:rsid w:val="00577EEE"/>
    <w:rsid w:val="00580043"/>
    <w:rsid w:val="005800A6"/>
    <w:rsid w:val="005802E8"/>
    <w:rsid w:val="005804EA"/>
    <w:rsid w:val="0058072D"/>
    <w:rsid w:val="0058073E"/>
    <w:rsid w:val="0058080B"/>
    <w:rsid w:val="005808AA"/>
    <w:rsid w:val="00580CB7"/>
    <w:rsid w:val="00580D69"/>
    <w:rsid w:val="00580D8A"/>
    <w:rsid w:val="0058136E"/>
    <w:rsid w:val="00581786"/>
    <w:rsid w:val="005819EF"/>
    <w:rsid w:val="00582192"/>
    <w:rsid w:val="00582BC1"/>
    <w:rsid w:val="00583B21"/>
    <w:rsid w:val="00583C00"/>
    <w:rsid w:val="00583CED"/>
    <w:rsid w:val="00583ED9"/>
    <w:rsid w:val="00583F14"/>
    <w:rsid w:val="00584839"/>
    <w:rsid w:val="005848D4"/>
    <w:rsid w:val="005853AC"/>
    <w:rsid w:val="005857DD"/>
    <w:rsid w:val="00585862"/>
    <w:rsid w:val="00585BA6"/>
    <w:rsid w:val="00585E41"/>
    <w:rsid w:val="00585EF5"/>
    <w:rsid w:val="00586E89"/>
    <w:rsid w:val="00587130"/>
    <w:rsid w:val="00587275"/>
    <w:rsid w:val="00587C2C"/>
    <w:rsid w:val="0059029F"/>
    <w:rsid w:val="005902FF"/>
    <w:rsid w:val="00590423"/>
    <w:rsid w:val="005906D1"/>
    <w:rsid w:val="00590A98"/>
    <w:rsid w:val="00590E2F"/>
    <w:rsid w:val="00590E6E"/>
    <w:rsid w:val="005912F2"/>
    <w:rsid w:val="005912FF"/>
    <w:rsid w:val="00591614"/>
    <w:rsid w:val="005916FE"/>
    <w:rsid w:val="0059196E"/>
    <w:rsid w:val="005919C2"/>
    <w:rsid w:val="00591A65"/>
    <w:rsid w:val="00591A89"/>
    <w:rsid w:val="00591F43"/>
    <w:rsid w:val="00592196"/>
    <w:rsid w:val="00592775"/>
    <w:rsid w:val="005928D3"/>
    <w:rsid w:val="00593058"/>
    <w:rsid w:val="00593097"/>
    <w:rsid w:val="00593111"/>
    <w:rsid w:val="0059368C"/>
    <w:rsid w:val="00593DA0"/>
    <w:rsid w:val="0059447B"/>
    <w:rsid w:val="00594B05"/>
    <w:rsid w:val="00594C30"/>
    <w:rsid w:val="00594CB5"/>
    <w:rsid w:val="00594E0E"/>
    <w:rsid w:val="00594E88"/>
    <w:rsid w:val="005951C5"/>
    <w:rsid w:val="005952EE"/>
    <w:rsid w:val="005952FC"/>
    <w:rsid w:val="00595B31"/>
    <w:rsid w:val="00595F6C"/>
    <w:rsid w:val="005961A8"/>
    <w:rsid w:val="005961E6"/>
    <w:rsid w:val="00596669"/>
    <w:rsid w:val="00596740"/>
    <w:rsid w:val="005969D7"/>
    <w:rsid w:val="0059743C"/>
    <w:rsid w:val="00597972"/>
    <w:rsid w:val="00597C01"/>
    <w:rsid w:val="00597C76"/>
    <w:rsid w:val="005A0303"/>
    <w:rsid w:val="005A06ED"/>
    <w:rsid w:val="005A079C"/>
    <w:rsid w:val="005A08F1"/>
    <w:rsid w:val="005A0F24"/>
    <w:rsid w:val="005A109B"/>
    <w:rsid w:val="005A10AB"/>
    <w:rsid w:val="005A10AE"/>
    <w:rsid w:val="005A1283"/>
    <w:rsid w:val="005A1381"/>
    <w:rsid w:val="005A1A88"/>
    <w:rsid w:val="005A1A9C"/>
    <w:rsid w:val="005A2CE6"/>
    <w:rsid w:val="005A2CF7"/>
    <w:rsid w:val="005A2D98"/>
    <w:rsid w:val="005A2DA3"/>
    <w:rsid w:val="005A3230"/>
    <w:rsid w:val="005A32A1"/>
    <w:rsid w:val="005A32A3"/>
    <w:rsid w:val="005A334F"/>
    <w:rsid w:val="005A361A"/>
    <w:rsid w:val="005A3707"/>
    <w:rsid w:val="005A375E"/>
    <w:rsid w:val="005A38D7"/>
    <w:rsid w:val="005A3CD1"/>
    <w:rsid w:val="005A46B9"/>
    <w:rsid w:val="005A4793"/>
    <w:rsid w:val="005A4D0E"/>
    <w:rsid w:val="005A4FB9"/>
    <w:rsid w:val="005A55EB"/>
    <w:rsid w:val="005A5776"/>
    <w:rsid w:val="005A57A6"/>
    <w:rsid w:val="005A590A"/>
    <w:rsid w:val="005A5F2A"/>
    <w:rsid w:val="005A657E"/>
    <w:rsid w:val="005A6B9C"/>
    <w:rsid w:val="005A6D32"/>
    <w:rsid w:val="005A6E94"/>
    <w:rsid w:val="005A7168"/>
    <w:rsid w:val="005A7292"/>
    <w:rsid w:val="005A768E"/>
    <w:rsid w:val="005A777C"/>
    <w:rsid w:val="005A78B4"/>
    <w:rsid w:val="005A7964"/>
    <w:rsid w:val="005A797B"/>
    <w:rsid w:val="005B03CF"/>
    <w:rsid w:val="005B0527"/>
    <w:rsid w:val="005B06AC"/>
    <w:rsid w:val="005B08BA"/>
    <w:rsid w:val="005B0CF0"/>
    <w:rsid w:val="005B0FE6"/>
    <w:rsid w:val="005B12C3"/>
    <w:rsid w:val="005B14EB"/>
    <w:rsid w:val="005B15B0"/>
    <w:rsid w:val="005B1BD7"/>
    <w:rsid w:val="005B23C4"/>
    <w:rsid w:val="005B2861"/>
    <w:rsid w:val="005B291F"/>
    <w:rsid w:val="005B2D76"/>
    <w:rsid w:val="005B2D81"/>
    <w:rsid w:val="005B3671"/>
    <w:rsid w:val="005B3848"/>
    <w:rsid w:val="005B3B53"/>
    <w:rsid w:val="005B3F71"/>
    <w:rsid w:val="005B41C6"/>
    <w:rsid w:val="005B41CE"/>
    <w:rsid w:val="005B44E3"/>
    <w:rsid w:val="005B4FCA"/>
    <w:rsid w:val="005B5E14"/>
    <w:rsid w:val="005B63C6"/>
    <w:rsid w:val="005B6708"/>
    <w:rsid w:val="005B674D"/>
    <w:rsid w:val="005B6BD8"/>
    <w:rsid w:val="005B6BFC"/>
    <w:rsid w:val="005B70E1"/>
    <w:rsid w:val="005B741A"/>
    <w:rsid w:val="005B744B"/>
    <w:rsid w:val="005B7511"/>
    <w:rsid w:val="005B77B2"/>
    <w:rsid w:val="005B7A09"/>
    <w:rsid w:val="005B7B6E"/>
    <w:rsid w:val="005B7B8A"/>
    <w:rsid w:val="005B7BF9"/>
    <w:rsid w:val="005B7CC6"/>
    <w:rsid w:val="005C0064"/>
    <w:rsid w:val="005C029D"/>
    <w:rsid w:val="005C0562"/>
    <w:rsid w:val="005C0714"/>
    <w:rsid w:val="005C09AB"/>
    <w:rsid w:val="005C0D9E"/>
    <w:rsid w:val="005C0F60"/>
    <w:rsid w:val="005C130C"/>
    <w:rsid w:val="005C14B1"/>
    <w:rsid w:val="005C152C"/>
    <w:rsid w:val="005C1547"/>
    <w:rsid w:val="005C1958"/>
    <w:rsid w:val="005C1C17"/>
    <w:rsid w:val="005C1C8E"/>
    <w:rsid w:val="005C2419"/>
    <w:rsid w:val="005C2559"/>
    <w:rsid w:val="005C280F"/>
    <w:rsid w:val="005C2A35"/>
    <w:rsid w:val="005C2F12"/>
    <w:rsid w:val="005C302C"/>
    <w:rsid w:val="005C3121"/>
    <w:rsid w:val="005C3B3D"/>
    <w:rsid w:val="005C3C32"/>
    <w:rsid w:val="005C3D3C"/>
    <w:rsid w:val="005C3F9A"/>
    <w:rsid w:val="005C41A8"/>
    <w:rsid w:val="005C4A95"/>
    <w:rsid w:val="005C4B2F"/>
    <w:rsid w:val="005C4BCE"/>
    <w:rsid w:val="005C5092"/>
    <w:rsid w:val="005C5375"/>
    <w:rsid w:val="005C56F3"/>
    <w:rsid w:val="005C5A14"/>
    <w:rsid w:val="005C6723"/>
    <w:rsid w:val="005C6BC0"/>
    <w:rsid w:val="005C7010"/>
    <w:rsid w:val="005C73A7"/>
    <w:rsid w:val="005C767D"/>
    <w:rsid w:val="005C7695"/>
    <w:rsid w:val="005C7B59"/>
    <w:rsid w:val="005C7D6F"/>
    <w:rsid w:val="005D00B3"/>
    <w:rsid w:val="005D01E6"/>
    <w:rsid w:val="005D02AE"/>
    <w:rsid w:val="005D0434"/>
    <w:rsid w:val="005D0575"/>
    <w:rsid w:val="005D0BA2"/>
    <w:rsid w:val="005D0C8C"/>
    <w:rsid w:val="005D1059"/>
    <w:rsid w:val="005D13C3"/>
    <w:rsid w:val="005D1D63"/>
    <w:rsid w:val="005D1F63"/>
    <w:rsid w:val="005D220A"/>
    <w:rsid w:val="005D225A"/>
    <w:rsid w:val="005D2466"/>
    <w:rsid w:val="005D2FB8"/>
    <w:rsid w:val="005D3413"/>
    <w:rsid w:val="005D3476"/>
    <w:rsid w:val="005D3574"/>
    <w:rsid w:val="005D391F"/>
    <w:rsid w:val="005D3E31"/>
    <w:rsid w:val="005D4362"/>
    <w:rsid w:val="005D469B"/>
    <w:rsid w:val="005D4DFC"/>
    <w:rsid w:val="005D5195"/>
    <w:rsid w:val="005D5265"/>
    <w:rsid w:val="005D549B"/>
    <w:rsid w:val="005D55F9"/>
    <w:rsid w:val="005D58BF"/>
    <w:rsid w:val="005D5D47"/>
    <w:rsid w:val="005D5F17"/>
    <w:rsid w:val="005D5FF1"/>
    <w:rsid w:val="005D6095"/>
    <w:rsid w:val="005D627B"/>
    <w:rsid w:val="005D6481"/>
    <w:rsid w:val="005D6855"/>
    <w:rsid w:val="005D69D4"/>
    <w:rsid w:val="005D6AC9"/>
    <w:rsid w:val="005D6BC2"/>
    <w:rsid w:val="005D6D21"/>
    <w:rsid w:val="005D6F07"/>
    <w:rsid w:val="005D6F8A"/>
    <w:rsid w:val="005D6FA3"/>
    <w:rsid w:val="005D7343"/>
    <w:rsid w:val="005D73D1"/>
    <w:rsid w:val="005D7708"/>
    <w:rsid w:val="005D79E1"/>
    <w:rsid w:val="005D7CCB"/>
    <w:rsid w:val="005D7D22"/>
    <w:rsid w:val="005D7DC5"/>
    <w:rsid w:val="005D7E9D"/>
    <w:rsid w:val="005E08A8"/>
    <w:rsid w:val="005E0CD4"/>
    <w:rsid w:val="005E0E38"/>
    <w:rsid w:val="005E136D"/>
    <w:rsid w:val="005E154C"/>
    <w:rsid w:val="005E1663"/>
    <w:rsid w:val="005E1770"/>
    <w:rsid w:val="005E1AB1"/>
    <w:rsid w:val="005E1B20"/>
    <w:rsid w:val="005E1E89"/>
    <w:rsid w:val="005E20BE"/>
    <w:rsid w:val="005E247F"/>
    <w:rsid w:val="005E26F6"/>
    <w:rsid w:val="005E274D"/>
    <w:rsid w:val="005E288B"/>
    <w:rsid w:val="005E2A1C"/>
    <w:rsid w:val="005E2B04"/>
    <w:rsid w:val="005E2D7A"/>
    <w:rsid w:val="005E2FEE"/>
    <w:rsid w:val="005E30A9"/>
    <w:rsid w:val="005E3166"/>
    <w:rsid w:val="005E31CA"/>
    <w:rsid w:val="005E3251"/>
    <w:rsid w:val="005E35B5"/>
    <w:rsid w:val="005E3861"/>
    <w:rsid w:val="005E3D9D"/>
    <w:rsid w:val="005E3F9F"/>
    <w:rsid w:val="005E42F8"/>
    <w:rsid w:val="005E4304"/>
    <w:rsid w:val="005E4654"/>
    <w:rsid w:val="005E477A"/>
    <w:rsid w:val="005E4B36"/>
    <w:rsid w:val="005E4B60"/>
    <w:rsid w:val="005E4E58"/>
    <w:rsid w:val="005E4FB2"/>
    <w:rsid w:val="005E50E9"/>
    <w:rsid w:val="005E5297"/>
    <w:rsid w:val="005E52A5"/>
    <w:rsid w:val="005E5313"/>
    <w:rsid w:val="005E5890"/>
    <w:rsid w:val="005E5D0D"/>
    <w:rsid w:val="005E5F28"/>
    <w:rsid w:val="005E62EE"/>
    <w:rsid w:val="005E65AE"/>
    <w:rsid w:val="005E6896"/>
    <w:rsid w:val="005E6C9F"/>
    <w:rsid w:val="005E7676"/>
    <w:rsid w:val="005E7940"/>
    <w:rsid w:val="005E7981"/>
    <w:rsid w:val="005E7B32"/>
    <w:rsid w:val="005E7C97"/>
    <w:rsid w:val="005E7F33"/>
    <w:rsid w:val="005F00E4"/>
    <w:rsid w:val="005F00FF"/>
    <w:rsid w:val="005F02D9"/>
    <w:rsid w:val="005F06F8"/>
    <w:rsid w:val="005F0720"/>
    <w:rsid w:val="005F07FF"/>
    <w:rsid w:val="005F0A5F"/>
    <w:rsid w:val="005F0DB4"/>
    <w:rsid w:val="005F0E1A"/>
    <w:rsid w:val="005F0FA2"/>
    <w:rsid w:val="005F11D9"/>
    <w:rsid w:val="005F125D"/>
    <w:rsid w:val="005F177A"/>
    <w:rsid w:val="005F1782"/>
    <w:rsid w:val="005F17B5"/>
    <w:rsid w:val="005F1BA1"/>
    <w:rsid w:val="005F2026"/>
    <w:rsid w:val="005F2182"/>
    <w:rsid w:val="005F229C"/>
    <w:rsid w:val="005F2687"/>
    <w:rsid w:val="005F2902"/>
    <w:rsid w:val="005F2C87"/>
    <w:rsid w:val="005F2CD2"/>
    <w:rsid w:val="005F2EE1"/>
    <w:rsid w:val="005F374C"/>
    <w:rsid w:val="005F4070"/>
    <w:rsid w:val="005F4647"/>
    <w:rsid w:val="005F467C"/>
    <w:rsid w:val="005F49D7"/>
    <w:rsid w:val="005F4A05"/>
    <w:rsid w:val="005F4A93"/>
    <w:rsid w:val="005F4CC7"/>
    <w:rsid w:val="005F4D18"/>
    <w:rsid w:val="005F4DFA"/>
    <w:rsid w:val="005F4F2D"/>
    <w:rsid w:val="005F5093"/>
    <w:rsid w:val="005F5990"/>
    <w:rsid w:val="005F5DFF"/>
    <w:rsid w:val="005F5F3A"/>
    <w:rsid w:val="005F65DE"/>
    <w:rsid w:val="005F6608"/>
    <w:rsid w:val="005F67ED"/>
    <w:rsid w:val="005F680B"/>
    <w:rsid w:val="005F6B9C"/>
    <w:rsid w:val="005F7114"/>
    <w:rsid w:val="005F719E"/>
    <w:rsid w:val="005F7306"/>
    <w:rsid w:val="005F74FD"/>
    <w:rsid w:val="00600631"/>
    <w:rsid w:val="00600826"/>
    <w:rsid w:val="006014F1"/>
    <w:rsid w:val="006017F9"/>
    <w:rsid w:val="006018B1"/>
    <w:rsid w:val="006018E6"/>
    <w:rsid w:val="006019AA"/>
    <w:rsid w:val="006019C3"/>
    <w:rsid w:val="00601B91"/>
    <w:rsid w:val="0060204E"/>
    <w:rsid w:val="0060214E"/>
    <w:rsid w:val="006024B9"/>
    <w:rsid w:val="006026A2"/>
    <w:rsid w:val="006027A5"/>
    <w:rsid w:val="00602CB3"/>
    <w:rsid w:val="00602FD6"/>
    <w:rsid w:val="006030B2"/>
    <w:rsid w:val="006030DB"/>
    <w:rsid w:val="00603102"/>
    <w:rsid w:val="006032AD"/>
    <w:rsid w:val="00603396"/>
    <w:rsid w:val="0060365F"/>
    <w:rsid w:val="00603BC5"/>
    <w:rsid w:val="00603DA5"/>
    <w:rsid w:val="00603EE8"/>
    <w:rsid w:val="006041D5"/>
    <w:rsid w:val="00604718"/>
    <w:rsid w:val="00604A5D"/>
    <w:rsid w:val="00604AD5"/>
    <w:rsid w:val="00604BED"/>
    <w:rsid w:val="00605403"/>
    <w:rsid w:val="00605560"/>
    <w:rsid w:val="006056BE"/>
    <w:rsid w:val="00605715"/>
    <w:rsid w:val="0060601E"/>
    <w:rsid w:val="0060624A"/>
    <w:rsid w:val="00606330"/>
    <w:rsid w:val="006063C9"/>
    <w:rsid w:val="006064C7"/>
    <w:rsid w:val="00606A19"/>
    <w:rsid w:val="00606CBE"/>
    <w:rsid w:val="00606D77"/>
    <w:rsid w:val="0060700F"/>
    <w:rsid w:val="00607048"/>
    <w:rsid w:val="006070FA"/>
    <w:rsid w:val="0060727B"/>
    <w:rsid w:val="00607653"/>
    <w:rsid w:val="00607EE7"/>
    <w:rsid w:val="00610057"/>
    <w:rsid w:val="0061007F"/>
    <w:rsid w:val="00610318"/>
    <w:rsid w:val="0061035A"/>
    <w:rsid w:val="006105A4"/>
    <w:rsid w:val="0061091A"/>
    <w:rsid w:val="00610DFA"/>
    <w:rsid w:val="006112FF"/>
    <w:rsid w:val="00611318"/>
    <w:rsid w:val="00611379"/>
    <w:rsid w:val="00611713"/>
    <w:rsid w:val="006117BB"/>
    <w:rsid w:val="00611CBC"/>
    <w:rsid w:val="00611DAA"/>
    <w:rsid w:val="00611F25"/>
    <w:rsid w:val="006122FF"/>
    <w:rsid w:val="00612509"/>
    <w:rsid w:val="00612A0E"/>
    <w:rsid w:val="00612B31"/>
    <w:rsid w:val="00612CD3"/>
    <w:rsid w:val="00612EBA"/>
    <w:rsid w:val="006131BD"/>
    <w:rsid w:val="00613D49"/>
    <w:rsid w:val="00613D71"/>
    <w:rsid w:val="00613EC5"/>
    <w:rsid w:val="006140E2"/>
    <w:rsid w:val="006145D0"/>
    <w:rsid w:val="006146B4"/>
    <w:rsid w:val="00614CD7"/>
    <w:rsid w:val="00614CF1"/>
    <w:rsid w:val="00614D6D"/>
    <w:rsid w:val="00614E30"/>
    <w:rsid w:val="0061514D"/>
    <w:rsid w:val="006157B0"/>
    <w:rsid w:val="006157F4"/>
    <w:rsid w:val="00615919"/>
    <w:rsid w:val="00615B79"/>
    <w:rsid w:val="00615F75"/>
    <w:rsid w:val="0061622C"/>
    <w:rsid w:val="006174C5"/>
    <w:rsid w:val="00617504"/>
    <w:rsid w:val="0061766C"/>
    <w:rsid w:val="006176AA"/>
    <w:rsid w:val="006177D9"/>
    <w:rsid w:val="00617A6B"/>
    <w:rsid w:val="00617E87"/>
    <w:rsid w:val="0062005A"/>
    <w:rsid w:val="00620AB4"/>
    <w:rsid w:val="00620ED6"/>
    <w:rsid w:val="00620EED"/>
    <w:rsid w:val="00621236"/>
    <w:rsid w:val="0062165E"/>
    <w:rsid w:val="00621669"/>
    <w:rsid w:val="00621EA0"/>
    <w:rsid w:val="006224D1"/>
    <w:rsid w:val="00623C4C"/>
    <w:rsid w:val="00623C51"/>
    <w:rsid w:val="0062409A"/>
    <w:rsid w:val="0062442D"/>
    <w:rsid w:val="00624A85"/>
    <w:rsid w:val="00624D56"/>
    <w:rsid w:val="00624FD4"/>
    <w:rsid w:val="0062533A"/>
    <w:rsid w:val="006254C5"/>
    <w:rsid w:val="006256B5"/>
    <w:rsid w:val="006258C9"/>
    <w:rsid w:val="00625B6F"/>
    <w:rsid w:val="00625ED1"/>
    <w:rsid w:val="00625EEA"/>
    <w:rsid w:val="00626173"/>
    <w:rsid w:val="00626323"/>
    <w:rsid w:val="00626338"/>
    <w:rsid w:val="006263ED"/>
    <w:rsid w:val="006265BF"/>
    <w:rsid w:val="006266E8"/>
    <w:rsid w:val="00626708"/>
    <w:rsid w:val="00626D80"/>
    <w:rsid w:val="00626DC8"/>
    <w:rsid w:val="00626EAD"/>
    <w:rsid w:val="006271F6"/>
    <w:rsid w:val="006272A5"/>
    <w:rsid w:val="0062771B"/>
    <w:rsid w:val="00627B40"/>
    <w:rsid w:val="00627B70"/>
    <w:rsid w:val="00627C80"/>
    <w:rsid w:val="00627CCE"/>
    <w:rsid w:val="00627FC0"/>
    <w:rsid w:val="00630CB8"/>
    <w:rsid w:val="00630E9A"/>
    <w:rsid w:val="006310F6"/>
    <w:rsid w:val="00631717"/>
    <w:rsid w:val="00631B1C"/>
    <w:rsid w:val="00631CF4"/>
    <w:rsid w:val="00631D97"/>
    <w:rsid w:val="0063281E"/>
    <w:rsid w:val="006328F2"/>
    <w:rsid w:val="00632DF8"/>
    <w:rsid w:val="00632EF4"/>
    <w:rsid w:val="0063360A"/>
    <w:rsid w:val="0063395C"/>
    <w:rsid w:val="00633D46"/>
    <w:rsid w:val="00633E50"/>
    <w:rsid w:val="0063422C"/>
    <w:rsid w:val="006342C4"/>
    <w:rsid w:val="00634322"/>
    <w:rsid w:val="0063458C"/>
    <w:rsid w:val="00634FFE"/>
    <w:rsid w:val="00635040"/>
    <w:rsid w:val="006350D3"/>
    <w:rsid w:val="00635666"/>
    <w:rsid w:val="006356AD"/>
    <w:rsid w:val="00635C37"/>
    <w:rsid w:val="00635CFD"/>
    <w:rsid w:val="00635FBE"/>
    <w:rsid w:val="0063650F"/>
    <w:rsid w:val="006367D2"/>
    <w:rsid w:val="00636879"/>
    <w:rsid w:val="00637383"/>
    <w:rsid w:val="006375BC"/>
    <w:rsid w:val="006375FA"/>
    <w:rsid w:val="0063771B"/>
    <w:rsid w:val="00637C2A"/>
    <w:rsid w:val="006400EC"/>
    <w:rsid w:val="006403E5"/>
    <w:rsid w:val="00640A8D"/>
    <w:rsid w:val="00640D3F"/>
    <w:rsid w:val="0064156A"/>
    <w:rsid w:val="00641572"/>
    <w:rsid w:val="00641668"/>
    <w:rsid w:val="00641974"/>
    <w:rsid w:val="00641A34"/>
    <w:rsid w:val="00641BB6"/>
    <w:rsid w:val="00641BD0"/>
    <w:rsid w:val="006420AC"/>
    <w:rsid w:val="006421FC"/>
    <w:rsid w:val="006425CA"/>
    <w:rsid w:val="006427C9"/>
    <w:rsid w:val="00642A5B"/>
    <w:rsid w:val="00642D5F"/>
    <w:rsid w:val="006431BF"/>
    <w:rsid w:val="006435EA"/>
    <w:rsid w:val="00643684"/>
    <w:rsid w:val="006438A4"/>
    <w:rsid w:val="00643E8C"/>
    <w:rsid w:val="006440C5"/>
    <w:rsid w:val="0064465A"/>
    <w:rsid w:val="0064487E"/>
    <w:rsid w:val="00644A26"/>
    <w:rsid w:val="00644B88"/>
    <w:rsid w:val="00644C92"/>
    <w:rsid w:val="00644D65"/>
    <w:rsid w:val="0064509C"/>
    <w:rsid w:val="006451DB"/>
    <w:rsid w:val="00645620"/>
    <w:rsid w:val="006456A1"/>
    <w:rsid w:val="00645D16"/>
    <w:rsid w:val="00646295"/>
    <w:rsid w:val="006466E7"/>
    <w:rsid w:val="00646805"/>
    <w:rsid w:val="00646DC9"/>
    <w:rsid w:val="00646EB6"/>
    <w:rsid w:val="006472DA"/>
    <w:rsid w:val="0064753E"/>
    <w:rsid w:val="00647569"/>
    <w:rsid w:val="00647765"/>
    <w:rsid w:val="0065004F"/>
    <w:rsid w:val="0065008A"/>
    <w:rsid w:val="00650374"/>
    <w:rsid w:val="006505B4"/>
    <w:rsid w:val="0065119C"/>
    <w:rsid w:val="006511BA"/>
    <w:rsid w:val="00651364"/>
    <w:rsid w:val="00651B8A"/>
    <w:rsid w:val="00651BA8"/>
    <w:rsid w:val="00651C18"/>
    <w:rsid w:val="00652367"/>
    <w:rsid w:val="00652537"/>
    <w:rsid w:val="006526C5"/>
    <w:rsid w:val="0065272E"/>
    <w:rsid w:val="00653387"/>
    <w:rsid w:val="006533EE"/>
    <w:rsid w:val="00653D04"/>
    <w:rsid w:val="00654C21"/>
    <w:rsid w:val="00654EB8"/>
    <w:rsid w:val="006554D4"/>
    <w:rsid w:val="00655617"/>
    <w:rsid w:val="0065562C"/>
    <w:rsid w:val="006556DD"/>
    <w:rsid w:val="006558A8"/>
    <w:rsid w:val="0065598B"/>
    <w:rsid w:val="00655B5F"/>
    <w:rsid w:val="006560A6"/>
    <w:rsid w:val="0065677D"/>
    <w:rsid w:val="006567AD"/>
    <w:rsid w:val="006567BF"/>
    <w:rsid w:val="00656847"/>
    <w:rsid w:val="00657B41"/>
    <w:rsid w:val="00660238"/>
    <w:rsid w:val="00660465"/>
    <w:rsid w:val="006608B8"/>
    <w:rsid w:val="006608EE"/>
    <w:rsid w:val="00660A72"/>
    <w:rsid w:val="00660A92"/>
    <w:rsid w:val="00660CF3"/>
    <w:rsid w:val="00660D4B"/>
    <w:rsid w:val="00660D95"/>
    <w:rsid w:val="00660DE8"/>
    <w:rsid w:val="00660F53"/>
    <w:rsid w:val="00661213"/>
    <w:rsid w:val="00661232"/>
    <w:rsid w:val="00661717"/>
    <w:rsid w:val="00661822"/>
    <w:rsid w:val="006619B6"/>
    <w:rsid w:val="00661AD3"/>
    <w:rsid w:val="00661C79"/>
    <w:rsid w:val="00661E9D"/>
    <w:rsid w:val="00661F66"/>
    <w:rsid w:val="006626B1"/>
    <w:rsid w:val="00662827"/>
    <w:rsid w:val="0066288D"/>
    <w:rsid w:val="0066291C"/>
    <w:rsid w:val="00663031"/>
    <w:rsid w:val="006631EB"/>
    <w:rsid w:val="0066357F"/>
    <w:rsid w:val="006638B9"/>
    <w:rsid w:val="00663A56"/>
    <w:rsid w:val="00663A7C"/>
    <w:rsid w:val="00663B12"/>
    <w:rsid w:val="00663C31"/>
    <w:rsid w:val="00663EF5"/>
    <w:rsid w:val="00663F23"/>
    <w:rsid w:val="00664077"/>
    <w:rsid w:val="006644FB"/>
    <w:rsid w:val="00664634"/>
    <w:rsid w:val="0066469E"/>
    <w:rsid w:val="00664719"/>
    <w:rsid w:val="00664827"/>
    <w:rsid w:val="00664A93"/>
    <w:rsid w:val="00664D31"/>
    <w:rsid w:val="00664D38"/>
    <w:rsid w:val="00664F7D"/>
    <w:rsid w:val="00665444"/>
    <w:rsid w:val="0066580A"/>
    <w:rsid w:val="0066598C"/>
    <w:rsid w:val="00665A0A"/>
    <w:rsid w:val="00665BC7"/>
    <w:rsid w:val="00666341"/>
    <w:rsid w:val="006665EE"/>
    <w:rsid w:val="0066690F"/>
    <w:rsid w:val="00666A1E"/>
    <w:rsid w:val="00666A93"/>
    <w:rsid w:val="00667FF2"/>
    <w:rsid w:val="0067039E"/>
    <w:rsid w:val="00670408"/>
    <w:rsid w:val="00670531"/>
    <w:rsid w:val="00670697"/>
    <w:rsid w:val="00671581"/>
    <w:rsid w:val="00671A68"/>
    <w:rsid w:val="00671C6D"/>
    <w:rsid w:val="00671C77"/>
    <w:rsid w:val="00671E47"/>
    <w:rsid w:val="00672545"/>
    <w:rsid w:val="006725A2"/>
    <w:rsid w:val="00672654"/>
    <w:rsid w:val="00672C5F"/>
    <w:rsid w:val="00672DC1"/>
    <w:rsid w:val="006735FF"/>
    <w:rsid w:val="00673774"/>
    <w:rsid w:val="00674461"/>
    <w:rsid w:val="006747E9"/>
    <w:rsid w:val="00674805"/>
    <w:rsid w:val="006748C1"/>
    <w:rsid w:val="00674940"/>
    <w:rsid w:val="00674AB1"/>
    <w:rsid w:val="00674BA6"/>
    <w:rsid w:val="00674E51"/>
    <w:rsid w:val="00674F4F"/>
    <w:rsid w:val="00675045"/>
    <w:rsid w:val="00675183"/>
    <w:rsid w:val="0067531D"/>
    <w:rsid w:val="006755B1"/>
    <w:rsid w:val="006755CD"/>
    <w:rsid w:val="00675BD3"/>
    <w:rsid w:val="00675E25"/>
    <w:rsid w:val="00676427"/>
    <w:rsid w:val="0067695E"/>
    <w:rsid w:val="00676B17"/>
    <w:rsid w:val="00676BB1"/>
    <w:rsid w:val="00676E2E"/>
    <w:rsid w:val="00676ED6"/>
    <w:rsid w:val="0067731E"/>
    <w:rsid w:val="00677529"/>
    <w:rsid w:val="0067783B"/>
    <w:rsid w:val="0067783E"/>
    <w:rsid w:val="00677974"/>
    <w:rsid w:val="006779D9"/>
    <w:rsid w:val="00677BBD"/>
    <w:rsid w:val="00677BE9"/>
    <w:rsid w:val="00677E9E"/>
    <w:rsid w:val="00677EAB"/>
    <w:rsid w:val="00680234"/>
    <w:rsid w:val="006803C8"/>
    <w:rsid w:val="00680A57"/>
    <w:rsid w:val="00680CE1"/>
    <w:rsid w:val="00680DE6"/>
    <w:rsid w:val="006810C8"/>
    <w:rsid w:val="00681235"/>
    <w:rsid w:val="006812C7"/>
    <w:rsid w:val="0068139E"/>
    <w:rsid w:val="0068187C"/>
    <w:rsid w:val="00681F70"/>
    <w:rsid w:val="00681FFC"/>
    <w:rsid w:val="006826E2"/>
    <w:rsid w:val="00682D28"/>
    <w:rsid w:val="00683149"/>
    <w:rsid w:val="006832C4"/>
    <w:rsid w:val="00683C73"/>
    <w:rsid w:val="00684008"/>
    <w:rsid w:val="0068400C"/>
    <w:rsid w:val="00684A72"/>
    <w:rsid w:val="00685AE5"/>
    <w:rsid w:val="00685D26"/>
    <w:rsid w:val="00685E11"/>
    <w:rsid w:val="00685EB3"/>
    <w:rsid w:val="00685FE2"/>
    <w:rsid w:val="006862DB"/>
    <w:rsid w:val="006868FE"/>
    <w:rsid w:val="00686EED"/>
    <w:rsid w:val="00686EF5"/>
    <w:rsid w:val="00687126"/>
    <w:rsid w:val="00687351"/>
    <w:rsid w:val="00687674"/>
    <w:rsid w:val="0068778B"/>
    <w:rsid w:val="006877D1"/>
    <w:rsid w:val="006878C6"/>
    <w:rsid w:val="00687AF3"/>
    <w:rsid w:val="00687FFE"/>
    <w:rsid w:val="006900CF"/>
    <w:rsid w:val="006903CD"/>
    <w:rsid w:val="0069085D"/>
    <w:rsid w:val="0069096C"/>
    <w:rsid w:val="00690B03"/>
    <w:rsid w:val="00691C3D"/>
    <w:rsid w:val="00691F82"/>
    <w:rsid w:val="0069269E"/>
    <w:rsid w:val="00692984"/>
    <w:rsid w:val="006929E5"/>
    <w:rsid w:val="00693049"/>
    <w:rsid w:val="006930B1"/>
    <w:rsid w:val="00693372"/>
    <w:rsid w:val="0069339D"/>
    <w:rsid w:val="0069362C"/>
    <w:rsid w:val="0069370A"/>
    <w:rsid w:val="006938AD"/>
    <w:rsid w:val="00693A0C"/>
    <w:rsid w:val="00693C78"/>
    <w:rsid w:val="00693E76"/>
    <w:rsid w:val="00693F50"/>
    <w:rsid w:val="0069405C"/>
    <w:rsid w:val="00694233"/>
    <w:rsid w:val="006943C5"/>
    <w:rsid w:val="0069467A"/>
    <w:rsid w:val="00694922"/>
    <w:rsid w:val="006949A3"/>
    <w:rsid w:val="00694C0D"/>
    <w:rsid w:val="00695152"/>
    <w:rsid w:val="00695352"/>
    <w:rsid w:val="00695CDE"/>
    <w:rsid w:val="00695E48"/>
    <w:rsid w:val="0069610C"/>
    <w:rsid w:val="0069644D"/>
    <w:rsid w:val="006964CF"/>
    <w:rsid w:val="00696729"/>
    <w:rsid w:val="0069683D"/>
    <w:rsid w:val="0069699F"/>
    <w:rsid w:val="006969A4"/>
    <w:rsid w:val="006969AA"/>
    <w:rsid w:val="00696BD5"/>
    <w:rsid w:val="00696DF4"/>
    <w:rsid w:val="00696F8E"/>
    <w:rsid w:val="00696FC2"/>
    <w:rsid w:val="006972A9"/>
    <w:rsid w:val="006972F9"/>
    <w:rsid w:val="00697368"/>
    <w:rsid w:val="0069766E"/>
    <w:rsid w:val="00697778"/>
    <w:rsid w:val="00697813"/>
    <w:rsid w:val="006978B5"/>
    <w:rsid w:val="00697B2C"/>
    <w:rsid w:val="00697BE2"/>
    <w:rsid w:val="006A06B2"/>
    <w:rsid w:val="006A0736"/>
    <w:rsid w:val="006A074C"/>
    <w:rsid w:val="006A0B74"/>
    <w:rsid w:val="006A0CB4"/>
    <w:rsid w:val="006A1705"/>
    <w:rsid w:val="006A1945"/>
    <w:rsid w:val="006A1AB1"/>
    <w:rsid w:val="006A1D1E"/>
    <w:rsid w:val="006A200C"/>
    <w:rsid w:val="006A2185"/>
    <w:rsid w:val="006A2B75"/>
    <w:rsid w:val="006A2C22"/>
    <w:rsid w:val="006A2F2E"/>
    <w:rsid w:val="006A350E"/>
    <w:rsid w:val="006A3778"/>
    <w:rsid w:val="006A3819"/>
    <w:rsid w:val="006A3F77"/>
    <w:rsid w:val="006A3FEC"/>
    <w:rsid w:val="006A422B"/>
    <w:rsid w:val="006A431D"/>
    <w:rsid w:val="006A434B"/>
    <w:rsid w:val="006A46DA"/>
    <w:rsid w:val="006A4E83"/>
    <w:rsid w:val="006A4E91"/>
    <w:rsid w:val="006A536F"/>
    <w:rsid w:val="006A55B0"/>
    <w:rsid w:val="006A563D"/>
    <w:rsid w:val="006A5AE4"/>
    <w:rsid w:val="006A5B74"/>
    <w:rsid w:val="006A5CB9"/>
    <w:rsid w:val="006A60E3"/>
    <w:rsid w:val="006A61B8"/>
    <w:rsid w:val="006A629E"/>
    <w:rsid w:val="006A6726"/>
    <w:rsid w:val="006A6C09"/>
    <w:rsid w:val="006A7361"/>
    <w:rsid w:val="006A79B7"/>
    <w:rsid w:val="006A7BAF"/>
    <w:rsid w:val="006A7E54"/>
    <w:rsid w:val="006A7F32"/>
    <w:rsid w:val="006A7F52"/>
    <w:rsid w:val="006B008D"/>
    <w:rsid w:val="006B0595"/>
    <w:rsid w:val="006B0880"/>
    <w:rsid w:val="006B0A66"/>
    <w:rsid w:val="006B0AA8"/>
    <w:rsid w:val="006B0DE1"/>
    <w:rsid w:val="006B0E4E"/>
    <w:rsid w:val="006B1445"/>
    <w:rsid w:val="006B14D5"/>
    <w:rsid w:val="006B18E4"/>
    <w:rsid w:val="006B1978"/>
    <w:rsid w:val="006B1F8B"/>
    <w:rsid w:val="006B2773"/>
    <w:rsid w:val="006B2B19"/>
    <w:rsid w:val="006B3159"/>
    <w:rsid w:val="006B359E"/>
    <w:rsid w:val="006B3922"/>
    <w:rsid w:val="006B3C9D"/>
    <w:rsid w:val="006B3CD4"/>
    <w:rsid w:val="006B3E77"/>
    <w:rsid w:val="006B3FD4"/>
    <w:rsid w:val="006B4261"/>
    <w:rsid w:val="006B45FF"/>
    <w:rsid w:val="006B47ED"/>
    <w:rsid w:val="006B4B9D"/>
    <w:rsid w:val="006B4BA0"/>
    <w:rsid w:val="006B526B"/>
    <w:rsid w:val="006B52F0"/>
    <w:rsid w:val="006B55F5"/>
    <w:rsid w:val="006B581E"/>
    <w:rsid w:val="006B5EAF"/>
    <w:rsid w:val="006B6004"/>
    <w:rsid w:val="006B6132"/>
    <w:rsid w:val="006B6239"/>
    <w:rsid w:val="006B634B"/>
    <w:rsid w:val="006B686D"/>
    <w:rsid w:val="006B689B"/>
    <w:rsid w:val="006B692A"/>
    <w:rsid w:val="006B69FF"/>
    <w:rsid w:val="006B6BB1"/>
    <w:rsid w:val="006B6BD1"/>
    <w:rsid w:val="006B6C50"/>
    <w:rsid w:val="006B6CC0"/>
    <w:rsid w:val="006B6E70"/>
    <w:rsid w:val="006B6ECA"/>
    <w:rsid w:val="006B70EF"/>
    <w:rsid w:val="006B7294"/>
    <w:rsid w:val="006B72ED"/>
    <w:rsid w:val="006B758F"/>
    <w:rsid w:val="006B78DC"/>
    <w:rsid w:val="006B7ADC"/>
    <w:rsid w:val="006B7E28"/>
    <w:rsid w:val="006B7E4E"/>
    <w:rsid w:val="006C03EB"/>
    <w:rsid w:val="006C0715"/>
    <w:rsid w:val="006C0B2D"/>
    <w:rsid w:val="006C1250"/>
    <w:rsid w:val="006C147F"/>
    <w:rsid w:val="006C1B07"/>
    <w:rsid w:val="006C1D4E"/>
    <w:rsid w:val="006C1E10"/>
    <w:rsid w:val="006C1E70"/>
    <w:rsid w:val="006C2003"/>
    <w:rsid w:val="006C2172"/>
    <w:rsid w:val="006C22BE"/>
    <w:rsid w:val="006C24D5"/>
    <w:rsid w:val="006C2505"/>
    <w:rsid w:val="006C25B0"/>
    <w:rsid w:val="006C2BDE"/>
    <w:rsid w:val="006C2C75"/>
    <w:rsid w:val="006C2DFC"/>
    <w:rsid w:val="006C3066"/>
    <w:rsid w:val="006C3DAC"/>
    <w:rsid w:val="006C4296"/>
    <w:rsid w:val="006C43F1"/>
    <w:rsid w:val="006C45FD"/>
    <w:rsid w:val="006C4639"/>
    <w:rsid w:val="006C4E7B"/>
    <w:rsid w:val="006C5442"/>
    <w:rsid w:val="006C5C48"/>
    <w:rsid w:val="006C5D53"/>
    <w:rsid w:val="006C5D8A"/>
    <w:rsid w:val="006C5F48"/>
    <w:rsid w:val="006C6261"/>
    <w:rsid w:val="006C65FB"/>
    <w:rsid w:val="006C68C5"/>
    <w:rsid w:val="006C68FF"/>
    <w:rsid w:val="006C69D2"/>
    <w:rsid w:val="006C6A74"/>
    <w:rsid w:val="006C6B56"/>
    <w:rsid w:val="006C6C72"/>
    <w:rsid w:val="006C6D3C"/>
    <w:rsid w:val="006C6E49"/>
    <w:rsid w:val="006C7673"/>
    <w:rsid w:val="006C7C3D"/>
    <w:rsid w:val="006C7DFD"/>
    <w:rsid w:val="006D0207"/>
    <w:rsid w:val="006D02CF"/>
    <w:rsid w:val="006D02D8"/>
    <w:rsid w:val="006D031F"/>
    <w:rsid w:val="006D0E45"/>
    <w:rsid w:val="006D0F33"/>
    <w:rsid w:val="006D138A"/>
    <w:rsid w:val="006D13DB"/>
    <w:rsid w:val="006D1A87"/>
    <w:rsid w:val="006D1AD9"/>
    <w:rsid w:val="006D1E33"/>
    <w:rsid w:val="006D223A"/>
    <w:rsid w:val="006D24D1"/>
    <w:rsid w:val="006D259D"/>
    <w:rsid w:val="006D2730"/>
    <w:rsid w:val="006D2A9F"/>
    <w:rsid w:val="006D2BF4"/>
    <w:rsid w:val="006D2D22"/>
    <w:rsid w:val="006D3060"/>
    <w:rsid w:val="006D36B6"/>
    <w:rsid w:val="006D3720"/>
    <w:rsid w:val="006D395D"/>
    <w:rsid w:val="006D3DCE"/>
    <w:rsid w:val="006D412A"/>
    <w:rsid w:val="006D4150"/>
    <w:rsid w:val="006D4567"/>
    <w:rsid w:val="006D4AC5"/>
    <w:rsid w:val="006D5448"/>
    <w:rsid w:val="006D54BD"/>
    <w:rsid w:val="006D57CE"/>
    <w:rsid w:val="006D58E4"/>
    <w:rsid w:val="006D5BFD"/>
    <w:rsid w:val="006D5C2C"/>
    <w:rsid w:val="006D5C4F"/>
    <w:rsid w:val="006D5CAA"/>
    <w:rsid w:val="006D6052"/>
    <w:rsid w:val="006D6444"/>
    <w:rsid w:val="006D6877"/>
    <w:rsid w:val="006D69F5"/>
    <w:rsid w:val="006D6E73"/>
    <w:rsid w:val="006D6F75"/>
    <w:rsid w:val="006D72ED"/>
    <w:rsid w:val="006D77F7"/>
    <w:rsid w:val="006D7D85"/>
    <w:rsid w:val="006D7F3E"/>
    <w:rsid w:val="006E0069"/>
    <w:rsid w:val="006E046F"/>
    <w:rsid w:val="006E07C1"/>
    <w:rsid w:val="006E095D"/>
    <w:rsid w:val="006E0D3D"/>
    <w:rsid w:val="006E0D8E"/>
    <w:rsid w:val="006E0F02"/>
    <w:rsid w:val="006E1070"/>
    <w:rsid w:val="006E19ED"/>
    <w:rsid w:val="006E1C21"/>
    <w:rsid w:val="006E1E94"/>
    <w:rsid w:val="006E2293"/>
    <w:rsid w:val="006E26F7"/>
    <w:rsid w:val="006E2CA5"/>
    <w:rsid w:val="006E33BA"/>
    <w:rsid w:val="006E33C9"/>
    <w:rsid w:val="006E3522"/>
    <w:rsid w:val="006E369D"/>
    <w:rsid w:val="006E3830"/>
    <w:rsid w:val="006E3B52"/>
    <w:rsid w:val="006E3C57"/>
    <w:rsid w:val="006E422C"/>
    <w:rsid w:val="006E4257"/>
    <w:rsid w:val="006E4318"/>
    <w:rsid w:val="006E4380"/>
    <w:rsid w:val="006E4570"/>
    <w:rsid w:val="006E468B"/>
    <w:rsid w:val="006E4A08"/>
    <w:rsid w:val="006E4F83"/>
    <w:rsid w:val="006E50C8"/>
    <w:rsid w:val="006E54F5"/>
    <w:rsid w:val="006E55C0"/>
    <w:rsid w:val="006E5853"/>
    <w:rsid w:val="006E5DF7"/>
    <w:rsid w:val="006E6348"/>
    <w:rsid w:val="006E63D2"/>
    <w:rsid w:val="006E6C51"/>
    <w:rsid w:val="006E6EB3"/>
    <w:rsid w:val="006E7495"/>
    <w:rsid w:val="006E7743"/>
    <w:rsid w:val="006E7A2F"/>
    <w:rsid w:val="006E7CBD"/>
    <w:rsid w:val="006F08C7"/>
    <w:rsid w:val="006F09D7"/>
    <w:rsid w:val="006F0A53"/>
    <w:rsid w:val="006F0B1F"/>
    <w:rsid w:val="006F0CAA"/>
    <w:rsid w:val="006F1109"/>
    <w:rsid w:val="006F1266"/>
    <w:rsid w:val="006F12F6"/>
    <w:rsid w:val="006F147E"/>
    <w:rsid w:val="006F14D8"/>
    <w:rsid w:val="006F1E4C"/>
    <w:rsid w:val="006F1E9D"/>
    <w:rsid w:val="006F1F03"/>
    <w:rsid w:val="006F1F14"/>
    <w:rsid w:val="006F2008"/>
    <w:rsid w:val="006F22A9"/>
    <w:rsid w:val="006F2488"/>
    <w:rsid w:val="006F25D6"/>
    <w:rsid w:val="006F2621"/>
    <w:rsid w:val="006F26A1"/>
    <w:rsid w:val="006F277A"/>
    <w:rsid w:val="006F2A5C"/>
    <w:rsid w:val="006F2BB2"/>
    <w:rsid w:val="006F30AC"/>
    <w:rsid w:val="006F328D"/>
    <w:rsid w:val="006F34A2"/>
    <w:rsid w:val="006F37B6"/>
    <w:rsid w:val="006F3A1E"/>
    <w:rsid w:val="006F3BA3"/>
    <w:rsid w:val="006F3C57"/>
    <w:rsid w:val="006F3DE0"/>
    <w:rsid w:val="006F4054"/>
    <w:rsid w:val="006F4140"/>
    <w:rsid w:val="006F4299"/>
    <w:rsid w:val="006F482B"/>
    <w:rsid w:val="006F4AAF"/>
    <w:rsid w:val="006F4D9A"/>
    <w:rsid w:val="006F54A4"/>
    <w:rsid w:val="006F5869"/>
    <w:rsid w:val="006F5D1B"/>
    <w:rsid w:val="006F5E0A"/>
    <w:rsid w:val="006F5F3B"/>
    <w:rsid w:val="006F649F"/>
    <w:rsid w:val="006F65FE"/>
    <w:rsid w:val="006F67CF"/>
    <w:rsid w:val="006F696F"/>
    <w:rsid w:val="006F69A2"/>
    <w:rsid w:val="006F6DFA"/>
    <w:rsid w:val="006F6EE2"/>
    <w:rsid w:val="006F7198"/>
    <w:rsid w:val="006F73EB"/>
    <w:rsid w:val="006F756C"/>
    <w:rsid w:val="006F7583"/>
    <w:rsid w:val="006F75B8"/>
    <w:rsid w:val="00700408"/>
    <w:rsid w:val="007008F1"/>
    <w:rsid w:val="00700C1A"/>
    <w:rsid w:val="00700C6F"/>
    <w:rsid w:val="00700F2E"/>
    <w:rsid w:val="00700FC4"/>
    <w:rsid w:val="0070142F"/>
    <w:rsid w:val="007014F2"/>
    <w:rsid w:val="00701518"/>
    <w:rsid w:val="007019DC"/>
    <w:rsid w:val="00701EA0"/>
    <w:rsid w:val="00702066"/>
    <w:rsid w:val="007020E7"/>
    <w:rsid w:val="007025E8"/>
    <w:rsid w:val="00702ADB"/>
    <w:rsid w:val="00702E6C"/>
    <w:rsid w:val="00702EE2"/>
    <w:rsid w:val="0070309F"/>
    <w:rsid w:val="00703C52"/>
    <w:rsid w:val="00703E51"/>
    <w:rsid w:val="00703F2E"/>
    <w:rsid w:val="00703F87"/>
    <w:rsid w:val="0070409F"/>
    <w:rsid w:val="0070432B"/>
    <w:rsid w:val="00704768"/>
    <w:rsid w:val="007047A2"/>
    <w:rsid w:val="00704AA0"/>
    <w:rsid w:val="00704BA2"/>
    <w:rsid w:val="00704EFA"/>
    <w:rsid w:val="007050B2"/>
    <w:rsid w:val="00705632"/>
    <w:rsid w:val="00705C98"/>
    <w:rsid w:val="00705E47"/>
    <w:rsid w:val="007060D6"/>
    <w:rsid w:val="00706275"/>
    <w:rsid w:val="007063D8"/>
    <w:rsid w:val="00706401"/>
    <w:rsid w:val="007065FF"/>
    <w:rsid w:val="007066A3"/>
    <w:rsid w:val="007068E2"/>
    <w:rsid w:val="00706DA6"/>
    <w:rsid w:val="00707006"/>
    <w:rsid w:val="00707FC6"/>
    <w:rsid w:val="00710313"/>
    <w:rsid w:val="00710463"/>
    <w:rsid w:val="00710588"/>
    <w:rsid w:val="00710649"/>
    <w:rsid w:val="0071064B"/>
    <w:rsid w:val="00710CA8"/>
    <w:rsid w:val="00710F2F"/>
    <w:rsid w:val="007112E4"/>
    <w:rsid w:val="00711362"/>
    <w:rsid w:val="00711433"/>
    <w:rsid w:val="00711474"/>
    <w:rsid w:val="00711543"/>
    <w:rsid w:val="00711557"/>
    <w:rsid w:val="00711A72"/>
    <w:rsid w:val="00711C1C"/>
    <w:rsid w:val="00711C6B"/>
    <w:rsid w:val="0071210A"/>
    <w:rsid w:val="00712236"/>
    <w:rsid w:val="007129BB"/>
    <w:rsid w:val="00712EA9"/>
    <w:rsid w:val="0071341C"/>
    <w:rsid w:val="00713473"/>
    <w:rsid w:val="00713964"/>
    <w:rsid w:val="0071397B"/>
    <w:rsid w:val="00713A73"/>
    <w:rsid w:val="007140FA"/>
    <w:rsid w:val="0071429E"/>
    <w:rsid w:val="00714321"/>
    <w:rsid w:val="00714803"/>
    <w:rsid w:val="0071480C"/>
    <w:rsid w:val="007148BF"/>
    <w:rsid w:val="00714A12"/>
    <w:rsid w:val="00714DDB"/>
    <w:rsid w:val="0071506D"/>
    <w:rsid w:val="00715204"/>
    <w:rsid w:val="00715369"/>
    <w:rsid w:val="0071584B"/>
    <w:rsid w:val="00715C92"/>
    <w:rsid w:val="00715DD8"/>
    <w:rsid w:val="00715E57"/>
    <w:rsid w:val="00715FBC"/>
    <w:rsid w:val="007161F2"/>
    <w:rsid w:val="0071628C"/>
    <w:rsid w:val="00716506"/>
    <w:rsid w:val="0071669E"/>
    <w:rsid w:val="0071699C"/>
    <w:rsid w:val="00716C57"/>
    <w:rsid w:val="00717284"/>
    <w:rsid w:val="0071732F"/>
    <w:rsid w:val="0071774F"/>
    <w:rsid w:val="00717AC5"/>
    <w:rsid w:val="00717CB9"/>
    <w:rsid w:val="007209C5"/>
    <w:rsid w:val="00720F79"/>
    <w:rsid w:val="00721242"/>
    <w:rsid w:val="0072127D"/>
    <w:rsid w:val="007212C7"/>
    <w:rsid w:val="007212EC"/>
    <w:rsid w:val="00721369"/>
    <w:rsid w:val="0072155C"/>
    <w:rsid w:val="00721567"/>
    <w:rsid w:val="007217DE"/>
    <w:rsid w:val="00721BBE"/>
    <w:rsid w:val="00721CEE"/>
    <w:rsid w:val="00721E6C"/>
    <w:rsid w:val="00722277"/>
    <w:rsid w:val="00722609"/>
    <w:rsid w:val="00722B91"/>
    <w:rsid w:val="00722FB6"/>
    <w:rsid w:val="0072329C"/>
    <w:rsid w:val="00723875"/>
    <w:rsid w:val="00723892"/>
    <w:rsid w:val="00723938"/>
    <w:rsid w:val="0072398D"/>
    <w:rsid w:val="00723B4B"/>
    <w:rsid w:val="00723B63"/>
    <w:rsid w:val="00723B95"/>
    <w:rsid w:val="00723DE8"/>
    <w:rsid w:val="00723EEE"/>
    <w:rsid w:val="00723FFB"/>
    <w:rsid w:val="007242BB"/>
    <w:rsid w:val="00724379"/>
    <w:rsid w:val="00724A6E"/>
    <w:rsid w:val="00724B2A"/>
    <w:rsid w:val="00725631"/>
    <w:rsid w:val="0072580B"/>
    <w:rsid w:val="007259FB"/>
    <w:rsid w:val="00725A98"/>
    <w:rsid w:val="00725E96"/>
    <w:rsid w:val="00725F23"/>
    <w:rsid w:val="0072608A"/>
    <w:rsid w:val="00726261"/>
    <w:rsid w:val="007263BE"/>
    <w:rsid w:val="00726516"/>
    <w:rsid w:val="00726FB8"/>
    <w:rsid w:val="0072716E"/>
    <w:rsid w:val="0072720B"/>
    <w:rsid w:val="0072738F"/>
    <w:rsid w:val="0072781A"/>
    <w:rsid w:val="007302A5"/>
    <w:rsid w:val="007305FC"/>
    <w:rsid w:val="00730865"/>
    <w:rsid w:val="00730A9A"/>
    <w:rsid w:val="00730B9D"/>
    <w:rsid w:val="0073142A"/>
    <w:rsid w:val="0073150E"/>
    <w:rsid w:val="00731579"/>
    <w:rsid w:val="007317E6"/>
    <w:rsid w:val="00731BCF"/>
    <w:rsid w:val="00731D19"/>
    <w:rsid w:val="00731E50"/>
    <w:rsid w:val="00731EF7"/>
    <w:rsid w:val="00732153"/>
    <w:rsid w:val="00732913"/>
    <w:rsid w:val="00732C4C"/>
    <w:rsid w:val="00732E71"/>
    <w:rsid w:val="00733103"/>
    <w:rsid w:val="007331DC"/>
    <w:rsid w:val="007333C7"/>
    <w:rsid w:val="0073370F"/>
    <w:rsid w:val="00733758"/>
    <w:rsid w:val="00733953"/>
    <w:rsid w:val="00733C10"/>
    <w:rsid w:val="00733E4E"/>
    <w:rsid w:val="00733FA0"/>
    <w:rsid w:val="007340E1"/>
    <w:rsid w:val="007342F5"/>
    <w:rsid w:val="007346B0"/>
    <w:rsid w:val="00734D22"/>
    <w:rsid w:val="007359B7"/>
    <w:rsid w:val="00735BC1"/>
    <w:rsid w:val="007360A6"/>
    <w:rsid w:val="0073637A"/>
    <w:rsid w:val="0073722C"/>
    <w:rsid w:val="0073747D"/>
    <w:rsid w:val="00737C83"/>
    <w:rsid w:val="00737CE9"/>
    <w:rsid w:val="00740104"/>
    <w:rsid w:val="0074027D"/>
    <w:rsid w:val="00740451"/>
    <w:rsid w:val="00740472"/>
    <w:rsid w:val="0074085F"/>
    <w:rsid w:val="0074090A"/>
    <w:rsid w:val="00740AEC"/>
    <w:rsid w:val="00740B4A"/>
    <w:rsid w:val="00740C52"/>
    <w:rsid w:val="0074115C"/>
    <w:rsid w:val="007415E9"/>
    <w:rsid w:val="007416F7"/>
    <w:rsid w:val="007417FD"/>
    <w:rsid w:val="00741C9A"/>
    <w:rsid w:val="00741E22"/>
    <w:rsid w:val="0074221C"/>
    <w:rsid w:val="0074235C"/>
    <w:rsid w:val="0074273D"/>
    <w:rsid w:val="00742819"/>
    <w:rsid w:val="00742C48"/>
    <w:rsid w:val="00742D0B"/>
    <w:rsid w:val="00742FF7"/>
    <w:rsid w:val="007435F9"/>
    <w:rsid w:val="0074363F"/>
    <w:rsid w:val="00743745"/>
    <w:rsid w:val="00743B01"/>
    <w:rsid w:val="00743BCB"/>
    <w:rsid w:val="00744103"/>
    <w:rsid w:val="0074446F"/>
    <w:rsid w:val="007444FB"/>
    <w:rsid w:val="00744E5E"/>
    <w:rsid w:val="00744EAF"/>
    <w:rsid w:val="007456BE"/>
    <w:rsid w:val="0074577D"/>
    <w:rsid w:val="00745850"/>
    <w:rsid w:val="00745F7F"/>
    <w:rsid w:val="0074625D"/>
    <w:rsid w:val="0074626D"/>
    <w:rsid w:val="00746363"/>
    <w:rsid w:val="00746487"/>
    <w:rsid w:val="007464F2"/>
    <w:rsid w:val="00746733"/>
    <w:rsid w:val="0074682F"/>
    <w:rsid w:val="00746978"/>
    <w:rsid w:val="00746D40"/>
    <w:rsid w:val="00747000"/>
    <w:rsid w:val="00747505"/>
    <w:rsid w:val="007478CA"/>
    <w:rsid w:val="00747F0E"/>
    <w:rsid w:val="00747F2D"/>
    <w:rsid w:val="007504D3"/>
    <w:rsid w:val="00750607"/>
    <w:rsid w:val="00750BB0"/>
    <w:rsid w:val="0075124C"/>
    <w:rsid w:val="007516BD"/>
    <w:rsid w:val="00751810"/>
    <w:rsid w:val="007518FD"/>
    <w:rsid w:val="007519AD"/>
    <w:rsid w:val="00753092"/>
    <w:rsid w:val="00753D91"/>
    <w:rsid w:val="00753DC9"/>
    <w:rsid w:val="007543F5"/>
    <w:rsid w:val="00754897"/>
    <w:rsid w:val="00754D27"/>
    <w:rsid w:val="00755357"/>
    <w:rsid w:val="00755535"/>
    <w:rsid w:val="0075555E"/>
    <w:rsid w:val="00755B05"/>
    <w:rsid w:val="00755BBD"/>
    <w:rsid w:val="00756371"/>
    <w:rsid w:val="00756494"/>
    <w:rsid w:val="007566D2"/>
    <w:rsid w:val="007569BC"/>
    <w:rsid w:val="00756C0A"/>
    <w:rsid w:val="00757192"/>
    <w:rsid w:val="00757496"/>
    <w:rsid w:val="007574E9"/>
    <w:rsid w:val="00757858"/>
    <w:rsid w:val="00757A94"/>
    <w:rsid w:val="00757C33"/>
    <w:rsid w:val="007602A0"/>
    <w:rsid w:val="0076038D"/>
    <w:rsid w:val="0076049A"/>
    <w:rsid w:val="00760506"/>
    <w:rsid w:val="0076065D"/>
    <w:rsid w:val="00760A9F"/>
    <w:rsid w:val="00760AA9"/>
    <w:rsid w:val="00760C46"/>
    <w:rsid w:val="00760EDA"/>
    <w:rsid w:val="007611D9"/>
    <w:rsid w:val="00761283"/>
    <w:rsid w:val="007612C1"/>
    <w:rsid w:val="00761388"/>
    <w:rsid w:val="00761628"/>
    <w:rsid w:val="0076192B"/>
    <w:rsid w:val="00761967"/>
    <w:rsid w:val="00761BEC"/>
    <w:rsid w:val="00761E8A"/>
    <w:rsid w:val="007628C7"/>
    <w:rsid w:val="007629CD"/>
    <w:rsid w:val="00762CFB"/>
    <w:rsid w:val="00762FB2"/>
    <w:rsid w:val="00763104"/>
    <w:rsid w:val="00763608"/>
    <w:rsid w:val="00763946"/>
    <w:rsid w:val="00763CE0"/>
    <w:rsid w:val="00763D5D"/>
    <w:rsid w:val="00763F8F"/>
    <w:rsid w:val="00764054"/>
    <w:rsid w:val="00764235"/>
    <w:rsid w:val="00764720"/>
    <w:rsid w:val="00764B98"/>
    <w:rsid w:val="00764CBF"/>
    <w:rsid w:val="00764D9C"/>
    <w:rsid w:val="00764FF3"/>
    <w:rsid w:val="00765049"/>
    <w:rsid w:val="007655BD"/>
    <w:rsid w:val="007657D3"/>
    <w:rsid w:val="00765B53"/>
    <w:rsid w:val="00765D24"/>
    <w:rsid w:val="00765DAF"/>
    <w:rsid w:val="00766002"/>
    <w:rsid w:val="00766022"/>
    <w:rsid w:val="00766108"/>
    <w:rsid w:val="00766481"/>
    <w:rsid w:val="007665C8"/>
    <w:rsid w:val="00766837"/>
    <w:rsid w:val="00767161"/>
    <w:rsid w:val="007671ED"/>
    <w:rsid w:val="00767499"/>
    <w:rsid w:val="007676C6"/>
    <w:rsid w:val="00767D65"/>
    <w:rsid w:val="00767EA1"/>
    <w:rsid w:val="00770083"/>
    <w:rsid w:val="007701F8"/>
    <w:rsid w:val="007704E5"/>
    <w:rsid w:val="00770805"/>
    <w:rsid w:val="00770C1A"/>
    <w:rsid w:val="007711D0"/>
    <w:rsid w:val="0077145A"/>
    <w:rsid w:val="00771568"/>
    <w:rsid w:val="0077221B"/>
    <w:rsid w:val="007726FD"/>
    <w:rsid w:val="00772A79"/>
    <w:rsid w:val="00772AC8"/>
    <w:rsid w:val="00772BDB"/>
    <w:rsid w:val="00772F51"/>
    <w:rsid w:val="0077302B"/>
    <w:rsid w:val="0077321A"/>
    <w:rsid w:val="007734B7"/>
    <w:rsid w:val="00773A61"/>
    <w:rsid w:val="00773CA9"/>
    <w:rsid w:val="007741CE"/>
    <w:rsid w:val="007748B0"/>
    <w:rsid w:val="00774A68"/>
    <w:rsid w:val="00774BB1"/>
    <w:rsid w:val="00774CCB"/>
    <w:rsid w:val="00775339"/>
    <w:rsid w:val="007754E3"/>
    <w:rsid w:val="00775521"/>
    <w:rsid w:val="0077621E"/>
    <w:rsid w:val="00776652"/>
    <w:rsid w:val="0077685C"/>
    <w:rsid w:val="00776E0A"/>
    <w:rsid w:val="00777521"/>
    <w:rsid w:val="00777B93"/>
    <w:rsid w:val="00777BC5"/>
    <w:rsid w:val="00777BDF"/>
    <w:rsid w:val="00777BE9"/>
    <w:rsid w:val="00777D12"/>
    <w:rsid w:val="00780601"/>
    <w:rsid w:val="00780D4B"/>
    <w:rsid w:val="00780E5F"/>
    <w:rsid w:val="0078118C"/>
    <w:rsid w:val="00781291"/>
    <w:rsid w:val="00781629"/>
    <w:rsid w:val="00781722"/>
    <w:rsid w:val="00781800"/>
    <w:rsid w:val="00782050"/>
    <w:rsid w:val="0078205C"/>
    <w:rsid w:val="0078226F"/>
    <w:rsid w:val="007823B8"/>
    <w:rsid w:val="007826C6"/>
    <w:rsid w:val="0078296B"/>
    <w:rsid w:val="00782C97"/>
    <w:rsid w:val="00782DC7"/>
    <w:rsid w:val="00782F50"/>
    <w:rsid w:val="00782FB1"/>
    <w:rsid w:val="0078307E"/>
    <w:rsid w:val="00783BA0"/>
    <w:rsid w:val="00783E22"/>
    <w:rsid w:val="007842B9"/>
    <w:rsid w:val="00784506"/>
    <w:rsid w:val="007848DD"/>
    <w:rsid w:val="0078495F"/>
    <w:rsid w:val="00784B7B"/>
    <w:rsid w:val="00784CE8"/>
    <w:rsid w:val="0078511A"/>
    <w:rsid w:val="00785123"/>
    <w:rsid w:val="00785D57"/>
    <w:rsid w:val="007860A7"/>
    <w:rsid w:val="00786108"/>
    <w:rsid w:val="007861C7"/>
    <w:rsid w:val="00786D88"/>
    <w:rsid w:val="00786F0B"/>
    <w:rsid w:val="00786F40"/>
    <w:rsid w:val="00787273"/>
    <w:rsid w:val="007872E2"/>
    <w:rsid w:val="00787345"/>
    <w:rsid w:val="0078767C"/>
    <w:rsid w:val="007876FA"/>
    <w:rsid w:val="0078771B"/>
    <w:rsid w:val="00787A43"/>
    <w:rsid w:val="00787E2B"/>
    <w:rsid w:val="00787EC6"/>
    <w:rsid w:val="00787EE5"/>
    <w:rsid w:val="00787F4F"/>
    <w:rsid w:val="00790B50"/>
    <w:rsid w:val="007912ED"/>
    <w:rsid w:val="0079156C"/>
    <w:rsid w:val="007918D2"/>
    <w:rsid w:val="00791A36"/>
    <w:rsid w:val="00791C9E"/>
    <w:rsid w:val="0079223F"/>
    <w:rsid w:val="007925F0"/>
    <w:rsid w:val="00792711"/>
    <w:rsid w:val="00792C4C"/>
    <w:rsid w:val="00792C84"/>
    <w:rsid w:val="00792DA5"/>
    <w:rsid w:val="007932E6"/>
    <w:rsid w:val="00793361"/>
    <w:rsid w:val="00793B5D"/>
    <w:rsid w:val="00793B6E"/>
    <w:rsid w:val="00793DB2"/>
    <w:rsid w:val="00793F77"/>
    <w:rsid w:val="00793FC5"/>
    <w:rsid w:val="00794123"/>
    <w:rsid w:val="00794462"/>
    <w:rsid w:val="00794516"/>
    <w:rsid w:val="007945DB"/>
    <w:rsid w:val="007949C2"/>
    <w:rsid w:val="00794AAB"/>
    <w:rsid w:val="007950CA"/>
    <w:rsid w:val="00795253"/>
    <w:rsid w:val="00795741"/>
    <w:rsid w:val="00795812"/>
    <w:rsid w:val="007959B4"/>
    <w:rsid w:val="00795B70"/>
    <w:rsid w:val="00795CE5"/>
    <w:rsid w:val="00795E60"/>
    <w:rsid w:val="00796100"/>
    <w:rsid w:val="00796B58"/>
    <w:rsid w:val="00796D36"/>
    <w:rsid w:val="00796EE8"/>
    <w:rsid w:val="0079717D"/>
    <w:rsid w:val="007973A4"/>
    <w:rsid w:val="00797940"/>
    <w:rsid w:val="00797F29"/>
    <w:rsid w:val="007A028D"/>
    <w:rsid w:val="007A03B0"/>
    <w:rsid w:val="007A09CB"/>
    <w:rsid w:val="007A0D54"/>
    <w:rsid w:val="007A0DF9"/>
    <w:rsid w:val="007A0E08"/>
    <w:rsid w:val="007A0F5D"/>
    <w:rsid w:val="007A1551"/>
    <w:rsid w:val="007A1886"/>
    <w:rsid w:val="007A19FE"/>
    <w:rsid w:val="007A1A4C"/>
    <w:rsid w:val="007A1AFC"/>
    <w:rsid w:val="007A1EF5"/>
    <w:rsid w:val="007A1FFC"/>
    <w:rsid w:val="007A2285"/>
    <w:rsid w:val="007A26FB"/>
    <w:rsid w:val="007A2963"/>
    <w:rsid w:val="007A2BD0"/>
    <w:rsid w:val="007A2D09"/>
    <w:rsid w:val="007A2D55"/>
    <w:rsid w:val="007A2F22"/>
    <w:rsid w:val="007A32CC"/>
    <w:rsid w:val="007A3936"/>
    <w:rsid w:val="007A39CE"/>
    <w:rsid w:val="007A3DA9"/>
    <w:rsid w:val="007A3EC5"/>
    <w:rsid w:val="007A4EE4"/>
    <w:rsid w:val="007A4F0E"/>
    <w:rsid w:val="007A4FFA"/>
    <w:rsid w:val="007A513C"/>
    <w:rsid w:val="007A5242"/>
    <w:rsid w:val="007A524D"/>
    <w:rsid w:val="007A5255"/>
    <w:rsid w:val="007A5359"/>
    <w:rsid w:val="007A5568"/>
    <w:rsid w:val="007A595B"/>
    <w:rsid w:val="007A5A18"/>
    <w:rsid w:val="007A5F3E"/>
    <w:rsid w:val="007A62BE"/>
    <w:rsid w:val="007A676E"/>
    <w:rsid w:val="007A6BEA"/>
    <w:rsid w:val="007A6F83"/>
    <w:rsid w:val="007A7281"/>
    <w:rsid w:val="007A7301"/>
    <w:rsid w:val="007A7359"/>
    <w:rsid w:val="007A739A"/>
    <w:rsid w:val="007A74D1"/>
    <w:rsid w:val="007A7A01"/>
    <w:rsid w:val="007A7DBF"/>
    <w:rsid w:val="007A7F7D"/>
    <w:rsid w:val="007A7FF8"/>
    <w:rsid w:val="007B05E0"/>
    <w:rsid w:val="007B07AD"/>
    <w:rsid w:val="007B09FC"/>
    <w:rsid w:val="007B0A90"/>
    <w:rsid w:val="007B135D"/>
    <w:rsid w:val="007B1906"/>
    <w:rsid w:val="007B224D"/>
    <w:rsid w:val="007B257C"/>
    <w:rsid w:val="007B2B41"/>
    <w:rsid w:val="007B2BCF"/>
    <w:rsid w:val="007B2E3E"/>
    <w:rsid w:val="007B3021"/>
    <w:rsid w:val="007B30BA"/>
    <w:rsid w:val="007B31CE"/>
    <w:rsid w:val="007B3879"/>
    <w:rsid w:val="007B3948"/>
    <w:rsid w:val="007B3A3A"/>
    <w:rsid w:val="007B3AE0"/>
    <w:rsid w:val="007B3CEF"/>
    <w:rsid w:val="007B3D19"/>
    <w:rsid w:val="007B4DA0"/>
    <w:rsid w:val="007B5189"/>
    <w:rsid w:val="007B5C8B"/>
    <w:rsid w:val="007B6937"/>
    <w:rsid w:val="007B6BD2"/>
    <w:rsid w:val="007B6CE8"/>
    <w:rsid w:val="007B6D35"/>
    <w:rsid w:val="007B7C79"/>
    <w:rsid w:val="007C0259"/>
    <w:rsid w:val="007C047B"/>
    <w:rsid w:val="007C053A"/>
    <w:rsid w:val="007C05A1"/>
    <w:rsid w:val="007C0AF9"/>
    <w:rsid w:val="007C0D3E"/>
    <w:rsid w:val="007C0EC6"/>
    <w:rsid w:val="007C0F0A"/>
    <w:rsid w:val="007C109C"/>
    <w:rsid w:val="007C11C6"/>
    <w:rsid w:val="007C12B9"/>
    <w:rsid w:val="007C14FD"/>
    <w:rsid w:val="007C179B"/>
    <w:rsid w:val="007C1935"/>
    <w:rsid w:val="007C1938"/>
    <w:rsid w:val="007C1A1A"/>
    <w:rsid w:val="007C2889"/>
    <w:rsid w:val="007C2AA3"/>
    <w:rsid w:val="007C2DC0"/>
    <w:rsid w:val="007C35E2"/>
    <w:rsid w:val="007C3700"/>
    <w:rsid w:val="007C3715"/>
    <w:rsid w:val="007C3747"/>
    <w:rsid w:val="007C38AD"/>
    <w:rsid w:val="007C3B24"/>
    <w:rsid w:val="007C3C0D"/>
    <w:rsid w:val="007C3E79"/>
    <w:rsid w:val="007C4AF0"/>
    <w:rsid w:val="007C4D16"/>
    <w:rsid w:val="007C4F36"/>
    <w:rsid w:val="007C542A"/>
    <w:rsid w:val="007C5B34"/>
    <w:rsid w:val="007C5D8E"/>
    <w:rsid w:val="007C601D"/>
    <w:rsid w:val="007C604E"/>
    <w:rsid w:val="007C62E4"/>
    <w:rsid w:val="007C65E6"/>
    <w:rsid w:val="007C698E"/>
    <w:rsid w:val="007C69A1"/>
    <w:rsid w:val="007C72A3"/>
    <w:rsid w:val="007C73C2"/>
    <w:rsid w:val="007C7C71"/>
    <w:rsid w:val="007C7CA7"/>
    <w:rsid w:val="007C7E19"/>
    <w:rsid w:val="007D00D2"/>
    <w:rsid w:val="007D024E"/>
    <w:rsid w:val="007D0341"/>
    <w:rsid w:val="007D05CD"/>
    <w:rsid w:val="007D0AA2"/>
    <w:rsid w:val="007D193C"/>
    <w:rsid w:val="007D194F"/>
    <w:rsid w:val="007D196D"/>
    <w:rsid w:val="007D19A4"/>
    <w:rsid w:val="007D19CA"/>
    <w:rsid w:val="007D1A4F"/>
    <w:rsid w:val="007D20B2"/>
    <w:rsid w:val="007D229C"/>
    <w:rsid w:val="007D2532"/>
    <w:rsid w:val="007D25DE"/>
    <w:rsid w:val="007D2C96"/>
    <w:rsid w:val="007D31A9"/>
    <w:rsid w:val="007D328C"/>
    <w:rsid w:val="007D3523"/>
    <w:rsid w:val="007D37EC"/>
    <w:rsid w:val="007D3A74"/>
    <w:rsid w:val="007D3F51"/>
    <w:rsid w:val="007D40D1"/>
    <w:rsid w:val="007D434F"/>
    <w:rsid w:val="007D445D"/>
    <w:rsid w:val="007D475E"/>
    <w:rsid w:val="007D4858"/>
    <w:rsid w:val="007D4AEB"/>
    <w:rsid w:val="007D4CB3"/>
    <w:rsid w:val="007D5119"/>
    <w:rsid w:val="007D5403"/>
    <w:rsid w:val="007D55E4"/>
    <w:rsid w:val="007D5713"/>
    <w:rsid w:val="007D5900"/>
    <w:rsid w:val="007D5C68"/>
    <w:rsid w:val="007D60B3"/>
    <w:rsid w:val="007D64FA"/>
    <w:rsid w:val="007D677D"/>
    <w:rsid w:val="007D6787"/>
    <w:rsid w:val="007D6846"/>
    <w:rsid w:val="007D6FDC"/>
    <w:rsid w:val="007D7371"/>
    <w:rsid w:val="007D746A"/>
    <w:rsid w:val="007D7E21"/>
    <w:rsid w:val="007D7F0C"/>
    <w:rsid w:val="007E0068"/>
    <w:rsid w:val="007E02B0"/>
    <w:rsid w:val="007E0403"/>
    <w:rsid w:val="007E0422"/>
    <w:rsid w:val="007E0CB9"/>
    <w:rsid w:val="007E0CC8"/>
    <w:rsid w:val="007E1723"/>
    <w:rsid w:val="007E1738"/>
    <w:rsid w:val="007E1848"/>
    <w:rsid w:val="007E1927"/>
    <w:rsid w:val="007E1B12"/>
    <w:rsid w:val="007E1C8D"/>
    <w:rsid w:val="007E1D80"/>
    <w:rsid w:val="007E216F"/>
    <w:rsid w:val="007E294B"/>
    <w:rsid w:val="007E2EAF"/>
    <w:rsid w:val="007E2FA1"/>
    <w:rsid w:val="007E2FB4"/>
    <w:rsid w:val="007E33CA"/>
    <w:rsid w:val="007E340F"/>
    <w:rsid w:val="007E38E3"/>
    <w:rsid w:val="007E3B79"/>
    <w:rsid w:val="007E420C"/>
    <w:rsid w:val="007E431C"/>
    <w:rsid w:val="007E4550"/>
    <w:rsid w:val="007E4629"/>
    <w:rsid w:val="007E46A2"/>
    <w:rsid w:val="007E470F"/>
    <w:rsid w:val="007E473D"/>
    <w:rsid w:val="007E4792"/>
    <w:rsid w:val="007E494F"/>
    <w:rsid w:val="007E4D9E"/>
    <w:rsid w:val="007E4E9E"/>
    <w:rsid w:val="007E4F4A"/>
    <w:rsid w:val="007E521F"/>
    <w:rsid w:val="007E5599"/>
    <w:rsid w:val="007E5821"/>
    <w:rsid w:val="007E5D2C"/>
    <w:rsid w:val="007E62EB"/>
    <w:rsid w:val="007E63CC"/>
    <w:rsid w:val="007E63EA"/>
    <w:rsid w:val="007E63FC"/>
    <w:rsid w:val="007E6611"/>
    <w:rsid w:val="007E67C9"/>
    <w:rsid w:val="007E683C"/>
    <w:rsid w:val="007E6F2D"/>
    <w:rsid w:val="007E7899"/>
    <w:rsid w:val="007E79AC"/>
    <w:rsid w:val="007E7AEE"/>
    <w:rsid w:val="007E7D20"/>
    <w:rsid w:val="007E7E25"/>
    <w:rsid w:val="007E7F6E"/>
    <w:rsid w:val="007F0222"/>
    <w:rsid w:val="007F03A3"/>
    <w:rsid w:val="007F0442"/>
    <w:rsid w:val="007F0803"/>
    <w:rsid w:val="007F0FC9"/>
    <w:rsid w:val="007F1089"/>
    <w:rsid w:val="007F12CF"/>
    <w:rsid w:val="007F12E3"/>
    <w:rsid w:val="007F13FC"/>
    <w:rsid w:val="007F141F"/>
    <w:rsid w:val="007F144F"/>
    <w:rsid w:val="007F17A4"/>
    <w:rsid w:val="007F18F1"/>
    <w:rsid w:val="007F1917"/>
    <w:rsid w:val="007F1DB2"/>
    <w:rsid w:val="007F1E04"/>
    <w:rsid w:val="007F1EC6"/>
    <w:rsid w:val="007F1FD0"/>
    <w:rsid w:val="007F26A4"/>
    <w:rsid w:val="007F2BB7"/>
    <w:rsid w:val="007F2E98"/>
    <w:rsid w:val="007F2FA1"/>
    <w:rsid w:val="007F34DD"/>
    <w:rsid w:val="007F3708"/>
    <w:rsid w:val="007F3A2A"/>
    <w:rsid w:val="007F3B15"/>
    <w:rsid w:val="007F3E65"/>
    <w:rsid w:val="007F3F31"/>
    <w:rsid w:val="007F3FBE"/>
    <w:rsid w:val="007F3FC7"/>
    <w:rsid w:val="007F3FD0"/>
    <w:rsid w:val="007F4696"/>
    <w:rsid w:val="007F4BDE"/>
    <w:rsid w:val="007F4BFD"/>
    <w:rsid w:val="007F4CE8"/>
    <w:rsid w:val="007F4E40"/>
    <w:rsid w:val="007F4E67"/>
    <w:rsid w:val="007F5021"/>
    <w:rsid w:val="007F5796"/>
    <w:rsid w:val="007F5A32"/>
    <w:rsid w:val="007F5B6D"/>
    <w:rsid w:val="007F5EE2"/>
    <w:rsid w:val="007F6149"/>
    <w:rsid w:val="007F627D"/>
    <w:rsid w:val="007F68C6"/>
    <w:rsid w:val="007F6B21"/>
    <w:rsid w:val="007F72EE"/>
    <w:rsid w:val="007F7E47"/>
    <w:rsid w:val="007F7E71"/>
    <w:rsid w:val="007F7E9A"/>
    <w:rsid w:val="00800192"/>
    <w:rsid w:val="008003DE"/>
    <w:rsid w:val="008003FA"/>
    <w:rsid w:val="00800808"/>
    <w:rsid w:val="00801302"/>
    <w:rsid w:val="00801377"/>
    <w:rsid w:val="0080162F"/>
    <w:rsid w:val="00801712"/>
    <w:rsid w:val="0080196D"/>
    <w:rsid w:val="00801A9B"/>
    <w:rsid w:val="00801CE4"/>
    <w:rsid w:val="00801F4D"/>
    <w:rsid w:val="00801FDA"/>
    <w:rsid w:val="00802347"/>
    <w:rsid w:val="00802582"/>
    <w:rsid w:val="00802703"/>
    <w:rsid w:val="0080270A"/>
    <w:rsid w:val="008027B9"/>
    <w:rsid w:val="00802A57"/>
    <w:rsid w:val="00802C85"/>
    <w:rsid w:val="0080365F"/>
    <w:rsid w:val="00803891"/>
    <w:rsid w:val="008038DC"/>
    <w:rsid w:val="00803A19"/>
    <w:rsid w:val="008040DB"/>
    <w:rsid w:val="008040F5"/>
    <w:rsid w:val="008040F9"/>
    <w:rsid w:val="0080428E"/>
    <w:rsid w:val="00804D7D"/>
    <w:rsid w:val="00804F80"/>
    <w:rsid w:val="00805052"/>
    <w:rsid w:val="00805064"/>
    <w:rsid w:val="00805109"/>
    <w:rsid w:val="00805206"/>
    <w:rsid w:val="00805E83"/>
    <w:rsid w:val="00806013"/>
    <w:rsid w:val="00806795"/>
    <w:rsid w:val="008072C3"/>
    <w:rsid w:val="008072D9"/>
    <w:rsid w:val="00807995"/>
    <w:rsid w:val="00807FA1"/>
    <w:rsid w:val="0081045F"/>
    <w:rsid w:val="008104F0"/>
    <w:rsid w:val="008109FC"/>
    <w:rsid w:val="00810CBB"/>
    <w:rsid w:val="00811035"/>
    <w:rsid w:val="00811969"/>
    <w:rsid w:val="00811C19"/>
    <w:rsid w:val="00811C33"/>
    <w:rsid w:val="00811E35"/>
    <w:rsid w:val="00811F7C"/>
    <w:rsid w:val="00811F8A"/>
    <w:rsid w:val="00812453"/>
    <w:rsid w:val="00812540"/>
    <w:rsid w:val="00812586"/>
    <w:rsid w:val="00812992"/>
    <w:rsid w:val="008134E0"/>
    <w:rsid w:val="00813586"/>
    <w:rsid w:val="008135E9"/>
    <w:rsid w:val="00813805"/>
    <w:rsid w:val="00813A7E"/>
    <w:rsid w:val="00814404"/>
    <w:rsid w:val="00814838"/>
    <w:rsid w:val="00814972"/>
    <w:rsid w:val="008149DF"/>
    <w:rsid w:val="00814D95"/>
    <w:rsid w:val="00814F4B"/>
    <w:rsid w:val="00814F57"/>
    <w:rsid w:val="00815CD2"/>
    <w:rsid w:val="00815E6B"/>
    <w:rsid w:val="00816103"/>
    <w:rsid w:val="0081669C"/>
    <w:rsid w:val="008168AD"/>
    <w:rsid w:val="00816A75"/>
    <w:rsid w:val="008174E5"/>
    <w:rsid w:val="008176D6"/>
    <w:rsid w:val="00817DAD"/>
    <w:rsid w:val="00817F98"/>
    <w:rsid w:val="00820031"/>
    <w:rsid w:val="00820119"/>
    <w:rsid w:val="008203EE"/>
    <w:rsid w:val="0082045D"/>
    <w:rsid w:val="00820566"/>
    <w:rsid w:val="00820574"/>
    <w:rsid w:val="00820C2D"/>
    <w:rsid w:val="00821166"/>
    <w:rsid w:val="00821199"/>
    <w:rsid w:val="008219BE"/>
    <w:rsid w:val="00821C8F"/>
    <w:rsid w:val="00821E7F"/>
    <w:rsid w:val="00821F53"/>
    <w:rsid w:val="00821F88"/>
    <w:rsid w:val="00822273"/>
    <w:rsid w:val="0082239E"/>
    <w:rsid w:val="008224D2"/>
    <w:rsid w:val="008224EB"/>
    <w:rsid w:val="008225DB"/>
    <w:rsid w:val="0082284A"/>
    <w:rsid w:val="00823948"/>
    <w:rsid w:val="00823970"/>
    <w:rsid w:val="008239B5"/>
    <w:rsid w:val="008240CD"/>
    <w:rsid w:val="008242AB"/>
    <w:rsid w:val="0082448F"/>
    <w:rsid w:val="00824511"/>
    <w:rsid w:val="0082464C"/>
    <w:rsid w:val="00824904"/>
    <w:rsid w:val="008249ED"/>
    <w:rsid w:val="00825235"/>
    <w:rsid w:val="0082534D"/>
    <w:rsid w:val="00825A69"/>
    <w:rsid w:val="00825AFB"/>
    <w:rsid w:val="00825BF7"/>
    <w:rsid w:val="0082646C"/>
    <w:rsid w:val="00826A9F"/>
    <w:rsid w:val="00826ACF"/>
    <w:rsid w:val="00826D18"/>
    <w:rsid w:val="00826D8D"/>
    <w:rsid w:val="008271E9"/>
    <w:rsid w:val="00827358"/>
    <w:rsid w:val="00827532"/>
    <w:rsid w:val="0082770E"/>
    <w:rsid w:val="008277A8"/>
    <w:rsid w:val="0083043C"/>
    <w:rsid w:val="008307A6"/>
    <w:rsid w:val="00830972"/>
    <w:rsid w:val="00830D74"/>
    <w:rsid w:val="00830DCD"/>
    <w:rsid w:val="00830F32"/>
    <w:rsid w:val="0083124C"/>
    <w:rsid w:val="00831517"/>
    <w:rsid w:val="00831542"/>
    <w:rsid w:val="00831969"/>
    <w:rsid w:val="00831A09"/>
    <w:rsid w:val="00831BA4"/>
    <w:rsid w:val="00831D0A"/>
    <w:rsid w:val="008321C3"/>
    <w:rsid w:val="00832872"/>
    <w:rsid w:val="00832A5A"/>
    <w:rsid w:val="00832AFA"/>
    <w:rsid w:val="00832F96"/>
    <w:rsid w:val="00832FB7"/>
    <w:rsid w:val="00832FFC"/>
    <w:rsid w:val="008332C7"/>
    <w:rsid w:val="0083338A"/>
    <w:rsid w:val="00833472"/>
    <w:rsid w:val="00833522"/>
    <w:rsid w:val="00833667"/>
    <w:rsid w:val="008338B4"/>
    <w:rsid w:val="00833D78"/>
    <w:rsid w:val="008340BD"/>
    <w:rsid w:val="00834542"/>
    <w:rsid w:val="00834D28"/>
    <w:rsid w:val="00835188"/>
    <w:rsid w:val="008353BC"/>
    <w:rsid w:val="00835792"/>
    <w:rsid w:val="00835814"/>
    <w:rsid w:val="00835D88"/>
    <w:rsid w:val="00836193"/>
    <w:rsid w:val="00836404"/>
    <w:rsid w:val="008366F1"/>
    <w:rsid w:val="0083691E"/>
    <w:rsid w:val="00837110"/>
    <w:rsid w:val="00837B44"/>
    <w:rsid w:val="00840317"/>
    <w:rsid w:val="008403D4"/>
    <w:rsid w:val="00840467"/>
    <w:rsid w:val="0084048E"/>
    <w:rsid w:val="008404D9"/>
    <w:rsid w:val="008406F3"/>
    <w:rsid w:val="00840947"/>
    <w:rsid w:val="00840960"/>
    <w:rsid w:val="00841115"/>
    <w:rsid w:val="00841A98"/>
    <w:rsid w:val="00841C32"/>
    <w:rsid w:val="00841FDF"/>
    <w:rsid w:val="008421D2"/>
    <w:rsid w:val="0084221D"/>
    <w:rsid w:val="008424DB"/>
    <w:rsid w:val="008424DC"/>
    <w:rsid w:val="0084270D"/>
    <w:rsid w:val="00842973"/>
    <w:rsid w:val="00842BC5"/>
    <w:rsid w:val="00842CD0"/>
    <w:rsid w:val="0084313A"/>
    <w:rsid w:val="008433B1"/>
    <w:rsid w:val="008433E5"/>
    <w:rsid w:val="008433EB"/>
    <w:rsid w:val="00843704"/>
    <w:rsid w:val="008437AB"/>
    <w:rsid w:val="0084383F"/>
    <w:rsid w:val="00843AA9"/>
    <w:rsid w:val="00843B49"/>
    <w:rsid w:val="00843C47"/>
    <w:rsid w:val="00843F1B"/>
    <w:rsid w:val="00844396"/>
    <w:rsid w:val="0084440E"/>
    <w:rsid w:val="00844637"/>
    <w:rsid w:val="00845179"/>
    <w:rsid w:val="008454F0"/>
    <w:rsid w:val="00845605"/>
    <w:rsid w:val="00845AD3"/>
    <w:rsid w:val="00846515"/>
    <w:rsid w:val="00846566"/>
    <w:rsid w:val="0084656E"/>
    <w:rsid w:val="00846A69"/>
    <w:rsid w:val="00846C9B"/>
    <w:rsid w:val="00846D7C"/>
    <w:rsid w:val="0084702C"/>
    <w:rsid w:val="008473E8"/>
    <w:rsid w:val="00847812"/>
    <w:rsid w:val="0084791E"/>
    <w:rsid w:val="00847DCC"/>
    <w:rsid w:val="00847E1D"/>
    <w:rsid w:val="00850330"/>
    <w:rsid w:val="00850491"/>
    <w:rsid w:val="00850798"/>
    <w:rsid w:val="0085086D"/>
    <w:rsid w:val="00850DBF"/>
    <w:rsid w:val="00850E02"/>
    <w:rsid w:val="00850E16"/>
    <w:rsid w:val="008514DF"/>
    <w:rsid w:val="008515FD"/>
    <w:rsid w:val="008516FF"/>
    <w:rsid w:val="0085170D"/>
    <w:rsid w:val="00851785"/>
    <w:rsid w:val="0085186C"/>
    <w:rsid w:val="00851A03"/>
    <w:rsid w:val="00851AF8"/>
    <w:rsid w:val="008522AD"/>
    <w:rsid w:val="00852624"/>
    <w:rsid w:val="0085269F"/>
    <w:rsid w:val="00852B4B"/>
    <w:rsid w:val="00852E1E"/>
    <w:rsid w:val="00852E6C"/>
    <w:rsid w:val="008531AF"/>
    <w:rsid w:val="008533E0"/>
    <w:rsid w:val="008534D6"/>
    <w:rsid w:val="00853690"/>
    <w:rsid w:val="0085399E"/>
    <w:rsid w:val="00853C9C"/>
    <w:rsid w:val="00853FF0"/>
    <w:rsid w:val="008545CC"/>
    <w:rsid w:val="0085460C"/>
    <w:rsid w:val="00854BF3"/>
    <w:rsid w:val="00855100"/>
    <w:rsid w:val="00855150"/>
    <w:rsid w:val="008556BD"/>
    <w:rsid w:val="00856201"/>
    <w:rsid w:val="00856FCF"/>
    <w:rsid w:val="00857029"/>
    <w:rsid w:val="0085702E"/>
    <w:rsid w:val="0085730F"/>
    <w:rsid w:val="00857DEA"/>
    <w:rsid w:val="008603B8"/>
    <w:rsid w:val="00860955"/>
    <w:rsid w:val="00860BF5"/>
    <w:rsid w:val="00860F9F"/>
    <w:rsid w:val="00861126"/>
    <w:rsid w:val="008614DE"/>
    <w:rsid w:val="0086192E"/>
    <w:rsid w:val="00861D14"/>
    <w:rsid w:val="0086278E"/>
    <w:rsid w:val="00862791"/>
    <w:rsid w:val="00862999"/>
    <w:rsid w:val="008629B4"/>
    <w:rsid w:val="00862CA0"/>
    <w:rsid w:val="00862DD3"/>
    <w:rsid w:val="00862F03"/>
    <w:rsid w:val="008635A5"/>
    <w:rsid w:val="0086390D"/>
    <w:rsid w:val="00863EEF"/>
    <w:rsid w:val="008641EC"/>
    <w:rsid w:val="0086470A"/>
    <w:rsid w:val="008648BA"/>
    <w:rsid w:val="008648CB"/>
    <w:rsid w:val="00864963"/>
    <w:rsid w:val="00864D66"/>
    <w:rsid w:val="0086557F"/>
    <w:rsid w:val="00865628"/>
    <w:rsid w:val="0086568E"/>
    <w:rsid w:val="0086595B"/>
    <w:rsid w:val="008660A9"/>
    <w:rsid w:val="008660D6"/>
    <w:rsid w:val="00866101"/>
    <w:rsid w:val="00866133"/>
    <w:rsid w:val="00866483"/>
    <w:rsid w:val="0086658E"/>
    <w:rsid w:val="008665C6"/>
    <w:rsid w:val="0086688E"/>
    <w:rsid w:val="00866984"/>
    <w:rsid w:val="00866D22"/>
    <w:rsid w:val="008671A8"/>
    <w:rsid w:val="008671F4"/>
    <w:rsid w:val="0086738D"/>
    <w:rsid w:val="00867752"/>
    <w:rsid w:val="00867E14"/>
    <w:rsid w:val="00867F4E"/>
    <w:rsid w:val="00870020"/>
    <w:rsid w:val="00870154"/>
    <w:rsid w:val="008705A3"/>
    <w:rsid w:val="0087074A"/>
    <w:rsid w:val="0087096D"/>
    <w:rsid w:val="00870B15"/>
    <w:rsid w:val="00870BB8"/>
    <w:rsid w:val="00870D55"/>
    <w:rsid w:val="008718E1"/>
    <w:rsid w:val="00871D2E"/>
    <w:rsid w:val="00871FED"/>
    <w:rsid w:val="008720B1"/>
    <w:rsid w:val="008721B8"/>
    <w:rsid w:val="00872319"/>
    <w:rsid w:val="008723C1"/>
    <w:rsid w:val="0087261C"/>
    <w:rsid w:val="00872BAF"/>
    <w:rsid w:val="0087301E"/>
    <w:rsid w:val="0087309E"/>
    <w:rsid w:val="008731C3"/>
    <w:rsid w:val="0087323D"/>
    <w:rsid w:val="008732AA"/>
    <w:rsid w:val="00873519"/>
    <w:rsid w:val="00873574"/>
    <w:rsid w:val="008738CD"/>
    <w:rsid w:val="008742F3"/>
    <w:rsid w:val="008743BA"/>
    <w:rsid w:val="008745F8"/>
    <w:rsid w:val="00874AF5"/>
    <w:rsid w:val="00874CC8"/>
    <w:rsid w:val="00875167"/>
    <w:rsid w:val="0087548F"/>
    <w:rsid w:val="0087553D"/>
    <w:rsid w:val="00875CA7"/>
    <w:rsid w:val="00875DDF"/>
    <w:rsid w:val="00875F9E"/>
    <w:rsid w:val="00875FFB"/>
    <w:rsid w:val="00876458"/>
    <w:rsid w:val="0087696E"/>
    <w:rsid w:val="00876C54"/>
    <w:rsid w:val="008770C3"/>
    <w:rsid w:val="00877258"/>
    <w:rsid w:val="008774F2"/>
    <w:rsid w:val="0087760E"/>
    <w:rsid w:val="00877613"/>
    <w:rsid w:val="008776AE"/>
    <w:rsid w:val="00877C39"/>
    <w:rsid w:val="00880094"/>
    <w:rsid w:val="008801FC"/>
    <w:rsid w:val="00880209"/>
    <w:rsid w:val="008809FD"/>
    <w:rsid w:val="00880B0D"/>
    <w:rsid w:val="00880F10"/>
    <w:rsid w:val="0088113E"/>
    <w:rsid w:val="00881297"/>
    <w:rsid w:val="00881858"/>
    <w:rsid w:val="00881D07"/>
    <w:rsid w:val="008820D7"/>
    <w:rsid w:val="00882539"/>
    <w:rsid w:val="00882966"/>
    <w:rsid w:val="00882B3E"/>
    <w:rsid w:val="00882F7C"/>
    <w:rsid w:val="00883181"/>
    <w:rsid w:val="008831BC"/>
    <w:rsid w:val="008835B8"/>
    <w:rsid w:val="00883719"/>
    <w:rsid w:val="00883907"/>
    <w:rsid w:val="0088393E"/>
    <w:rsid w:val="00883A78"/>
    <w:rsid w:val="00883BF4"/>
    <w:rsid w:val="00883C93"/>
    <w:rsid w:val="00884521"/>
    <w:rsid w:val="00884B0A"/>
    <w:rsid w:val="00884BB9"/>
    <w:rsid w:val="00884ECC"/>
    <w:rsid w:val="0088511C"/>
    <w:rsid w:val="008852CB"/>
    <w:rsid w:val="00885671"/>
    <w:rsid w:val="00885E8F"/>
    <w:rsid w:val="00886249"/>
    <w:rsid w:val="00886308"/>
    <w:rsid w:val="00886BCF"/>
    <w:rsid w:val="00886CF9"/>
    <w:rsid w:val="008873A9"/>
    <w:rsid w:val="008900C9"/>
    <w:rsid w:val="00890597"/>
    <w:rsid w:val="0089085C"/>
    <w:rsid w:val="00890BF1"/>
    <w:rsid w:val="00890D42"/>
    <w:rsid w:val="00890ED7"/>
    <w:rsid w:val="00891357"/>
    <w:rsid w:val="0089171A"/>
    <w:rsid w:val="00891BC4"/>
    <w:rsid w:val="00891CA3"/>
    <w:rsid w:val="00891FEA"/>
    <w:rsid w:val="00891FFD"/>
    <w:rsid w:val="008925EA"/>
    <w:rsid w:val="008927EC"/>
    <w:rsid w:val="008929F5"/>
    <w:rsid w:val="00892E24"/>
    <w:rsid w:val="00893014"/>
    <w:rsid w:val="0089303D"/>
    <w:rsid w:val="0089314D"/>
    <w:rsid w:val="00893BB4"/>
    <w:rsid w:val="00893C4C"/>
    <w:rsid w:val="00893C6F"/>
    <w:rsid w:val="00893C75"/>
    <w:rsid w:val="008941E9"/>
    <w:rsid w:val="00894487"/>
    <w:rsid w:val="00894547"/>
    <w:rsid w:val="00894D3D"/>
    <w:rsid w:val="00894EA3"/>
    <w:rsid w:val="008950BB"/>
    <w:rsid w:val="008951B4"/>
    <w:rsid w:val="008955D2"/>
    <w:rsid w:val="0089562F"/>
    <w:rsid w:val="008956CF"/>
    <w:rsid w:val="008959B3"/>
    <w:rsid w:val="00895A34"/>
    <w:rsid w:val="00895D5F"/>
    <w:rsid w:val="00895E3F"/>
    <w:rsid w:val="0089600A"/>
    <w:rsid w:val="0089614E"/>
    <w:rsid w:val="008962A5"/>
    <w:rsid w:val="0089642E"/>
    <w:rsid w:val="00896447"/>
    <w:rsid w:val="00896704"/>
    <w:rsid w:val="008967FA"/>
    <w:rsid w:val="00896A23"/>
    <w:rsid w:val="008974BB"/>
    <w:rsid w:val="008978D3"/>
    <w:rsid w:val="00897BAD"/>
    <w:rsid w:val="00897C4E"/>
    <w:rsid w:val="00897C87"/>
    <w:rsid w:val="008A024A"/>
    <w:rsid w:val="008A054D"/>
    <w:rsid w:val="008A09B9"/>
    <w:rsid w:val="008A09CF"/>
    <w:rsid w:val="008A09F6"/>
    <w:rsid w:val="008A0A84"/>
    <w:rsid w:val="008A0F48"/>
    <w:rsid w:val="008A0F94"/>
    <w:rsid w:val="008A151B"/>
    <w:rsid w:val="008A151F"/>
    <w:rsid w:val="008A1CE0"/>
    <w:rsid w:val="008A2415"/>
    <w:rsid w:val="008A25F1"/>
    <w:rsid w:val="008A26E5"/>
    <w:rsid w:val="008A2723"/>
    <w:rsid w:val="008A2775"/>
    <w:rsid w:val="008A2A30"/>
    <w:rsid w:val="008A3037"/>
    <w:rsid w:val="008A3210"/>
    <w:rsid w:val="008A32F8"/>
    <w:rsid w:val="008A3562"/>
    <w:rsid w:val="008A3809"/>
    <w:rsid w:val="008A397A"/>
    <w:rsid w:val="008A3C37"/>
    <w:rsid w:val="008A41F6"/>
    <w:rsid w:val="008A458B"/>
    <w:rsid w:val="008A4642"/>
    <w:rsid w:val="008A4D19"/>
    <w:rsid w:val="008A4E97"/>
    <w:rsid w:val="008A4F71"/>
    <w:rsid w:val="008A509E"/>
    <w:rsid w:val="008A52E3"/>
    <w:rsid w:val="008A5445"/>
    <w:rsid w:val="008A5594"/>
    <w:rsid w:val="008A59CE"/>
    <w:rsid w:val="008A5C34"/>
    <w:rsid w:val="008A5E6E"/>
    <w:rsid w:val="008A5ECC"/>
    <w:rsid w:val="008A5F52"/>
    <w:rsid w:val="008A66E0"/>
    <w:rsid w:val="008A679E"/>
    <w:rsid w:val="008A6C2E"/>
    <w:rsid w:val="008A716B"/>
    <w:rsid w:val="008A7C2D"/>
    <w:rsid w:val="008B006F"/>
    <w:rsid w:val="008B0280"/>
    <w:rsid w:val="008B0452"/>
    <w:rsid w:val="008B0770"/>
    <w:rsid w:val="008B0B58"/>
    <w:rsid w:val="008B0B8E"/>
    <w:rsid w:val="008B0CCC"/>
    <w:rsid w:val="008B11FF"/>
    <w:rsid w:val="008B12AB"/>
    <w:rsid w:val="008B1928"/>
    <w:rsid w:val="008B19B7"/>
    <w:rsid w:val="008B1D97"/>
    <w:rsid w:val="008B1ECF"/>
    <w:rsid w:val="008B1F6B"/>
    <w:rsid w:val="008B2472"/>
    <w:rsid w:val="008B29A4"/>
    <w:rsid w:val="008B32E9"/>
    <w:rsid w:val="008B3A47"/>
    <w:rsid w:val="008B3B3A"/>
    <w:rsid w:val="008B3CBA"/>
    <w:rsid w:val="008B3D54"/>
    <w:rsid w:val="008B3FEC"/>
    <w:rsid w:val="008B4044"/>
    <w:rsid w:val="008B4891"/>
    <w:rsid w:val="008B497B"/>
    <w:rsid w:val="008B4E6C"/>
    <w:rsid w:val="008B5161"/>
    <w:rsid w:val="008B5668"/>
    <w:rsid w:val="008B5775"/>
    <w:rsid w:val="008B5BF4"/>
    <w:rsid w:val="008B64C2"/>
    <w:rsid w:val="008B65D6"/>
    <w:rsid w:val="008B6733"/>
    <w:rsid w:val="008B6A07"/>
    <w:rsid w:val="008B6A9C"/>
    <w:rsid w:val="008B7024"/>
    <w:rsid w:val="008B71AF"/>
    <w:rsid w:val="008B72DD"/>
    <w:rsid w:val="008B7391"/>
    <w:rsid w:val="008B73E1"/>
    <w:rsid w:val="008B7676"/>
    <w:rsid w:val="008B772A"/>
    <w:rsid w:val="008B7A11"/>
    <w:rsid w:val="008B7AA4"/>
    <w:rsid w:val="008B7C5F"/>
    <w:rsid w:val="008C0AE9"/>
    <w:rsid w:val="008C1135"/>
    <w:rsid w:val="008C1226"/>
    <w:rsid w:val="008C16B6"/>
    <w:rsid w:val="008C1B07"/>
    <w:rsid w:val="008C1D20"/>
    <w:rsid w:val="008C2284"/>
    <w:rsid w:val="008C28B5"/>
    <w:rsid w:val="008C2976"/>
    <w:rsid w:val="008C2FA9"/>
    <w:rsid w:val="008C3044"/>
    <w:rsid w:val="008C3337"/>
    <w:rsid w:val="008C3464"/>
    <w:rsid w:val="008C34F8"/>
    <w:rsid w:val="008C36DA"/>
    <w:rsid w:val="008C371D"/>
    <w:rsid w:val="008C37AF"/>
    <w:rsid w:val="008C3C65"/>
    <w:rsid w:val="008C3D3D"/>
    <w:rsid w:val="008C40DB"/>
    <w:rsid w:val="008C4812"/>
    <w:rsid w:val="008C4C57"/>
    <w:rsid w:val="008C4D47"/>
    <w:rsid w:val="008C4D6F"/>
    <w:rsid w:val="008C4DC6"/>
    <w:rsid w:val="008C540A"/>
    <w:rsid w:val="008C5422"/>
    <w:rsid w:val="008C5B85"/>
    <w:rsid w:val="008C5D28"/>
    <w:rsid w:val="008C5DE7"/>
    <w:rsid w:val="008C60D8"/>
    <w:rsid w:val="008C639D"/>
    <w:rsid w:val="008C66ED"/>
    <w:rsid w:val="008C68C8"/>
    <w:rsid w:val="008C6952"/>
    <w:rsid w:val="008C6B7E"/>
    <w:rsid w:val="008C6BE9"/>
    <w:rsid w:val="008C6C7D"/>
    <w:rsid w:val="008C7034"/>
    <w:rsid w:val="008C7595"/>
    <w:rsid w:val="008C78FF"/>
    <w:rsid w:val="008C7D4D"/>
    <w:rsid w:val="008D011F"/>
    <w:rsid w:val="008D0597"/>
    <w:rsid w:val="008D0630"/>
    <w:rsid w:val="008D06E4"/>
    <w:rsid w:val="008D0DFF"/>
    <w:rsid w:val="008D1209"/>
    <w:rsid w:val="008D128F"/>
    <w:rsid w:val="008D1C63"/>
    <w:rsid w:val="008D25C9"/>
    <w:rsid w:val="008D28C2"/>
    <w:rsid w:val="008D2B23"/>
    <w:rsid w:val="008D2CB3"/>
    <w:rsid w:val="008D2E21"/>
    <w:rsid w:val="008D30C1"/>
    <w:rsid w:val="008D318C"/>
    <w:rsid w:val="008D3591"/>
    <w:rsid w:val="008D364E"/>
    <w:rsid w:val="008D3A78"/>
    <w:rsid w:val="008D3AFB"/>
    <w:rsid w:val="008D42C0"/>
    <w:rsid w:val="008D42EE"/>
    <w:rsid w:val="008D448F"/>
    <w:rsid w:val="008D44D9"/>
    <w:rsid w:val="008D4517"/>
    <w:rsid w:val="008D499D"/>
    <w:rsid w:val="008D4A93"/>
    <w:rsid w:val="008D5574"/>
    <w:rsid w:val="008D5B34"/>
    <w:rsid w:val="008D5DB6"/>
    <w:rsid w:val="008D65C0"/>
    <w:rsid w:val="008D680C"/>
    <w:rsid w:val="008D6BDE"/>
    <w:rsid w:val="008D6C1F"/>
    <w:rsid w:val="008D7C3B"/>
    <w:rsid w:val="008E078E"/>
    <w:rsid w:val="008E09CB"/>
    <w:rsid w:val="008E0A2C"/>
    <w:rsid w:val="008E0E48"/>
    <w:rsid w:val="008E0E73"/>
    <w:rsid w:val="008E0E9D"/>
    <w:rsid w:val="008E0ECB"/>
    <w:rsid w:val="008E10BE"/>
    <w:rsid w:val="008E1194"/>
    <w:rsid w:val="008E12D8"/>
    <w:rsid w:val="008E1479"/>
    <w:rsid w:val="008E157A"/>
    <w:rsid w:val="008E1920"/>
    <w:rsid w:val="008E1AE1"/>
    <w:rsid w:val="008E1C19"/>
    <w:rsid w:val="008E1CD0"/>
    <w:rsid w:val="008E21E4"/>
    <w:rsid w:val="008E2B19"/>
    <w:rsid w:val="008E3162"/>
    <w:rsid w:val="008E32DD"/>
    <w:rsid w:val="008E3D60"/>
    <w:rsid w:val="008E42CE"/>
    <w:rsid w:val="008E4398"/>
    <w:rsid w:val="008E46B6"/>
    <w:rsid w:val="008E4FFF"/>
    <w:rsid w:val="008E519F"/>
    <w:rsid w:val="008E53F3"/>
    <w:rsid w:val="008E53F8"/>
    <w:rsid w:val="008E542E"/>
    <w:rsid w:val="008E58B5"/>
    <w:rsid w:val="008E5968"/>
    <w:rsid w:val="008E5A2F"/>
    <w:rsid w:val="008E5B3B"/>
    <w:rsid w:val="008E61F9"/>
    <w:rsid w:val="008E6273"/>
    <w:rsid w:val="008E62B3"/>
    <w:rsid w:val="008E6542"/>
    <w:rsid w:val="008E6A66"/>
    <w:rsid w:val="008E6E07"/>
    <w:rsid w:val="008E720D"/>
    <w:rsid w:val="008E7891"/>
    <w:rsid w:val="008E79DF"/>
    <w:rsid w:val="008E7AB2"/>
    <w:rsid w:val="008E7B05"/>
    <w:rsid w:val="008E7BAC"/>
    <w:rsid w:val="008E7BF3"/>
    <w:rsid w:val="008F162C"/>
    <w:rsid w:val="008F1C85"/>
    <w:rsid w:val="008F2120"/>
    <w:rsid w:val="008F275C"/>
    <w:rsid w:val="008F2ADC"/>
    <w:rsid w:val="008F2DA4"/>
    <w:rsid w:val="008F2DD0"/>
    <w:rsid w:val="008F2E13"/>
    <w:rsid w:val="008F3038"/>
    <w:rsid w:val="008F3434"/>
    <w:rsid w:val="008F3832"/>
    <w:rsid w:val="008F3897"/>
    <w:rsid w:val="008F3993"/>
    <w:rsid w:val="008F410A"/>
    <w:rsid w:val="008F425F"/>
    <w:rsid w:val="008F42DD"/>
    <w:rsid w:val="008F4412"/>
    <w:rsid w:val="008F464F"/>
    <w:rsid w:val="008F473E"/>
    <w:rsid w:val="008F53C7"/>
    <w:rsid w:val="008F5733"/>
    <w:rsid w:val="008F5734"/>
    <w:rsid w:val="008F5A51"/>
    <w:rsid w:val="008F6234"/>
    <w:rsid w:val="008F625F"/>
    <w:rsid w:val="008F63E1"/>
    <w:rsid w:val="008F679E"/>
    <w:rsid w:val="008F6942"/>
    <w:rsid w:val="008F74FB"/>
    <w:rsid w:val="008F77CB"/>
    <w:rsid w:val="008F78EA"/>
    <w:rsid w:val="008F79B3"/>
    <w:rsid w:val="008F7A51"/>
    <w:rsid w:val="008F7C3D"/>
    <w:rsid w:val="008F7C6F"/>
    <w:rsid w:val="008F7E2E"/>
    <w:rsid w:val="009000E8"/>
    <w:rsid w:val="009007A5"/>
    <w:rsid w:val="00900B5F"/>
    <w:rsid w:val="00900E29"/>
    <w:rsid w:val="009010B5"/>
    <w:rsid w:val="009014A0"/>
    <w:rsid w:val="009014E4"/>
    <w:rsid w:val="0090171B"/>
    <w:rsid w:val="00901A5F"/>
    <w:rsid w:val="00901D24"/>
    <w:rsid w:val="0090201E"/>
    <w:rsid w:val="0090240B"/>
    <w:rsid w:val="0090240E"/>
    <w:rsid w:val="009027F5"/>
    <w:rsid w:val="009029F0"/>
    <w:rsid w:val="00902C11"/>
    <w:rsid w:val="00902F54"/>
    <w:rsid w:val="00903129"/>
    <w:rsid w:val="00903207"/>
    <w:rsid w:val="0090332C"/>
    <w:rsid w:val="009035B5"/>
    <w:rsid w:val="009035BC"/>
    <w:rsid w:val="009035E5"/>
    <w:rsid w:val="00903663"/>
    <w:rsid w:val="00903805"/>
    <w:rsid w:val="00903817"/>
    <w:rsid w:val="00903926"/>
    <w:rsid w:val="00903E73"/>
    <w:rsid w:val="0090428E"/>
    <w:rsid w:val="00904756"/>
    <w:rsid w:val="00904A50"/>
    <w:rsid w:val="00904B22"/>
    <w:rsid w:val="00904BBA"/>
    <w:rsid w:val="00904CC1"/>
    <w:rsid w:val="00904F84"/>
    <w:rsid w:val="0090500D"/>
    <w:rsid w:val="00905658"/>
    <w:rsid w:val="0090583D"/>
    <w:rsid w:val="00905896"/>
    <w:rsid w:val="009059D5"/>
    <w:rsid w:val="00905DEF"/>
    <w:rsid w:val="00905DF0"/>
    <w:rsid w:val="00906005"/>
    <w:rsid w:val="00906031"/>
    <w:rsid w:val="00906867"/>
    <w:rsid w:val="00906E46"/>
    <w:rsid w:val="0090742B"/>
    <w:rsid w:val="009074F7"/>
    <w:rsid w:val="009078B5"/>
    <w:rsid w:val="00907952"/>
    <w:rsid w:val="009079BB"/>
    <w:rsid w:val="00910186"/>
    <w:rsid w:val="00910524"/>
    <w:rsid w:val="00910568"/>
    <w:rsid w:val="009107A6"/>
    <w:rsid w:val="0091085F"/>
    <w:rsid w:val="0091093B"/>
    <w:rsid w:val="00910A72"/>
    <w:rsid w:val="00910B3E"/>
    <w:rsid w:val="00910DB5"/>
    <w:rsid w:val="00910E24"/>
    <w:rsid w:val="009110CD"/>
    <w:rsid w:val="00911145"/>
    <w:rsid w:val="0091143C"/>
    <w:rsid w:val="00911DFD"/>
    <w:rsid w:val="00911EF9"/>
    <w:rsid w:val="00911F58"/>
    <w:rsid w:val="00912178"/>
    <w:rsid w:val="009122FB"/>
    <w:rsid w:val="009123B5"/>
    <w:rsid w:val="00912B15"/>
    <w:rsid w:val="00912EA2"/>
    <w:rsid w:val="0091329F"/>
    <w:rsid w:val="0091353C"/>
    <w:rsid w:val="009135FB"/>
    <w:rsid w:val="00913691"/>
    <w:rsid w:val="0091391E"/>
    <w:rsid w:val="00913D00"/>
    <w:rsid w:val="00913D22"/>
    <w:rsid w:val="00914338"/>
    <w:rsid w:val="009144C3"/>
    <w:rsid w:val="00914EB8"/>
    <w:rsid w:val="009150A1"/>
    <w:rsid w:val="00915376"/>
    <w:rsid w:val="00915558"/>
    <w:rsid w:val="00916177"/>
    <w:rsid w:val="0091631D"/>
    <w:rsid w:val="0091640F"/>
    <w:rsid w:val="009165FC"/>
    <w:rsid w:val="0091695E"/>
    <w:rsid w:val="00916FA4"/>
    <w:rsid w:val="00917342"/>
    <w:rsid w:val="00917692"/>
    <w:rsid w:val="00917FC6"/>
    <w:rsid w:val="009201DB"/>
    <w:rsid w:val="00920438"/>
    <w:rsid w:val="009204DC"/>
    <w:rsid w:val="00920682"/>
    <w:rsid w:val="00920AF0"/>
    <w:rsid w:val="00920BA3"/>
    <w:rsid w:val="00920BFC"/>
    <w:rsid w:val="00920C3D"/>
    <w:rsid w:val="00920C48"/>
    <w:rsid w:val="00921467"/>
    <w:rsid w:val="009214D9"/>
    <w:rsid w:val="009216FF"/>
    <w:rsid w:val="00921A6C"/>
    <w:rsid w:val="00921C6A"/>
    <w:rsid w:val="00921CDF"/>
    <w:rsid w:val="00921DCE"/>
    <w:rsid w:val="00921E81"/>
    <w:rsid w:val="00921F5F"/>
    <w:rsid w:val="00922CAD"/>
    <w:rsid w:val="00922E99"/>
    <w:rsid w:val="00922F21"/>
    <w:rsid w:val="00923005"/>
    <w:rsid w:val="009231AC"/>
    <w:rsid w:val="00923225"/>
    <w:rsid w:val="00923389"/>
    <w:rsid w:val="00923497"/>
    <w:rsid w:val="00923519"/>
    <w:rsid w:val="0092355A"/>
    <w:rsid w:val="00923778"/>
    <w:rsid w:val="00923AE6"/>
    <w:rsid w:val="00923F74"/>
    <w:rsid w:val="0092444F"/>
    <w:rsid w:val="009244DA"/>
    <w:rsid w:val="0092454B"/>
    <w:rsid w:val="00924583"/>
    <w:rsid w:val="009247DD"/>
    <w:rsid w:val="009249E2"/>
    <w:rsid w:val="00924AFC"/>
    <w:rsid w:val="00924DDD"/>
    <w:rsid w:val="00925691"/>
    <w:rsid w:val="00925A8C"/>
    <w:rsid w:val="00926456"/>
    <w:rsid w:val="0092649D"/>
    <w:rsid w:val="009265C4"/>
    <w:rsid w:val="0092677D"/>
    <w:rsid w:val="00926E6C"/>
    <w:rsid w:val="00926ED2"/>
    <w:rsid w:val="00927173"/>
    <w:rsid w:val="009273D7"/>
    <w:rsid w:val="00927862"/>
    <w:rsid w:val="00927B25"/>
    <w:rsid w:val="00927DCD"/>
    <w:rsid w:val="009306A7"/>
    <w:rsid w:val="0093079E"/>
    <w:rsid w:val="00931002"/>
    <w:rsid w:val="009311AC"/>
    <w:rsid w:val="00931903"/>
    <w:rsid w:val="00931B3B"/>
    <w:rsid w:val="00931CB1"/>
    <w:rsid w:val="00931E15"/>
    <w:rsid w:val="0093212F"/>
    <w:rsid w:val="0093243E"/>
    <w:rsid w:val="0093261A"/>
    <w:rsid w:val="00932666"/>
    <w:rsid w:val="00932695"/>
    <w:rsid w:val="009326FD"/>
    <w:rsid w:val="009327CB"/>
    <w:rsid w:val="009329BB"/>
    <w:rsid w:val="00932C16"/>
    <w:rsid w:val="00932C50"/>
    <w:rsid w:val="00932CFC"/>
    <w:rsid w:val="00932D08"/>
    <w:rsid w:val="00932DD4"/>
    <w:rsid w:val="00932DDF"/>
    <w:rsid w:val="00932FEA"/>
    <w:rsid w:val="0093313E"/>
    <w:rsid w:val="00933C12"/>
    <w:rsid w:val="00933DFC"/>
    <w:rsid w:val="0093471A"/>
    <w:rsid w:val="00934F80"/>
    <w:rsid w:val="00935620"/>
    <w:rsid w:val="00935DA3"/>
    <w:rsid w:val="0093635B"/>
    <w:rsid w:val="009363B6"/>
    <w:rsid w:val="00936400"/>
    <w:rsid w:val="00936666"/>
    <w:rsid w:val="0093669E"/>
    <w:rsid w:val="00936740"/>
    <w:rsid w:val="0093699E"/>
    <w:rsid w:val="00936DDA"/>
    <w:rsid w:val="00936FFE"/>
    <w:rsid w:val="00937436"/>
    <w:rsid w:val="009376A4"/>
    <w:rsid w:val="009378EC"/>
    <w:rsid w:val="00937FD4"/>
    <w:rsid w:val="00937FE3"/>
    <w:rsid w:val="0094013C"/>
    <w:rsid w:val="0094065B"/>
    <w:rsid w:val="00940791"/>
    <w:rsid w:val="00940B3F"/>
    <w:rsid w:val="00940BD7"/>
    <w:rsid w:val="00940E5D"/>
    <w:rsid w:val="00940EFB"/>
    <w:rsid w:val="009413C0"/>
    <w:rsid w:val="009413CA"/>
    <w:rsid w:val="00941717"/>
    <w:rsid w:val="00941B93"/>
    <w:rsid w:val="00941EAC"/>
    <w:rsid w:val="009421B7"/>
    <w:rsid w:val="0094240F"/>
    <w:rsid w:val="0094295A"/>
    <w:rsid w:val="00942AE1"/>
    <w:rsid w:val="00942F50"/>
    <w:rsid w:val="009436E3"/>
    <w:rsid w:val="0094371A"/>
    <w:rsid w:val="0094376D"/>
    <w:rsid w:val="009437AA"/>
    <w:rsid w:val="0094389D"/>
    <w:rsid w:val="009439D7"/>
    <w:rsid w:val="00943C74"/>
    <w:rsid w:val="00943F21"/>
    <w:rsid w:val="0094426C"/>
    <w:rsid w:val="00944948"/>
    <w:rsid w:val="0094498D"/>
    <w:rsid w:val="00944A93"/>
    <w:rsid w:val="009450B2"/>
    <w:rsid w:val="00945240"/>
    <w:rsid w:val="009452F8"/>
    <w:rsid w:val="00945594"/>
    <w:rsid w:val="009457E7"/>
    <w:rsid w:val="00945C37"/>
    <w:rsid w:val="00945CF3"/>
    <w:rsid w:val="00946317"/>
    <w:rsid w:val="00946511"/>
    <w:rsid w:val="009468A7"/>
    <w:rsid w:val="009469C4"/>
    <w:rsid w:val="009469E9"/>
    <w:rsid w:val="00947B2B"/>
    <w:rsid w:val="00947B3B"/>
    <w:rsid w:val="00947D67"/>
    <w:rsid w:val="0095030A"/>
    <w:rsid w:val="009503D4"/>
    <w:rsid w:val="009504D9"/>
    <w:rsid w:val="00950602"/>
    <w:rsid w:val="0095072C"/>
    <w:rsid w:val="00950B8F"/>
    <w:rsid w:val="00950E2D"/>
    <w:rsid w:val="0095103B"/>
    <w:rsid w:val="009512CF"/>
    <w:rsid w:val="009515E9"/>
    <w:rsid w:val="009519B2"/>
    <w:rsid w:val="00951AAC"/>
    <w:rsid w:val="00951B28"/>
    <w:rsid w:val="00951B3A"/>
    <w:rsid w:val="00951F30"/>
    <w:rsid w:val="0095201E"/>
    <w:rsid w:val="00952A8D"/>
    <w:rsid w:val="00952C20"/>
    <w:rsid w:val="00952DF2"/>
    <w:rsid w:val="00952F87"/>
    <w:rsid w:val="009530C1"/>
    <w:rsid w:val="009538BB"/>
    <w:rsid w:val="00953C84"/>
    <w:rsid w:val="009544C8"/>
    <w:rsid w:val="009545CB"/>
    <w:rsid w:val="00954B63"/>
    <w:rsid w:val="00954D49"/>
    <w:rsid w:val="0095508E"/>
    <w:rsid w:val="00955994"/>
    <w:rsid w:val="00955CEA"/>
    <w:rsid w:val="00956F73"/>
    <w:rsid w:val="00957D63"/>
    <w:rsid w:val="00957E19"/>
    <w:rsid w:val="00957FF7"/>
    <w:rsid w:val="00960021"/>
    <w:rsid w:val="0096002B"/>
    <w:rsid w:val="009603DD"/>
    <w:rsid w:val="00960737"/>
    <w:rsid w:val="00960797"/>
    <w:rsid w:val="009608E8"/>
    <w:rsid w:val="00961019"/>
    <w:rsid w:val="009610DA"/>
    <w:rsid w:val="00961149"/>
    <w:rsid w:val="00961284"/>
    <w:rsid w:val="00962140"/>
    <w:rsid w:val="0096217C"/>
    <w:rsid w:val="00962303"/>
    <w:rsid w:val="009623F4"/>
    <w:rsid w:val="009626DC"/>
    <w:rsid w:val="00962AD7"/>
    <w:rsid w:val="00962EA1"/>
    <w:rsid w:val="00962F4A"/>
    <w:rsid w:val="00963057"/>
    <w:rsid w:val="009632F9"/>
    <w:rsid w:val="0096431E"/>
    <w:rsid w:val="0096436C"/>
    <w:rsid w:val="0096460C"/>
    <w:rsid w:val="00964732"/>
    <w:rsid w:val="009647D7"/>
    <w:rsid w:val="00964DB0"/>
    <w:rsid w:val="00964F6D"/>
    <w:rsid w:val="00964F8B"/>
    <w:rsid w:val="00964FBC"/>
    <w:rsid w:val="009651A0"/>
    <w:rsid w:val="0096579B"/>
    <w:rsid w:val="009657ED"/>
    <w:rsid w:val="00965BAD"/>
    <w:rsid w:val="00966659"/>
    <w:rsid w:val="009667BF"/>
    <w:rsid w:val="00966A9A"/>
    <w:rsid w:val="00966ACF"/>
    <w:rsid w:val="00966C77"/>
    <w:rsid w:val="00967953"/>
    <w:rsid w:val="0096798C"/>
    <w:rsid w:val="0097043F"/>
    <w:rsid w:val="0097049D"/>
    <w:rsid w:val="009708F6"/>
    <w:rsid w:val="00970DEC"/>
    <w:rsid w:val="00971138"/>
    <w:rsid w:val="00971624"/>
    <w:rsid w:val="00971ADB"/>
    <w:rsid w:val="00971B81"/>
    <w:rsid w:val="0097270A"/>
    <w:rsid w:val="00972851"/>
    <w:rsid w:val="00972B4B"/>
    <w:rsid w:val="00972D01"/>
    <w:rsid w:val="00972FB0"/>
    <w:rsid w:val="009732B7"/>
    <w:rsid w:val="009737B5"/>
    <w:rsid w:val="00973D4B"/>
    <w:rsid w:val="00973F11"/>
    <w:rsid w:val="00973FC1"/>
    <w:rsid w:val="00974164"/>
    <w:rsid w:val="009745CE"/>
    <w:rsid w:val="00974671"/>
    <w:rsid w:val="009748E2"/>
    <w:rsid w:val="00974B35"/>
    <w:rsid w:val="00974C2C"/>
    <w:rsid w:val="00974C77"/>
    <w:rsid w:val="00974E1C"/>
    <w:rsid w:val="009754E0"/>
    <w:rsid w:val="00975F85"/>
    <w:rsid w:val="00975F9D"/>
    <w:rsid w:val="00976020"/>
    <w:rsid w:val="0097631E"/>
    <w:rsid w:val="0097650D"/>
    <w:rsid w:val="00976700"/>
    <w:rsid w:val="00976B21"/>
    <w:rsid w:val="00977126"/>
    <w:rsid w:val="0097720A"/>
    <w:rsid w:val="009774D3"/>
    <w:rsid w:val="009776AF"/>
    <w:rsid w:val="00977D1C"/>
    <w:rsid w:val="00977E26"/>
    <w:rsid w:val="009800C3"/>
    <w:rsid w:val="009800F2"/>
    <w:rsid w:val="009804B3"/>
    <w:rsid w:val="009804B5"/>
    <w:rsid w:val="00980553"/>
    <w:rsid w:val="00980919"/>
    <w:rsid w:val="00980AC0"/>
    <w:rsid w:val="00980B05"/>
    <w:rsid w:val="00980CD0"/>
    <w:rsid w:val="00981473"/>
    <w:rsid w:val="009819C4"/>
    <w:rsid w:val="00981CB0"/>
    <w:rsid w:val="00981F61"/>
    <w:rsid w:val="00981FCA"/>
    <w:rsid w:val="00982222"/>
    <w:rsid w:val="00982680"/>
    <w:rsid w:val="009827E8"/>
    <w:rsid w:val="00982920"/>
    <w:rsid w:val="00982933"/>
    <w:rsid w:val="00982C39"/>
    <w:rsid w:val="00982D6D"/>
    <w:rsid w:val="00982F20"/>
    <w:rsid w:val="00983072"/>
    <w:rsid w:val="00983331"/>
    <w:rsid w:val="009835DB"/>
    <w:rsid w:val="0098368C"/>
    <w:rsid w:val="009836FC"/>
    <w:rsid w:val="00983834"/>
    <w:rsid w:val="009838BF"/>
    <w:rsid w:val="00983A94"/>
    <w:rsid w:val="00984117"/>
    <w:rsid w:val="00984153"/>
    <w:rsid w:val="009841A4"/>
    <w:rsid w:val="0098454E"/>
    <w:rsid w:val="00984FC6"/>
    <w:rsid w:val="00985110"/>
    <w:rsid w:val="00985B2D"/>
    <w:rsid w:val="00985E68"/>
    <w:rsid w:val="0098634E"/>
    <w:rsid w:val="009863E3"/>
    <w:rsid w:val="009864E5"/>
    <w:rsid w:val="009869E6"/>
    <w:rsid w:val="00986BEF"/>
    <w:rsid w:val="00986F88"/>
    <w:rsid w:val="0098704D"/>
    <w:rsid w:val="00987078"/>
    <w:rsid w:val="00987281"/>
    <w:rsid w:val="0098768F"/>
    <w:rsid w:val="0098775F"/>
    <w:rsid w:val="0098796E"/>
    <w:rsid w:val="0098798F"/>
    <w:rsid w:val="00987DE2"/>
    <w:rsid w:val="00990075"/>
    <w:rsid w:val="009902EA"/>
    <w:rsid w:val="009902F0"/>
    <w:rsid w:val="00990AE4"/>
    <w:rsid w:val="00991164"/>
    <w:rsid w:val="00991574"/>
    <w:rsid w:val="00991683"/>
    <w:rsid w:val="00991A88"/>
    <w:rsid w:val="00991B37"/>
    <w:rsid w:val="00992332"/>
    <w:rsid w:val="009927FC"/>
    <w:rsid w:val="00992AA0"/>
    <w:rsid w:val="00992BBF"/>
    <w:rsid w:val="00992FF6"/>
    <w:rsid w:val="0099300C"/>
    <w:rsid w:val="0099314B"/>
    <w:rsid w:val="009934FD"/>
    <w:rsid w:val="0099354F"/>
    <w:rsid w:val="00993611"/>
    <w:rsid w:val="00993A25"/>
    <w:rsid w:val="00993B9E"/>
    <w:rsid w:val="009942EB"/>
    <w:rsid w:val="00994421"/>
    <w:rsid w:val="00994626"/>
    <w:rsid w:val="0099483C"/>
    <w:rsid w:val="009949E9"/>
    <w:rsid w:val="00994A72"/>
    <w:rsid w:val="00994CCD"/>
    <w:rsid w:val="00994E02"/>
    <w:rsid w:val="00994EF7"/>
    <w:rsid w:val="00995277"/>
    <w:rsid w:val="009954F0"/>
    <w:rsid w:val="00995775"/>
    <w:rsid w:val="00995C46"/>
    <w:rsid w:val="00995F21"/>
    <w:rsid w:val="00996259"/>
    <w:rsid w:val="00996929"/>
    <w:rsid w:val="00996A04"/>
    <w:rsid w:val="00996D67"/>
    <w:rsid w:val="009972F9"/>
    <w:rsid w:val="00997848"/>
    <w:rsid w:val="0099793F"/>
    <w:rsid w:val="00997BFC"/>
    <w:rsid w:val="00997C0A"/>
    <w:rsid w:val="009A081D"/>
    <w:rsid w:val="009A09EF"/>
    <w:rsid w:val="009A0BA8"/>
    <w:rsid w:val="009A0C72"/>
    <w:rsid w:val="009A0D9D"/>
    <w:rsid w:val="009A0E50"/>
    <w:rsid w:val="009A0F7A"/>
    <w:rsid w:val="009A0FB1"/>
    <w:rsid w:val="009A1108"/>
    <w:rsid w:val="009A1208"/>
    <w:rsid w:val="009A13CE"/>
    <w:rsid w:val="009A1540"/>
    <w:rsid w:val="009A1838"/>
    <w:rsid w:val="009A1954"/>
    <w:rsid w:val="009A1AE5"/>
    <w:rsid w:val="009A1EB0"/>
    <w:rsid w:val="009A1EED"/>
    <w:rsid w:val="009A251B"/>
    <w:rsid w:val="009A3474"/>
    <w:rsid w:val="009A39F0"/>
    <w:rsid w:val="009A41A0"/>
    <w:rsid w:val="009A43B0"/>
    <w:rsid w:val="009A453A"/>
    <w:rsid w:val="009A467C"/>
    <w:rsid w:val="009A47F7"/>
    <w:rsid w:val="009A4E94"/>
    <w:rsid w:val="009A5409"/>
    <w:rsid w:val="009A5703"/>
    <w:rsid w:val="009A5984"/>
    <w:rsid w:val="009A5A86"/>
    <w:rsid w:val="009A5B54"/>
    <w:rsid w:val="009A5CD9"/>
    <w:rsid w:val="009A5CE0"/>
    <w:rsid w:val="009A60B4"/>
    <w:rsid w:val="009A622A"/>
    <w:rsid w:val="009A624D"/>
    <w:rsid w:val="009A6402"/>
    <w:rsid w:val="009A68A8"/>
    <w:rsid w:val="009A6F28"/>
    <w:rsid w:val="009A7174"/>
    <w:rsid w:val="009A71DA"/>
    <w:rsid w:val="009A7330"/>
    <w:rsid w:val="009A744D"/>
    <w:rsid w:val="009A749F"/>
    <w:rsid w:val="009A74B7"/>
    <w:rsid w:val="009A78CB"/>
    <w:rsid w:val="009A7A76"/>
    <w:rsid w:val="009B0714"/>
    <w:rsid w:val="009B0F9D"/>
    <w:rsid w:val="009B11BB"/>
    <w:rsid w:val="009B16DF"/>
    <w:rsid w:val="009B19F7"/>
    <w:rsid w:val="009B248A"/>
    <w:rsid w:val="009B2826"/>
    <w:rsid w:val="009B2827"/>
    <w:rsid w:val="009B2890"/>
    <w:rsid w:val="009B2B0D"/>
    <w:rsid w:val="009B2C68"/>
    <w:rsid w:val="009B2CC3"/>
    <w:rsid w:val="009B3434"/>
    <w:rsid w:val="009B3488"/>
    <w:rsid w:val="009B34B3"/>
    <w:rsid w:val="009B3513"/>
    <w:rsid w:val="009B35C3"/>
    <w:rsid w:val="009B3946"/>
    <w:rsid w:val="009B3AE1"/>
    <w:rsid w:val="009B3D84"/>
    <w:rsid w:val="009B42E4"/>
    <w:rsid w:val="009B44BE"/>
    <w:rsid w:val="009B4670"/>
    <w:rsid w:val="009B4ECD"/>
    <w:rsid w:val="009B50E8"/>
    <w:rsid w:val="009B5101"/>
    <w:rsid w:val="009B537F"/>
    <w:rsid w:val="009B5441"/>
    <w:rsid w:val="009B5931"/>
    <w:rsid w:val="009B5B52"/>
    <w:rsid w:val="009B5BBB"/>
    <w:rsid w:val="009B5BE4"/>
    <w:rsid w:val="009B5E40"/>
    <w:rsid w:val="009B5F5E"/>
    <w:rsid w:val="009B6067"/>
    <w:rsid w:val="009B615E"/>
    <w:rsid w:val="009B6541"/>
    <w:rsid w:val="009B65F9"/>
    <w:rsid w:val="009B6C73"/>
    <w:rsid w:val="009B71CD"/>
    <w:rsid w:val="009B7CB1"/>
    <w:rsid w:val="009B7D37"/>
    <w:rsid w:val="009B7E19"/>
    <w:rsid w:val="009C0073"/>
    <w:rsid w:val="009C0138"/>
    <w:rsid w:val="009C02AA"/>
    <w:rsid w:val="009C038D"/>
    <w:rsid w:val="009C0544"/>
    <w:rsid w:val="009C0578"/>
    <w:rsid w:val="009C07C7"/>
    <w:rsid w:val="009C082F"/>
    <w:rsid w:val="009C0CD2"/>
    <w:rsid w:val="009C0D53"/>
    <w:rsid w:val="009C0D9F"/>
    <w:rsid w:val="009C10E5"/>
    <w:rsid w:val="009C1C6E"/>
    <w:rsid w:val="009C24C9"/>
    <w:rsid w:val="009C26F6"/>
    <w:rsid w:val="009C2861"/>
    <w:rsid w:val="009C28E8"/>
    <w:rsid w:val="009C2B50"/>
    <w:rsid w:val="009C3023"/>
    <w:rsid w:val="009C31B7"/>
    <w:rsid w:val="009C3ECD"/>
    <w:rsid w:val="009C43C3"/>
    <w:rsid w:val="009C4435"/>
    <w:rsid w:val="009C47D7"/>
    <w:rsid w:val="009C49BE"/>
    <w:rsid w:val="009C4C53"/>
    <w:rsid w:val="009C4D3F"/>
    <w:rsid w:val="009C4E06"/>
    <w:rsid w:val="009C50E9"/>
    <w:rsid w:val="009C5204"/>
    <w:rsid w:val="009C520D"/>
    <w:rsid w:val="009C54F9"/>
    <w:rsid w:val="009C5620"/>
    <w:rsid w:val="009C5AF6"/>
    <w:rsid w:val="009C5B45"/>
    <w:rsid w:val="009C6065"/>
    <w:rsid w:val="009C612C"/>
    <w:rsid w:val="009C619F"/>
    <w:rsid w:val="009C668E"/>
    <w:rsid w:val="009C7339"/>
    <w:rsid w:val="009C73BF"/>
    <w:rsid w:val="009C786E"/>
    <w:rsid w:val="009C7F01"/>
    <w:rsid w:val="009D02BF"/>
    <w:rsid w:val="009D05DA"/>
    <w:rsid w:val="009D0A65"/>
    <w:rsid w:val="009D0BA9"/>
    <w:rsid w:val="009D0C9F"/>
    <w:rsid w:val="009D0D50"/>
    <w:rsid w:val="009D0E4C"/>
    <w:rsid w:val="009D0F36"/>
    <w:rsid w:val="009D1047"/>
    <w:rsid w:val="009D10BA"/>
    <w:rsid w:val="009D1888"/>
    <w:rsid w:val="009D1A19"/>
    <w:rsid w:val="009D1DA5"/>
    <w:rsid w:val="009D21A8"/>
    <w:rsid w:val="009D26FA"/>
    <w:rsid w:val="009D2724"/>
    <w:rsid w:val="009D2820"/>
    <w:rsid w:val="009D2C81"/>
    <w:rsid w:val="009D2CFC"/>
    <w:rsid w:val="009D3179"/>
    <w:rsid w:val="009D32AE"/>
    <w:rsid w:val="009D3397"/>
    <w:rsid w:val="009D35B4"/>
    <w:rsid w:val="009D3B55"/>
    <w:rsid w:val="009D3C4F"/>
    <w:rsid w:val="009D417E"/>
    <w:rsid w:val="009D41BC"/>
    <w:rsid w:val="009D4B8B"/>
    <w:rsid w:val="009D4DEE"/>
    <w:rsid w:val="009D4F3B"/>
    <w:rsid w:val="009D5345"/>
    <w:rsid w:val="009D5A8F"/>
    <w:rsid w:val="009D5C98"/>
    <w:rsid w:val="009D5FE7"/>
    <w:rsid w:val="009D6057"/>
    <w:rsid w:val="009D6178"/>
    <w:rsid w:val="009D631C"/>
    <w:rsid w:val="009D72E6"/>
    <w:rsid w:val="009E00B1"/>
    <w:rsid w:val="009E02AF"/>
    <w:rsid w:val="009E044B"/>
    <w:rsid w:val="009E093D"/>
    <w:rsid w:val="009E0AC1"/>
    <w:rsid w:val="009E0BFE"/>
    <w:rsid w:val="009E0D4B"/>
    <w:rsid w:val="009E12B2"/>
    <w:rsid w:val="009E1653"/>
    <w:rsid w:val="009E179B"/>
    <w:rsid w:val="009E19EC"/>
    <w:rsid w:val="009E1E83"/>
    <w:rsid w:val="009E2214"/>
    <w:rsid w:val="009E23A2"/>
    <w:rsid w:val="009E285A"/>
    <w:rsid w:val="009E28FF"/>
    <w:rsid w:val="009E2AD1"/>
    <w:rsid w:val="009E2B48"/>
    <w:rsid w:val="009E3191"/>
    <w:rsid w:val="009E3206"/>
    <w:rsid w:val="009E37F8"/>
    <w:rsid w:val="009E38B6"/>
    <w:rsid w:val="009E3A64"/>
    <w:rsid w:val="009E3C50"/>
    <w:rsid w:val="009E3F7C"/>
    <w:rsid w:val="009E3FF9"/>
    <w:rsid w:val="009E42F4"/>
    <w:rsid w:val="009E44D5"/>
    <w:rsid w:val="009E4517"/>
    <w:rsid w:val="009E5278"/>
    <w:rsid w:val="009E54C7"/>
    <w:rsid w:val="009E5601"/>
    <w:rsid w:val="009E563E"/>
    <w:rsid w:val="009E56F1"/>
    <w:rsid w:val="009E5781"/>
    <w:rsid w:val="009E5874"/>
    <w:rsid w:val="009E5D00"/>
    <w:rsid w:val="009E5D0F"/>
    <w:rsid w:val="009E5E32"/>
    <w:rsid w:val="009E5F78"/>
    <w:rsid w:val="009E6297"/>
    <w:rsid w:val="009E6729"/>
    <w:rsid w:val="009E6BC6"/>
    <w:rsid w:val="009E6E21"/>
    <w:rsid w:val="009E6F25"/>
    <w:rsid w:val="009E7232"/>
    <w:rsid w:val="009E7362"/>
    <w:rsid w:val="009E7580"/>
    <w:rsid w:val="009E77EA"/>
    <w:rsid w:val="009E78D1"/>
    <w:rsid w:val="009E7D38"/>
    <w:rsid w:val="009F084E"/>
    <w:rsid w:val="009F08BB"/>
    <w:rsid w:val="009F0907"/>
    <w:rsid w:val="009F0A56"/>
    <w:rsid w:val="009F0A7F"/>
    <w:rsid w:val="009F0EF4"/>
    <w:rsid w:val="009F10CA"/>
    <w:rsid w:val="009F12F8"/>
    <w:rsid w:val="009F1754"/>
    <w:rsid w:val="009F1FAF"/>
    <w:rsid w:val="009F2022"/>
    <w:rsid w:val="009F2051"/>
    <w:rsid w:val="009F20AB"/>
    <w:rsid w:val="009F217D"/>
    <w:rsid w:val="009F2449"/>
    <w:rsid w:val="009F24E9"/>
    <w:rsid w:val="009F2927"/>
    <w:rsid w:val="009F3384"/>
    <w:rsid w:val="009F3473"/>
    <w:rsid w:val="009F36FD"/>
    <w:rsid w:val="009F381C"/>
    <w:rsid w:val="009F3BDE"/>
    <w:rsid w:val="009F3BF7"/>
    <w:rsid w:val="009F429D"/>
    <w:rsid w:val="009F42DA"/>
    <w:rsid w:val="009F436A"/>
    <w:rsid w:val="009F4564"/>
    <w:rsid w:val="009F4913"/>
    <w:rsid w:val="009F4C8C"/>
    <w:rsid w:val="009F4E8F"/>
    <w:rsid w:val="009F57E9"/>
    <w:rsid w:val="009F5EDD"/>
    <w:rsid w:val="009F6443"/>
    <w:rsid w:val="009F649E"/>
    <w:rsid w:val="009F6ED2"/>
    <w:rsid w:val="009F7217"/>
    <w:rsid w:val="009F7383"/>
    <w:rsid w:val="009F7584"/>
    <w:rsid w:val="009F7713"/>
    <w:rsid w:val="009F79F8"/>
    <w:rsid w:val="009F7B45"/>
    <w:rsid w:val="009F7E8B"/>
    <w:rsid w:val="009F7F61"/>
    <w:rsid w:val="00A00449"/>
    <w:rsid w:val="00A00779"/>
    <w:rsid w:val="00A008CA"/>
    <w:rsid w:val="00A00C81"/>
    <w:rsid w:val="00A0114C"/>
    <w:rsid w:val="00A011BF"/>
    <w:rsid w:val="00A0167E"/>
    <w:rsid w:val="00A01777"/>
    <w:rsid w:val="00A01B14"/>
    <w:rsid w:val="00A01C67"/>
    <w:rsid w:val="00A01FC7"/>
    <w:rsid w:val="00A020BF"/>
    <w:rsid w:val="00A024AD"/>
    <w:rsid w:val="00A02618"/>
    <w:rsid w:val="00A0294A"/>
    <w:rsid w:val="00A029CF"/>
    <w:rsid w:val="00A02CAD"/>
    <w:rsid w:val="00A02E2D"/>
    <w:rsid w:val="00A02FE6"/>
    <w:rsid w:val="00A032AC"/>
    <w:rsid w:val="00A0350D"/>
    <w:rsid w:val="00A0366A"/>
    <w:rsid w:val="00A03D53"/>
    <w:rsid w:val="00A03DCE"/>
    <w:rsid w:val="00A04146"/>
    <w:rsid w:val="00A04158"/>
    <w:rsid w:val="00A043CA"/>
    <w:rsid w:val="00A044C5"/>
    <w:rsid w:val="00A04625"/>
    <w:rsid w:val="00A047B6"/>
    <w:rsid w:val="00A051AE"/>
    <w:rsid w:val="00A0556B"/>
    <w:rsid w:val="00A05720"/>
    <w:rsid w:val="00A057CB"/>
    <w:rsid w:val="00A05ECC"/>
    <w:rsid w:val="00A05EF0"/>
    <w:rsid w:val="00A065EF"/>
    <w:rsid w:val="00A06CF4"/>
    <w:rsid w:val="00A06DE3"/>
    <w:rsid w:val="00A07095"/>
    <w:rsid w:val="00A07615"/>
    <w:rsid w:val="00A078C4"/>
    <w:rsid w:val="00A07FE4"/>
    <w:rsid w:val="00A10017"/>
    <w:rsid w:val="00A10259"/>
    <w:rsid w:val="00A10431"/>
    <w:rsid w:val="00A1091A"/>
    <w:rsid w:val="00A10BA1"/>
    <w:rsid w:val="00A11161"/>
    <w:rsid w:val="00A111DD"/>
    <w:rsid w:val="00A11369"/>
    <w:rsid w:val="00A11595"/>
    <w:rsid w:val="00A118AB"/>
    <w:rsid w:val="00A11AE5"/>
    <w:rsid w:val="00A11BE7"/>
    <w:rsid w:val="00A11D18"/>
    <w:rsid w:val="00A11E35"/>
    <w:rsid w:val="00A12696"/>
    <w:rsid w:val="00A12D75"/>
    <w:rsid w:val="00A12E0A"/>
    <w:rsid w:val="00A13315"/>
    <w:rsid w:val="00A13426"/>
    <w:rsid w:val="00A138BD"/>
    <w:rsid w:val="00A13B02"/>
    <w:rsid w:val="00A13C60"/>
    <w:rsid w:val="00A13C92"/>
    <w:rsid w:val="00A1414A"/>
    <w:rsid w:val="00A14159"/>
    <w:rsid w:val="00A141FF"/>
    <w:rsid w:val="00A14249"/>
    <w:rsid w:val="00A14556"/>
    <w:rsid w:val="00A14B27"/>
    <w:rsid w:val="00A14C21"/>
    <w:rsid w:val="00A14CA4"/>
    <w:rsid w:val="00A14E6E"/>
    <w:rsid w:val="00A15144"/>
    <w:rsid w:val="00A151F5"/>
    <w:rsid w:val="00A1574A"/>
    <w:rsid w:val="00A15B93"/>
    <w:rsid w:val="00A15D21"/>
    <w:rsid w:val="00A16661"/>
    <w:rsid w:val="00A16693"/>
    <w:rsid w:val="00A167A7"/>
    <w:rsid w:val="00A168F2"/>
    <w:rsid w:val="00A16BB4"/>
    <w:rsid w:val="00A16CAD"/>
    <w:rsid w:val="00A1725D"/>
    <w:rsid w:val="00A172A8"/>
    <w:rsid w:val="00A174C0"/>
    <w:rsid w:val="00A17CE2"/>
    <w:rsid w:val="00A17CF7"/>
    <w:rsid w:val="00A17E4D"/>
    <w:rsid w:val="00A17F9D"/>
    <w:rsid w:val="00A200B9"/>
    <w:rsid w:val="00A209BF"/>
    <w:rsid w:val="00A20C0E"/>
    <w:rsid w:val="00A20E7D"/>
    <w:rsid w:val="00A2134C"/>
    <w:rsid w:val="00A21633"/>
    <w:rsid w:val="00A21BBD"/>
    <w:rsid w:val="00A21F57"/>
    <w:rsid w:val="00A223C1"/>
    <w:rsid w:val="00A22425"/>
    <w:rsid w:val="00A2250D"/>
    <w:rsid w:val="00A226E7"/>
    <w:rsid w:val="00A23047"/>
    <w:rsid w:val="00A23C4A"/>
    <w:rsid w:val="00A23EF6"/>
    <w:rsid w:val="00A23F58"/>
    <w:rsid w:val="00A2417B"/>
    <w:rsid w:val="00A24479"/>
    <w:rsid w:val="00A24512"/>
    <w:rsid w:val="00A24550"/>
    <w:rsid w:val="00A2461F"/>
    <w:rsid w:val="00A24A86"/>
    <w:rsid w:val="00A24DCB"/>
    <w:rsid w:val="00A250BA"/>
    <w:rsid w:val="00A2546A"/>
    <w:rsid w:val="00A25910"/>
    <w:rsid w:val="00A25A6B"/>
    <w:rsid w:val="00A25DBC"/>
    <w:rsid w:val="00A26201"/>
    <w:rsid w:val="00A26870"/>
    <w:rsid w:val="00A269FD"/>
    <w:rsid w:val="00A26A57"/>
    <w:rsid w:val="00A26CC7"/>
    <w:rsid w:val="00A270B1"/>
    <w:rsid w:val="00A2739E"/>
    <w:rsid w:val="00A275BE"/>
    <w:rsid w:val="00A276E3"/>
    <w:rsid w:val="00A2784D"/>
    <w:rsid w:val="00A279EA"/>
    <w:rsid w:val="00A27D05"/>
    <w:rsid w:val="00A3036F"/>
    <w:rsid w:val="00A303EC"/>
    <w:rsid w:val="00A30661"/>
    <w:rsid w:val="00A30A4A"/>
    <w:rsid w:val="00A30B5F"/>
    <w:rsid w:val="00A30B76"/>
    <w:rsid w:val="00A30DC5"/>
    <w:rsid w:val="00A3106D"/>
    <w:rsid w:val="00A31DE5"/>
    <w:rsid w:val="00A320DC"/>
    <w:rsid w:val="00A320EA"/>
    <w:rsid w:val="00A3213D"/>
    <w:rsid w:val="00A3221C"/>
    <w:rsid w:val="00A3263F"/>
    <w:rsid w:val="00A328B1"/>
    <w:rsid w:val="00A32D2F"/>
    <w:rsid w:val="00A32DED"/>
    <w:rsid w:val="00A32F69"/>
    <w:rsid w:val="00A32F99"/>
    <w:rsid w:val="00A331BB"/>
    <w:rsid w:val="00A333AF"/>
    <w:rsid w:val="00A335D0"/>
    <w:rsid w:val="00A33832"/>
    <w:rsid w:val="00A339AB"/>
    <w:rsid w:val="00A33CEB"/>
    <w:rsid w:val="00A3423B"/>
    <w:rsid w:val="00A3436B"/>
    <w:rsid w:val="00A347AF"/>
    <w:rsid w:val="00A34AE5"/>
    <w:rsid w:val="00A34B90"/>
    <w:rsid w:val="00A34B95"/>
    <w:rsid w:val="00A34C0F"/>
    <w:rsid w:val="00A34F21"/>
    <w:rsid w:val="00A34FA9"/>
    <w:rsid w:val="00A3540A"/>
    <w:rsid w:val="00A3546F"/>
    <w:rsid w:val="00A35531"/>
    <w:rsid w:val="00A35845"/>
    <w:rsid w:val="00A35ADB"/>
    <w:rsid w:val="00A35B2E"/>
    <w:rsid w:val="00A35D39"/>
    <w:rsid w:val="00A36033"/>
    <w:rsid w:val="00A361A1"/>
    <w:rsid w:val="00A3625C"/>
    <w:rsid w:val="00A36421"/>
    <w:rsid w:val="00A366B4"/>
    <w:rsid w:val="00A367DB"/>
    <w:rsid w:val="00A36A3F"/>
    <w:rsid w:val="00A36ABB"/>
    <w:rsid w:val="00A36E91"/>
    <w:rsid w:val="00A36F1F"/>
    <w:rsid w:val="00A37617"/>
    <w:rsid w:val="00A377F4"/>
    <w:rsid w:val="00A37916"/>
    <w:rsid w:val="00A37A13"/>
    <w:rsid w:val="00A40130"/>
    <w:rsid w:val="00A401D4"/>
    <w:rsid w:val="00A4047F"/>
    <w:rsid w:val="00A405F5"/>
    <w:rsid w:val="00A406A4"/>
    <w:rsid w:val="00A407E4"/>
    <w:rsid w:val="00A408DF"/>
    <w:rsid w:val="00A40B9B"/>
    <w:rsid w:val="00A4123E"/>
    <w:rsid w:val="00A418B4"/>
    <w:rsid w:val="00A419E9"/>
    <w:rsid w:val="00A419FF"/>
    <w:rsid w:val="00A41B78"/>
    <w:rsid w:val="00A41C37"/>
    <w:rsid w:val="00A41D4E"/>
    <w:rsid w:val="00A41F92"/>
    <w:rsid w:val="00A421DF"/>
    <w:rsid w:val="00A422CC"/>
    <w:rsid w:val="00A422D3"/>
    <w:rsid w:val="00A426AE"/>
    <w:rsid w:val="00A427B5"/>
    <w:rsid w:val="00A42A8A"/>
    <w:rsid w:val="00A42BFD"/>
    <w:rsid w:val="00A42CF4"/>
    <w:rsid w:val="00A42CFC"/>
    <w:rsid w:val="00A42D38"/>
    <w:rsid w:val="00A43029"/>
    <w:rsid w:val="00A43199"/>
    <w:rsid w:val="00A43A18"/>
    <w:rsid w:val="00A43C08"/>
    <w:rsid w:val="00A43CBC"/>
    <w:rsid w:val="00A44080"/>
    <w:rsid w:val="00A441F7"/>
    <w:rsid w:val="00A44208"/>
    <w:rsid w:val="00A44223"/>
    <w:rsid w:val="00A44A02"/>
    <w:rsid w:val="00A44BA7"/>
    <w:rsid w:val="00A44BEC"/>
    <w:rsid w:val="00A45118"/>
    <w:rsid w:val="00A45200"/>
    <w:rsid w:val="00A45BC6"/>
    <w:rsid w:val="00A45E70"/>
    <w:rsid w:val="00A45E92"/>
    <w:rsid w:val="00A45EF1"/>
    <w:rsid w:val="00A45F77"/>
    <w:rsid w:val="00A46192"/>
    <w:rsid w:val="00A46405"/>
    <w:rsid w:val="00A46508"/>
    <w:rsid w:val="00A46718"/>
    <w:rsid w:val="00A467F0"/>
    <w:rsid w:val="00A46A9A"/>
    <w:rsid w:val="00A46F79"/>
    <w:rsid w:val="00A477A2"/>
    <w:rsid w:val="00A478C8"/>
    <w:rsid w:val="00A47A7F"/>
    <w:rsid w:val="00A47D45"/>
    <w:rsid w:val="00A5002E"/>
    <w:rsid w:val="00A503DE"/>
    <w:rsid w:val="00A50477"/>
    <w:rsid w:val="00A50492"/>
    <w:rsid w:val="00A50744"/>
    <w:rsid w:val="00A50A21"/>
    <w:rsid w:val="00A50F17"/>
    <w:rsid w:val="00A512EB"/>
    <w:rsid w:val="00A51456"/>
    <w:rsid w:val="00A51486"/>
    <w:rsid w:val="00A514DA"/>
    <w:rsid w:val="00A51A30"/>
    <w:rsid w:val="00A525D1"/>
    <w:rsid w:val="00A52633"/>
    <w:rsid w:val="00A5296C"/>
    <w:rsid w:val="00A52F6A"/>
    <w:rsid w:val="00A53004"/>
    <w:rsid w:val="00A53081"/>
    <w:rsid w:val="00A5343C"/>
    <w:rsid w:val="00A53619"/>
    <w:rsid w:val="00A53CAC"/>
    <w:rsid w:val="00A53CB8"/>
    <w:rsid w:val="00A53F86"/>
    <w:rsid w:val="00A54B7F"/>
    <w:rsid w:val="00A54E0A"/>
    <w:rsid w:val="00A54EF3"/>
    <w:rsid w:val="00A5511B"/>
    <w:rsid w:val="00A5590F"/>
    <w:rsid w:val="00A559D7"/>
    <w:rsid w:val="00A55A2C"/>
    <w:rsid w:val="00A55A99"/>
    <w:rsid w:val="00A55AED"/>
    <w:rsid w:val="00A55FAA"/>
    <w:rsid w:val="00A573A7"/>
    <w:rsid w:val="00A57442"/>
    <w:rsid w:val="00A57E39"/>
    <w:rsid w:val="00A57E3A"/>
    <w:rsid w:val="00A57F2B"/>
    <w:rsid w:val="00A6006B"/>
    <w:rsid w:val="00A60089"/>
    <w:rsid w:val="00A6063F"/>
    <w:rsid w:val="00A60972"/>
    <w:rsid w:val="00A609E8"/>
    <w:rsid w:val="00A60B35"/>
    <w:rsid w:val="00A61ABD"/>
    <w:rsid w:val="00A61B90"/>
    <w:rsid w:val="00A61CD2"/>
    <w:rsid w:val="00A61EDE"/>
    <w:rsid w:val="00A62362"/>
    <w:rsid w:val="00A62A8F"/>
    <w:rsid w:val="00A62F61"/>
    <w:rsid w:val="00A63118"/>
    <w:rsid w:val="00A6334C"/>
    <w:rsid w:val="00A633C4"/>
    <w:rsid w:val="00A63779"/>
    <w:rsid w:val="00A6391E"/>
    <w:rsid w:val="00A63AF4"/>
    <w:rsid w:val="00A63DDC"/>
    <w:rsid w:val="00A64118"/>
    <w:rsid w:val="00A64317"/>
    <w:rsid w:val="00A64755"/>
    <w:rsid w:val="00A64E4E"/>
    <w:rsid w:val="00A65195"/>
    <w:rsid w:val="00A6519C"/>
    <w:rsid w:val="00A653B7"/>
    <w:rsid w:val="00A65719"/>
    <w:rsid w:val="00A65950"/>
    <w:rsid w:val="00A65B67"/>
    <w:rsid w:val="00A65BD3"/>
    <w:rsid w:val="00A65EFC"/>
    <w:rsid w:val="00A65F13"/>
    <w:rsid w:val="00A66793"/>
    <w:rsid w:val="00A669CE"/>
    <w:rsid w:val="00A66F4F"/>
    <w:rsid w:val="00A66FC0"/>
    <w:rsid w:val="00A67041"/>
    <w:rsid w:val="00A673AD"/>
    <w:rsid w:val="00A67838"/>
    <w:rsid w:val="00A67E55"/>
    <w:rsid w:val="00A67EAD"/>
    <w:rsid w:val="00A67FEF"/>
    <w:rsid w:val="00A70222"/>
    <w:rsid w:val="00A70309"/>
    <w:rsid w:val="00A70488"/>
    <w:rsid w:val="00A710F9"/>
    <w:rsid w:val="00A71169"/>
    <w:rsid w:val="00A7135F"/>
    <w:rsid w:val="00A7137A"/>
    <w:rsid w:val="00A71655"/>
    <w:rsid w:val="00A7166B"/>
    <w:rsid w:val="00A71A4B"/>
    <w:rsid w:val="00A71F8C"/>
    <w:rsid w:val="00A722A0"/>
    <w:rsid w:val="00A7246F"/>
    <w:rsid w:val="00A72CB7"/>
    <w:rsid w:val="00A72FF4"/>
    <w:rsid w:val="00A737B8"/>
    <w:rsid w:val="00A73811"/>
    <w:rsid w:val="00A74022"/>
    <w:rsid w:val="00A74551"/>
    <w:rsid w:val="00A746AB"/>
    <w:rsid w:val="00A74924"/>
    <w:rsid w:val="00A74AD9"/>
    <w:rsid w:val="00A74D86"/>
    <w:rsid w:val="00A74DA4"/>
    <w:rsid w:val="00A752CA"/>
    <w:rsid w:val="00A752EF"/>
    <w:rsid w:val="00A75550"/>
    <w:rsid w:val="00A75A3F"/>
    <w:rsid w:val="00A75AA4"/>
    <w:rsid w:val="00A75FF1"/>
    <w:rsid w:val="00A760D8"/>
    <w:rsid w:val="00A7643F"/>
    <w:rsid w:val="00A76469"/>
    <w:rsid w:val="00A7649B"/>
    <w:rsid w:val="00A765EA"/>
    <w:rsid w:val="00A766AE"/>
    <w:rsid w:val="00A76CA0"/>
    <w:rsid w:val="00A76F7B"/>
    <w:rsid w:val="00A7727C"/>
    <w:rsid w:val="00A77850"/>
    <w:rsid w:val="00A77C57"/>
    <w:rsid w:val="00A80292"/>
    <w:rsid w:val="00A802D5"/>
    <w:rsid w:val="00A8103A"/>
    <w:rsid w:val="00A8109A"/>
    <w:rsid w:val="00A81270"/>
    <w:rsid w:val="00A812CC"/>
    <w:rsid w:val="00A81456"/>
    <w:rsid w:val="00A81460"/>
    <w:rsid w:val="00A81551"/>
    <w:rsid w:val="00A815A8"/>
    <w:rsid w:val="00A8173B"/>
    <w:rsid w:val="00A817D5"/>
    <w:rsid w:val="00A823AD"/>
    <w:rsid w:val="00A82532"/>
    <w:rsid w:val="00A8256C"/>
    <w:rsid w:val="00A825AB"/>
    <w:rsid w:val="00A82632"/>
    <w:rsid w:val="00A8290B"/>
    <w:rsid w:val="00A82A1B"/>
    <w:rsid w:val="00A82C37"/>
    <w:rsid w:val="00A8310B"/>
    <w:rsid w:val="00A83341"/>
    <w:rsid w:val="00A83401"/>
    <w:rsid w:val="00A83633"/>
    <w:rsid w:val="00A838DC"/>
    <w:rsid w:val="00A839FF"/>
    <w:rsid w:val="00A83A29"/>
    <w:rsid w:val="00A83C8A"/>
    <w:rsid w:val="00A83FB2"/>
    <w:rsid w:val="00A84109"/>
    <w:rsid w:val="00A849EA"/>
    <w:rsid w:val="00A84B86"/>
    <w:rsid w:val="00A84D00"/>
    <w:rsid w:val="00A84FE8"/>
    <w:rsid w:val="00A85458"/>
    <w:rsid w:val="00A85541"/>
    <w:rsid w:val="00A85770"/>
    <w:rsid w:val="00A85B7B"/>
    <w:rsid w:val="00A85E5E"/>
    <w:rsid w:val="00A86070"/>
    <w:rsid w:val="00A862CF"/>
    <w:rsid w:val="00A868AE"/>
    <w:rsid w:val="00A868DF"/>
    <w:rsid w:val="00A86950"/>
    <w:rsid w:val="00A86A88"/>
    <w:rsid w:val="00A86C68"/>
    <w:rsid w:val="00A86DDE"/>
    <w:rsid w:val="00A86EA7"/>
    <w:rsid w:val="00A8722E"/>
    <w:rsid w:val="00A87357"/>
    <w:rsid w:val="00A873A5"/>
    <w:rsid w:val="00A874D1"/>
    <w:rsid w:val="00A875E2"/>
    <w:rsid w:val="00A875F4"/>
    <w:rsid w:val="00A87821"/>
    <w:rsid w:val="00A87829"/>
    <w:rsid w:val="00A87D52"/>
    <w:rsid w:val="00A87E68"/>
    <w:rsid w:val="00A87F06"/>
    <w:rsid w:val="00A9032C"/>
    <w:rsid w:val="00A90637"/>
    <w:rsid w:val="00A906DC"/>
    <w:rsid w:val="00A9088E"/>
    <w:rsid w:val="00A90F71"/>
    <w:rsid w:val="00A9104D"/>
    <w:rsid w:val="00A9131A"/>
    <w:rsid w:val="00A9147F"/>
    <w:rsid w:val="00A914E0"/>
    <w:rsid w:val="00A91A54"/>
    <w:rsid w:val="00A92005"/>
    <w:rsid w:val="00A9212A"/>
    <w:rsid w:val="00A92242"/>
    <w:rsid w:val="00A923C1"/>
    <w:rsid w:val="00A929A8"/>
    <w:rsid w:val="00A92DF7"/>
    <w:rsid w:val="00A92E14"/>
    <w:rsid w:val="00A93097"/>
    <w:rsid w:val="00A93106"/>
    <w:rsid w:val="00A9322E"/>
    <w:rsid w:val="00A93351"/>
    <w:rsid w:val="00A934A0"/>
    <w:rsid w:val="00A936BA"/>
    <w:rsid w:val="00A937D9"/>
    <w:rsid w:val="00A94201"/>
    <w:rsid w:val="00A9441A"/>
    <w:rsid w:val="00A94C84"/>
    <w:rsid w:val="00A9509A"/>
    <w:rsid w:val="00A95272"/>
    <w:rsid w:val="00A95275"/>
    <w:rsid w:val="00A955A7"/>
    <w:rsid w:val="00A9572A"/>
    <w:rsid w:val="00A958FC"/>
    <w:rsid w:val="00A95A01"/>
    <w:rsid w:val="00A95A03"/>
    <w:rsid w:val="00A95AFA"/>
    <w:rsid w:val="00A95BBA"/>
    <w:rsid w:val="00A95D62"/>
    <w:rsid w:val="00A964F2"/>
    <w:rsid w:val="00A96662"/>
    <w:rsid w:val="00A96B34"/>
    <w:rsid w:val="00A97139"/>
    <w:rsid w:val="00A97F7C"/>
    <w:rsid w:val="00AA01EA"/>
    <w:rsid w:val="00AA02B2"/>
    <w:rsid w:val="00AA06D4"/>
    <w:rsid w:val="00AA07A3"/>
    <w:rsid w:val="00AA0825"/>
    <w:rsid w:val="00AA0D36"/>
    <w:rsid w:val="00AA0D7F"/>
    <w:rsid w:val="00AA15AF"/>
    <w:rsid w:val="00AA1A51"/>
    <w:rsid w:val="00AA1D11"/>
    <w:rsid w:val="00AA1FA9"/>
    <w:rsid w:val="00AA2150"/>
    <w:rsid w:val="00AA237E"/>
    <w:rsid w:val="00AA28AA"/>
    <w:rsid w:val="00AA2AB9"/>
    <w:rsid w:val="00AA2E94"/>
    <w:rsid w:val="00AA3544"/>
    <w:rsid w:val="00AA3E40"/>
    <w:rsid w:val="00AA41FC"/>
    <w:rsid w:val="00AA4512"/>
    <w:rsid w:val="00AA4A95"/>
    <w:rsid w:val="00AA4CE8"/>
    <w:rsid w:val="00AA5052"/>
    <w:rsid w:val="00AA59FB"/>
    <w:rsid w:val="00AA6013"/>
    <w:rsid w:val="00AA6037"/>
    <w:rsid w:val="00AA61A8"/>
    <w:rsid w:val="00AA639B"/>
    <w:rsid w:val="00AA63F0"/>
    <w:rsid w:val="00AA717D"/>
    <w:rsid w:val="00AA731A"/>
    <w:rsid w:val="00AA7538"/>
    <w:rsid w:val="00AA7772"/>
    <w:rsid w:val="00AA7837"/>
    <w:rsid w:val="00AA78F2"/>
    <w:rsid w:val="00AA79D3"/>
    <w:rsid w:val="00AA79FA"/>
    <w:rsid w:val="00AA7E72"/>
    <w:rsid w:val="00AB00B9"/>
    <w:rsid w:val="00AB050B"/>
    <w:rsid w:val="00AB058C"/>
    <w:rsid w:val="00AB0950"/>
    <w:rsid w:val="00AB0973"/>
    <w:rsid w:val="00AB0BEE"/>
    <w:rsid w:val="00AB10CB"/>
    <w:rsid w:val="00AB120C"/>
    <w:rsid w:val="00AB14F1"/>
    <w:rsid w:val="00AB15DC"/>
    <w:rsid w:val="00AB195C"/>
    <w:rsid w:val="00AB1B20"/>
    <w:rsid w:val="00AB1C5B"/>
    <w:rsid w:val="00AB1E27"/>
    <w:rsid w:val="00AB230B"/>
    <w:rsid w:val="00AB2518"/>
    <w:rsid w:val="00AB2C55"/>
    <w:rsid w:val="00AB2D12"/>
    <w:rsid w:val="00AB2E48"/>
    <w:rsid w:val="00AB32C8"/>
    <w:rsid w:val="00AB350E"/>
    <w:rsid w:val="00AB3735"/>
    <w:rsid w:val="00AB4475"/>
    <w:rsid w:val="00AB48C2"/>
    <w:rsid w:val="00AB4913"/>
    <w:rsid w:val="00AB4AB9"/>
    <w:rsid w:val="00AB5479"/>
    <w:rsid w:val="00AB55F2"/>
    <w:rsid w:val="00AB5F29"/>
    <w:rsid w:val="00AB5FFD"/>
    <w:rsid w:val="00AB61E5"/>
    <w:rsid w:val="00AB6808"/>
    <w:rsid w:val="00AB6C4F"/>
    <w:rsid w:val="00AB6EA3"/>
    <w:rsid w:val="00AB6F58"/>
    <w:rsid w:val="00AB71C9"/>
    <w:rsid w:val="00AB76C9"/>
    <w:rsid w:val="00AB78AE"/>
    <w:rsid w:val="00AC0175"/>
    <w:rsid w:val="00AC059E"/>
    <w:rsid w:val="00AC07B7"/>
    <w:rsid w:val="00AC0922"/>
    <w:rsid w:val="00AC0F5B"/>
    <w:rsid w:val="00AC10DF"/>
    <w:rsid w:val="00AC1509"/>
    <w:rsid w:val="00AC16FB"/>
    <w:rsid w:val="00AC175B"/>
    <w:rsid w:val="00AC2137"/>
    <w:rsid w:val="00AC2331"/>
    <w:rsid w:val="00AC2DC6"/>
    <w:rsid w:val="00AC2F86"/>
    <w:rsid w:val="00AC3132"/>
    <w:rsid w:val="00AC3703"/>
    <w:rsid w:val="00AC3E04"/>
    <w:rsid w:val="00AC4464"/>
    <w:rsid w:val="00AC473C"/>
    <w:rsid w:val="00AC4780"/>
    <w:rsid w:val="00AC4793"/>
    <w:rsid w:val="00AC4CAF"/>
    <w:rsid w:val="00AC4E81"/>
    <w:rsid w:val="00AC5033"/>
    <w:rsid w:val="00AC51F4"/>
    <w:rsid w:val="00AC54B4"/>
    <w:rsid w:val="00AC5539"/>
    <w:rsid w:val="00AC573C"/>
    <w:rsid w:val="00AC606D"/>
    <w:rsid w:val="00AC62E0"/>
    <w:rsid w:val="00AC643D"/>
    <w:rsid w:val="00AC6C0F"/>
    <w:rsid w:val="00AC6D0E"/>
    <w:rsid w:val="00AC7026"/>
    <w:rsid w:val="00AC7420"/>
    <w:rsid w:val="00AC7718"/>
    <w:rsid w:val="00AC78E7"/>
    <w:rsid w:val="00AC7ABD"/>
    <w:rsid w:val="00AC7B93"/>
    <w:rsid w:val="00AC7C59"/>
    <w:rsid w:val="00AD0061"/>
    <w:rsid w:val="00AD05AB"/>
    <w:rsid w:val="00AD06A2"/>
    <w:rsid w:val="00AD0756"/>
    <w:rsid w:val="00AD0BE6"/>
    <w:rsid w:val="00AD0CDC"/>
    <w:rsid w:val="00AD0EAC"/>
    <w:rsid w:val="00AD1098"/>
    <w:rsid w:val="00AD10BB"/>
    <w:rsid w:val="00AD1222"/>
    <w:rsid w:val="00AD147C"/>
    <w:rsid w:val="00AD17E8"/>
    <w:rsid w:val="00AD1E3F"/>
    <w:rsid w:val="00AD1FA2"/>
    <w:rsid w:val="00AD2014"/>
    <w:rsid w:val="00AD20D0"/>
    <w:rsid w:val="00AD237E"/>
    <w:rsid w:val="00AD246D"/>
    <w:rsid w:val="00AD2607"/>
    <w:rsid w:val="00AD271C"/>
    <w:rsid w:val="00AD274A"/>
    <w:rsid w:val="00AD2A3A"/>
    <w:rsid w:val="00AD2B3F"/>
    <w:rsid w:val="00AD2F81"/>
    <w:rsid w:val="00AD3145"/>
    <w:rsid w:val="00AD33FC"/>
    <w:rsid w:val="00AD349E"/>
    <w:rsid w:val="00AD371B"/>
    <w:rsid w:val="00AD37D5"/>
    <w:rsid w:val="00AD4094"/>
    <w:rsid w:val="00AD431C"/>
    <w:rsid w:val="00AD44D7"/>
    <w:rsid w:val="00AD45C0"/>
    <w:rsid w:val="00AD465D"/>
    <w:rsid w:val="00AD4816"/>
    <w:rsid w:val="00AD4C36"/>
    <w:rsid w:val="00AD4DC5"/>
    <w:rsid w:val="00AD4F06"/>
    <w:rsid w:val="00AD5365"/>
    <w:rsid w:val="00AD5748"/>
    <w:rsid w:val="00AD5869"/>
    <w:rsid w:val="00AD586D"/>
    <w:rsid w:val="00AD660D"/>
    <w:rsid w:val="00AD6A48"/>
    <w:rsid w:val="00AD6E52"/>
    <w:rsid w:val="00AD6FA8"/>
    <w:rsid w:val="00AD6FC5"/>
    <w:rsid w:val="00AD7018"/>
    <w:rsid w:val="00AD70BB"/>
    <w:rsid w:val="00AD72EF"/>
    <w:rsid w:val="00AD73F5"/>
    <w:rsid w:val="00AD77F8"/>
    <w:rsid w:val="00AD7D9E"/>
    <w:rsid w:val="00AE0165"/>
    <w:rsid w:val="00AE0212"/>
    <w:rsid w:val="00AE029D"/>
    <w:rsid w:val="00AE0565"/>
    <w:rsid w:val="00AE0C05"/>
    <w:rsid w:val="00AE0CF2"/>
    <w:rsid w:val="00AE0DDD"/>
    <w:rsid w:val="00AE1585"/>
    <w:rsid w:val="00AE18DF"/>
    <w:rsid w:val="00AE1A59"/>
    <w:rsid w:val="00AE1E41"/>
    <w:rsid w:val="00AE1EC1"/>
    <w:rsid w:val="00AE26F8"/>
    <w:rsid w:val="00AE2EC4"/>
    <w:rsid w:val="00AE2EFF"/>
    <w:rsid w:val="00AE309C"/>
    <w:rsid w:val="00AE3330"/>
    <w:rsid w:val="00AE3398"/>
    <w:rsid w:val="00AE339F"/>
    <w:rsid w:val="00AE3906"/>
    <w:rsid w:val="00AE43BE"/>
    <w:rsid w:val="00AE4741"/>
    <w:rsid w:val="00AE49EE"/>
    <w:rsid w:val="00AE5168"/>
    <w:rsid w:val="00AE526B"/>
    <w:rsid w:val="00AE5287"/>
    <w:rsid w:val="00AE5425"/>
    <w:rsid w:val="00AE5682"/>
    <w:rsid w:val="00AE582F"/>
    <w:rsid w:val="00AE5B0A"/>
    <w:rsid w:val="00AE5F0A"/>
    <w:rsid w:val="00AE5F0F"/>
    <w:rsid w:val="00AE5FD0"/>
    <w:rsid w:val="00AE6282"/>
    <w:rsid w:val="00AE62E7"/>
    <w:rsid w:val="00AE638E"/>
    <w:rsid w:val="00AE656B"/>
    <w:rsid w:val="00AE6A6C"/>
    <w:rsid w:val="00AE6A97"/>
    <w:rsid w:val="00AE6EFA"/>
    <w:rsid w:val="00AE7074"/>
    <w:rsid w:val="00AE794D"/>
    <w:rsid w:val="00AE7FCA"/>
    <w:rsid w:val="00AE7FF2"/>
    <w:rsid w:val="00AF03E4"/>
    <w:rsid w:val="00AF0495"/>
    <w:rsid w:val="00AF0786"/>
    <w:rsid w:val="00AF1000"/>
    <w:rsid w:val="00AF11C8"/>
    <w:rsid w:val="00AF1B64"/>
    <w:rsid w:val="00AF1DB7"/>
    <w:rsid w:val="00AF2053"/>
    <w:rsid w:val="00AF2314"/>
    <w:rsid w:val="00AF2988"/>
    <w:rsid w:val="00AF2E2B"/>
    <w:rsid w:val="00AF2F98"/>
    <w:rsid w:val="00AF30CA"/>
    <w:rsid w:val="00AF3422"/>
    <w:rsid w:val="00AF346A"/>
    <w:rsid w:val="00AF352C"/>
    <w:rsid w:val="00AF3613"/>
    <w:rsid w:val="00AF365E"/>
    <w:rsid w:val="00AF3ACF"/>
    <w:rsid w:val="00AF3C89"/>
    <w:rsid w:val="00AF4A1D"/>
    <w:rsid w:val="00AF4A62"/>
    <w:rsid w:val="00AF5054"/>
    <w:rsid w:val="00AF513E"/>
    <w:rsid w:val="00AF52D2"/>
    <w:rsid w:val="00AF533B"/>
    <w:rsid w:val="00AF5387"/>
    <w:rsid w:val="00AF5588"/>
    <w:rsid w:val="00AF5970"/>
    <w:rsid w:val="00AF5BB5"/>
    <w:rsid w:val="00AF5E50"/>
    <w:rsid w:val="00AF61C5"/>
    <w:rsid w:val="00AF62E8"/>
    <w:rsid w:val="00AF63BE"/>
    <w:rsid w:val="00AF6564"/>
    <w:rsid w:val="00AF65BA"/>
    <w:rsid w:val="00AF6631"/>
    <w:rsid w:val="00AF6778"/>
    <w:rsid w:val="00AF69B2"/>
    <w:rsid w:val="00AF69F3"/>
    <w:rsid w:val="00AF6A0B"/>
    <w:rsid w:val="00AF6A4B"/>
    <w:rsid w:val="00AF6ACE"/>
    <w:rsid w:val="00AF6BAB"/>
    <w:rsid w:val="00AF6C90"/>
    <w:rsid w:val="00AF71E3"/>
    <w:rsid w:val="00AF72EE"/>
    <w:rsid w:val="00AF7367"/>
    <w:rsid w:val="00AF7583"/>
    <w:rsid w:val="00AF78B7"/>
    <w:rsid w:val="00AF78F7"/>
    <w:rsid w:val="00AF79A0"/>
    <w:rsid w:val="00AF7B35"/>
    <w:rsid w:val="00AF7F60"/>
    <w:rsid w:val="00B000FB"/>
    <w:rsid w:val="00B0073C"/>
    <w:rsid w:val="00B009BA"/>
    <w:rsid w:val="00B00EAA"/>
    <w:rsid w:val="00B00F89"/>
    <w:rsid w:val="00B00FA1"/>
    <w:rsid w:val="00B01254"/>
    <w:rsid w:val="00B019B0"/>
    <w:rsid w:val="00B01BE0"/>
    <w:rsid w:val="00B02215"/>
    <w:rsid w:val="00B02437"/>
    <w:rsid w:val="00B02941"/>
    <w:rsid w:val="00B02A64"/>
    <w:rsid w:val="00B034CD"/>
    <w:rsid w:val="00B03DBE"/>
    <w:rsid w:val="00B03EB7"/>
    <w:rsid w:val="00B03EF6"/>
    <w:rsid w:val="00B0455B"/>
    <w:rsid w:val="00B04A19"/>
    <w:rsid w:val="00B04A60"/>
    <w:rsid w:val="00B04EDC"/>
    <w:rsid w:val="00B04F4B"/>
    <w:rsid w:val="00B05AD8"/>
    <w:rsid w:val="00B05EE3"/>
    <w:rsid w:val="00B0607F"/>
    <w:rsid w:val="00B061C3"/>
    <w:rsid w:val="00B069AC"/>
    <w:rsid w:val="00B06D9D"/>
    <w:rsid w:val="00B0715F"/>
    <w:rsid w:val="00B071AB"/>
    <w:rsid w:val="00B07530"/>
    <w:rsid w:val="00B07E92"/>
    <w:rsid w:val="00B105AD"/>
    <w:rsid w:val="00B10A82"/>
    <w:rsid w:val="00B10A8B"/>
    <w:rsid w:val="00B10CF2"/>
    <w:rsid w:val="00B10E88"/>
    <w:rsid w:val="00B10F5E"/>
    <w:rsid w:val="00B114F1"/>
    <w:rsid w:val="00B11C07"/>
    <w:rsid w:val="00B11EBB"/>
    <w:rsid w:val="00B11F93"/>
    <w:rsid w:val="00B122CD"/>
    <w:rsid w:val="00B12473"/>
    <w:rsid w:val="00B12497"/>
    <w:rsid w:val="00B124CC"/>
    <w:rsid w:val="00B1258F"/>
    <w:rsid w:val="00B12650"/>
    <w:rsid w:val="00B1273F"/>
    <w:rsid w:val="00B12A05"/>
    <w:rsid w:val="00B12C88"/>
    <w:rsid w:val="00B12D05"/>
    <w:rsid w:val="00B12EE8"/>
    <w:rsid w:val="00B131BD"/>
    <w:rsid w:val="00B1350F"/>
    <w:rsid w:val="00B13B92"/>
    <w:rsid w:val="00B13CB1"/>
    <w:rsid w:val="00B13D9A"/>
    <w:rsid w:val="00B14139"/>
    <w:rsid w:val="00B14254"/>
    <w:rsid w:val="00B14B33"/>
    <w:rsid w:val="00B14D5C"/>
    <w:rsid w:val="00B14D7C"/>
    <w:rsid w:val="00B15111"/>
    <w:rsid w:val="00B153F0"/>
    <w:rsid w:val="00B15445"/>
    <w:rsid w:val="00B15777"/>
    <w:rsid w:val="00B1597F"/>
    <w:rsid w:val="00B15A7A"/>
    <w:rsid w:val="00B15D68"/>
    <w:rsid w:val="00B161AC"/>
    <w:rsid w:val="00B16216"/>
    <w:rsid w:val="00B1641A"/>
    <w:rsid w:val="00B167A3"/>
    <w:rsid w:val="00B16807"/>
    <w:rsid w:val="00B175F2"/>
    <w:rsid w:val="00B17684"/>
    <w:rsid w:val="00B178ED"/>
    <w:rsid w:val="00B179F8"/>
    <w:rsid w:val="00B17AF6"/>
    <w:rsid w:val="00B17C01"/>
    <w:rsid w:val="00B20529"/>
    <w:rsid w:val="00B20569"/>
    <w:rsid w:val="00B20771"/>
    <w:rsid w:val="00B20786"/>
    <w:rsid w:val="00B208E9"/>
    <w:rsid w:val="00B20E42"/>
    <w:rsid w:val="00B20EE9"/>
    <w:rsid w:val="00B210EF"/>
    <w:rsid w:val="00B2135A"/>
    <w:rsid w:val="00B216F4"/>
    <w:rsid w:val="00B218B8"/>
    <w:rsid w:val="00B2193F"/>
    <w:rsid w:val="00B21BB6"/>
    <w:rsid w:val="00B21E3B"/>
    <w:rsid w:val="00B22180"/>
    <w:rsid w:val="00B22259"/>
    <w:rsid w:val="00B22272"/>
    <w:rsid w:val="00B2234D"/>
    <w:rsid w:val="00B22526"/>
    <w:rsid w:val="00B22848"/>
    <w:rsid w:val="00B2297B"/>
    <w:rsid w:val="00B22C2E"/>
    <w:rsid w:val="00B22D6D"/>
    <w:rsid w:val="00B22EDF"/>
    <w:rsid w:val="00B22F91"/>
    <w:rsid w:val="00B2317D"/>
    <w:rsid w:val="00B231CC"/>
    <w:rsid w:val="00B233E1"/>
    <w:rsid w:val="00B23D83"/>
    <w:rsid w:val="00B23E2C"/>
    <w:rsid w:val="00B24153"/>
    <w:rsid w:val="00B243B5"/>
    <w:rsid w:val="00B245A0"/>
    <w:rsid w:val="00B247D9"/>
    <w:rsid w:val="00B248A9"/>
    <w:rsid w:val="00B24B17"/>
    <w:rsid w:val="00B24DAE"/>
    <w:rsid w:val="00B24E0F"/>
    <w:rsid w:val="00B25418"/>
    <w:rsid w:val="00B25530"/>
    <w:rsid w:val="00B25974"/>
    <w:rsid w:val="00B25A9D"/>
    <w:rsid w:val="00B262B3"/>
    <w:rsid w:val="00B266EB"/>
    <w:rsid w:val="00B269BE"/>
    <w:rsid w:val="00B26E54"/>
    <w:rsid w:val="00B2716D"/>
    <w:rsid w:val="00B273CB"/>
    <w:rsid w:val="00B275DF"/>
    <w:rsid w:val="00B27691"/>
    <w:rsid w:val="00B27CE6"/>
    <w:rsid w:val="00B27F73"/>
    <w:rsid w:val="00B3006A"/>
    <w:rsid w:val="00B3009D"/>
    <w:rsid w:val="00B30925"/>
    <w:rsid w:val="00B30C1D"/>
    <w:rsid w:val="00B30CAF"/>
    <w:rsid w:val="00B30D2B"/>
    <w:rsid w:val="00B3137E"/>
    <w:rsid w:val="00B31534"/>
    <w:rsid w:val="00B31706"/>
    <w:rsid w:val="00B3198C"/>
    <w:rsid w:val="00B32175"/>
    <w:rsid w:val="00B323AE"/>
    <w:rsid w:val="00B3243B"/>
    <w:rsid w:val="00B32776"/>
    <w:rsid w:val="00B3293E"/>
    <w:rsid w:val="00B32E2E"/>
    <w:rsid w:val="00B331B9"/>
    <w:rsid w:val="00B338C5"/>
    <w:rsid w:val="00B338D1"/>
    <w:rsid w:val="00B33E53"/>
    <w:rsid w:val="00B34533"/>
    <w:rsid w:val="00B346B4"/>
    <w:rsid w:val="00B34911"/>
    <w:rsid w:val="00B34995"/>
    <w:rsid w:val="00B34D79"/>
    <w:rsid w:val="00B3510F"/>
    <w:rsid w:val="00B35316"/>
    <w:rsid w:val="00B3600C"/>
    <w:rsid w:val="00B36266"/>
    <w:rsid w:val="00B36633"/>
    <w:rsid w:val="00B36823"/>
    <w:rsid w:val="00B3689B"/>
    <w:rsid w:val="00B3694A"/>
    <w:rsid w:val="00B36955"/>
    <w:rsid w:val="00B37183"/>
    <w:rsid w:val="00B37404"/>
    <w:rsid w:val="00B37628"/>
    <w:rsid w:val="00B37D03"/>
    <w:rsid w:val="00B37E77"/>
    <w:rsid w:val="00B40404"/>
    <w:rsid w:val="00B40707"/>
    <w:rsid w:val="00B40A0D"/>
    <w:rsid w:val="00B4155C"/>
    <w:rsid w:val="00B41699"/>
    <w:rsid w:val="00B42076"/>
    <w:rsid w:val="00B42C97"/>
    <w:rsid w:val="00B42CEC"/>
    <w:rsid w:val="00B42E2C"/>
    <w:rsid w:val="00B437F3"/>
    <w:rsid w:val="00B43CE5"/>
    <w:rsid w:val="00B44246"/>
    <w:rsid w:val="00B442B4"/>
    <w:rsid w:val="00B445BD"/>
    <w:rsid w:val="00B447D7"/>
    <w:rsid w:val="00B4482D"/>
    <w:rsid w:val="00B44A9A"/>
    <w:rsid w:val="00B44C05"/>
    <w:rsid w:val="00B451F5"/>
    <w:rsid w:val="00B45425"/>
    <w:rsid w:val="00B4545D"/>
    <w:rsid w:val="00B45953"/>
    <w:rsid w:val="00B460B0"/>
    <w:rsid w:val="00B46EE4"/>
    <w:rsid w:val="00B4706D"/>
    <w:rsid w:val="00B47337"/>
    <w:rsid w:val="00B47771"/>
    <w:rsid w:val="00B47883"/>
    <w:rsid w:val="00B47A3F"/>
    <w:rsid w:val="00B47E46"/>
    <w:rsid w:val="00B5077F"/>
    <w:rsid w:val="00B507CB"/>
    <w:rsid w:val="00B5083C"/>
    <w:rsid w:val="00B5088A"/>
    <w:rsid w:val="00B509AF"/>
    <w:rsid w:val="00B509DC"/>
    <w:rsid w:val="00B50A6B"/>
    <w:rsid w:val="00B50BB9"/>
    <w:rsid w:val="00B50D4E"/>
    <w:rsid w:val="00B510A4"/>
    <w:rsid w:val="00B51163"/>
    <w:rsid w:val="00B5151B"/>
    <w:rsid w:val="00B51653"/>
    <w:rsid w:val="00B51DCA"/>
    <w:rsid w:val="00B52123"/>
    <w:rsid w:val="00B52457"/>
    <w:rsid w:val="00B52910"/>
    <w:rsid w:val="00B52BFF"/>
    <w:rsid w:val="00B52D81"/>
    <w:rsid w:val="00B52EA6"/>
    <w:rsid w:val="00B530AE"/>
    <w:rsid w:val="00B5326C"/>
    <w:rsid w:val="00B537F7"/>
    <w:rsid w:val="00B53870"/>
    <w:rsid w:val="00B53BEE"/>
    <w:rsid w:val="00B53F7A"/>
    <w:rsid w:val="00B5438F"/>
    <w:rsid w:val="00B544A5"/>
    <w:rsid w:val="00B545A2"/>
    <w:rsid w:val="00B549A4"/>
    <w:rsid w:val="00B54ABE"/>
    <w:rsid w:val="00B54BCA"/>
    <w:rsid w:val="00B553F4"/>
    <w:rsid w:val="00B555A2"/>
    <w:rsid w:val="00B5561C"/>
    <w:rsid w:val="00B5562C"/>
    <w:rsid w:val="00B55761"/>
    <w:rsid w:val="00B55ECA"/>
    <w:rsid w:val="00B5636D"/>
    <w:rsid w:val="00B56B1E"/>
    <w:rsid w:val="00B56B3F"/>
    <w:rsid w:val="00B574F0"/>
    <w:rsid w:val="00B57B43"/>
    <w:rsid w:val="00B57D2B"/>
    <w:rsid w:val="00B57EE2"/>
    <w:rsid w:val="00B57F18"/>
    <w:rsid w:val="00B57FD3"/>
    <w:rsid w:val="00B603F0"/>
    <w:rsid w:val="00B60533"/>
    <w:rsid w:val="00B605B6"/>
    <w:rsid w:val="00B607DB"/>
    <w:rsid w:val="00B6090D"/>
    <w:rsid w:val="00B60D07"/>
    <w:rsid w:val="00B61592"/>
    <w:rsid w:val="00B61628"/>
    <w:rsid w:val="00B61753"/>
    <w:rsid w:val="00B617C4"/>
    <w:rsid w:val="00B6185E"/>
    <w:rsid w:val="00B61D2D"/>
    <w:rsid w:val="00B62155"/>
    <w:rsid w:val="00B62491"/>
    <w:rsid w:val="00B62A2F"/>
    <w:rsid w:val="00B6319D"/>
    <w:rsid w:val="00B6384F"/>
    <w:rsid w:val="00B63E34"/>
    <w:rsid w:val="00B63E65"/>
    <w:rsid w:val="00B641AF"/>
    <w:rsid w:val="00B64507"/>
    <w:rsid w:val="00B64CFE"/>
    <w:rsid w:val="00B64D63"/>
    <w:rsid w:val="00B6522C"/>
    <w:rsid w:val="00B65723"/>
    <w:rsid w:val="00B657D2"/>
    <w:rsid w:val="00B65803"/>
    <w:rsid w:val="00B662F8"/>
    <w:rsid w:val="00B668C1"/>
    <w:rsid w:val="00B66BE9"/>
    <w:rsid w:val="00B66D5D"/>
    <w:rsid w:val="00B66DFA"/>
    <w:rsid w:val="00B67328"/>
    <w:rsid w:val="00B67755"/>
    <w:rsid w:val="00B67B98"/>
    <w:rsid w:val="00B67BFE"/>
    <w:rsid w:val="00B67D49"/>
    <w:rsid w:val="00B67EC6"/>
    <w:rsid w:val="00B7032B"/>
    <w:rsid w:val="00B705C1"/>
    <w:rsid w:val="00B706B1"/>
    <w:rsid w:val="00B70719"/>
    <w:rsid w:val="00B7075B"/>
    <w:rsid w:val="00B70D06"/>
    <w:rsid w:val="00B70F96"/>
    <w:rsid w:val="00B70F9A"/>
    <w:rsid w:val="00B7124E"/>
    <w:rsid w:val="00B7142C"/>
    <w:rsid w:val="00B715C2"/>
    <w:rsid w:val="00B71616"/>
    <w:rsid w:val="00B717EF"/>
    <w:rsid w:val="00B719C0"/>
    <w:rsid w:val="00B71A92"/>
    <w:rsid w:val="00B71C38"/>
    <w:rsid w:val="00B71CB3"/>
    <w:rsid w:val="00B72345"/>
    <w:rsid w:val="00B72615"/>
    <w:rsid w:val="00B7270F"/>
    <w:rsid w:val="00B72A1A"/>
    <w:rsid w:val="00B73019"/>
    <w:rsid w:val="00B731BB"/>
    <w:rsid w:val="00B734A3"/>
    <w:rsid w:val="00B73529"/>
    <w:rsid w:val="00B73553"/>
    <w:rsid w:val="00B7362D"/>
    <w:rsid w:val="00B73791"/>
    <w:rsid w:val="00B739E5"/>
    <w:rsid w:val="00B73E13"/>
    <w:rsid w:val="00B73E59"/>
    <w:rsid w:val="00B73F88"/>
    <w:rsid w:val="00B74661"/>
    <w:rsid w:val="00B74918"/>
    <w:rsid w:val="00B74BF4"/>
    <w:rsid w:val="00B74F87"/>
    <w:rsid w:val="00B752D4"/>
    <w:rsid w:val="00B755EB"/>
    <w:rsid w:val="00B75792"/>
    <w:rsid w:val="00B757FF"/>
    <w:rsid w:val="00B759DE"/>
    <w:rsid w:val="00B759E4"/>
    <w:rsid w:val="00B75AA9"/>
    <w:rsid w:val="00B7675D"/>
    <w:rsid w:val="00B76A90"/>
    <w:rsid w:val="00B76BDD"/>
    <w:rsid w:val="00B76BEC"/>
    <w:rsid w:val="00B76CE5"/>
    <w:rsid w:val="00B76D3F"/>
    <w:rsid w:val="00B76FED"/>
    <w:rsid w:val="00B77441"/>
    <w:rsid w:val="00B775D4"/>
    <w:rsid w:val="00B77856"/>
    <w:rsid w:val="00B77966"/>
    <w:rsid w:val="00B779B1"/>
    <w:rsid w:val="00B77C62"/>
    <w:rsid w:val="00B77D4F"/>
    <w:rsid w:val="00B805A2"/>
    <w:rsid w:val="00B8079F"/>
    <w:rsid w:val="00B808AE"/>
    <w:rsid w:val="00B80E06"/>
    <w:rsid w:val="00B80EF0"/>
    <w:rsid w:val="00B80FD2"/>
    <w:rsid w:val="00B81053"/>
    <w:rsid w:val="00B81259"/>
    <w:rsid w:val="00B8140A"/>
    <w:rsid w:val="00B81757"/>
    <w:rsid w:val="00B8198D"/>
    <w:rsid w:val="00B81D3B"/>
    <w:rsid w:val="00B820E8"/>
    <w:rsid w:val="00B827F2"/>
    <w:rsid w:val="00B82F34"/>
    <w:rsid w:val="00B83398"/>
    <w:rsid w:val="00B8363E"/>
    <w:rsid w:val="00B836D9"/>
    <w:rsid w:val="00B83D56"/>
    <w:rsid w:val="00B84367"/>
    <w:rsid w:val="00B843CF"/>
    <w:rsid w:val="00B844BD"/>
    <w:rsid w:val="00B84745"/>
    <w:rsid w:val="00B84DA2"/>
    <w:rsid w:val="00B85062"/>
    <w:rsid w:val="00B85269"/>
    <w:rsid w:val="00B854DF"/>
    <w:rsid w:val="00B85913"/>
    <w:rsid w:val="00B85950"/>
    <w:rsid w:val="00B859E7"/>
    <w:rsid w:val="00B85AEB"/>
    <w:rsid w:val="00B85C33"/>
    <w:rsid w:val="00B85F8D"/>
    <w:rsid w:val="00B85FBE"/>
    <w:rsid w:val="00B861D2"/>
    <w:rsid w:val="00B866E0"/>
    <w:rsid w:val="00B86751"/>
    <w:rsid w:val="00B86847"/>
    <w:rsid w:val="00B86A54"/>
    <w:rsid w:val="00B871C9"/>
    <w:rsid w:val="00B873B5"/>
    <w:rsid w:val="00B876D3"/>
    <w:rsid w:val="00B87C01"/>
    <w:rsid w:val="00B87CA0"/>
    <w:rsid w:val="00B90142"/>
    <w:rsid w:val="00B901AE"/>
    <w:rsid w:val="00B90244"/>
    <w:rsid w:val="00B90689"/>
    <w:rsid w:val="00B906B3"/>
    <w:rsid w:val="00B906EA"/>
    <w:rsid w:val="00B90FED"/>
    <w:rsid w:val="00B91619"/>
    <w:rsid w:val="00B916C7"/>
    <w:rsid w:val="00B92043"/>
    <w:rsid w:val="00B92145"/>
    <w:rsid w:val="00B92708"/>
    <w:rsid w:val="00B927FE"/>
    <w:rsid w:val="00B92815"/>
    <w:rsid w:val="00B92952"/>
    <w:rsid w:val="00B92F53"/>
    <w:rsid w:val="00B934FD"/>
    <w:rsid w:val="00B93FB7"/>
    <w:rsid w:val="00B94412"/>
    <w:rsid w:val="00B94E7F"/>
    <w:rsid w:val="00B95554"/>
    <w:rsid w:val="00B9577A"/>
    <w:rsid w:val="00B95826"/>
    <w:rsid w:val="00B958FC"/>
    <w:rsid w:val="00B95A75"/>
    <w:rsid w:val="00B95F8D"/>
    <w:rsid w:val="00B962BA"/>
    <w:rsid w:val="00B96314"/>
    <w:rsid w:val="00B9646D"/>
    <w:rsid w:val="00B96688"/>
    <w:rsid w:val="00B96768"/>
    <w:rsid w:val="00B96ABE"/>
    <w:rsid w:val="00B96B17"/>
    <w:rsid w:val="00B96D64"/>
    <w:rsid w:val="00B96EE1"/>
    <w:rsid w:val="00B977A8"/>
    <w:rsid w:val="00B97973"/>
    <w:rsid w:val="00B979C4"/>
    <w:rsid w:val="00B97A7C"/>
    <w:rsid w:val="00B97AD1"/>
    <w:rsid w:val="00B97DB4"/>
    <w:rsid w:val="00BA08B2"/>
    <w:rsid w:val="00BA0D19"/>
    <w:rsid w:val="00BA0DBF"/>
    <w:rsid w:val="00BA0E0B"/>
    <w:rsid w:val="00BA0F46"/>
    <w:rsid w:val="00BA12F3"/>
    <w:rsid w:val="00BA1806"/>
    <w:rsid w:val="00BA1C30"/>
    <w:rsid w:val="00BA1D1F"/>
    <w:rsid w:val="00BA23FF"/>
    <w:rsid w:val="00BA24BE"/>
    <w:rsid w:val="00BA2772"/>
    <w:rsid w:val="00BA27C2"/>
    <w:rsid w:val="00BA2B52"/>
    <w:rsid w:val="00BA2CE3"/>
    <w:rsid w:val="00BA2F7E"/>
    <w:rsid w:val="00BA321E"/>
    <w:rsid w:val="00BA3A7C"/>
    <w:rsid w:val="00BA3BCA"/>
    <w:rsid w:val="00BA3DA5"/>
    <w:rsid w:val="00BA49CA"/>
    <w:rsid w:val="00BA4AEF"/>
    <w:rsid w:val="00BA4D1F"/>
    <w:rsid w:val="00BA5109"/>
    <w:rsid w:val="00BA5A83"/>
    <w:rsid w:val="00BA5E69"/>
    <w:rsid w:val="00BA5F8F"/>
    <w:rsid w:val="00BA64CB"/>
    <w:rsid w:val="00BA6751"/>
    <w:rsid w:val="00BA67C4"/>
    <w:rsid w:val="00BA69A3"/>
    <w:rsid w:val="00BA70CF"/>
    <w:rsid w:val="00BA712E"/>
    <w:rsid w:val="00BA721D"/>
    <w:rsid w:val="00BA7DE4"/>
    <w:rsid w:val="00BB08E7"/>
    <w:rsid w:val="00BB0B0B"/>
    <w:rsid w:val="00BB0F59"/>
    <w:rsid w:val="00BB11E8"/>
    <w:rsid w:val="00BB135A"/>
    <w:rsid w:val="00BB139B"/>
    <w:rsid w:val="00BB19EE"/>
    <w:rsid w:val="00BB1C3F"/>
    <w:rsid w:val="00BB1D15"/>
    <w:rsid w:val="00BB28E2"/>
    <w:rsid w:val="00BB2A37"/>
    <w:rsid w:val="00BB2A79"/>
    <w:rsid w:val="00BB2AAF"/>
    <w:rsid w:val="00BB2B84"/>
    <w:rsid w:val="00BB33C1"/>
    <w:rsid w:val="00BB3C51"/>
    <w:rsid w:val="00BB3E01"/>
    <w:rsid w:val="00BB4070"/>
    <w:rsid w:val="00BB4095"/>
    <w:rsid w:val="00BB4322"/>
    <w:rsid w:val="00BB43F1"/>
    <w:rsid w:val="00BB4715"/>
    <w:rsid w:val="00BB49D9"/>
    <w:rsid w:val="00BB5CC4"/>
    <w:rsid w:val="00BB5E94"/>
    <w:rsid w:val="00BB63A5"/>
    <w:rsid w:val="00BB68B3"/>
    <w:rsid w:val="00BB7060"/>
    <w:rsid w:val="00BB721D"/>
    <w:rsid w:val="00BB7260"/>
    <w:rsid w:val="00BB7E11"/>
    <w:rsid w:val="00BC00D7"/>
    <w:rsid w:val="00BC0241"/>
    <w:rsid w:val="00BC02DD"/>
    <w:rsid w:val="00BC034A"/>
    <w:rsid w:val="00BC0398"/>
    <w:rsid w:val="00BC039C"/>
    <w:rsid w:val="00BC05B1"/>
    <w:rsid w:val="00BC066D"/>
    <w:rsid w:val="00BC06A2"/>
    <w:rsid w:val="00BC0914"/>
    <w:rsid w:val="00BC099B"/>
    <w:rsid w:val="00BC0B1A"/>
    <w:rsid w:val="00BC0BA4"/>
    <w:rsid w:val="00BC0C9D"/>
    <w:rsid w:val="00BC0F8E"/>
    <w:rsid w:val="00BC1113"/>
    <w:rsid w:val="00BC1181"/>
    <w:rsid w:val="00BC124F"/>
    <w:rsid w:val="00BC140E"/>
    <w:rsid w:val="00BC15B7"/>
    <w:rsid w:val="00BC2031"/>
    <w:rsid w:val="00BC20C1"/>
    <w:rsid w:val="00BC2251"/>
    <w:rsid w:val="00BC2432"/>
    <w:rsid w:val="00BC2742"/>
    <w:rsid w:val="00BC2C09"/>
    <w:rsid w:val="00BC2E44"/>
    <w:rsid w:val="00BC3171"/>
    <w:rsid w:val="00BC34FD"/>
    <w:rsid w:val="00BC385B"/>
    <w:rsid w:val="00BC39B4"/>
    <w:rsid w:val="00BC3CD7"/>
    <w:rsid w:val="00BC3F4E"/>
    <w:rsid w:val="00BC4B8E"/>
    <w:rsid w:val="00BC50B0"/>
    <w:rsid w:val="00BC51B8"/>
    <w:rsid w:val="00BC53B3"/>
    <w:rsid w:val="00BC541D"/>
    <w:rsid w:val="00BC54AB"/>
    <w:rsid w:val="00BC5653"/>
    <w:rsid w:val="00BC5DCB"/>
    <w:rsid w:val="00BC5E41"/>
    <w:rsid w:val="00BC5E4F"/>
    <w:rsid w:val="00BC5F82"/>
    <w:rsid w:val="00BC6208"/>
    <w:rsid w:val="00BC63E3"/>
    <w:rsid w:val="00BC6482"/>
    <w:rsid w:val="00BC691F"/>
    <w:rsid w:val="00BC6BF1"/>
    <w:rsid w:val="00BC6FFA"/>
    <w:rsid w:val="00BC7426"/>
    <w:rsid w:val="00BC7727"/>
    <w:rsid w:val="00BC7B31"/>
    <w:rsid w:val="00BD0176"/>
    <w:rsid w:val="00BD0495"/>
    <w:rsid w:val="00BD06FF"/>
    <w:rsid w:val="00BD0812"/>
    <w:rsid w:val="00BD08BB"/>
    <w:rsid w:val="00BD199A"/>
    <w:rsid w:val="00BD1EFC"/>
    <w:rsid w:val="00BD202B"/>
    <w:rsid w:val="00BD2082"/>
    <w:rsid w:val="00BD27F7"/>
    <w:rsid w:val="00BD31A5"/>
    <w:rsid w:val="00BD328E"/>
    <w:rsid w:val="00BD380C"/>
    <w:rsid w:val="00BD3A22"/>
    <w:rsid w:val="00BD3B9D"/>
    <w:rsid w:val="00BD3C8E"/>
    <w:rsid w:val="00BD3E99"/>
    <w:rsid w:val="00BD462B"/>
    <w:rsid w:val="00BD4867"/>
    <w:rsid w:val="00BD4BEE"/>
    <w:rsid w:val="00BD4CA3"/>
    <w:rsid w:val="00BD50A2"/>
    <w:rsid w:val="00BD5F54"/>
    <w:rsid w:val="00BD6822"/>
    <w:rsid w:val="00BD684E"/>
    <w:rsid w:val="00BD6A7A"/>
    <w:rsid w:val="00BD7087"/>
    <w:rsid w:val="00BD759E"/>
    <w:rsid w:val="00BD7663"/>
    <w:rsid w:val="00BD7C2F"/>
    <w:rsid w:val="00BE0021"/>
    <w:rsid w:val="00BE02DB"/>
    <w:rsid w:val="00BE0CA4"/>
    <w:rsid w:val="00BE0D3D"/>
    <w:rsid w:val="00BE0F88"/>
    <w:rsid w:val="00BE1414"/>
    <w:rsid w:val="00BE182D"/>
    <w:rsid w:val="00BE1925"/>
    <w:rsid w:val="00BE1A0B"/>
    <w:rsid w:val="00BE1C19"/>
    <w:rsid w:val="00BE20F3"/>
    <w:rsid w:val="00BE28E0"/>
    <w:rsid w:val="00BE2B2C"/>
    <w:rsid w:val="00BE2DB0"/>
    <w:rsid w:val="00BE3840"/>
    <w:rsid w:val="00BE399F"/>
    <w:rsid w:val="00BE3E28"/>
    <w:rsid w:val="00BE4184"/>
    <w:rsid w:val="00BE41BC"/>
    <w:rsid w:val="00BE44AD"/>
    <w:rsid w:val="00BE48B2"/>
    <w:rsid w:val="00BE4AFE"/>
    <w:rsid w:val="00BE4D5A"/>
    <w:rsid w:val="00BE4F54"/>
    <w:rsid w:val="00BE50E0"/>
    <w:rsid w:val="00BE5264"/>
    <w:rsid w:val="00BE55DD"/>
    <w:rsid w:val="00BE5C11"/>
    <w:rsid w:val="00BE5D68"/>
    <w:rsid w:val="00BE66A0"/>
    <w:rsid w:val="00BE677E"/>
    <w:rsid w:val="00BE6C83"/>
    <w:rsid w:val="00BE6DB1"/>
    <w:rsid w:val="00BE7117"/>
    <w:rsid w:val="00BE741A"/>
    <w:rsid w:val="00BE7799"/>
    <w:rsid w:val="00BE789D"/>
    <w:rsid w:val="00BE792B"/>
    <w:rsid w:val="00BE7E20"/>
    <w:rsid w:val="00BF005F"/>
    <w:rsid w:val="00BF07D2"/>
    <w:rsid w:val="00BF0811"/>
    <w:rsid w:val="00BF0B13"/>
    <w:rsid w:val="00BF0F47"/>
    <w:rsid w:val="00BF12FB"/>
    <w:rsid w:val="00BF1797"/>
    <w:rsid w:val="00BF1BB3"/>
    <w:rsid w:val="00BF21FA"/>
    <w:rsid w:val="00BF234F"/>
    <w:rsid w:val="00BF28F7"/>
    <w:rsid w:val="00BF2BE2"/>
    <w:rsid w:val="00BF3161"/>
    <w:rsid w:val="00BF31A0"/>
    <w:rsid w:val="00BF32FE"/>
    <w:rsid w:val="00BF3576"/>
    <w:rsid w:val="00BF360B"/>
    <w:rsid w:val="00BF38C1"/>
    <w:rsid w:val="00BF3A82"/>
    <w:rsid w:val="00BF3DD3"/>
    <w:rsid w:val="00BF3E67"/>
    <w:rsid w:val="00BF4276"/>
    <w:rsid w:val="00BF496D"/>
    <w:rsid w:val="00BF4B8D"/>
    <w:rsid w:val="00BF4F0B"/>
    <w:rsid w:val="00BF5164"/>
    <w:rsid w:val="00BF546B"/>
    <w:rsid w:val="00BF567A"/>
    <w:rsid w:val="00BF589F"/>
    <w:rsid w:val="00BF5D05"/>
    <w:rsid w:val="00BF5F69"/>
    <w:rsid w:val="00BF6E63"/>
    <w:rsid w:val="00BF6F20"/>
    <w:rsid w:val="00BF6F26"/>
    <w:rsid w:val="00BF745E"/>
    <w:rsid w:val="00BF7DBB"/>
    <w:rsid w:val="00C000E5"/>
    <w:rsid w:val="00C00496"/>
    <w:rsid w:val="00C0097B"/>
    <w:rsid w:val="00C00D03"/>
    <w:rsid w:val="00C0124B"/>
    <w:rsid w:val="00C012AE"/>
    <w:rsid w:val="00C013EA"/>
    <w:rsid w:val="00C0173C"/>
    <w:rsid w:val="00C017F6"/>
    <w:rsid w:val="00C01DB8"/>
    <w:rsid w:val="00C021E0"/>
    <w:rsid w:val="00C024CF"/>
    <w:rsid w:val="00C02717"/>
    <w:rsid w:val="00C027D0"/>
    <w:rsid w:val="00C030BF"/>
    <w:rsid w:val="00C030C2"/>
    <w:rsid w:val="00C031A6"/>
    <w:rsid w:val="00C03491"/>
    <w:rsid w:val="00C03559"/>
    <w:rsid w:val="00C03953"/>
    <w:rsid w:val="00C03C2A"/>
    <w:rsid w:val="00C03EBD"/>
    <w:rsid w:val="00C03F00"/>
    <w:rsid w:val="00C04671"/>
    <w:rsid w:val="00C04B79"/>
    <w:rsid w:val="00C04C24"/>
    <w:rsid w:val="00C04CAC"/>
    <w:rsid w:val="00C04DD4"/>
    <w:rsid w:val="00C04E09"/>
    <w:rsid w:val="00C051E3"/>
    <w:rsid w:val="00C05453"/>
    <w:rsid w:val="00C05639"/>
    <w:rsid w:val="00C060CA"/>
    <w:rsid w:val="00C063AA"/>
    <w:rsid w:val="00C063C1"/>
    <w:rsid w:val="00C06930"/>
    <w:rsid w:val="00C06C35"/>
    <w:rsid w:val="00C06CB0"/>
    <w:rsid w:val="00C06ED2"/>
    <w:rsid w:val="00C07230"/>
    <w:rsid w:val="00C072D4"/>
    <w:rsid w:val="00C07502"/>
    <w:rsid w:val="00C0750B"/>
    <w:rsid w:val="00C0756B"/>
    <w:rsid w:val="00C07713"/>
    <w:rsid w:val="00C079B1"/>
    <w:rsid w:val="00C07E44"/>
    <w:rsid w:val="00C07F5D"/>
    <w:rsid w:val="00C10392"/>
    <w:rsid w:val="00C103E4"/>
    <w:rsid w:val="00C106AB"/>
    <w:rsid w:val="00C10822"/>
    <w:rsid w:val="00C1090E"/>
    <w:rsid w:val="00C1093D"/>
    <w:rsid w:val="00C10BEB"/>
    <w:rsid w:val="00C10DBB"/>
    <w:rsid w:val="00C10EB6"/>
    <w:rsid w:val="00C10F13"/>
    <w:rsid w:val="00C110F4"/>
    <w:rsid w:val="00C11164"/>
    <w:rsid w:val="00C11317"/>
    <w:rsid w:val="00C115CF"/>
    <w:rsid w:val="00C12226"/>
    <w:rsid w:val="00C12D5F"/>
    <w:rsid w:val="00C136DE"/>
    <w:rsid w:val="00C138DD"/>
    <w:rsid w:val="00C140D1"/>
    <w:rsid w:val="00C1440B"/>
    <w:rsid w:val="00C14422"/>
    <w:rsid w:val="00C148C1"/>
    <w:rsid w:val="00C14E21"/>
    <w:rsid w:val="00C14F3F"/>
    <w:rsid w:val="00C1544E"/>
    <w:rsid w:val="00C15A7F"/>
    <w:rsid w:val="00C15AEB"/>
    <w:rsid w:val="00C1618B"/>
    <w:rsid w:val="00C16607"/>
    <w:rsid w:val="00C16893"/>
    <w:rsid w:val="00C16911"/>
    <w:rsid w:val="00C17270"/>
    <w:rsid w:val="00C17571"/>
    <w:rsid w:val="00C175E4"/>
    <w:rsid w:val="00C17849"/>
    <w:rsid w:val="00C179E0"/>
    <w:rsid w:val="00C200CA"/>
    <w:rsid w:val="00C202B8"/>
    <w:rsid w:val="00C2033B"/>
    <w:rsid w:val="00C20785"/>
    <w:rsid w:val="00C20A5B"/>
    <w:rsid w:val="00C20ED8"/>
    <w:rsid w:val="00C20F3B"/>
    <w:rsid w:val="00C21228"/>
    <w:rsid w:val="00C21303"/>
    <w:rsid w:val="00C21441"/>
    <w:rsid w:val="00C214A6"/>
    <w:rsid w:val="00C21BA8"/>
    <w:rsid w:val="00C21C8A"/>
    <w:rsid w:val="00C21D16"/>
    <w:rsid w:val="00C21EB7"/>
    <w:rsid w:val="00C22135"/>
    <w:rsid w:val="00C222D9"/>
    <w:rsid w:val="00C228BE"/>
    <w:rsid w:val="00C229E8"/>
    <w:rsid w:val="00C22BCB"/>
    <w:rsid w:val="00C22E99"/>
    <w:rsid w:val="00C22F20"/>
    <w:rsid w:val="00C23065"/>
    <w:rsid w:val="00C2346A"/>
    <w:rsid w:val="00C23787"/>
    <w:rsid w:val="00C23E3F"/>
    <w:rsid w:val="00C2450C"/>
    <w:rsid w:val="00C24E31"/>
    <w:rsid w:val="00C24FA8"/>
    <w:rsid w:val="00C25060"/>
    <w:rsid w:val="00C251DF"/>
    <w:rsid w:val="00C25C8B"/>
    <w:rsid w:val="00C25E1C"/>
    <w:rsid w:val="00C25E8D"/>
    <w:rsid w:val="00C26709"/>
    <w:rsid w:val="00C269C2"/>
    <w:rsid w:val="00C26C52"/>
    <w:rsid w:val="00C26D0C"/>
    <w:rsid w:val="00C271B2"/>
    <w:rsid w:val="00C271C1"/>
    <w:rsid w:val="00C277F2"/>
    <w:rsid w:val="00C27B55"/>
    <w:rsid w:val="00C27BE4"/>
    <w:rsid w:val="00C27CC7"/>
    <w:rsid w:val="00C302EE"/>
    <w:rsid w:val="00C30A2D"/>
    <w:rsid w:val="00C30C93"/>
    <w:rsid w:val="00C30D99"/>
    <w:rsid w:val="00C3103B"/>
    <w:rsid w:val="00C315A9"/>
    <w:rsid w:val="00C31C41"/>
    <w:rsid w:val="00C31CFF"/>
    <w:rsid w:val="00C32496"/>
    <w:rsid w:val="00C325AF"/>
    <w:rsid w:val="00C329C8"/>
    <w:rsid w:val="00C32ABA"/>
    <w:rsid w:val="00C32D34"/>
    <w:rsid w:val="00C32D8E"/>
    <w:rsid w:val="00C3349A"/>
    <w:rsid w:val="00C334FD"/>
    <w:rsid w:val="00C3374F"/>
    <w:rsid w:val="00C33875"/>
    <w:rsid w:val="00C33BDF"/>
    <w:rsid w:val="00C33FB9"/>
    <w:rsid w:val="00C3412F"/>
    <w:rsid w:val="00C341F0"/>
    <w:rsid w:val="00C34307"/>
    <w:rsid w:val="00C343FF"/>
    <w:rsid w:val="00C34591"/>
    <w:rsid w:val="00C34CC1"/>
    <w:rsid w:val="00C34CF1"/>
    <w:rsid w:val="00C350E7"/>
    <w:rsid w:val="00C3554C"/>
    <w:rsid w:val="00C35824"/>
    <w:rsid w:val="00C35921"/>
    <w:rsid w:val="00C3595A"/>
    <w:rsid w:val="00C35DD3"/>
    <w:rsid w:val="00C362DF"/>
    <w:rsid w:val="00C364DC"/>
    <w:rsid w:val="00C36C64"/>
    <w:rsid w:val="00C36D69"/>
    <w:rsid w:val="00C372A5"/>
    <w:rsid w:val="00C37413"/>
    <w:rsid w:val="00C374A5"/>
    <w:rsid w:val="00C374C4"/>
    <w:rsid w:val="00C375A9"/>
    <w:rsid w:val="00C3779B"/>
    <w:rsid w:val="00C3795B"/>
    <w:rsid w:val="00C37C22"/>
    <w:rsid w:val="00C4004E"/>
    <w:rsid w:val="00C400FD"/>
    <w:rsid w:val="00C403FD"/>
    <w:rsid w:val="00C404B1"/>
    <w:rsid w:val="00C40661"/>
    <w:rsid w:val="00C40A8B"/>
    <w:rsid w:val="00C40B4B"/>
    <w:rsid w:val="00C40F49"/>
    <w:rsid w:val="00C41030"/>
    <w:rsid w:val="00C410DE"/>
    <w:rsid w:val="00C411A2"/>
    <w:rsid w:val="00C41376"/>
    <w:rsid w:val="00C41456"/>
    <w:rsid w:val="00C4191D"/>
    <w:rsid w:val="00C41948"/>
    <w:rsid w:val="00C41FB0"/>
    <w:rsid w:val="00C42050"/>
    <w:rsid w:val="00C420A1"/>
    <w:rsid w:val="00C4212E"/>
    <w:rsid w:val="00C42553"/>
    <w:rsid w:val="00C42DD1"/>
    <w:rsid w:val="00C42E0C"/>
    <w:rsid w:val="00C42FC6"/>
    <w:rsid w:val="00C43335"/>
    <w:rsid w:val="00C4334D"/>
    <w:rsid w:val="00C43385"/>
    <w:rsid w:val="00C43552"/>
    <w:rsid w:val="00C4369D"/>
    <w:rsid w:val="00C43BF2"/>
    <w:rsid w:val="00C4438F"/>
    <w:rsid w:val="00C444D9"/>
    <w:rsid w:val="00C44568"/>
    <w:rsid w:val="00C44C8C"/>
    <w:rsid w:val="00C454BE"/>
    <w:rsid w:val="00C45A9D"/>
    <w:rsid w:val="00C45D28"/>
    <w:rsid w:val="00C460B8"/>
    <w:rsid w:val="00C46201"/>
    <w:rsid w:val="00C462DC"/>
    <w:rsid w:val="00C465BE"/>
    <w:rsid w:val="00C4668A"/>
    <w:rsid w:val="00C46A74"/>
    <w:rsid w:val="00C46EE6"/>
    <w:rsid w:val="00C46FA4"/>
    <w:rsid w:val="00C476ED"/>
    <w:rsid w:val="00C477E2"/>
    <w:rsid w:val="00C478B3"/>
    <w:rsid w:val="00C47B1F"/>
    <w:rsid w:val="00C47B2B"/>
    <w:rsid w:val="00C50326"/>
    <w:rsid w:val="00C505CD"/>
    <w:rsid w:val="00C5067C"/>
    <w:rsid w:val="00C50AAD"/>
    <w:rsid w:val="00C50B28"/>
    <w:rsid w:val="00C50DD3"/>
    <w:rsid w:val="00C50FE6"/>
    <w:rsid w:val="00C515A3"/>
    <w:rsid w:val="00C51621"/>
    <w:rsid w:val="00C516F2"/>
    <w:rsid w:val="00C517E9"/>
    <w:rsid w:val="00C51EF6"/>
    <w:rsid w:val="00C525CB"/>
    <w:rsid w:val="00C528AE"/>
    <w:rsid w:val="00C5318E"/>
    <w:rsid w:val="00C5327F"/>
    <w:rsid w:val="00C53D33"/>
    <w:rsid w:val="00C53D67"/>
    <w:rsid w:val="00C53EAD"/>
    <w:rsid w:val="00C53F9D"/>
    <w:rsid w:val="00C54172"/>
    <w:rsid w:val="00C54344"/>
    <w:rsid w:val="00C5465F"/>
    <w:rsid w:val="00C548B5"/>
    <w:rsid w:val="00C54AA8"/>
    <w:rsid w:val="00C54E7B"/>
    <w:rsid w:val="00C5525D"/>
    <w:rsid w:val="00C5599D"/>
    <w:rsid w:val="00C560B0"/>
    <w:rsid w:val="00C56423"/>
    <w:rsid w:val="00C56A07"/>
    <w:rsid w:val="00C56A13"/>
    <w:rsid w:val="00C56A22"/>
    <w:rsid w:val="00C56B3D"/>
    <w:rsid w:val="00C56C0E"/>
    <w:rsid w:val="00C56C12"/>
    <w:rsid w:val="00C572F0"/>
    <w:rsid w:val="00C574DE"/>
    <w:rsid w:val="00C57DC3"/>
    <w:rsid w:val="00C57EB1"/>
    <w:rsid w:val="00C57FC9"/>
    <w:rsid w:val="00C600B2"/>
    <w:rsid w:val="00C60DB4"/>
    <w:rsid w:val="00C60EFF"/>
    <w:rsid w:val="00C6103D"/>
    <w:rsid w:val="00C612FA"/>
    <w:rsid w:val="00C6152B"/>
    <w:rsid w:val="00C61678"/>
    <w:rsid w:val="00C61DC9"/>
    <w:rsid w:val="00C6201C"/>
    <w:rsid w:val="00C622B3"/>
    <w:rsid w:val="00C62467"/>
    <w:rsid w:val="00C6271B"/>
    <w:rsid w:val="00C6285E"/>
    <w:rsid w:val="00C629B4"/>
    <w:rsid w:val="00C63456"/>
    <w:rsid w:val="00C63F49"/>
    <w:rsid w:val="00C641AE"/>
    <w:rsid w:val="00C64477"/>
    <w:rsid w:val="00C64752"/>
    <w:rsid w:val="00C64D48"/>
    <w:rsid w:val="00C65376"/>
    <w:rsid w:val="00C656B4"/>
    <w:rsid w:val="00C659E6"/>
    <w:rsid w:val="00C65D12"/>
    <w:rsid w:val="00C65E03"/>
    <w:rsid w:val="00C65E95"/>
    <w:rsid w:val="00C65F31"/>
    <w:rsid w:val="00C66122"/>
    <w:rsid w:val="00C66679"/>
    <w:rsid w:val="00C66AF3"/>
    <w:rsid w:val="00C66C11"/>
    <w:rsid w:val="00C66D51"/>
    <w:rsid w:val="00C66E5F"/>
    <w:rsid w:val="00C6735F"/>
    <w:rsid w:val="00C674D9"/>
    <w:rsid w:val="00C67A8C"/>
    <w:rsid w:val="00C67C5C"/>
    <w:rsid w:val="00C67E06"/>
    <w:rsid w:val="00C7006A"/>
    <w:rsid w:val="00C7040F"/>
    <w:rsid w:val="00C70924"/>
    <w:rsid w:val="00C709DA"/>
    <w:rsid w:val="00C70D31"/>
    <w:rsid w:val="00C71292"/>
    <w:rsid w:val="00C7136C"/>
    <w:rsid w:val="00C7156C"/>
    <w:rsid w:val="00C71A7A"/>
    <w:rsid w:val="00C71C08"/>
    <w:rsid w:val="00C71E4C"/>
    <w:rsid w:val="00C71FEE"/>
    <w:rsid w:val="00C72135"/>
    <w:rsid w:val="00C72301"/>
    <w:rsid w:val="00C72437"/>
    <w:rsid w:val="00C72650"/>
    <w:rsid w:val="00C727D6"/>
    <w:rsid w:val="00C72851"/>
    <w:rsid w:val="00C7287C"/>
    <w:rsid w:val="00C73374"/>
    <w:rsid w:val="00C737F9"/>
    <w:rsid w:val="00C74498"/>
    <w:rsid w:val="00C74583"/>
    <w:rsid w:val="00C74773"/>
    <w:rsid w:val="00C747F9"/>
    <w:rsid w:val="00C748C7"/>
    <w:rsid w:val="00C74C67"/>
    <w:rsid w:val="00C7508D"/>
    <w:rsid w:val="00C75170"/>
    <w:rsid w:val="00C752B3"/>
    <w:rsid w:val="00C7532B"/>
    <w:rsid w:val="00C758E4"/>
    <w:rsid w:val="00C75932"/>
    <w:rsid w:val="00C75983"/>
    <w:rsid w:val="00C761BC"/>
    <w:rsid w:val="00C76245"/>
    <w:rsid w:val="00C766B1"/>
    <w:rsid w:val="00C7686C"/>
    <w:rsid w:val="00C76BE9"/>
    <w:rsid w:val="00C76DB1"/>
    <w:rsid w:val="00C771D8"/>
    <w:rsid w:val="00C77640"/>
    <w:rsid w:val="00C77A28"/>
    <w:rsid w:val="00C77A5D"/>
    <w:rsid w:val="00C77AAB"/>
    <w:rsid w:val="00C802E7"/>
    <w:rsid w:val="00C80417"/>
    <w:rsid w:val="00C805C2"/>
    <w:rsid w:val="00C805F3"/>
    <w:rsid w:val="00C806B3"/>
    <w:rsid w:val="00C80B3D"/>
    <w:rsid w:val="00C812D5"/>
    <w:rsid w:val="00C81619"/>
    <w:rsid w:val="00C816A9"/>
    <w:rsid w:val="00C81769"/>
    <w:rsid w:val="00C81866"/>
    <w:rsid w:val="00C818E0"/>
    <w:rsid w:val="00C81B09"/>
    <w:rsid w:val="00C81C9E"/>
    <w:rsid w:val="00C820AD"/>
    <w:rsid w:val="00C822EA"/>
    <w:rsid w:val="00C824DF"/>
    <w:rsid w:val="00C8292D"/>
    <w:rsid w:val="00C82A12"/>
    <w:rsid w:val="00C82A38"/>
    <w:rsid w:val="00C82BC7"/>
    <w:rsid w:val="00C82C30"/>
    <w:rsid w:val="00C82C96"/>
    <w:rsid w:val="00C82D07"/>
    <w:rsid w:val="00C82D26"/>
    <w:rsid w:val="00C82E93"/>
    <w:rsid w:val="00C8319D"/>
    <w:rsid w:val="00C831C0"/>
    <w:rsid w:val="00C8392E"/>
    <w:rsid w:val="00C83AD4"/>
    <w:rsid w:val="00C83C0B"/>
    <w:rsid w:val="00C83C1E"/>
    <w:rsid w:val="00C83F5C"/>
    <w:rsid w:val="00C840B1"/>
    <w:rsid w:val="00C845DD"/>
    <w:rsid w:val="00C84AE0"/>
    <w:rsid w:val="00C84B05"/>
    <w:rsid w:val="00C8559F"/>
    <w:rsid w:val="00C858E8"/>
    <w:rsid w:val="00C85ACF"/>
    <w:rsid w:val="00C85AF8"/>
    <w:rsid w:val="00C85EDE"/>
    <w:rsid w:val="00C85F46"/>
    <w:rsid w:val="00C8607D"/>
    <w:rsid w:val="00C86448"/>
    <w:rsid w:val="00C86F7A"/>
    <w:rsid w:val="00C871BE"/>
    <w:rsid w:val="00C872BC"/>
    <w:rsid w:val="00C874BB"/>
    <w:rsid w:val="00C87646"/>
    <w:rsid w:val="00C877FC"/>
    <w:rsid w:val="00C878F8"/>
    <w:rsid w:val="00C90006"/>
    <w:rsid w:val="00C901C7"/>
    <w:rsid w:val="00C902B2"/>
    <w:rsid w:val="00C90524"/>
    <w:rsid w:val="00C9075C"/>
    <w:rsid w:val="00C90A32"/>
    <w:rsid w:val="00C90B53"/>
    <w:rsid w:val="00C90B7A"/>
    <w:rsid w:val="00C9111F"/>
    <w:rsid w:val="00C9164A"/>
    <w:rsid w:val="00C917BF"/>
    <w:rsid w:val="00C918BF"/>
    <w:rsid w:val="00C92076"/>
    <w:rsid w:val="00C920D1"/>
    <w:rsid w:val="00C9218C"/>
    <w:rsid w:val="00C92256"/>
    <w:rsid w:val="00C9244F"/>
    <w:rsid w:val="00C9260B"/>
    <w:rsid w:val="00C92613"/>
    <w:rsid w:val="00C92659"/>
    <w:rsid w:val="00C92666"/>
    <w:rsid w:val="00C9284B"/>
    <w:rsid w:val="00C92E9A"/>
    <w:rsid w:val="00C93007"/>
    <w:rsid w:val="00C93126"/>
    <w:rsid w:val="00C93393"/>
    <w:rsid w:val="00C9340E"/>
    <w:rsid w:val="00C934B3"/>
    <w:rsid w:val="00C93701"/>
    <w:rsid w:val="00C93789"/>
    <w:rsid w:val="00C937C7"/>
    <w:rsid w:val="00C939D3"/>
    <w:rsid w:val="00C93C26"/>
    <w:rsid w:val="00C93DBC"/>
    <w:rsid w:val="00C9467A"/>
    <w:rsid w:val="00C94D1C"/>
    <w:rsid w:val="00C94E49"/>
    <w:rsid w:val="00C951A1"/>
    <w:rsid w:val="00C95483"/>
    <w:rsid w:val="00C954A1"/>
    <w:rsid w:val="00C95911"/>
    <w:rsid w:val="00C959F8"/>
    <w:rsid w:val="00C965C2"/>
    <w:rsid w:val="00C96AC0"/>
    <w:rsid w:val="00C96ADA"/>
    <w:rsid w:val="00C96EF7"/>
    <w:rsid w:val="00C97195"/>
    <w:rsid w:val="00C97335"/>
    <w:rsid w:val="00C9751D"/>
    <w:rsid w:val="00C97704"/>
    <w:rsid w:val="00C979D8"/>
    <w:rsid w:val="00C97BBA"/>
    <w:rsid w:val="00CA01C4"/>
    <w:rsid w:val="00CA0260"/>
    <w:rsid w:val="00CA030A"/>
    <w:rsid w:val="00CA03B2"/>
    <w:rsid w:val="00CA1E1B"/>
    <w:rsid w:val="00CA1E87"/>
    <w:rsid w:val="00CA2E73"/>
    <w:rsid w:val="00CA36D0"/>
    <w:rsid w:val="00CA36DB"/>
    <w:rsid w:val="00CA37D0"/>
    <w:rsid w:val="00CA4647"/>
    <w:rsid w:val="00CA4A9B"/>
    <w:rsid w:val="00CA4B88"/>
    <w:rsid w:val="00CA4E7D"/>
    <w:rsid w:val="00CA5076"/>
    <w:rsid w:val="00CA5347"/>
    <w:rsid w:val="00CA5462"/>
    <w:rsid w:val="00CA5654"/>
    <w:rsid w:val="00CA5659"/>
    <w:rsid w:val="00CA575B"/>
    <w:rsid w:val="00CA5BBC"/>
    <w:rsid w:val="00CA5C41"/>
    <w:rsid w:val="00CA5D4C"/>
    <w:rsid w:val="00CA5DE6"/>
    <w:rsid w:val="00CA61B8"/>
    <w:rsid w:val="00CA639C"/>
    <w:rsid w:val="00CA6563"/>
    <w:rsid w:val="00CA6565"/>
    <w:rsid w:val="00CA66AE"/>
    <w:rsid w:val="00CA6780"/>
    <w:rsid w:val="00CA6C6F"/>
    <w:rsid w:val="00CA6F55"/>
    <w:rsid w:val="00CA71EE"/>
    <w:rsid w:val="00CA7348"/>
    <w:rsid w:val="00CA7772"/>
    <w:rsid w:val="00CA7893"/>
    <w:rsid w:val="00CA7B88"/>
    <w:rsid w:val="00CB00F4"/>
    <w:rsid w:val="00CB0346"/>
    <w:rsid w:val="00CB07F5"/>
    <w:rsid w:val="00CB0A69"/>
    <w:rsid w:val="00CB0F78"/>
    <w:rsid w:val="00CB1315"/>
    <w:rsid w:val="00CB13C5"/>
    <w:rsid w:val="00CB1609"/>
    <w:rsid w:val="00CB177B"/>
    <w:rsid w:val="00CB1790"/>
    <w:rsid w:val="00CB182F"/>
    <w:rsid w:val="00CB1B4F"/>
    <w:rsid w:val="00CB2928"/>
    <w:rsid w:val="00CB2AD8"/>
    <w:rsid w:val="00CB33AD"/>
    <w:rsid w:val="00CB35F9"/>
    <w:rsid w:val="00CB39E6"/>
    <w:rsid w:val="00CB3AD5"/>
    <w:rsid w:val="00CB3CC9"/>
    <w:rsid w:val="00CB3DA9"/>
    <w:rsid w:val="00CB4010"/>
    <w:rsid w:val="00CB4241"/>
    <w:rsid w:val="00CB45AF"/>
    <w:rsid w:val="00CB4701"/>
    <w:rsid w:val="00CB4DDA"/>
    <w:rsid w:val="00CB4E8B"/>
    <w:rsid w:val="00CB4EA2"/>
    <w:rsid w:val="00CB521C"/>
    <w:rsid w:val="00CB5BA2"/>
    <w:rsid w:val="00CB5DDC"/>
    <w:rsid w:val="00CB625E"/>
    <w:rsid w:val="00CB6411"/>
    <w:rsid w:val="00CB650D"/>
    <w:rsid w:val="00CB679A"/>
    <w:rsid w:val="00CB6ACF"/>
    <w:rsid w:val="00CB6CE0"/>
    <w:rsid w:val="00CB72E9"/>
    <w:rsid w:val="00CB736A"/>
    <w:rsid w:val="00CB73BE"/>
    <w:rsid w:val="00CB7401"/>
    <w:rsid w:val="00CB7842"/>
    <w:rsid w:val="00CB7A17"/>
    <w:rsid w:val="00CB7B46"/>
    <w:rsid w:val="00CB7EC3"/>
    <w:rsid w:val="00CC0202"/>
    <w:rsid w:val="00CC0A7F"/>
    <w:rsid w:val="00CC0C44"/>
    <w:rsid w:val="00CC0F1A"/>
    <w:rsid w:val="00CC1066"/>
    <w:rsid w:val="00CC1306"/>
    <w:rsid w:val="00CC131A"/>
    <w:rsid w:val="00CC1694"/>
    <w:rsid w:val="00CC1846"/>
    <w:rsid w:val="00CC1A74"/>
    <w:rsid w:val="00CC1A9C"/>
    <w:rsid w:val="00CC1DE0"/>
    <w:rsid w:val="00CC20C0"/>
    <w:rsid w:val="00CC2859"/>
    <w:rsid w:val="00CC2CFD"/>
    <w:rsid w:val="00CC2E70"/>
    <w:rsid w:val="00CC3028"/>
    <w:rsid w:val="00CC32F9"/>
    <w:rsid w:val="00CC3381"/>
    <w:rsid w:val="00CC36A8"/>
    <w:rsid w:val="00CC3753"/>
    <w:rsid w:val="00CC38CA"/>
    <w:rsid w:val="00CC3B78"/>
    <w:rsid w:val="00CC3E29"/>
    <w:rsid w:val="00CC435E"/>
    <w:rsid w:val="00CC4DBC"/>
    <w:rsid w:val="00CC55F0"/>
    <w:rsid w:val="00CC583B"/>
    <w:rsid w:val="00CC58E1"/>
    <w:rsid w:val="00CC5EE3"/>
    <w:rsid w:val="00CC6069"/>
    <w:rsid w:val="00CC64AC"/>
    <w:rsid w:val="00CC6A81"/>
    <w:rsid w:val="00CC7436"/>
    <w:rsid w:val="00CC7605"/>
    <w:rsid w:val="00CC7774"/>
    <w:rsid w:val="00CC77E1"/>
    <w:rsid w:val="00CC7913"/>
    <w:rsid w:val="00CC7A4F"/>
    <w:rsid w:val="00CC7BC2"/>
    <w:rsid w:val="00CC7E0D"/>
    <w:rsid w:val="00CD005C"/>
    <w:rsid w:val="00CD0082"/>
    <w:rsid w:val="00CD06CD"/>
    <w:rsid w:val="00CD0AAA"/>
    <w:rsid w:val="00CD0C17"/>
    <w:rsid w:val="00CD0D70"/>
    <w:rsid w:val="00CD0F81"/>
    <w:rsid w:val="00CD1053"/>
    <w:rsid w:val="00CD133C"/>
    <w:rsid w:val="00CD1451"/>
    <w:rsid w:val="00CD1534"/>
    <w:rsid w:val="00CD1552"/>
    <w:rsid w:val="00CD1C8F"/>
    <w:rsid w:val="00CD2308"/>
    <w:rsid w:val="00CD23E7"/>
    <w:rsid w:val="00CD279E"/>
    <w:rsid w:val="00CD2F8B"/>
    <w:rsid w:val="00CD318A"/>
    <w:rsid w:val="00CD32B4"/>
    <w:rsid w:val="00CD34FC"/>
    <w:rsid w:val="00CD3906"/>
    <w:rsid w:val="00CD39C8"/>
    <w:rsid w:val="00CD3BFD"/>
    <w:rsid w:val="00CD420E"/>
    <w:rsid w:val="00CD42DF"/>
    <w:rsid w:val="00CD457E"/>
    <w:rsid w:val="00CD4AE7"/>
    <w:rsid w:val="00CD4B46"/>
    <w:rsid w:val="00CD50AD"/>
    <w:rsid w:val="00CD50C8"/>
    <w:rsid w:val="00CD510A"/>
    <w:rsid w:val="00CD55D3"/>
    <w:rsid w:val="00CD5ADE"/>
    <w:rsid w:val="00CD5BAB"/>
    <w:rsid w:val="00CD5EF9"/>
    <w:rsid w:val="00CD5F07"/>
    <w:rsid w:val="00CD62C1"/>
    <w:rsid w:val="00CD6446"/>
    <w:rsid w:val="00CD66E9"/>
    <w:rsid w:val="00CD6D45"/>
    <w:rsid w:val="00CD6D9B"/>
    <w:rsid w:val="00CD723F"/>
    <w:rsid w:val="00CD729A"/>
    <w:rsid w:val="00CD73E2"/>
    <w:rsid w:val="00CD752C"/>
    <w:rsid w:val="00CD7642"/>
    <w:rsid w:val="00CD770C"/>
    <w:rsid w:val="00CD7750"/>
    <w:rsid w:val="00CD7A8E"/>
    <w:rsid w:val="00CD7CD3"/>
    <w:rsid w:val="00CD7EC1"/>
    <w:rsid w:val="00CE0134"/>
    <w:rsid w:val="00CE0412"/>
    <w:rsid w:val="00CE04BC"/>
    <w:rsid w:val="00CE0620"/>
    <w:rsid w:val="00CE0E11"/>
    <w:rsid w:val="00CE1109"/>
    <w:rsid w:val="00CE17B6"/>
    <w:rsid w:val="00CE18A5"/>
    <w:rsid w:val="00CE18F4"/>
    <w:rsid w:val="00CE1A38"/>
    <w:rsid w:val="00CE1B74"/>
    <w:rsid w:val="00CE2578"/>
    <w:rsid w:val="00CE2AC8"/>
    <w:rsid w:val="00CE2C73"/>
    <w:rsid w:val="00CE2C7B"/>
    <w:rsid w:val="00CE30D1"/>
    <w:rsid w:val="00CE3144"/>
    <w:rsid w:val="00CE34E2"/>
    <w:rsid w:val="00CE3808"/>
    <w:rsid w:val="00CE39B0"/>
    <w:rsid w:val="00CE3F1B"/>
    <w:rsid w:val="00CE403B"/>
    <w:rsid w:val="00CE453B"/>
    <w:rsid w:val="00CE49C1"/>
    <w:rsid w:val="00CE49E6"/>
    <w:rsid w:val="00CE4B26"/>
    <w:rsid w:val="00CE4CFD"/>
    <w:rsid w:val="00CE4DE2"/>
    <w:rsid w:val="00CE550B"/>
    <w:rsid w:val="00CE5714"/>
    <w:rsid w:val="00CE586D"/>
    <w:rsid w:val="00CE5BB0"/>
    <w:rsid w:val="00CE5F60"/>
    <w:rsid w:val="00CE628B"/>
    <w:rsid w:val="00CE650F"/>
    <w:rsid w:val="00CE6A79"/>
    <w:rsid w:val="00CE6CE9"/>
    <w:rsid w:val="00CE6F91"/>
    <w:rsid w:val="00CE7500"/>
    <w:rsid w:val="00CE78FA"/>
    <w:rsid w:val="00CF04DB"/>
    <w:rsid w:val="00CF0A53"/>
    <w:rsid w:val="00CF0B42"/>
    <w:rsid w:val="00CF123A"/>
    <w:rsid w:val="00CF12EB"/>
    <w:rsid w:val="00CF12F4"/>
    <w:rsid w:val="00CF1464"/>
    <w:rsid w:val="00CF194C"/>
    <w:rsid w:val="00CF19C6"/>
    <w:rsid w:val="00CF1ACF"/>
    <w:rsid w:val="00CF226F"/>
    <w:rsid w:val="00CF229F"/>
    <w:rsid w:val="00CF2993"/>
    <w:rsid w:val="00CF359D"/>
    <w:rsid w:val="00CF36E8"/>
    <w:rsid w:val="00CF3B01"/>
    <w:rsid w:val="00CF3B49"/>
    <w:rsid w:val="00CF3FEC"/>
    <w:rsid w:val="00CF4909"/>
    <w:rsid w:val="00CF49D4"/>
    <w:rsid w:val="00CF4E6A"/>
    <w:rsid w:val="00CF5659"/>
    <w:rsid w:val="00CF56F5"/>
    <w:rsid w:val="00CF5A1A"/>
    <w:rsid w:val="00CF5A62"/>
    <w:rsid w:val="00CF61AC"/>
    <w:rsid w:val="00CF621E"/>
    <w:rsid w:val="00CF64FF"/>
    <w:rsid w:val="00CF6AA7"/>
    <w:rsid w:val="00CF6C92"/>
    <w:rsid w:val="00CF6E34"/>
    <w:rsid w:val="00CF709C"/>
    <w:rsid w:val="00CF7518"/>
    <w:rsid w:val="00CF7A52"/>
    <w:rsid w:val="00CF7F7A"/>
    <w:rsid w:val="00D0015F"/>
    <w:rsid w:val="00D00777"/>
    <w:rsid w:val="00D00AF5"/>
    <w:rsid w:val="00D00DD5"/>
    <w:rsid w:val="00D00EC7"/>
    <w:rsid w:val="00D01294"/>
    <w:rsid w:val="00D01336"/>
    <w:rsid w:val="00D01393"/>
    <w:rsid w:val="00D015A9"/>
    <w:rsid w:val="00D0181E"/>
    <w:rsid w:val="00D01DA7"/>
    <w:rsid w:val="00D01E40"/>
    <w:rsid w:val="00D02355"/>
    <w:rsid w:val="00D02610"/>
    <w:rsid w:val="00D02734"/>
    <w:rsid w:val="00D02C16"/>
    <w:rsid w:val="00D02CBF"/>
    <w:rsid w:val="00D02CD4"/>
    <w:rsid w:val="00D02E6F"/>
    <w:rsid w:val="00D02F25"/>
    <w:rsid w:val="00D0331D"/>
    <w:rsid w:val="00D033AC"/>
    <w:rsid w:val="00D033CE"/>
    <w:rsid w:val="00D03463"/>
    <w:rsid w:val="00D037A7"/>
    <w:rsid w:val="00D037DF"/>
    <w:rsid w:val="00D039E3"/>
    <w:rsid w:val="00D03B74"/>
    <w:rsid w:val="00D03D1A"/>
    <w:rsid w:val="00D03F29"/>
    <w:rsid w:val="00D048E8"/>
    <w:rsid w:val="00D04B7B"/>
    <w:rsid w:val="00D04FB6"/>
    <w:rsid w:val="00D050B9"/>
    <w:rsid w:val="00D0528E"/>
    <w:rsid w:val="00D052CD"/>
    <w:rsid w:val="00D0536F"/>
    <w:rsid w:val="00D0538C"/>
    <w:rsid w:val="00D0564D"/>
    <w:rsid w:val="00D05904"/>
    <w:rsid w:val="00D059AE"/>
    <w:rsid w:val="00D059D8"/>
    <w:rsid w:val="00D05A18"/>
    <w:rsid w:val="00D05B7C"/>
    <w:rsid w:val="00D060F6"/>
    <w:rsid w:val="00D066A4"/>
    <w:rsid w:val="00D069EC"/>
    <w:rsid w:val="00D06D12"/>
    <w:rsid w:val="00D06FA7"/>
    <w:rsid w:val="00D070E5"/>
    <w:rsid w:val="00D0719F"/>
    <w:rsid w:val="00D07305"/>
    <w:rsid w:val="00D0756B"/>
    <w:rsid w:val="00D101E8"/>
    <w:rsid w:val="00D102CC"/>
    <w:rsid w:val="00D102F6"/>
    <w:rsid w:val="00D105A7"/>
    <w:rsid w:val="00D10E7A"/>
    <w:rsid w:val="00D111C2"/>
    <w:rsid w:val="00D1255F"/>
    <w:rsid w:val="00D1267C"/>
    <w:rsid w:val="00D128B1"/>
    <w:rsid w:val="00D12A8F"/>
    <w:rsid w:val="00D12E4A"/>
    <w:rsid w:val="00D12EDB"/>
    <w:rsid w:val="00D12F17"/>
    <w:rsid w:val="00D13132"/>
    <w:rsid w:val="00D13556"/>
    <w:rsid w:val="00D13FC4"/>
    <w:rsid w:val="00D14153"/>
    <w:rsid w:val="00D14283"/>
    <w:rsid w:val="00D1460F"/>
    <w:rsid w:val="00D1462F"/>
    <w:rsid w:val="00D14A81"/>
    <w:rsid w:val="00D14BE2"/>
    <w:rsid w:val="00D14DCA"/>
    <w:rsid w:val="00D14E39"/>
    <w:rsid w:val="00D15BB1"/>
    <w:rsid w:val="00D160AA"/>
    <w:rsid w:val="00D162A2"/>
    <w:rsid w:val="00D167AD"/>
    <w:rsid w:val="00D16D1E"/>
    <w:rsid w:val="00D16EDC"/>
    <w:rsid w:val="00D17293"/>
    <w:rsid w:val="00D1761F"/>
    <w:rsid w:val="00D1795B"/>
    <w:rsid w:val="00D17D82"/>
    <w:rsid w:val="00D20CD3"/>
    <w:rsid w:val="00D20F07"/>
    <w:rsid w:val="00D20FD9"/>
    <w:rsid w:val="00D210C5"/>
    <w:rsid w:val="00D211A3"/>
    <w:rsid w:val="00D21443"/>
    <w:rsid w:val="00D21646"/>
    <w:rsid w:val="00D21ACE"/>
    <w:rsid w:val="00D21C0B"/>
    <w:rsid w:val="00D222D9"/>
    <w:rsid w:val="00D22649"/>
    <w:rsid w:val="00D22A5D"/>
    <w:rsid w:val="00D22B58"/>
    <w:rsid w:val="00D22B79"/>
    <w:rsid w:val="00D22F46"/>
    <w:rsid w:val="00D231F4"/>
    <w:rsid w:val="00D23333"/>
    <w:rsid w:val="00D235E2"/>
    <w:rsid w:val="00D23612"/>
    <w:rsid w:val="00D239CB"/>
    <w:rsid w:val="00D24324"/>
    <w:rsid w:val="00D2439D"/>
    <w:rsid w:val="00D248DB"/>
    <w:rsid w:val="00D24B1F"/>
    <w:rsid w:val="00D24EDF"/>
    <w:rsid w:val="00D252C8"/>
    <w:rsid w:val="00D2545F"/>
    <w:rsid w:val="00D257D6"/>
    <w:rsid w:val="00D25CF3"/>
    <w:rsid w:val="00D25D31"/>
    <w:rsid w:val="00D25DD6"/>
    <w:rsid w:val="00D26501"/>
    <w:rsid w:val="00D2657C"/>
    <w:rsid w:val="00D26937"/>
    <w:rsid w:val="00D271B4"/>
    <w:rsid w:val="00D27211"/>
    <w:rsid w:val="00D2783B"/>
    <w:rsid w:val="00D279EB"/>
    <w:rsid w:val="00D30064"/>
    <w:rsid w:val="00D30462"/>
    <w:rsid w:val="00D304D6"/>
    <w:rsid w:val="00D30504"/>
    <w:rsid w:val="00D30772"/>
    <w:rsid w:val="00D30809"/>
    <w:rsid w:val="00D30942"/>
    <w:rsid w:val="00D311C6"/>
    <w:rsid w:val="00D311F4"/>
    <w:rsid w:val="00D31249"/>
    <w:rsid w:val="00D312D5"/>
    <w:rsid w:val="00D31B70"/>
    <w:rsid w:val="00D31F08"/>
    <w:rsid w:val="00D321C4"/>
    <w:rsid w:val="00D3222C"/>
    <w:rsid w:val="00D32CF8"/>
    <w:rsid w:val="00D32E34"/>
    <w:rsid w:val="00D32E4A"/>
    <w:rsid w:val="00D32EAB"/>
    <w:rsid w:val="00D33120"/>
    <w:rsid w:val="00D332C0"/>
    <w:rsid w:val="00D33354"/>
    <w:rsid w:val="00D333E6"/>
    <w:rsid w:val="00D334EB"/>
    <w:rsid w:val="00D33DCA"/>
    <w:rsid w:val="00D33EF8"/>
    <w:rsid w:val="00D34966"/>
    <w:rsid w:val="00D351B2"/>
    <w:rsid w:val="00D355ED"/>
    <w:rsid w:val="00D357BD"/>
    <w:rsid w:val="00D35DFF"/>
    <w:rsid w:val="00D36129"/>
    <w:rsid w:val="00D36927"/>
    <w:rsid w:val="00D369B0"/>
    <w:rsid w:val="00D36D1D"/>
    <w:rsid w:val="00D36DAB"/>
    <w:rsid w:val="00D37071"/>
    <w:rsid w:val="00D37156"/>
    <w:rsid w:val="00D37A5A"/>
    <w:rsid w:val="00D400B9"/>
    <w:rsid w:val="00D4024A"/>
    <w:rsid w:val="00D406CC"/>
    <w:rsid w:val="00D4088B"/>
    <w:rsid w:val="00D40948"/>
    <w:rsid w:val="00D40BEC"/>
    <w:rsid w:val="00D40D07"/>
    <w:rsid w:val="00D41367"/>
    <w:rsid w:val="00D416AA"/>
    <w:rsid w:val="00D42331"/>
    <w:rsid w:val="00D4256A"/>
    <w:rsid w:val="00D42651"/>
    <w:rsid w:val="00D42ACB"/>
    <w:rsid w:val="00D42B17"/>
    <w:rsid w:val="00D42BCC"/>
    <w:rsid w:val="00D42F99"/>
    <w:rsid w:val="00D43B88"/>
    <w:rsid w:val="00D43CE6"/>
    <w:rsid w:val="00D43DDC"/>
    <w:rsid w:val="00D441A6"/>
    <w:rsid w:val="00D444B9"/>
    <w:rsid w:val="00D447BC"/>
    <w:rsid w:val="00D44ABD"/>
    <w:rsid w:val="00D44C35"/>
    <w:rsid w:val="00D44E3D"/>
    <w:rsid w:val="00D44E90"/>
    <w:rsid w:val="00D450EF"/>
    <w:rsid w:val="00D45726"/>
    <w:rsid w:val="00D458F8"/>
    <w:rsid w:val="00D45D43"/>
    <w:rsid w:val="00D46103"/>
    <w:rsid w:val="00D4620C"/>
    <w:rsid w:val="00D46371"/>
    <w:rsid w:val="00D46554"/>
    <w:rsid w:val="00D46B48"/>
    <w:rsid w:val="00D472E9"/>
    <w:rsid w:val="00D473A3"/>
    <w:rsid w:val="00D473F6"/>
    <w:rsid w:val="00D47519"/>
    <w:rsid w:val="00D4757B"/>
    <w:rsid w:val="00D47DDA"/>
    <w:rsid w:val="00D5016C"/>
    <w:rsid w:val="00D50664"/>
    <w:rsid w:val="00D50A5D"/>
    <w:rsid w:val="00D5108C"/>
    <w:rsid w:val="00D5114A"/>
    <w:rsid w:val="00D512AD"/>
    <w:rsid w:val="00D5151C"/>
    <w:rsid w:val="00D51B9C"/>
    <w:rsid w:val="00D51D3A"/>
    <w:rsid w:val="00D5206B"/>
    <w:rsid w:val="00D520BD"/>
    <w:rsid w:val="00D5238D"/>
    <w:rsid w:val="00D5271A"/>
    <w:rsid w:val="00D529BA"/>
    <w:rsid w:val="00D52E31"/>
    <w:rsid w:val="00D52F24"/>
    <w:rsid w:val="00D530A1"/>
    <w:rsid w:val="00D5371B"/>
    <w:rsid w:val="00D5378C"/>
    <w:rsid w:val="00D53980"/>
    <w:rsid w:val="00D53C36"/>
    <w:rsid w:val="00D53D09"/>
    <w:rsid w:val="00D53D78"/>
    <w:rsid w:val="00D5439B"/>
    <w:rsid w:val="00D544AE"/>
    <w:rsid w:val="00D544AF"/>
    <w:rsid w:val="00D545BA"/>
    <w:rsid w:val="00D54806"/>
    <w:rsid w:val="00D54F96"/>
    <w:rsid w:val="00D55001"/>
    <w:rsid w:val="00D55125"/>
    <w:rsid w:val="00D55126"/>
    <w:rsid w:val="00D55231"/>
    <w:rsid w:val="00D55563"/>
    <w:rsid w:val="00D555DF"/>
    <w:rsid w:val="00D556BC"/>
    <w:rsid w:val="00D558BA"/>
    <w:rsid w:val="00D5594C"/>
    <w:rsid w:val="00D55BAA"/>
    <w:rsid w:val="00D55C36"/>
    <w:rsid w:val="00D55C86"/>
    <w:rsid w:val="00D55CCB"/>
    <w:rsid w:val="00D55F46"/>
    <w:rsid w:val="00D5609A"/>
    <w:rsid w:val="00D56854"/>
    <w:rsid w:val="00D5685B"/>
    <w:rsid w:val="00D56A83"/>
    <w:rsid w:val="00D56AA5"/>
    <w:rsid w:val="00D56B7E"/>
    <w:rsid w:val="00D56FAC"/>
    <w:rsid w:val="00D57918"/>
    <w:rsid w:val="00D57A17"/>
    <w:rsid w:val="00D6026C"/>
    <w:rsid w:val="00D602BD"/>
    <w:rsid w:val="00D6031B"/>
    <w:rsid w:val="00D604B5"/>
    <w:rsid w:val="00D6078C"/>
    <w:rsid w:val="00D60CD6"/>
    <w:rsid w:val="00D61055"/>
    <w:rsid w:val="00D61874"/>
    <w:rsid w:val="00D61B2D"/>
    <w:rsid w:val="00D61B4E"/>
    <w:rsid w:val="00D61C4A"/>
    <w:rsid w:val="00D620E2"/>
    <w:rsid w:val="00D6272C"/>
    <w:rsid w:val="00D62779"/>
    <w:rsid w:val="00D62833"/>
    <w:rsid w:val="00D62A0D"/>
    <w:rsid w:val="00D62F26"/>
    <w:rsid w:val="00D63019"/>
    <w:rsid w:val="00D631B3"/>
    <w:rsid w:val="00D633BF"/>
    <w:rsid w:val="00D63422"/>
    <w:rsid w:val="00D639E6"/>
    <w:rsid w:val="00D63E66"/>
    <w:rsid w:val="00D64005"/>
    <w:rsid w:val="00D643B4"/>
    <w:rsid w:val="00D64664"/>
    <w:rsid w:val="00D6489B"/>
    <w:rsid w:val="00D64D5E"/>
    <w:rsid w:val="00D64F5E"/>
    <w:rsid w:val="00D6514A"/>
    <w:rsid w:val="00D652DC"/>
    <w:rsid w:val="00D653EC"/>
    <w:rsid w:val="00D655A7"/>
    <w:rsid w:val="00D65B03"/>
    <w:rsid w:val="00D65E5D"/>
    <w:rsid w:val="00D65E87"/>
    <w:rsid w:val="00D6632A"/>
    <w:rsid w:val="00D6649C"/>
    <w:rsid w:val="00D66725"/>
    <w:rsid w:val="00D6678B"/>
    <w:rsid w:val="00D673A5"/>
    <w:rsid w:val="00D6796F"/>
    <w:rsid w:val="00D67EC8"/>
    <w:rsid w:val="00D70363"/>
    <w:rsid w:val="00D70397"/>
    <w:rsid w:val="00D70600"/>
    <w:rsid w:val="00D7078F"/>
    <w:rsid w:val="00D70996"/>
    <w:rsid w:val="00D70AAC"/>
    <w:rsid w:val="00D70D63"/>
    <w:rsid w:val="00D715A5"/>
    <w:rsid w:val="00D71DC8"/>
    <w:rsid w:val="00D71F71"/>
    <w:rsid w:val="00D72FA9"/>
    <w:rsid w:val="00D73041"/>
    <w:rsid w:val="00D73705"/>
    <w:rsid w:val="00D737F8"/>
    <w:rsid w:val="00D73843"/>
    <w:rsid w:val="00D73CB5"/>
    <w:rsid w:val="00D73F7A"/>
    <w:rsid w:val="00D741AF"/>
    <w:rsid w:val="00D742CC"/>
    <w:rsid w:val="00D74B88"/>
    <w:rsid w:val="00D74C47"/>
    <w:rsid w:val="00D75754"/>
    <w:rsid w:val="00D7591F"/>
    <w:rsid w:val="00D75E5D"/>
    <w:rsid w:val="00D75F3A"/>
    <w:rsid w:val="00D761AF"/>
    <w:rsid w:val="00D765FE"/>
    <w:rsid w:val="00D771C1"/>
    <w:rsid w:val="00D774CF"/>
    <w:rsid w:val="00D77565"/>
    <w:rsid w:val="00D77FA7"/>
    <w:rsid w:val="00D77FA8"/>
    <w:rsid w:val="00D80165"/>
    <w:rsid w:val="00D80225"/>
    <w:rsid w:val="00D8032C"/>
    <w:rsid w:val="00D80378"/>
    <w:rsid w:val="00D80678"/>
    <w:rsid w:val="00D808FB"/>
    <w:rsid w:val="00D80B74"/>
    <w:rsid w:val="00D80CD0"/>
    <w:rsid w:val="00D811BC"/>
    <w:rsid w:val="00D8143B"/>
    <w:rsid w:val="00D81535"/>
    <w:rsid w:val="00D8174D"/>
    <w:rsid w:val="00D81AFE"/>
    <w:rsid w:val="00D81CCE"/>
    <w:rsid w:val="00D81D47"/>
    <w:rsid w:val="00D820E4"/>
    <w:rsid w:val="00D821C7"/>
    <w:rsid w:val="00D821D4"/>
    <w:rsid w:val="00D82704"/>
    <w:rsid w:val="00D827C8"/>
    <w:rsid w:val="00D82966"/>
    <w:rsid w:val="00D82CE0"/>
    <w:rsid w:val="00D82DEC"/>
    <w:rsid w:val="00D831C4"/>
    <w:rsid w:val="00D83210"/>
    <w:rsid w:val="00D83319"/>
    <w:rsid w:val="00D833A3"/>
    <w:rsid w:val="00D833F6"/>
    <w:rsid w:val="00D8344D"/>
    <w:rsid w:val="00D83BE8"/>
    <w:rsid w:val="00D845D6"/>
    <w:rsid w:val="00D84729"/>
    <w:rsid w:val="00D84A19"/>
    <w:rsid w:val="00D84A74"/>
    <w:rsid w:val="00D84C8A"/>
    <w:rsid w:val="00D84CF9"/>
    <w:rsid w:val="00D84DA4"/>
    <w:rsid w:val="00D84F5A"/>
    <w:rsid w:val="00D85520"/>
    <w:rsid w:val="00D855C0"/>
    <w:rsid w:val="00D8596E"/>
    <w:rsid w:val="00D85A83"/>
    <w:rsid w:val="00D86185"/>
    <w:rsid w:val="00D86213"/>
    <w:rsid w:val="00D8681B"/>
    <w:rsid w:val="00D86B81"/>
    <w:rsid w:val="00D87469"/>
    <w:rsid w:val="00D87753"/>
    <w:rsid w:val="00D8782B"/>
    <w:rsid w:val="00D87889"/>
    <w:rsid w:val="00D87AE4"/>
    <w:rsid w:val="00D87E48"/>
    <w:rsid w:val="00D900BE"/>
    <w:rsid w:val="00D90286"/>
    <w:rsid w:val="00D90317"/>
    <w:rsid w:val="00D90534"/>
    <w:rsid w:val="00D9098D"/>
    <w:rsid w:val="00D90CC2"/>
    <w:rsid w:val="00D90CD9"/>
    <w:rsid w:val="00D91207"/>
    <w:rsid w:val="00D9131B"/>
    <w:rsid w:val="00D91443"/>
    <w:rsid w:val="00D91830"/>
    <w:rsid w:val="00D918A9"/>
    <w:rsid w:val="00D9294B"/>
    <w:rsid w:val="00D92FC3"/>
    <w:rsid w:val="00D93042"/>
    <w:rsid w:val="00D93306"/>
    <w:rsid w:val="00D934FD"/>
    <w:rsid w:val="00D93579"/>
    <w:rsid w:val="00D93BE1"/>
    <w:rsid w:val="00D93E57"/>
    <w:rsid w:val="00D94569"/>
    <w:rsid w:val="00D946BA"/>
    <w:rsid w:val="00D950B5"/>
    <w:rsid w:val="00D95136"/>
    <w:rsid w:val="00D9529D"/>
    <w:rsid w:val="00D9535D"/>
    <w:rsid w:val="00D9538D"/>
    <w:rsid w:val="00D95397"/>
    <w:rsid w:val="00D95BCB"/>
    <w:rsid w:val="00D95CA3"/>
    <w:rsid w:val="00D95DAC"/>
    <w:rsid w:val="00D95FC2"/>
    <w:rsid w:val="00D964E2"/>
    <w:rsid w:val="00D96E60"/>
    <w:rsid w:val="00D971CB"/>
    <w:rsid w:val="00D972FA"/>
    <w:rsid w:val="00D97462"/>
    <w:rsid w:val="00D97486"/>
    <w:rsid w:val="00D9796F"/>
    <w:rsid w:val="00D9798F"/>
    <w:rsid w:val="00D97D9A"/>
    <w:rsid w:val="00D97FE9"/>
    <w:rsid w:val="00DA02F0"/>
    <w:rsid w:val="00DA0352"/>
    <w:rsid w:val="00DA0715"/>
    <w:rsid w:val="00DA0CC0"/>
    <w:rsid w:val="00DA0D18"/>
    <w:rsid w:val="00DA0EE2"/>
    <w:rsid w:val="00DA10DC"/>
    <w:rsid w:val="00DA1255"/>
    <w:rsid w:val="00DA1690"/>
    <w:rsid w:val="00DA17F4"/>
    <w:rsid w:val="00DA181D"/>
    <w:rsid w:val="00DA184F"/>
    <w:rsid w:val="00DA1C63"/>
    <w:rsid w:val="00DA22F5"/>
    <w:rsid w:val="00DA24B1"/>
    <w:rsid w:val="00DA262C"/>
    <w:rsid w:val="00DA2A21"/>
    <w:rsid w:val="00DA2A7F"/>
    <w:rsid w:val="00DA2E21"/>
    <w:rsid w:val="00DA30FC"/>
    <w:rsid w:val="00DA32D5"/>
    <w:rsid w:val="00DA3A30"/>
    <w:rsid w:val="00DA3CC8"/>
    <w:rsid w:val="00DA46BA"/>
    <w:rsid w:val="00DA47AD"/>
    <w:rsid w:val="00DA48D0"/>
    <w:rsid w:val="00DA4DA6"/>
    <w:rsid w:val="00DA4DF8"/>
    <w:rsid w:val="00DA54E9"/>
    <w:rsid w:val="00DA5693"/>
    <w:rsid w:val="00DA5792"/>
    <w:rsid w:val="00DA59B7"/>
    <w:rsid w:val="00DA5A6B"/>
    <w:rsid w:val="00DA5C22"/>
    <w:rsid w:val="00DA5C85"/>
    <w:rsid w:val="00DA63C3"/>
    <w:rsid w:val="00DA6DA3"/>
    <w:rsid w:val="00DA6FD4"/>
    <w:rsid w:val="00DA750A"/>
    <w:rsid w:val="00DA7615"/>
    <w:rsid w:val="00DA7936"/>
    <w:rsid w:val="00DA79E2"/>
    <w:rsid w:val="00DA7BD2"/>
    <w:rsid w:val="00DA7E4A"/>
    <w:rsid w:val="00DB0103"/>
    <w:rsid w:val="00DB0ED8"/>
    <w:rsid w:val="00DB13C7"/>
    <w:rsid w:val="00DB18CD"/>
    <w:rsid w:val="00DB1B1C"/>
    <w:rsid w:val="00DB1EDF"/>
    <w:rsid w:val="00DB1FF0"/>
    <w:rsid w:val="00DB2010"/>
    <w:rsid w:val="00DB20B0"/>
    <w:rsid w:val="00DB20B6"/>
    <w:rsid w:val="00DB252B"/>
    <w:rsid w:val="00DB2608"/>
    <w:rsid w:val="00DB2AA4"/>
    <w:rsid w:val="00DB2EC5"/>
    <w:rsid w:val="00DB3222"/>
    <w:rsid w:val="00DB3362"/>
    <w:rsid w:val="00DB3371"/>
    <w:rsid w:val="00DB34FB"/>
    <w:rsid w:val="00DB3923"/>
    <w:rsid w:val="00DB3BB0"/>
    <w:rsid w:val="00DB3BB5"/>
    <w:rsid w:val="00DB3F6F"/>
    <w:rsid w:val="00DB4247"/>
    <w:rsid w:val="00DB451A"/>
    <w:rsid w:val="00DB45CB"/>
    <w:rsid w:val="00DB4632"/>
    <w:rsid w:val="00DB4BBF"/>
    <w:rsid w:val="00DB4C7D"/>
    <w:rsid w:val="00DB558C"/>
    <w:rsid w:val="00DB560E"/>
    <w:rsid w:val="00DB569B"/>
    <w:rsid w:val="00DB56AB"/>
    <w:rsid w:val="00DB56CE"/>
    <w:rsid w:val="00DB58E3"/>
    <w:rsid w:val="00DB5969"/>
    <w:rsid w:val="00DB5CB7"/>
    <w:rsid w:val="00DB5FF0"/>
    <w:rsid w:val="00DB609E"/>
    <w:rsid w:val="00DB62D3"/>
    <w:rsid w:val="00DB63C9"/>
    <w:rsid w:val="00DB653A"/>
    <w:rsid w:val="00DB6B48"/>
    <w:rsid w:val="00DB710C"/>
    <w:rsid w:val="00DB767B"/>
    <w:rsid w:val="00DB7933"/>
    <w:rsid w:val="00DB7A6B"/>
    <w:rsid w:val="00DB7BF6"/>
    <w:rsid w:val="00DB7E5B"/>
    <w:rsid w:val="00DB7EAF"/>
    <w:rsid w:val="00DB7FAB"/>
    <w:rsid w:val="00DC0830"/>
    <w:rsid w:val="00DC0CE4"/>
    <w:rsid w:val="00DC0DA5"/>
    <w:rsid w:val="00DC11F3"/>
    <w:rsid w:val="00DC1428"/>
    <w:rsid w:val="00DC1BB5"/>
    <w:rsid w:val="00DC22D2"/>
    <w:rsid w:val="00DC25FD"/>
    <w:rsid w:val="00DC2856"/>
    <w:rsid w:val="00DC2BEE"/>
    <w:rsid w:val="00DC2CD1"/>
    <w:rsid w:val="00DC2E8A"/>
    <w:rsid w:val="00DC30A9"/>
    <w:rsid w:val="00DC3A80"/>
    <w:rsid w:val="00DC3C30"/>
    <w:rsid w:val="00DC3F05"/>
    <w:rsid w:val="00DC4060"/>
    <w:rsid w:val="00DC4323"/>
    <w:rsid w:val="00DC4674"/>
    <w:rsid w:val="00DC481C"/>
    <w:rsid w:val="00DC49D7"/>
    <w:rsid w:val="00DC4A09"/>
    <w:rsid w:val="00DC4F0F"/>
    <w:rsid w:val="00DC4FCC"/>
    <w:rsid w:val="00DC50A3"/>
    <w:rsid w:val="00DC5FAC"/>
    <w:rsid w:val="00DC6668"/>
    <w:rsid w:val="00DC67EF"/>
    <w:rsid w:val="00DC6A29"/>
    <w:rsid w:val="00DC6B3C"/>
    <w:rsid w:val="00DC6D8C"/>
    <w:rsid w:val="00DC6DE9"/>
    <w:rsid w:val="00DC6F24"/>
    <w:rsid w:val="00DC72BC"/>
    <w:rsid w:val="00DC7627"/>
    <w:rsid w:val="00DC77E0"/>
    <w:rsid w:val="00DC79D6"/>
    <w:rsid w:val="00DD0726"/>
    <w:rsid w:val="00DD08EE"/>
    <w:rsid w:val="00DD0C03"/>
    <w:rsid w:val="00DD0D8A"/>
    <w:rsid w:val="00DD18E9"/>
    <w:rsid w:val="00DD202D"/>
    <w:rsid w:val="00DD2424"/>
    <w:rsid w:val="00DD27AB"/>
    <w:rsid w:val="00DD2AB5"/>
    <w:rsid w:val="00DD2BD2"/>
    <w:rsid w:val="00DD2C0E"/>
    <w:rsid w:val="00DD2C1F"/>
    <w:rsid w:val="00DD2D02"/>
    <w:rsid w:val="00DD2E78"/>
    <w:rsid w:val="00DD2FEC"/>
    <w:rsid w:val="00DD316F"/>
    <w:rsid w:val="00DD3572"/>
    <w:rsid w:val="00DD35A6"/>
    <w:rsid w:val="00DD3774"/>
    <w:rsid w:val="00DD3CFD"/>
    <w:rsid w:val="00DD3EBB"/>
    <w:rsid w:val="00DD3F43"/>
    <w:rsid w:val="00DD4044"/>
    <w:rsid w:val="00DD4114"/>
    <w:rsid w:val="00DD4392"/>
    <w:rsid w:val="00DD4587"/>
    <w:rsid w:val="00DD4724"/>
    <w:rsid w:val="00DD4754"/>
    <w:rsid w:val="00DD48B4"/>
    <w:rsid w:val="00DD4B4D"/>
    <w:rsid w:val="00DD4C04"/>
    <w:rsid w:val="00DD4C69"/>
    <w:rsid w:val="00DD4D0D"/>
    <w:rsid w:val="00DD4EF4"/>
    <w:rsid w:val="00DD5194"/>
    <w:rsid w:val="00DD5712"/>
    <w:rsid w:val="00DD5793"/>
    <w:rsid w:val="00DD59AB"/>
    <w:rsid w:val="00DD59E4"/>
    <w:rsid w:val="00DD5B1F"/>
    <w:rsid w:val="00DD5E64"/>
    <w:rsid w:val="00DD61B9"/>
    <w:rsid w:val="00DD6279"/>
    <w:rsid w:val="00DD63B2"/>
    <w:rsid w:val="00DD6671"/>
    <w:rsid w:val="00DD66D6"/>
    <w:rsid w:val="00DD6718"/>
    <w:rsid w:val="00DD67C2"/>
    <w:rsid w:val="00DD6DA2"/>
    <w:rsid w:val="00DD71F3"/>
    <w:rsid w:val="00DD7877"/>
    <w:rsid w:val="00DD799D"/>
    <w:rsid w:val="00DD79D4"/>
    <w:rsid w:val="00DD7B8F"/>
    <w:rsid w:val="00DD7FE4"/>
    <w:rsid w:val="00DD7FEB"/>
    <w:rsid w:val="00DE03FD"/>
    <w:rsid w:val="00DE0761"/>
    <w:rsid w:val="00DE108F"/>
    <w:rsid w:val="00DE11AD"/>
    <w:rsid w:val="00DE13E3"/>
    <w:rsid w:val="00DE1983"/>
    <w:rsid w:val="00DE1AD3"/>
    <w:rsid w:val="00DE1B12"/>
    <w:rsid w:val="00DE1D29"/>
    <w:rsid w:val="00DE1E50"/>
    <w:rsid w:val="00DE260F"/>
    <w:rsid w:val="00DE2714"/>
    <w:rsid w:val="00DE284A"/>
    <w:rsid w:val="00DE292A"/>
    <w:rsid w:val="00DE29C1"/>
    <w:rsid w:val="00DE2B0B"/>
    <w:rsid w:val="00DE2D8C"/>
    <w:rsid w:val="00DE2FBC"/>
    <w:rsid w:val="00DE2FD1"/>
    <w:rsid w:val="00DE365F"/>
    <w:rsid w:val="00DE3A98"/>
    <w:rsid w:val="00DE3C75"/>
    <w:rsid w:val="00DE4177"/>
    <w:rsid w:val="00DE42C6"/>
    <w:rsid w:val="00DE4466"/>
    <w:rsid w:val="00DE44C3"/>
    <w:rsid w:val="00DE44D1"/>
    <w:rsid w:val="00DE4A73"/>
    <w:rsid w:val="00DE4B6D"/>
    <w:rsid w:val="00DE503E"/>
    <w:rsid w:val="00DE51CD"/>
    <w:rsid w:val="00DE5278"/>
    <w:rsid w:val="00DE5434"/>
    <w:rsid w:val="00DE5532"/>
    <w:rsid w:val="00DE55AE"/>
    <w:rsid w:val="00DE5937"/>
    <w:rsid w:val="00DE6221"/>
    <w:rsid w:val="00DE6410"/>
    <w:rsid w:val="00DE6696"/>
    <w:rsid w:val="00DE66A8"/>
    <w:rsid w:val="00DE685E"/>
    <w:rsid w:val="00DE69FC"/>
    <w:rsid w:val="00DE6C6F"/>
    <w:rsid w:val="00DE6DFC"/>
    <w:rsid w:val="00DE6E65"/>
    <w:rsid w:val="00DE6EE5"/>
    <w:rsid w:val="00DE6F72"/>
    <w:rsid w:val="00DE7E75"/>
    <w:rsid w:val="00DF0465"/>
    <w:rsid w:val="00DF097D"/>
    <w:rsid w:val="00DF0B67"/>
    <w:rsid w:val="00DF0BB5"/>
    <w:rsid w:val="00DF10B5"/>
    <w:rsid w:val="00DF1214"/>
    <w:rsid w:val="00DF138A"/>
    <w:rsid w:val="00DF1507"/>
    <w:rsid w:val="00DF15C8"/>
    <w:rsid w:val="00DF179E"/>
    <w:rsid w:val="00DF1CFE"/>
    <w:rsid w:val="00DF217A"/>
    <w:rsid w:val="00DF2641"/>
    <w:rsid w:val="00DF272A"/>
    <w:rsid w:val="00DF3BC9"/>
    <w:rsid w:val="00DF3DFF"/>
    <w:rsid w:val="00DF4016"/>
    <w:rsid w:val="00DF4407"/>
    <w:rsid w:val="00DF44CC"/>
    <w:rsid w:val="00DF4643"/>
    <w:rsid w:val="00DF4D8B"/>
    <w:rsid w:val="00DF4E16"/>
    <w:rsid w:val="00DF50B0"/>
    <w:rsid w:val="00DF5185"/>
    <w:rsid w:val="00DF52E6"/>
    <w:rsid w:val="00DF56E3"/>
    <w:rsid w:val="00DF583A"/>
    <w:rsid w:val="00DF5C0C"/>
    <w:rsid w:val="00DF6109"/>
    <w:rsid w:val="00DF61DC"/>
    <w:rsid w:val="00DF6367"/>
    <w:rsid w:val="00DF650F"/>
    <w:rsid w:val="00DF6564"/>
    <w:rsid w:val="00DF6893"/>
    <w:rsid w:val="00DF6956"/>
    <w:rsid w:val="00DF6B43"/>
    <w:rsid w:val="00DF754B"/>
    <w:rsid w:val="00DF75C9"/>
    <w:rsid w:val="00DF7646"/>
    <w:rsid w:val="00DF766E"/>
    <w:rsid w:val="00DF7C4F"/>
    <w:rsid w:val="00E000E8"/>
    <w:rsid w:val="00E00845"/>
    <w:rsid w:val="00E00A2E"/>
    <w:rsid w:val="00E01081"/>
    <w:rsid w:val="00E0110F"/>
    <w:rsid w:val="00E01AD1"/>
    <w:rsid w:val="00E01C24"/>
    <w:rsid w:val="00E0258E"/>
    <w:rsid w:val="00E0267F"/>
    <w:rsid w:val="00E02765"/>
    <w:rsid w:val="00E029E5"/>
    <w:rsid w:val="00E02B88"/>
    <w:rsid w:val="00E02CAB"/>
    <w:rsid w:val="00E03393"/>
    <w:rsid w:val="00E03664"/>
    <w:rsid w:val="00E03704"/>
    <w:rsid w:val="00E03780"/>
    <w:rsid w:val="00E03C45"/>
    <w:rsid w:val="00E03CEB"/>
    <w:rsid w:val="00E0459C"/>
    <w:rsid w:val="00E04CDE"/>
    <w:rsid w:val="00E05174"/>
    <w:rsid w:val="00E05D2D"/>
    <w:rsid w:val="00E062B6"/>
    <w:rsid w:val="00E067D0"/>
    <w:rsid w:val="00E06926"/>
    <w:rsid w:val="00E06A05"/>
    <w:rsid w:val="00E06FA8"/>
    <w:rsid w:val="00E070E5"/>
    <w:rsid w:val="00E075DF"/>
    <w:rsid w:val="00E07709"/>
    <w:rsid w:val="00E10223"/>
    <w:rsid w:val="00E102B7"/>
    <w:rsid w:val="00E108BB"/>
    <w:rsid w:val="00E10983"/>
    <w:rsid w:val="00E10CC5"/>
    <w:rsid w:val="00E118CE"/>
    <w:rsid w:val="00E11A58"/>
    <w:rsid w:val="00E11BBE"/>
    <w:rsid w:val="00E11FD1"/>
    <w:rsid w:val="00E12035"/>
    <w:rsid w:val="00E1206D"/>
    <w:rsid w:val="00E12178"/>
    <w:rsid w:val="00E12447"/>
    <w:rsid w:val="00E127BB"/>
    <w:rsid w:val="00E12968"/>
    <w:rsid w:val="00E12C3E"/>
    <w:rsid w:val="00E12CA3"/>
    <w:rsid w:val="00E1305F"/>
    <w:rsid w:val="00E13086"/>
    <w:rsid w:val="00E132FF"/>
    <w:rsid w:val="00E13527"/>
    <w:rsid w:val="00E13853"/>
    <w:rsid w:val="00E139CF"/>
    <w:rsid w:val="00E13AA0"/>
    <w:rsid w:val="00E13ADF"/>
    <w:rsid w:val="00E1426D"/>
    <w:rsid w:val="00E1448E"/>
    <w:rsid w:val="00E144AC"/>
    <w:rsid w:val="00E1456F"/>
    <w:rsid w:val="00E147F8"/>
    <w:rsid w:val="00E14974"/>
    <w:rsid w:val="00E149DD"/>
    <w:rsid w:val="00E14AD8"/>
    <w:rsid w:val="00E14BED"/>
    <w:rsid w:val="00E14F71"/>
    <w:rsid w:val="00E14FFF"/>
    <w:rsid w:val="00E153CA"/>
    <w:rsid w:val="00E1555A"/>
    <w:rsid w:val="00E15794"/>
    <w:rsid w:val="00E15931"/>
    <w:rsid w:val="00E15A52"/>
    <w:rsid w:val="00E15C8F"/>
    <w:rsid w:val="00E15F23"/>
    <w:rsid w:val="00E160C2"/>
    <w:rsid w:val="00E1618B"/>
    <w:rsid w:val="00E1635D"/>
    <w:rsid w:val="00E166B3"/>
    <w:rsid w:val="00E16745"/>
    <w:rsid w:val="00E16AB7"/>
    <w:rsid w:val="00E16BB4"/>
    <w:rsid w:val="00E16C9E"/>
    <w:rsid w:val="00E1738E"/>
    <w:rsid w:val="00E174EB"/>
    <w:rsid w:val="00E17513"/>
    <w:rsid w:val="00E17AD9"/>
    <w:rsid w:val="00E17C5E"/>
    <w:rsid w:val="00E17DE7"/>
    <w:rsid w:val="00E17FC8"/>
    <w:rsid w:val="00E20361"/>
    <w:rsid w:val="00E20A0D"/>
    <w:rsid w:val="00E20A87"/>
    <w:rsid w:val="00E20C44"/>
    <w:rsid w:val="00E210E5"/>
    <w:rsid w:val="00E21389"/>
    <w:rsid w:val="00E2151B"/>
    <w:rsid w:val="00E21952"/>
    <w:rsid w:val="00E21C4F"/>
    <w:rsid w:val="00E21DA3"/>
    <w:rsid w:val="00E2221C"/>
    <w:rsid w:val="00E222C0"/>
    <w:rsid w:val="00E225EC"/>
    <w:rsid w:val="00E22809"/>
    <w:rsid w:val="00E22ABB"/>
    <w:rsid w:val="00E22B58"/>
    <w:rsid w:val="00E23207"/>
    <w:rsid w:val="00E2332C"/>
    <w:rsid w:val="00E23C6C"/>
    <w:rsid w:val="00E240CB"/>
    <w:rsid w:val="00E247AE"/>
    <w:rsid w:val="00E2489F"/>
    <w:rsid w:val="00E24AA6"/>
    <w:rsid w:val="00E24F68"/>
    <w:rsid w:val="00E252DD"/>
    <w:rsid w:val="00E25326"/>
    <w:rsid w:val="00E2547B"/>
    <w:rsid w:val="00E25FEC"/>
    <w:rsid w:val="00E26196"/>
    <w:rsid w:val="00E26D78"/>
    <w:rsid w:val="00E26D86"/>
    <w:rsid w:val="00E271B4"/>
    <w:rsid w:val="00E27539"/>
    <w:rsid w:val="00E276C7"/>
    <w:rsid w:val="00E27B6D"/>
    <w:rsid w:val="00E300A0"/>
    <w:rsid w:val="00E302B3"/>
    <w:rsid w:val="00E305D4"/>
    <w:rsid w:val="00E306B1"/>
    <w:rsid w:val="00E30CF0"/>
    <w:rsid w:val="00E30DE8"/>
    <w:rsid w:val="00E30F06"/>
    <w:rsid w:val="00E31769"/>
    <w:rsid w:val="00E317C6"/>
    <w:rsid w:val="00E31AEE"/>
    <w:rsid w:val="00E32006"/>
    <w:rsid w:val="00E32142"/>
    <w:rsid w:val="00E322E5"/>
    <w:rsid w:val="00E324F4"/>
    <w:rsid w:val="00E32541"/>
    <w:rsid w:val="00E327D9"/>
    <w:rsid w:val="00E3290B"/>
    <w:rsid w:val="00E32ABA"/>
    <w:rsid w:val="00E32BB4"/>
    <w:rsid w:val="00E32BCF"/>
    <w:rsid w:val="00E32CD6"/>
    <w:rsid w:val="00E32F98"/>
    <w:rsid w:val="00E333D9"/>
    <w:rsid w:val="00E33508"/>
    <w:rsid w:val="00E338D0"/>
    <w:rsid w:val="00E3397C"/>
    <w:rsid w:val="00E33A22"/>
    <w:rsid w:val="00E33E59"/>
    <w:rsid w:val="00E33F89"/>
    <w:rsid w:val="00E33FB4"/>
    <w:rsid w:val="00E3425D"/>
    <w:rsid w:val="00E342EA"/>
    <w:rsid w:val="00E342EF"/>
    <w:rsid w:val="00E34310"/>
    <w:rsid w:val="00E343A7"/>
    <w:rsid w:val="00E344E4"/>
    <w:rsid w:val="00E3478B"/>
    <w:rsid w:val="00E349E3"/>
    <w:rsid w:val="00E35667"/>
    <w:rsid w:val="00E3572D"/>
    <w:rsid w:val="00E35827"/>
    <w:rsid w:val="00E35867"/>
    <w:rsid w:val="00E35DFB"/>
    <w:rsid w:val="00E36377"/>
    <w:rsid w:val="00E3638B"/>
    <w:rsid w:val="00E36814"/>
    <w:rsid w:val="00E36985"/>
    <w:rsid w:val="00E37067"/>
    <w:rsid w:val="00E37565"/>
    <w:rsid w:val="00E3758E"/>
    <w:rsid w:val="00E379B8"/>
    <w:rsid w:val="00E37B0E"/>
    <w:rsid w:val="00E37CA0"/>
    <w:rsid w:val="00E37EC8"/>
    <w:rsid w:val="00E4010F"/>
    <w:rsid w:val="00E405C9"/>
    <w:rsid w:val="00E406CC"/>
    <w:rsid w:val="00E406F9"/>
    <w:rsid w:val="00E4098C"/>
    <w:rsid w:val="00E40B4C"/>
    <w:rsid w:val="00E41416"/>
    <w:rsid w:val="00E4147C"/>
    <w:rsid w:val="00E41721"/>
    <w:rsid w:val="00E41789"/>
    <w:rsid w:val="00E41B68"/>
    <w:rsid w:val="00E421BA"/>
    <w:rsid w:val="00E422A5"/>
    <w:rsid w:val="00E4242B"/>
    <w:rsid w:val="00E42CEE"/>
    <w:rsid w:val="00E42D72"/>
    <w:rsid w:val="00E42DE7"/>
    <w:rsid w:val="00E437FF"/>
    <w:rsid w:val="00E4393D"/>
    <w:rsid w:val="00E4421F"/>
    <w:rsid w:val="00E446EF"/>
    <w:rsid w:val="00E448A7"/>
    <w:rsid w:val="00E44AC9"/>
    <w:rsid w:val="00E45001"/>
    <w:rsid w:val="00E456B8"/>
    <w:rsid w:val="00E458E4"/>
    <w:rsid w:val="00E459D6"/>
    <w:rsid w:val="00E45A8D"/>
    <w:rsid w:val="00E45B6F"/>
    <w:rsid w:val="00E46241"/>
    <w:rsid w:val="00E4638B"/>
    <w:rsid w:val="00E469B0"/>
    <w:rsid w:val="00E469C3"/>
    <w:rsid w:val="00E46B18"/>
    <w:rsid w:val="00E46BB8"/>
    <w:rsid w:val="00E46F2A"/>
    <w:rsid w:val="00E46FF7"/>
    <w:rsid w:val="00E4712E"/>
    <w:rsid w:val="00E47330"/>
    <w:rsid w:val="00E47506"/>
    <w:rsid w:val="00E4757A"/>
    <w:rsid w:val="00E475AC"/>
    <w:rsid w:val="00E477BC"/>
    <w:rsid w:val="00E478CB"/>
    <w:rsid w:val="00E47A68"/>
    <w:rsid w:val="00E47BBA"/>
    <w:rsid w:val="00E47D57"/>
    <w:rsid w:val="00E47F41"/>
    <w:rsid w:val="00E503E6"/>
    <w:rsid w:val="00E507D3"/>
    <w:rsid w:val="00E50B98"/>
    <w:rsid w:val="00E50EBA"/>
    <w:rsid w:val="00E50F65"/>
    <w:rsid w:val="00E51073"/>
    <w:rsid w:val="00E51E31"/>
    <w:rsid w:val="00E51E4E"/>
    <w:rsid w:val="00E5228D"/>
    <w:rsid w:val="00E524A0"/>
    <w:rsid w:val="00E52C21"/>
    <w:rsid w:val="00E52DDF"/>
    <w:rsid w:val="00E52F41"/>
    <w:rsid w:val="00E536F7"/>
    <w:rsid w:val="00E53918"/>
    <w:rsid w:val="00E53B1A"/>
    <w:rsid w:val="00E53C56"/>
    <w:rsid w:val="00E53DD3"/>
    <w:rsid w:val="00E53E71"/>
    <w:rsid w:val="00E53FBF"/>
    <w:rsid w:val="00E5454B"/>
    <w:rsid w:val="00E54559"/>
    <w:rsid w:val="00E5482B"/>
    <w:rsid w:val="00E549F2"/>
    <w:rsid w:val="00E54FFC"/>
    <w:rsid w:val="00E551F2"/>
    <w:rsid w:val="00E5556D"/>
    <w:rsid w:val="00E55C2D"/>
    <w:rsid w:val="00E55CED"/>
    <w:rsid w:val="00E55E72"/>
    <w:rsid w:val="00E55F36"/>
    <w:rsid w:val="00E56042"/>
    <w:rsid w:val="00E566AB"/>
    <w:rsid w:val="00E56734"/>
    <w:rsid w:val="00E567F7"/>
    <w:rsid w:val="00E569E5"/>
    <w:rsid w:val="00E56A65"/>
    <w:rsid w:val="00E56C25"/>
    <w:rsid w:val="00E56D61"/>
    <w:rsid w:val="00E5731B"/>
    <w:rsid w:val="00E573BA"/>
    <w:rsid w:val="00E57959"/>
    <w:rsid w:val="00E57FF5"/>
    <w:rsid w:val="00E60285"/>
    <w:rsid w:val="00E60323"/>
    <w:rsid w:val="00E6047B"/>
    <w:rsid w:val="00E608E5"/>
    <w:rsid w:val="00E60B05"/>
    <w:rsid w:val="00E612A5"/>
    <w:rsid w:val="00E6155D"/>
    <w:rsid w:val="00E61695"/>
    <w:rsid w:val="00E61946"/>
    <w:rsid w:val="00E61DD6"/>
    <w:rsid w:val="00E620C0"/>
    <w:rsid w:val="00E621B4"/>
    <w:rsid w:val="00E62271"/>
    <w:rsid w:val="00E62435"/>
    <w:rsid w:val="00E62912"/>
    <w:rsid w:val="00E629CD"/>
    <w:rsid w:val="00E62CD9"/>
    <w:rsid w:val="00E62DED"/>
    <w:rsid w:val="00E62FF2"/>
    <w:rsid w:val="00E6318A"/>
    <w:rsid w:val="00E6346E"/>
    <w:rsid w:val="00E6376F"/>
    <w:rsid w:val="00E641AD"/>
    <w:rsid w:val="00E6450F"/>
    <w:rsid w:val="00E64BDA"/>
    <w:rsid w:val="00E64FAB"/>
    <w:rsid w:val="00E65265"/>
    <w:rsid w:val="00E652FC"/>
    <w:rsid w:val="00E654B4"/>
    <w:rsid w:val="00E659DE"/>
    <w:rsid w:val="00E6685C"/>
    <w:rsid w:val="00E6685F"/>
    <w:rsid w:val="00E66B12"/>
    <w:rsid w:val="00E66E40"/>
    <w:rsid w:val="00E66F3C"/>
    <w:rsid w:val="00E66FEC"/>
    <w:rsid w:val="00E67A19"/>
    <w:rsid w:val="00E67AB5"/>
    <w:rsid w:val="00E67B5B"/>
    <w:rsid w:val="00E67E4F"/>
    <w:rsid w:val="00E67F01"/>
    <w:rsid w:val="00E70035"/>
    <w:rsid w:val="00E70439"/>
    <w:rsid w:val="00E7045D"/>
    <w:rsid w:val="00E706BC"/>
    <w:rsid w:val="00E7095A"/>
    <w:rsid w:val="00E70AE2"/>
    <w:rsid w:val="00E70E39"/>
    <w:rsid w:val="00E70E68"/>
    <w:rsid w:val="00E71078"/>
    <w:rsid w:val="00E712E2"/>
    <w:rsid w:val="00E71382"/>
    <w:rsid w:val="00E71A45"/>
    <w:rsid w:val="00E71F4B"/>
    <w:rsid w:val="00E72310"/>
    <w:rsid w:val="00E72564"/>
    <w:rsid w:val="00E727B1"/>
    <w:rsid w:val="00E728AF"/>
    <w:rsid w:val="00E728BB"/>
    <w:rsid w:val="00E73292"/>
    <w:rsid w:val="00E7362E"/>
    <w:rsid w:val="00E737D4"/>
    <w:rsid w:val="00E73BD3"/>
    <w:rsid w:val="00E73CBA"/>
    <w:rsid w:val="00E73E88"/>
    <w:rsid w:val="00E73EE4"/>
    <w:rsid w:val="00E746A8"/>
    <w:rsid w:val="00E74948"/>
    <w:rsid w:val="00E74D5D"/>
    <w:rsid w:val="00E754EE"/>
    <w:rsid w:val="00E757BF"/>
    <w:rsid w:val="00E75B5E"/>
    <w:rsid w:val="00E75FAC"/>
    <w:rsid w:val="00E76670"/>
    <w:rsid w:val="00E7670F"/>
    <w:rsid w:val="00E768B6"/>
    <w:rsid w:val="00E76C11"/>
    <w:rsid w:val="00E76DC9"/>
    <w:rsid w:val="00E774AA"/>
    <w:rsid w:val="00E7760A"/>
    <w:rsid w:val="00E776AB"/>
    <w:rsid w:val="00E778D8"/>
    <w:rsid w:val="00E77A31"/>
    <w:rsid w:val="00E77B20"/>
    <w:rsid w:val="00E800CE"/>
    <w:rsid w:val="00E802EB"/>
    <w:rsid w:val="00E80408"/>
    <w:rsid w:val="00E80606"/>
    <w:rsid w:val="00E80669"/>
    <w:rsid w:val="00E809B8"/>
    <w:rsid w:val="00E80D06"/>
    <w:rsid w:val="00E812A5"/>
    <w:rsid w:val="00E812D7"/>
    <w:rsid w:val="00E814AB"/>
    <w:rsid w:val="00E81C80"/>
    <w:rsid w:val="00E81DF5"/>
    <w:rsid w:val="00E820F1"/>
    <w:rsid w:val="00E8221F"/>
    <w:rsid w:val="00E822A4"/>
    <w:rsid w:val="00E82783"/>
    <w:rsid w:val="00E82844"/>
    <w:rsid w:val="00E8297E"/>
    <w:rsid w:val="00E82A6B"/>
    <w:rsid w:val="00E82B8A"/>
    <w:rsid w:val="00E82E5F"/>
    <w:rsid w:val="00E82F15"/>
    <w:rsid w:val="00E8318D"/>
    <w:rsid w:val="00E831DB"/>
    <w:rsid w:val="00E8324F"/>
    <w:rsid w:val="00E833B4"/>
    <w:rsid w:val="00E83651"/>
    <w:rsid w:val="00E837DC"/>
    <w:rsid w:val="00E83BBA"/>
    <w:rsid w:val="00E83CC8"/>
    <w:rsid w:val="00E83FE7"/>
    <w:rsid w:val="00E843DD"/>
    <w:rsid w:val="00E84765"/>
    <w:rsid w:val="00E85521"/>
    <w:rsid w:val="00E85913"/>
    <w:rsid w:val="00E85928"/>
    <w:rsid w:val="00E85BB0"/>
    <w:rsid w:val="00E85D39"/>
    <w:rsid w:val="00E870A3"/>
    <w:rsid w:val="00E873FD"/>
    <w:rsid w:val="00E87454"/>
    <w:rsid w:val="00E8769B"/>
    <w:rsid w:val="00E879E9"/>
    <w:rsid w:val="00E87B7C"/>
    <w:rsid w:val="00E87FDF"/>
    <w:rsid w:val="00E90B97"/>
    <w:rsid w:val="00E910DE"/>
    <w:rsid w:val="00E91160"/>
    <w:rsid w:val="00E911C8"/>
    <w:rsid w:val="00E9130B"/>
    <w:rsid w:val="00E913D1"/>
    <w:rsid w:val="00E914CC"/>
    <w:rsid w:val="00E917C9"/>
    <w:rsid w:val="00E91A30"/>
    <w:rsid w:val="00E91A53"/>
    <w:rsid w:val="00E91F23"/>
    <w:rsid w:val="00E922A5"/>
    <w:rsid w:val="00E927E2"/>
    <w:rsid w:val="00E92870"/>
    <w:rsid w:val="00E9298B"/>
    <w:rsid w:val="00E92EA2"/>
    <w:rsid w:val="00E930BB"/>
    <w:rsid w:val="00E931EB"/>
    <w:rsid w:val="00E93661"/>
    <w:rsid w:val="00E9374F"/>
    <w:rsid w:val="00E93851"/>
    <w:rsid w:val="00E939C7"/>
    <w:rsid w:val="00E93AD7"/>
    <w:rsid w:val="00E93CE1"/>
    <w:rsid w:val="00E93CFB"/>
    <w:rsid w:val="00E93DBA"/>
    <w:rsid w:val="00E93DFF"/>
    <w:rsid w:val="00E9436D"/>
    <w:rsid w:val="00E9439C"/>
    <w:rsid w:val="00E944C0"/>
    <w:rsid w:val="00E94A66"/>
    <w:rsid w:val="00E94AB3"/>
    <w:rsid w:val="00E94E31"/>
    <w:rsid w:val="00E94E42"/>
    <w:rsid w:val="00E95568"/>
    <w:rsid w:val="00E956DE"/>
    <w:rsid w:val="00E9573F"/>
    <w:rsid w:val="00E95762"/>
    <w:rsid w:val="00E95921"/>
    <w:rsid w:val="00E9595D"/>
    <w:rsid w:val="00E95BCF"/>
    <w:rsid w:val="00E95E57"/>
    <w:rsid w:val="00E9643A"/>
    <w:rsid w:val="00E9669D"/>
    <w:rsid w:val="00E966B1"/>
    <w:rsid w:val="00E9673B"/>
    <w:rsid w:val="00E96A13"/>
    <w:rsid w:val="00E96A4E"/>
    <w:rsid w:val="00E96B00"/>
    <w:rsid w:val="00E970FD"/>
    <w:rsid w:val="00E97269"/>
    <w:rsid w:val="00E976F8"/>
    <w:rsid w:val="00E97A49"/>
    <w:rsid w:val="00E97F41"/>
    <w:rsid w:val="00EA025C"/>
    <w:rsid w:val="00EA08D3"/>
    <w:rsid w:val="00EA0DE3"/>
    <w:rsid w:val="00EA0E82"/>
    <w:rsid w:val="00EA121B"/>
    <w:rsid w:val="00EA1381"/>
    <w:rsid w:val="00EA1581"/>
    <w:rsid w:val="00EA1617"/>
    <w:rsid w:val="00EA17DD"/>
    <w:rsid w:val="00EA1A35"/>
    <w:rsid w:val="00EA1D61"/>
    <w:rsid w:val="00EA23D0"/>
    <w:rsid w:val="00EA296B"/>
    <w:rsid w:val="00EA2F72"/>
    <w:rsid w:val="00EA30FB"/>
    <w:rsid w:val="00EA3623"/>
    <w:rsid w:val="00EA39CF"/>
    <w:rsid w:val="00EA3A99"/>
    <w:rsid w:val="00EA3B57"/>
    <w:rsid w:val="00EA484E"/>
    <w:rsid w:val="00EA494C"/>
    <w:rsid w:val="00EA4F2B"/>
    <w:rsid w:val="00EA5099"/>
    <w:rsid w:val="00EA52BD"/>
    <w:rsid w:val="00EA5885"/>
    <w:rsid w:val="00EA58C4"/>
    <w:rsid w:val="00EA5EF4"/>
    <w:rsid w:val="00EA63B9"/>
    <w:rsid w:val="00EA640D"/>
    <w:rsid w:val="00EA6718"/>
    <w:rsid w:val="00EA6972"/>
    <w:rsid w:val="00EA6CA0"/>
    <w:rsid w:val="00EA6D61"/>
    <w:rsid w:val="00EA7548"/>
    <w:rsid w:val="00EA75BE"/>
    <w:rsid w:val="00EA77BB"/>
    <w:rsid w:val="00EA7BE8"/>
    <w:rsid w:val="00EB0336"/>
    <w:rsid w:val="00EB07FB"/>
    <w:rsid w:val="00EB0B18"/>
    <w:rsid w:val="00EB0E32"/>
    <w:rsid w:val="00EB0E91"/>
    <w:rsid w:val="00EB16F8"/>
    <w:rsid w:val="00EB1A02"/>
    <w:rsid w:val="00EB1DCA"/>
    <w:rsid w:val="00EB1EF8"/>
    <w:rsid w:val="00EB1FC8"/>
    <w:rsid w:val="00EB20DE"/>
    <w:rsid w:val="00EB20E3"/>
    <w:rsid w:val="00EB2594"/>
    <w:rsid w:val="00EB265B"/>
    <w:rsid w:val="00EB2791"/>
    <w:rsid w:val="00EB28D2"/>
    <w:rsid w:val="00EB2913"/>
    <w:rsid w:val="00EB31CD"/>
    <w:rsid w:val="00EB39D6"/>
    <w:rsid w:val="00EB3C90"/>
    <w:rsid w:val="00EB3D3C"/>
    <w:rsid w:val="00EB4050"/>
    <w:rsid w:val="00EB43D4"/>
    <w:rsid w:val="00EB4553"/>
    <w:rsid w:val="00EB4683"/>
    <w:rsid w:val="00EB492F"/>
    <w:rsid w:val="00EB4953"/>
    <w:rsid w:val="00EB4EB7"/>
    <w:rsid w:val="00EB4F5F"/>
    <w:rsid w:val="00EB50C5"/>
    <w:rsid w:val="00EB51D7"/>
    <w:rsid w:val="00EB51F3"/>
    <w:rsid w:val="00EB530D"/>
    <w:rsid w:val="00EB5367"/>
    <w:rsid w:val="00EB5455"/>
    <w:rsid w:val="00EB54CE"/>
    <w:rsid w:val="00EB576B"/>
    <w:rsid w:val="00EB5B86"/>
    <w:rsid w:val="00EB5BD1"/>
    <w:rsid w:val="00EB5DD4"/>
    <w:rsid w:val="00EB617A"/>
    <w:rsid w:val="00EB63C5"/>
    <w:rsid w:val="00EB6578"/>
    <w:rsid w:val="00EB6710"/>
    <w:rsid w:val="00EB6AFA"/>
    <w:rsid w:val="00EB6B89"/>
    <w:rsid w:val="00EB6E52"/>
    <w:rsid w:val="00EB703D"/>
    <w:rsid w:val="00EB7284"/>
    <w:rsid w:val="00EB7372"/>
    <w:rsid w:val="00EB74FD"/>
    <w:rsid w:val="00EB76F6"/>
    <w:rsid w:val="00EB77EA"/>
    <w:rsid w:val="00EB785F"/>
    <w:rsid w:val="00EB7927"/>
    <w:rsid w:val="00EB7A1A"/>
    <w:rsid w:val="00EB7CFA"/>
    <w:rsid w:val="00EB7E51"/>
    <w:rsid w:val="00EB7EE9"/>
    <w:rsid w:val="00EC0276"/>
    <w:rsid w:val="00EC0489"/>
    <w:rsid w:val="00EC0513"/>
    <w:rsid w:val="00EC0544"/>
    <w:rsid w:val="00EC0A0B"/>
    <w:rsid w:val="00EC0AAF"/>
    <w:rsid w:val="00EC0AFA"/>
    <w:rsid w:val="00EC0B55"/>
    <w:rsid w:val="00EC0BEF"/>
    <w:rsid w:val="00EC0DDE"/>
    <w:rsid w:val="00EC0EFB"/>
    <w:rsid w:val="00EC1063"/>
    <w:rsid w:val="00EC1183"/>
    <w:rsid w:val="00EC13DC"/>
    <w:rsid w:val="00EC197C"/>
    <w:rsid w:val="00EC1BC9"/>
    <w:rsid w:val="00EC1F5D"/>
    <w:rsid w:val="00EC2174"/>
    <w:rsid w:val="00EC2374"/>
    <w:rsid w:val="00EC2511"/>
    <w:rsid w:val="00EC27F3"/>
    <w:rsid w:val="00EC28A7"/>
    <w:rsid w:val="00EC2BF7"/>
    <w:rsid w:val="00EC2C2D"/>
    <w:rsid w:val="00EC2C86"/>
    <w:rsid w:val="00EC2F02"/>
    <w:rsid w:val="00EC3094"/>
    <w:rsid w:val="00EC34EA"/>
    <w:rsid w:val="00EC350D"/>
    <w:rsid w:val="00EC3745"/>
    <w:rsid w:val="00EC389F"/>
    <w:rsid w:val="00EC47D3"/>
    <w:rsid w:val="00EC51DF"/>
    <w:rsid w:val="00EC5B1A"/>
    <w:rsid w:val="00EC5E09"/>
    <w:rsid w:val="00EC5E99"/>
    <w:rsid w:val="00EC5EF8"/>
    <w:rsid w:val="00EC63AF"/>
    <w:rsid w:val="00EC6477"/>
    <w:rsid w:val="00EC64F5"/>
    <w:rsid w:val="00EC6886"/>
    <w:rsid w:val="00EC6CAD"/>
    <w:rsid w:val="00EC6D67"/>
    <w:rsid w:val="00EC6D7A"/>
    <w:rsid w:val="00EC7412"/>
    <w:rsid w:val="00EC751C"/>
    <w:rsid w:val="00EC7566"/>
    <w:rsid w:val="00EC75F5"/>
    <w:rsid w:val="00EC7876"/>
    <w:rsid w:val="00EC788B"/>
    <w:rsid w:val="00EC78C5"/>
    <w:rsid w:val="00EC7D2B"/>
    <w:rsid w:val="00EC7E52"/>
    <w:rsid w:val="00ED001F"/>
    <w:rsid w:val="00ED01CD"/>
    <w:rsid w:val="00ED031F"/>
    <w:rsid w:val="00ED1475"/>
    <w:rsid w:val="00ED14E6"/>
    <w:rsid w:val="00ED15BA"/>
    <w:rsid w:val="00ED189E"/>
    <w:rsid w:val="00ED18EC"/>
    <w:rsid w:val="00ED1906"/>
    <w:rsid w:val="00ED1ABF"/>
    <w:rsid w:val="00ED1AE0"/>
    <w:rsid w:val="00ED1EE7"/>
    <w:rsid w:val="00ED21AD"/>
    <w:rsid w:val="00ED2475"/>
    <w:rsid w:val="00ED2506"/>
    <w:rsid w:val="00ED2BC2"/>
    <w:rsid w:val="00ED2DE6"/>
    <w:rsid w:val="00ED2F3A"/>
    <w:rsid w:val="00ED2F3F"/>
    <w:rsid w:val="00ED33EF"/>
    <w:rsid w:val="00ED3670"/>
    <w:rsid w:val="00ED3758"/>
    <w:rsid w:val="00ED3D68"/>
    <w:rsid w:val="00ED3F1A"/>
    <w:rsid w:val="00ED43D4"/>
    <w:rsid w:val="00ED4785"/>
    <w:rsid w:val="00ED49B6"/>
    <w:rsid w:val="00ED4CFF"/>
    <w:rsid w:val="00ED4E41"/>
    <w:rsid w:val="00ED4EDB"/>
    <w:rsid w:val="00ED5151"/>
    <w:rsid w:val="00ED555C"/>
    <w:rsid w:val="00ED568A"/>
    <w:rsid w:val="00ED5F31"/>
    <w:rsid w:val="00ED5F42"/>
    <w:rsid w:val="00ED5FF1"/>
    <w:rsid w:val="00ED651E"/>
    <w:rsid w:val="00ED6627"/>
    <w:rsid w:val="00ED66B3"/>
    <w:rsid w:val="00ED6A29"/>
    <w:rsid w:val="00ED6BC7"/>
    <w:rsid w:val="00ED6D66"/>
    <w:rsid w:val="00ED702E"/>
    <w:rsid w:val="00ED76D8"/>
    <w:rsid w:val="00ED7B06"/>
    <w:rsid w:val="00EE0199"/>
    <w:rsid w:val="00EE045A"/>
    <w:rsid w:val="00EE0920"/>
    <w:rsid w:val="00EE1504"/>
    <w:rsid w:val="00EE195D"/>
    <w:rsid w:val="00EE2153"/>
    <w:rsid w:val="00EE240B"/>
    <w:rsid w:val="00EE268D"/>
    <w:rsid w:val="00EE26B7"/>
    <w:rsid w:val="00EE2938"/>
    <w:rsid w:val="00EE2A90"/>
    <w:rsid w:val="00EE2A97"/>
    <w:rsid w:val="00EE307D"/>
    <w:rsid w:val="00EE32C1"/>
    <w:rsid w:val="00EE349F"/>
    <w:rsid w:val="00EE3A18"/>
    <w:rsid w:val="00EE3C20"/>
    <w:rsid w:val="00EE3E0C"/>
    <w:rsid w:val="00EE5007"/>
    <w:rsid w:val="00EE57EB"/>
    <w:rsid w:val="00EE5D88"/>
    <w:rsid w:val="00EE6145"/>
    <w:rsid w:val="00EE646D"/>
    <w:rsid w:val="00EE6534"/>
    <w:rsid w:val="00EE66CA"/>
    <w:rsid w:val="00EE66E8"/>
    <w:rsid w:val="00EE6C06"/>
    <w:rsid w:val="00EE6DE1"/>
    <w:rsid w:val="00EE7109"/>
    <w:rsid w:val="00EE7394"/>
    <w:rsid w:val="00EE75EF"/>
    <w:rsid w:val="00EE7D60"/>
    <w:rsid w:val="00EF0528"/>
    <w:rsid w:val="00EF055C"/>
    <w:rsid w:val="00EF0953"/>
    <w:rsid w:val="00EF0FC7"/>
    <w:rsid w:val="00EF101D"/>
    <w:rsid w:val="00EF1041"/>
    <w:rsid w:val="00EF130D"/>
    <w:rsid w:val="00EF14D3"/>
    <w:rsid w:val="00EF1760"/>
    <w:rsid w:val="00EF189C"/>
    <w:rsid w:val="00EF1A69"/>
    <w:rsid w:val="00EF251F"/>
    <w:rsid w:val="00EF2528"/>
    <w:rsid w:val="00EF277C"/>
    <w:rsid w:val="00EF2E66"/>
    <w:rsid w:val="00EF31A1"/>
    <w:rsid w:val="00EF324B"/>
    <w:rsid w:val="00EF3CA5"/>
    <w:rsid w:val="00EF3F46"/>
    <w:rsid w:val="00EF4065"/>
    <w:rsid w:val="00EF466E"/>
    <w:rsid w:val="00EF4840"/>
    <w:rsid w:val="00EF4CDC"/>
    <w:rsid w:val="00EF4EC0"/>
    <w:rsid w:val="00EF4EE9"/>
    <w:rsid w:val="00EF515E"/>
    <w:rsid w:val="00EF5C6B"/>
    <w:rsid w:val="00EF5F9F"/>
    <w:rsid w:val="00EF5FBE"/>
    <w:rsid w:val="00EF602B"/>
    <w:rsid w:val="00EF6102"/>
    <w:rsid w:val="00EF6609"/>
    <w:rsid w:val="00EF6C24"/>
    <w:rsid w:val="00EF6C33"/>
    <w:rsid w:val="00EF6DD6"/>
    <w:rsid w:val="00EF708B"/>
    <w:rsid w:val="00EF72FC"/>
    <w:rsid w:val="00EF75CF"/>
    <w:rsid w:val="00EF7812"/>
    <w:rsid w:val="00EF78B2"/>
    <w:rsid w:val="00EF790E"/>
    <w:rsid w:val="00EF7AF6"/>
    <w:rsid w:val="00EF7BFF"/>
    <w:rsid w:val="00F0006E"/>
    <w:rsid w:val="00F00475"/>
    <w:rsid w:val="00F0050D"/>
    <w:rsid w:val="00F01143"/>
    <w:rsid w:val="00F01496"/>
    <w:rsid w:val="00F0197F"/>
    <w:rsid w:val="00F01AA1"/>
    <w:rsid w:val="00F01ECD"/>
    <w:rsid w:val="00F02186"/>
    <w:rsid w:val="00F0226B"/>
    <w:rsid w:val="00F02288"/>
    <w:rsid w:val="00F0254E"/>
    <w:rsid w:val="00F0258D"/>
    <w:rsid w:val="00F02A5D"/>
    <w:rsid w:val="00F02F8C"/>
    <w:rsid w:val="00F034D3"/>
    <w:rsid w:val="00F03568"/>
    <w:rsid w:val="00F03593"/>
    <w:rsid w:val="00F03894"/>
    <w:rsid w:val="00F038AC"/>
    <w:rsid w:val="00F03E11"/>
    <w:rsid w:val="00F04279"/>
    <w:rsid w:val="00F04327"/>
    <w:rsid w:val="00F044F8"/>
    <w:rsid w:val="00F04583"/>
    <w:rsid w:val="00F0458E"/>
    <w:rsid w:val="00F04715"/>
    <w:rsid w:val="00F04D69"/>
    <w:rsid w:val="00F055A0"/>
    <w:rsid w:val="00F05CB9"/>
    <w:rsid w:val="00F05F84"/>
    <w:rsid w:val="00F06053"/>
    <w:rsid w:val="00F0605F"/>
    <w:rsid w:val="00F06399"/>
    <w:rsid w:val="00F064D5"/>
    <w:rsid w:val="00F068AF"/>
    <w:rsid w:val="00F06991"/>
    <w:rsid w:val="00F06A96"/>
    <w:rsid w:val="00F06FC6"/>
    <w:rsid w:val="00F072CB"/>
    <w:rsid w:val="00F072E1"/>
    <w:rsid w:val="00F0759B"/>
    <w:rsid w:val="00F07897"/>
    <w:rsid w:val="00F078B7"/>
    <w:rsid w:val="00F078EC"/>
    <w:rsid w:val="00F07A6B"/>
    <w:rsid w:val="00F07C59"/>
    <w:rsid w:val="00F07E77"/>
    <w:rsid w:val="00F100B3"/>
    <w:rsid w:val="00F10607"/>
    <w:rsid w:val="00F10710"/>
    <w:rsid w:val="00F109E8"/>
    <w:rsid w:val="00F11033"/>
    <w:rsid w:val="00F113B2"/>
    <w:rsid w:val="00F113D7"/>
    <w:rsid w:val="00F127C6"/>
    <w:rsid w:val="00F12B0C"/>
    <w:rsid w:val="00F12EF7"/>
    <w:rsid w:val="00F13020"/>
    <w:rsid w:val="00F13102"/>
    <w:rsid w:val="00F1324F"/>
    <w:rsid w:val="00F133E9"/>
    <w:rsid w:val="00F13486"/>
    <w:rsid w:val="00F136CF"/>
    <w:rsid w:val="00F13DFC"/>
    <w:rsid w:val="00F1443A"/>
    <w:rsid w:val="00F146F4"/>
    <w:rsid w:val="00F14792"/>
    <w:rsid w:val="00F147E1"/>
    <w:rsid w:val="00F14B10"/>
    <w:rsid w:val="00F14B4D"/>
    <w:rsid w:val="00F14C4F"/>
    <w:rsid w:val="00F14C5A"/>
    <w:rsid w:val="00F14CD2"/>
    <w:rsid w:val="00F14E7D"/>
    <w:rsid w:val="00F14F56"/>
    <w:rsid w:val="00F1524C"/>
    <w:rsid w:val="00F1540C"/>
    <w:rsid w:val="00F1589B"/>
    <w:rsid w:val="00F15992"/>
    <w:rsid w:val="00F159FB"/>
    <w:rsid w:val="00F15AB7"/>
    <w:rsid w:val="00F15ED8"/>
    <w:rsid w:val="00F15F02"/>
    <w:rsid w:val="00F163F9"/>
    <w:rsid w:val="00F16568"/>
    <w:rsid w:val="00F17036"/>
    <w:rsid w:val="00F17227"/>
    <w:rsid w:val="00F1742F"/>
    <w:rsid w:val="00F1752F"/>
    <w:rsid w:val="00F1756C"/>
    <w:rsid w:val="00F1773B"/>
    <w:rsid w:val="00F1775F"/>
    <w:rsid w:val="00F17CAD"/>
    <w:rsid w:val="00F207B1"/>
    <w:rsid w:val="00F20C7E"/>
    <w:rsid w:val="00F216AC"/>
    <w:rsid w:val="00F219CF"/>
    <w:rsid w:val="00F21BCF"/>
    <w:rsid w:val="00F21D89"/>
    <w:rsid w:val="00F220A6"/>
    <w:rsid w:val="00F2283F"/>
    <w:rsid w:val="00F22B20"/>
    <w:rsid w:val="00F22E46"/>
    <w:rsid w:val="00F22E99"/>
    <w:rsid w:val="00F23120"/>
    <w:rsid w:val="00F231EF"/>
    <w:rsid w:val="00F23605"/>
    <w:rsid w:val="00F239BC"/>
    <w:rsid w:val="00F23AEC"/>
    <w:rsid w:val="00F23D68"/>
    <w:rsid w:val="00F23D99"/>
    <w:rsid w:val="00F23DE4"/>
    <w:rsid w:val="00F24266"/>
    <w:rsid w:val="00F2449D"/>
    <w:rsid w:val="00F2465E"/>
    <w:rsid w:val="00F2466F"/>
    <w:rsid w:val="00F247E8"/>
    <w:rsid w:val="00F24DDD"/>
    <w:rsid w:val="00F252E5"/>
    <w:rsid w:val="00F256C5"/>
    <w:rsid w:val="00F257D3"/>
    <w:rsid w:val="00F25B7C"/>
    <w:rsid w:val="00F25F42"/>
    <w:rsid w:val="00F263D1"/>
    <w:rsid w:val="00F26789"/>
    <w:rsid w:val="00F2688B"/>
    <w:rsid w:val="00F269A5"/>
    <w:rsid w:val="00F269DC"/>
    <w:rsid w:val="00F271F9"/>
    <w:rsid w:val="00F275BE"/>
    <w:rsid w:val="00F275D8"/>
    <w:rsid w:val="00F2776B"/>
    <w:rsid w:val="00F27E71"/>
    <w:rsid w:val="00F30110"/>
    <w:rsid w:val="00F3035F"/>
    <w:rsid w:val="00F30649"/>
    <w:rsid w:val="00F30735"/>
    <w:rsid w:val="00F307D4"/>
    <w:rsid w:val="00F30880"/>
    <w:rsid w:val="00F30A5F"/>
    <w:rsid w:val="00F30ADB"/>
    <w:rsid w:val="00F3133D"/>
    <w:rsid w:val="00F31544"/>
    <w:rsid w:val="00F3168A"/>
    <w:rsid w:val="00F3194D"/>
    <w:rsid w:val="00F31A73"/>
    <w:rsid w:val="00F31BB5"/>
    <w:rsid w:val="00F31D9E"/>
    <w:rsid w:val="00F31E00"/>
    <w:rsid w:val="00F31E5D"/>
    <w:rsid w:val="00F31F02"/>
    <w:rsid w:val="00F3296F"/>
    <w:rsid w:val="00F33031"/>
    <w:rsid w:val="00F3313B"/>
    <w:rsid w:val="00F33330"/>
    <w:rsid w:val="00F3358C"/>
    <w:rsid w:val="00F335B8"/>
    <w:rsid w:val="00F33606"/>
    <w:rsid w:val="00F33935"/>
    <w:rsid w:val="00F33DB9"/>
    <w:rsid w:val="00F33EEB"/>
    <w:rsid w:val="00F3423D"/>
    <w:rsid w:val="00F34B90"/>
    <w:rsid w:val="00F34C7F"/>
    <w:rsid w:val="00F34DA8"/>
    <w:rsid w:val="00F34F80"/>
    <w:rsid w:val="00F350C3"/>
    <w:rsid w:val="00F3534F"/>
    <w:rsid w:val="00F353DC"/>
    <w:rsid w:val="00F35DE5"/>
    <w:rsid w:val="00F3614F"/>
    <w:rsid w:val="00F361E0"/>
    <w:rsid w:val="00F362E7"/>
    <w:rsid w:val="00F365D5"/>
    <w:rsid w:val="00F36610"/>
    <w:rsid w:val="00F36782"/>
    <w:rsid w:val="00F36860"/>
    <w:rsid w:val="00F36D90"/>
    <w:rsid w:val="00F376AB"/>
    <w:rsid w:val="00F378B0"/>
    <w:rsid w:val="00F37921"/>
    <w:rsid w:val="00F3796C"/>
    <w:rsid w:val="00F37AA2"/>
    <w:rsid w:val="00F37B5B"/>
    <w:rsid w:val="00F37BBB"/>
    <w:rsid w:val="00F402D3"/>
    <w:rsid w:val="00F40867"/>
    <w:rsid w:val="00F41027"/>
    <w:rsid w:val="00F41050"/>
    <w:rsid w:val="00F416A2"/>
    <w:rsid w:val="00F4203F"/>
    <w:rsid w:val="00F4226A"/>
    <w:rsid w:val="00F422BD"/>
    <w:rsid w:val="00F42591"/>
    <w:rsid w:val="00F4286E"/>
    <w:rsid w:val="00F42CE0"/>
    <w:rsid w:val="00F430B7"/>
    <w:rsid w:val="00F430EA"/>
    <w:rsid w:val="00F43135"/>
    <w:rsid w:val="00F4384C"/>
    <w:rsid w:val="00F4388F"/>
    <w:rsid w:val="00F43E24"/>
    <w:rsid w:val="00F446B0"/>
    <w:rsid w:val="00F4526D"/>
    <w:rsid w:val="00F455EA"/>
    <w:rsid w:val="00F45DBB"/>
    <w:rsid w:val="00F45E95"/>
    <w:rsid w:val="00F463A7"/>
    <w:rsid w:val="00F464C2"/>
    <w:rsid w:val="00F464EC"/>
    <w:rsid w:val="00F465C5"/>
    <w:rsid w:val="00F466D3"/>
    <w:rsid w:val="00F46913"/>
    <w:rsid w:val="00F46AF8"/>
    <w:rsid w:val="00F46C35"/>
    <w:rsid w:val="00F46D13"/>
    <w:rsid w:val="00F4746A"/>
    <w:rsid w:val="00F47472"/>
    <w:rsid w:val="00F47818"/>
    <w:rsid w:val="00F47CB6"/>
    <w:rsid w:val="00F47E02"/>
    <w:rsid w:val="00F5092D"/>
    <w:rsid w:val="00F518D4"/>
    <w:rsid w:val="00F51947"/>
    <w:rsid w:val="00F51B29"/>
    <w:rsid w:val="00F52265"/>
    <w:rsid w:val="00F524A9"/>
    <w:rsid w:val="00F524B2"/>
    <w:rsid w:val="00F524BC"/>
    <w:rsid w:val="00F52A41"/>
    <w:rsid w:val="00F52AD1"/>
    <w:rsid w:val="00F52C4E"/>
    <w:rsid w:val="00F53C10"/>
    <w:rsid w:val="00F53E38"/>
    <w:rsid w:val="00F53EE6"/>
    <w:rsid w:val="00F54045"/>
    <w:rsid w:val="00F54357"/>
    <w:rsid w:val="00F54C08"/>
    <w:rsid w:val="00F54FBC"/>
    <w:rsid w:val="00F5516A"/>
    <w:rsid w:val="00F55786"/>
    <w:rsid w:val="00F55DB1"/>
    <w:rsid w:val="00F55E23"/>
    <w:rsid w:val="00F56717"/>
    <w:rsid w:val="00F567F7"/>
    <w:rsid w:val="00F56940"/>
    <w:rsid w:val="00F56C52"/>
    <w:rsid w:val="00F56E31"/>
    <w:rsid w:val="00F570CD"/>
    <w:rsid w:val="00F57128"/>
    <w:rsid w:val="00F57C00"/>
    <w:rsid w:val="00F57FE1"/>
    <w:rsid w:val="00F603EF"/>
    <w:rsid w:val="00F6063C"/>
    <w:rsid w:val="00F60C98"/>
    <w:rsid w:val="00F60DE4"/>
    <w:rsid w:val="00F60ED2"/>
    <w:rsid w:val="00F60F0F"/>
    <w:rsid w:val="00F60F8A"/>
    <w:rsid w:val="00F611C8"/>
    <w:rsid w:val="00F61C56"/>
    <w:rsid w:val="00F62158"/>
    <w:rsid w:val="00F62A13"/>
    <w:rsid w:val="00F63448"/>
    <w:rsid w:val="00F63559"/>
    <w:rsid w:val="00F639B7"/>
    <w:rsid w:val="00F63AE9"/>
    <w:rsid w:val="00F63E71"/>
    <w:rsid w:val="00F64879"/>
    <w:rsid w:val="00F6501F"/>
    <w:rsid w:val="00F655B3"/>
    <w:rsid w:val="00F655EB"/>
    <w:rsid w:val="00F65667"/>
    <w:rsid w:val="00F6597A"/>
    <w:rsid w:val="00F659C0"/>
    <w:rsid w:val="00F666BA"/>
    <w:rsid w:val="00F66AB8"/>
    <w:rsid w:val="00F66BA5"/>
    <w:rsid w:val="00F66C9C"/>
    <w:rsid w:val="00F66D43"/>
    <w:rsid w:val="00F670E8"/>
    <w:rsid w:val="00F6736C"/>
    <w:rsid w:val="00F6758D"/>
    <w:rsid w:val="00F6771F"/>
    <w:rsid w:val="00F67CEF"/>
    <w:rsid w:val="00F67EDF"/>
    <w:rsid w:val="00F67FA4"/>
    <w:rsid w:val="00F67FBB"/>
    <w:rsid w:val="00F70056"/>
    <w:rsid w:val="00F705C3"/>
    <w:rsid w:val="00F706D3"/>
    <w:rsid w:val="00F70E82"/>
    <w:rsid w:val="00F70EF7"/>
    <w:rsid w:val="00F71641"/>
    <w:rsid w:val="00F7173A"/>
    <w:rsid w:val="00F717AB"/>
    <w:rsid w:val="00F71B0E"/>
    <w:rsid w:val="00F71BA5"/>
    <w:rsid w:val="00F71CF3"/>
    <w:rsid w:val="00F71D7A"/>
    <w:rsid w:val="00F72197"/>
    <w:rsid w:val="00F721EF"/>
    <w:rsid w:val="00F722C5"/>
    <w:rsid w:val="00F725DE"/>
    <w:rsid w:val="00F72844"/>
    <w:rsid w:val="00F72971"/>
    <w:rsid w:val="00F72B12"/>
    <w:rsid w:val="00F72BCF"/>
    <w:rsid w:val="00F72CC9"/>
    <w:rsid w:val="00F72D61"/>
    <w:rsid w:val="00F72E28"/>
    <w:rsid w:val="00F72E46"/>
    <w:rsid w:val="00F72FCF"/>
    <w:rsid w:val="00F738C2"/>
    <w:rsid w:val="00F73B05"/>
    <w:rsid w:val="00F73B83"/>
    <w:rsid w:val="00F73E68"/>
    <w:rsid w:val="00F73F54"/>
    <w:rsid w:val="00F74040"/>
    <w:rsid w:val="00F742EB"/>
    <w:rsid w:val="00F7455F"/>
    <w:rsid w:val="00F7468E"/>
    <w:rsid w:val="00F74694"/>
    <w:rsid w:val="00F7483A"/>
    <w:rsid w:val="00F74C84"/>
    <w:rsid w:val="00F751D8"/>
    <w:rsid w:val="00F75717"/>
    <w:rsid w:val="00F75734"/>
    <w:rsid w:val="00F759FD"/>
    <w:rsid w:val="00F75A63"/>
    <w:rsid w:val="00F75AB2"/>
    <w:rsid w:val="00F75F52"/>
    <w:rsid w:val="00F76211"/>
    <w:rsid w:val="00F76356"/>
    <w:rsid w:val="00F7645E"/>
    <w:rsid w:val="00F764C3"/>
    <w:rsid w:val="00F76536"/>
    <w:rsid w:val="00F7653B"/>
    <w:rsid w:val="00F768E5"/>
    <w:rsid w:val="00F769FE"/>
    <w:rsid w:val="00F76AE4"/>
    <w:rsid w:val="00F76DC1"/>
    <w:rsid w:val="00F770D9"/>
    <w:rsid w:val="00F7713A"/>
    <w:rsid w:val="00F77775"/>
    <w:rsid w:val="00F778B0"/>
    <w:rsid w:val="00F779E1"/>
    <w:rsid w:val="00F77C1A"/>
    <w:rsid w:val="00F77D0D"/>
    <w:rsid w:val="00F77F63"/>
    <w:rsid w:val="00F80220"/>
    <w:rsid w:val="00F802B6"/>
    <w:rsid w:val="00F803E9"/>
    <w:rsid w:val="00F8047B"/>
    <w:rsid w:val="00F80E05"/>
    <w:rsid w:val="00F80F42"/>
    <w:rsid w:val="00F81067"/>
    <w:rsid w:val="00F813E2"/>
    <w:rsid w:val="00F81AD6"/>
    <w:rsid w:val="00F81B44"/>
    <w:rsid w:val="00F81BD5"/>
    <w:rsid w:val="00F81C96"/>
    <w:rsid w:val="00F81E94"/>
    <w:rsid w:val="00F8252D"/>
    <w:rsid w:val="00F82730"/>
    <w:rsid w:val="00F829E6"/>
    <w:rsid w:val="00F82D07"/>
    <w:rsid w:val="00F83A53"/>
    <w:rsid w:val="00F83D77"/>
    <w:rsid w:val="00F83E21"/>
    <w:rsid w:val="00F83EAB"/>
    <w:rsid w:val="00F8436A"/>
    <w:rsid w:val="00F84517"/>
    <w:rsid w:val="00F8460A"/>
    <w:rsid w:val="00F84793"/>
    <w:rsid w:val="00F84AC6"/>
    <w:rsid w:val="00F84BAD"/>
    <w:rsid w:val="00F851B7"/>
    <w:rsid w:val="00F857F2"/>
    <w:rsid w:val="00F85A56"/>
    <w:rsid w:val="00F85B02"/>
    <w:rsid w:val="00F85DF0"/>
    <w:rsid w:val="00F861AE"/>
    <w:rsid w:val="00F863F2"/>
    <w:rsid w:val="00F86437"/>
    <w:rsid w:val="00F86478"/>
    <w:rsid w:val="00F867D0"/>
    <w:rsid w:val="00F86C72"/>
    <w:rsid w:val="00F86E8E"/>
    <w:rsid w:val="00F878C3"/>
    <w:rsid w:val="00F9055F"/>
    <w:rsid w:val="00F90A1E"/>
    <w:rsid w:val="00F90B4B"/>
    <w:rsid w:val="00F90F96"/>
    <w:rsid w:val="00F90FFF"/>
    <w:rsid w:val="00F91334"/>
    <w:rsid w:val="00F91513"/>
    <w:rsid w:val="00F91581"/>
    <w:rsid w:val="00F91D21"/>
    <w:rsid w:val="00F91FF7"/>
    <w:rsid w:val="00F9202D"/>
    <w:rsid w:val="00F921D8"/>
    <w:rsid w:val="00F92278"/>
    <w:rsid w:val="00F92401"/>
    <w:rsid w:val="00F92447"/>
    <w:rsid w:val="00F92568"/>
    <w:rsid w:val="00F925EC"/>
    <w:rsid w:val="00F92730"/>
    <w:rsid w:val="00F928BF"/>
    <w:rsid w:val="00F92C40"/>
    <w:rsid w:val="00F92E96"/>
    <w:rsid w:val="00F92FCD"/>
    <w:rsid w:val="00F9348C"/>
    <w:rsid w:val="00F93641"/>
    <w:rsid w:val="00F93728"/>
    <w:rsid w:val="00F937DF"/>
    <w:rsid w:val="00F93ABC"/>
    <w:rsid w:val="00F93E20"/>
    <w:rsid w:val="00F9430A"/>
    <w:rsid w:val="00F94A35"/>
    <w:rsid w:val="00F94A91"/>
    <w:rsid w:val="00F94B17"/>
    <w:rsid w:val="00F94C24"/>
    <w:rsid w:val="00F94CCA"/>
    <w:rsid w:val="00F95178"/>
    <w:rsid w:val="00F953BE"/>
    <w:rsid w:val="00F9543A"/>
    <w:rsid w:val="00F956BA"/>
    <w:rsid w:val="00F95AC3"/>
    <w:rsid w:val="00F95B75"/>
    <w:rsid w:val="00F95B90"/>
    <w:rsid w:val="00F95C72"/>
    <w:rsid w:val="00F95E51"/>
    <w:rsid w:val="00F96196"/>
    <w:rsid w:val="00F96392"/>
    <w:rsid w:val="00F96533"/>
    <w:rsid w:val="00F96569"/>
    <w:rsid w:val="00F96592"/>
    <w:rsid w:val="00F9659E"/>
    <w:rsid w:val="00F969FB"/>
    <w:rsid w:val="00F96BBB"/>
    <w:rsid w:val="00F96C3E"/>
    <w:rsid w:val="00F96E93"/>
    <w:rsid w:val="00F96F9A"/>
    <w:rsid w:val="00F971B5"/>
    <w:rsid w:val="00F9720A"/>
    <w:rsid w:val="00F97514"/>
    <w:rsid w:val="00F979B1"/>
    <w:rsid w:val="00F97C35"/>
    <w:rsid w:val="00FA0572"/>
    <w:rsid w:val="00FA0860"/>
    <w:rsid w:val="00FA0CD3"/>
    <w:rsid w:val="00FA0EBD"/>
    <w:rsid w:val="00FA113A"/>
    <w:rsid w:val="00FA12B1"/>
    <w:rsid w:val="00FA12FC"/>
    <w:rsid w:val="00FA16BE"/>
    <w:rsid w:val="00FA1744"/>
    <w:rsid w:val="00FA1984"/>
    <w:rsid w:val="00FA1D5A"/>
    <w:rsid w:val="00FA1E15"/>
    <w:rsid w:val="00FA2414"/>
    <w:rsid w:val="00FA2433"/>
    <w:rsid w:val="00FA244D"/>
    <w:rsid w:val="00FA2469"/>
    <w:rsid w:val="00FA2DEF"/>
    <w:rsid w:val="00FA2E57"/>
    <w:rsid w:val="00FA305B"/>
    <w:rsid w:val="00FA362B"/>
    <w:rsid w:val="00FA376D"/>
    <w:rsid w:val="00FA43A7"/>
    <w:rsid w:val="00FA4422"/>
    <w:rsid w:val="00FA4466"/>
    <w:rsid w:val="00FA49D8"/>
    <w:rsid w:val="00FA4A79"/>
    <w:rsid w:val="00FA4C79"/>
    <w:rsid w:val="00FA50F5"/>
    <w:rsid w:val="00FA5140"/>
    <w:rsid w:val="00FA5357"/>
    <w:rsid w:val="00FA56EB"/>
    <w:rsid w:val="00FA58B7"/>
    <w:rsid w:val="00FA593D"/>
    <w:rsid w:val="00FA59EC"/>
    <w:rsid w:val="00FA5BD5"/>
    <w:rsid w:val="00FA5DEB"/>
    <w:rsid w:val="00FA6648"/>
    <w:rsid w:val="00FA6959"/>
    <w:rsid w:val="00FA6C38"/>
    <w:rsid w:val="00FA6C75"/>
    <w:rsid w:val="00FA7365"/>
    <w:rsid w:val="00FA740E"/>
    <w:rsid w:val="00FA763D"/>
    <w:rsid w:val="00FA7683"/>
    <w:rsid w:val="00FA786A"/>
    <w:rsid w:val="00FA7D40"/>
    <w:rsid w:val="00FA7EE2"/>
    <w:rsid w:val="00FA7F7F"/>
    <w:rsid w:val="00FB03D5"/>
    <w:rsid w:val="00FB04CA"/>
    <w:rsid w:val="00FB06E5"/>
    <w:rsid w:val="00FB090D"/>
    <w:rsid w:val="00FB0D16"/>
    <w:rsid w:val="00FB1144"/>
    <w:rsid w:val="00FB12F9"/>
    <w:rsid w:val="00FB1311"/>
    <w:rsid w:val="00FB14F6"/>
    <w:rsid w:val="00FB1759"/>
    <w:rsid w:val="00FB293C"/>
    <w:rsid w:val="00FB2C28"/>
    <w:rsid w:val="00FB309B"/>
    <w:rsid w:val="00FB333B"/>
    <w:rsid w:val="00FB399A"/>
    <w:rsid w:val="00FB39F4"/>
    <w:rsid w:val="00FB3B81"/>
    <w:rsid w:val="00FB3FAC"/>
    <w:rsid w:val="00FB40B8"/>
    <w:rsid w:val="00FB419B"/>
    <w:rsid w:val="00FB4281"/>
    <w:rsid w:val="00FB474F"/>
    <w:rsid w:val="00FB4993"/>
    <w:rsid w:val="00FB4CD7"/>
    <w:rsid w:val="00FB4D1D"/>
    <w:rsid w:val="00FB546E"/>
    <w:rsid w:val="00FB5C0D"/>
    <w:rsid w:val="00FB5F5E"/>
    <w:rsid w:val="00FB64FC"/>
    <w:rsid w:val="00FB6948"/>
    <w:rsid w:val="00FB6B61"/>
    <w:rsid w:val="00FB6D1B"/>
    <w:rsid w:val="00FB7389"/>
    <w:rsid w:val="00FB7A56"/>
    <w:rsid w:val="00FB7B4A"/>
    <w:rsid w:val="00FC0CAB"/>
    <w:rsid w:val="00FC12F3"/>
    <w:rsid w:val="00FC1449"/>
    <w:rsid w:val="00FC155C"/>
    <w:rsid w:val="00FC1807"/>
    <w:rsid w:val="00FC1812"/>
    <w:rsid w:val="00FC1ACC"/>
    <w:rsid w:val="00FC1B2A"/>
    <w:rsid w:val="00FC1CCB"/>
    <w:rsid w:val="00FC2442"/>
    <w:rsid w:val="00FC2989"/>
    <w:rsid w:val="00FC2C02"/>
    <w:rsid w:val="00FC2D43"/>
    <w:rsid w:val="00FC313E"/>
    <w:rsid w:val="00FC3A11"/>
    <w:rsid w:val="00FC3B94"/>
    <w:rsid w:val="00FC3CB1"/>
    <w:rsid w:val="00FC41A9"/>
    <w:rsid w:val="00FC43CE"/>
    <w:rsid w:val="00FC4487"/>
    <w:rsid w:val="00FC4A3D"/>
    <w:rsid w:val="00FC4BBE"/>
    <w:rsid w:val="00FC4FA8"/>
    <w:rsid w:val="00FC5318"/>
    <w:rsid w:val="00FC544E"/>
    <w:rsid w:val="00FC5664"/>
    <w:rsid w:val="00FC5B30"/>
    <w:rsid w:val="00FC5F82"/>
    <w:rsid w:val="00FC6066"/>
    <w:rsid w:val="00FC6279"/>
    <w:rsid w:val="00FC6360"/>
    <w:rsid w:val="00FC658F"/>
    <w:rsid w:val="00FC6863"/>
    <w:rsid w:val="00FC6A6A"/>
    <w:rsid w:val="00FC6AD3"/>
    <w:rsid w:val="00FC6B56"/>
    <w:rsid w:val="00FC6D12"/>
    <w:rsid w:val="00FC6D58"/>
    <w:rsid w:val="00FC709D"/>
    <w:rsid w:val="00FC719A"/>
    <w:rsid w:val="00FC768A"/>
    <w:rsid w:val="00FC78B9"/>
    <w:rsid w:val="00FC79E5"/>
    <w:rsid w:val="00FD0264"/>
    <w:rsid w:val="00FD0386"/>
    <w:rsid w:val="00FD0524"/>
    <w:rsid w:val="00FD054B"/>
    <w:rsid w:val="00FD07BC"/>
    <w:rsid w:val="00FD07F7"/>
    <w:rsid w:val="00FD0926"/>
    <w:rsid w:val="00FD0A13"/>
    <w:rsid w:val="00FD0BCF"/>
    <w:rsid w:val="00FD10FC"/>
    <w:rsid w:val="00FD1356"/>
    <w:rsid w:val="00FD16A9"/>
    <w:rsid w:val="00FD1910"/>
    <w:rsid w:val="00FD22DD"/>
    <w:rsid w:val="00FD258E"/>
    <w:rsid w:val="00FD26D8"/>
    <w:rsid w:val="00FD28B1"/>
    <w:rsid w:val="00FD2A0A"/>
    <w:rsid w:val="00FD2E49"/>
    <w:rsid w:val="00FD33E0"/>
    <w:rsid w:val="00FD3566"/>
    <w:rsid w:val="00FD3855"/>
    <w:rsid w:val="00FD3AA0"/>
    <w:rsid w:val="00FD3CBB"/>
    <w:rsid w:val="00FD3FFF"/>
    <w:rsid w:val="00FD41D7"/>
    <w:rsid w:val="00FD44BE"/>
    <w:rsid w:val="00FD47E1"/>
    <w:rsid w:val="00FD4D20"/>
    <w:rsid w:val="00FD51EA"/>
    <w:rsid w:val="00FD5822"/>
    <w:rsid w:val="00FD5944"/>
    <w:rsid w:val="00FD5ED2"/>
    <w:rsid w:val="00FD65BA"/>
    <w:rsid w:val="00FD6758"/>
    <w:rsid w:val="00FD6930"/>
    <w:rsid w:val="00FD6CBF"/>
    <w:rsid w:val="00FD6CE6"/>
    <w:rsid w:val="00FD6F26"/>
    <w:rsid w:val="00FD7243"/>
    <w:rsid w:val="00FD748A"/>
    <w:rsid w:val="00FD7924"/>
    <w:rsid w:val="00FD79C0"/>
    <w:rsid w:val="00FD7AF5"/>
    <w:rsid w:val="00FD7B49"/>
    <w:rsid w:val="00FD7B63"/>
    <w:rsid w:val="00FD7C28"/>
    <w:rsid w:val="00FD7C49"/>
    <w:rsid w:val="00FE05DB"/>
    <w:rsid w:val="00FE06D1"/>
    <w:rsid w:val="00FE0EF9"/>
    <w:rsid w:val="00FE135D"/>
    <w:rsid w:val="00FE13BA"/>
    <w:rsid w:val="00FE1863"/>
    <w:rsid w:val="00FE18AA"/>
    <w:rsid w:val="00FE18C1"/>
    <w:rsid w:val="00FE1E64"/>
    <w:rsid w:val="00FE1EFB"/>
    <w:rsid w:val="00FE2207"/>
    <w:rsid w:val="00FE2407"/>
    <w:rsid w:val="00FE25ED"/>
    <w:rsid w:val="00FE2690"/>
    <w:rsid w:val="00FE2AD2"/>
    <w:rsid w:val="00FE2AFC"/>
    <w:rsid w:val="00FE2C81"/>
    <w:rsid w:val="00FE2CBF"/>
    <w:rsid w:val="00FE2D02"/>
    <w:rsid w:val="00FE2EA6"/>
    <w:rsid w:val="00FE303E"/>
    <w:rsid w:val="00FE3440"/>
    <w:rsid w:val="00FE3466"/>
    <w:rsid w:val="00FE3550"/>
    <w:rsid w:val="00FE3CE4"/>
    <w:rsid w:val="00FE4467"/>
    <w:rsid w:val="00FE4F67"/>
    <w:rsid w:val="00FE5448"/>
    <w:rsid w:val="00FE551A"/>
    <w:rsid w:val="00FE55DB"/>
    <w:rsid w:val="00FE5849"/>
    <w:rsid w:val="00FE5B01"/>
    <w:rsid w:val="00FE5B84"/>
    <w:rsid w:val="00FE5BF7"/>
    <w:rsid w:val="00FE5D89"/>
    <w:rsid w:val="00FE6031"/>
    <w:rsid w:val="00FE6446"/>
    <w:rsid w:val="00FE6762"/>
    <w:rsid w:val="00FE68A1"/>
    <w:rsid w:val="00FE6A60"/>
    <w:rsid w:val="00FE6C0E"/>
    <w:rsid w:val="00FE7141"/>
    <w:rsid w:val="00FE73AB"/>
    <w:rsid w:val="00FE73E7"/>
    <w:rsid w:val="00FE75AB"/>
    <w:rsid w:val="00FE7803"/>
    <w:rsid w:val="00FE781A"/>
    <w:rsid w:val="00FE7A7A"/>
    <w:rsid w:val="00FF085B"/>
    <w:rsid w:val="00FF0A29"/>
    <w:rsid w:val="00FF0A88"/>
    <w:rsid w:val="00FF0CFD"/>
    <w:rsid w:val="00FF0ECC"/>
    <w:rsid w:val="00FF1078"/>
    <w:rsid w:val="00FF140A"/>
    <w:rsid w:val="00FF1452"/>
    <w:rsid w:val="00FF1704"/>
    <w:rsid w:val="00FF1903"/>
    <w:rsid w:val="00FF19D0"/>
    <w:rsid w:val="00FF1B7C"/>
    <w:rsid w:val="00FF1C2D"/>
    <w:rsid w:val="00FF20DB"/>
    <w:rsid w:val="00FF2519"/>
    <w:rsid w:val="00FF2762"/>
    <w:rsid w:val="00FF2B21"/>
    <w:rsid w:val="00FF3007"/>
    <w:rsid w:val="00FF31EF"/>
    <w:rsid w:val="00FF3390"/>
    <w:rsid w:val="00FF354F"/>
    <w:rsid w:val="00FF35A0"/>
    <w:rsid w:val="00FF3630"/>
    <w:rsid w:val="00FF367D"/>
    <w:rsid w:val="00FF3829"/>
    <w:rsid w:val="00FF3ACB"/>
    <w:rsid w:val="00FF3D82"/>
    <w:rsid w:val="00FF3FE8"/>
    <w:rsid w:val="00FF41F2"/>
    <w:rsid w:val="00FF4485"/>
    <w:rsid w:val="00FF45B1"/>
    <w:rsid w:val="00FF479B"/>
    <w:rsid w:val="00FF4B61"/>
    <w:rsid w:val="00FF4C4F"/>
    <w:rsid w:val="00FF53C4"/>
    <w:rsid w:val="00FF57F9"/>
    <w:rsid w:val="00FF5971"/>
    <w:rsid w:val="00FF5EE5"/>
    <w:rsid w:val="00FF647E"/>
    <w:rsid w:val="00FF65B1"/>
    <w:rsid w:val="00FF65D5"/>
    <w:rsid w:val="00FF689A"/>
    <w:rsid w:val="00FF6D27"/>
    <w:rsid w:val="00FF6FF2"/>
    <w:rsid w:val="00FF70F9"/>
    <w:rsid w:val="00FF773D"/>
    <w:rsid w:val="00FF7812"/>
    <w:rsid w:val="00FF7C04"/>
    <w:rsid w:val="00FF7D0F"/>
    <w:rsid w:val="00FF7D31"/>
    <w:rsid w:val="02BF7B15"/>
    <w:rsid w:val="0343EDF7"/>
    <w:rsid w:val="047ADED8"/>
    <w:rsid w:val="0571A317"/>
    <w:rsid w:val="065C2880"/>
    <w:rsid w:val="06728E78"/>
    <w:rsid w:val="06C23B79"/>
    <w:rsid w:val="0838051D"/>
    <w:rsid w:val="08EA0DA4"/>
    <w:rsid w:val="0C442B18"/>
    <w:rsid w:val="0C56A197"/>
    <w:rsid w:val="0C6C2923"/>
    <w:rsid w:val="0C757932"/>
    <w:rsid w:val="0D2FDE36"/>
    <w:rsid w:val="0F4AEC68"/>
    <w:rsid w:val="0F50D1C1"/>
    <w:rsid w:val="0F9DCA4A"/>
    <w:rsid w:val="0FB4AD73"/>
    <w:rsid w:val="10C7810E"/>
    <w:rsid w:val="11901C27"/>
    <w:rsid w:val="13529101"/>
    <w:rsid w:val="15D149D6"/>
    <w:rsid w:val="16B9AA92"/>
    <w:rsid w:val="16CCDE7E"/>
    <w:rsid w:val="177CC084"/>
    <w:rsid w:val="18F64A18"/>
    <w:rsid w:val="1A2D42DA"/>
    <w:rsid w:val="1A9C4D7E"/>
    <w:rsid w:val="1B69E632"/>
    <w:rsid w:val="1B6BCE13"/>
    <w:rsid w:val="1C0B60E3"/>
    <w:rsid w:val="1E20F09F"/>
    <w:rsid w:val="1F236437"/>
    <w:rsid w:val="1F2B9CF9"/>
    <w:rsid w:val="1FAF5415"/>
    <w:rsid w:val="1FBF61DC"/>
    <w:rsid w:val="1FF7A2D0"/>
    <w:rsid w:val="2146EB94"/>
    <w:rsid w:val="221C1B93"/>
    <w:rsid w:val="22A9EF87"/>
    <w:rsid w:val="22D2D868"/>
    <w:rsid w:val="2492B379"/>
    <w:rsid w:val="252B810B"/>
    <w:rsid w:val="25CDD6BA"/>
    <w:rsid w:val="25F3001B"/>
    <w:rsid w:val="26A6A7C0"/>
    <w:rsid w:val="278DE4FF"/>
    <w:rsid w:val="28BE9751"/>
    <w:rsid w:val="299CC49B"/>
    <w:rsid w:val="2ADD5B36"/>
    <w:rsid w:val="2B3186FF"/>
    <w:rsid w:val="2D1414A7"/>
    <w:rsid w:val="2E7FA5B0"/>
    <w:rsid w:val="2F4B7676"/>
    <w:rsid w:val="2F874812"/>
    <w:rsid w:val="306F829E"/>
    <w:rsid w:val="31FDDEAD"/>
    <w:rsid w:val="323A8EC0"/>
    <w:rsid w:val="32649072"/>
    <w:rsid w:val="333D0ED3"/>
    <w:rsid w:val="33DF9A56"/>
    <w:rsid w:val="3454F355"/>
    <w:rsid w:val="35A90F99"/>
    <w:rsid w:val="35F1B6C5"/>
    <w:rsid w:val="37DBC550"/>
    <w:rsid w:val="38325D45"/>
    <w:rsid w:val="387E6C5F"/>
    <w:rsid w:val="3AFC9840"/>
    <w:rsid w:val="3B497313"/>
    <w:rsid w:val="3D9D411B"/>
    <w:rsid w:val="3E487EAE"/>
    <w:rsid w:val="3F4B8ABF"/>
    <w:rsid w:val="3F72A173"/>
    <w:rsid w:val="403EF63B"/>
    <w:rsid w:val="40CBDA51"/>
    <w:rsid w:val="40DFD214"/>
    <w:rsid w:val="411506B7"/>
    <w:rsid w:val="41DF4280"/>
    <w:rsid w:val="431FB113"/>
    <w:rsid w:val="4448CEE4"/>
    <w:rsid w:val="44A2BC49"/>
    <w:rsid w:val="45FC5652"/>
    <w:rsid w:val="4879AB42"/>
    <w:rsid w:val="48C7A081"/>
    <w:rsid w:val="48D23005"/>
    <w:rsid w:val="4AA3F75D"/>
    <w:rsid w:val="4BA3CDFE"/>
    <w:rsid w:val="4BDF2F41"/>
    <w:rsid w:val="4C8028AA"/>
    <w:rsid w:val="4CD318EE"/>
    <w:rsid w:val="4DE90BA0"/>
    <w:rsid w:val="4F8A6D86"/>
    <w:rsid w:val="4FC72920"/>
    <w:rsid w:val="50070184"/>
    <w:rsid w:val="506E2A23"/>
    <w:rsid w:val="51BC3280"/>
    <w:rsid w:val="5327CBE1"/>
    <w:rsid w:val="551D0B34"/>
    <w:rsid w:val="55B762DE"/>
    <w:rsid w:val="56A18548"/>
    <w:rsid w:val="56CDE438"/>
    <w:rsid w:val="58C9FA09"/>
    <w:rsid w:val="59006A6C"/>
    <w:rsid w:val="5928A9C1"/>
    <w:rsid w:val="59E2AF1A"/>
    <w:rsid w:val="5B19489C"/>
    <w:rsid w:val="5B1AF185"/>
    <w:rsid w:val="60414941"/>
    <w:rsid w:val="6095DD74"/>
    <w:rsid w:val="61365FC6"/>
    <w:rsid w:val="614ABC1C"/>
    <w:rsid w:val="624E3BCF"/>
    <w:rsid w:val="6263261C"/>
    <w:rsid w:val="6659A159"/>
    <w:rsid w:val="66671F7D"/>
    <w:rsid w:val="666A2F54"/>
    <w:rsid w:val="66855751"/>
    <w:rsid w:val="669E5885"/>
    <w:rsid w:val="66E5EBF2"/>
    <w:rsid w:val="66E884E5"/>
    <w:rsid w:val="6992EA38"/>
    <w:rsid w:val="6A5BE5E7"/>
    <w:rsid w:val="6AC73166"/>
    <w:rsid w:val="6AF465CB"/>
    <w:rsid w:val="6BB23E48"/>
    <w:rsid w:val="6DCE109F"/>
    <w:rsid w:val="6F14907A"/>
    <w:rsid w:val="6FDDDB88"/>
    <w:rsid w:val="703C03E0"/>
    <w:rsid w:val="70E3D058"/>
    <w:rsid w:val="71C18C84"/>
    <w:rsid w:val="72936ED7"/>
    <w:rsid w:val="72CF6B11"/>
    <w:rsid w:val="7312FE73"/>
    <w:rsid w:val="731C4413"/>
    <w:rsid w:val="7463D4DE"/>
    <w:rsid w:val="746EADB1"/>
    <w:rsid w:val="74DD5399"/>
    <w:rsid w:val="7615E086"/>
    <w:rsid w:val="761EE665"/>
    <w:rsid w:val="76327DF7"/>
    <w:rsid w:val="763CA720"/>
    <w:rsid w:val="76838E7B"/>
    <w:rsid w:val="7737BDBF"/>
    <w:rsid w:val="777397CB"/>
    <w:rsid w:val="77A68DA9"/>
    <w:rsid w:val="788BF2DF"/>
    <w:rsid w:val="78FB741A"/>
    <w:rsid w:val="7A087E19"/>
    <w:rsid w:val="7A32D06F"/>
    <w:rsid w:val="7B258909"/>
    <w:rsid w:val="7BA62481"/>
    <w:rsid w:val="7C44B738"/>
    <w:rsid w:val="7CC38028"/>
    <w:rsid w:val="7CFEBAA5"/>
    <w:rsid w:val="7FDD5BB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06A3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24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31A73"/>
  </w:style>
  <w:style w:type="paragraph" w:styleId="Heading1">
    <w:name w:val="heading 1"/>
    <w:basedOn w:val="Normal"/>
    <w:next w:val="Normal"/>
    <w:link w:val="Heading1Char"/>
    <w:uiPriority w:val="9"/>
    <w:qFormat/>
    <w:rsid w:val="006D6F75"/>
    <w:pPr>
      <w:keepNext/>
      <w:keepLines/>
      <w:spacing w:before="480" w:after="240"/>
      <w:outlineLvl w:val="0"/>
    </w:pPr>
    <w:rPr>
      <w:rFonts w:eastAsiaTheme="majorEastAsia" w:cstheme="majorBidi"/>
      <w:b/>
      <w:bCs/>
      <w:color w:val="0070C0"/>
      <w:sz w:val="28"/>
      <w:szCs w:val="28"/>
    </w:rPr>
  </w:style>
  <w:style w:type="paragraph" w:styleId="Heading2">
    <w:name w:val="heading 2"/>
    <w:basedOn w:val="Normal"/>
    <w:next w:val="Normal"/>
    <w:link w:val="Heading2Char"/>
    <w:uiPriority w:val="9"/>
    <w:unhideWhenUsed/>
    <w:qFormat/>
    <w:rsid w:val="006D6F75"/>
    <w:pPr>
      <w:keepNext/>
      <w:keepLines/>
      <w:spacing w:before="360"/>
      <w:outlineLvl w:val="1"/>
    </w:pPr>
    <w:rPr>
      <w:rFonts w:eastAsiaTheme="majorEastAsia" w:cs="Times New Roman"/>
      <w:b/>
      <w:bCs/>
      <w:i/>
      <w:color w:val="0070C0"/>
      <w:sz w:val="28"/>
      <w:szCs w:val="24"/>
    </w:rPr>
  </w:style>
  <w:style w:type="paragraph" w:styleId="Heading3">
    <w:name w:val="heading 3"/>
    <w:basedOn w:val="Normal"/>
    <w:next w:val="Normal"/>
    <w:link w:val="Heading3Char"/>
    <w:uiPriority w:val="9"/>
    <w:unhideWhenUsed/>
    <w:qFormat/>
    <w:rsid w:val="006D6F75"/>
    <w:pPr>
      <w:keepNext/>
      <w:keepLines/>
      <w:spacing w:before="60"/>
      <w:contextualSpacing/>
      <w:jc w:val="center"/>
      <w:outlineLvl w:val="2"/>
    </w:pPr>
    <w:rPr>
      <w:rFonts w:eastAsiaTheme="majorEastAsia" w:cstheme="minorHAnsi"/>
      <w:bCs/>
      <w:u w:val="single"/>
      <w:lang w:eastAsia="en-AU"/>
    </w:rPr>
  </w:style>
  <w:style w:type="paragraph" w:styleId="Heading4">
    <w:name w:val="heading 4"/>
    <w:basedOn w:val="Normal"/>
    <w:next w:val="Normal"/>
    <w:link w:val="Heading4Char"/>
    <w:uiPriority w:val="9"/>
    <w:unhideWhenUsed/>
    <w:rsid w:val="006D6F75"/>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7C109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F75"/>
    <w:rPr>
      <w:rFonts w:eastAsiaTheme="majorEastAsia" w:cstheme="majorBidi"/>
      <w:b/>
      <w:bCs/>
      <w:color w:val="0070C0"/>
      <w:sz w:val="28"/>
      <w:szCs w:val="28"/>
    </w:rPr>
  </w:style>
  <w:style w:type="character" w:customStyle="1" w:styleId="Heading2Char">
    <w:name w:val="Heading 2 Char"/>
    <w:basedOn w:val="DefaultParagraphFont"/>
    <w:link w:val="Heading2"/>
    <w:uiPriority w:val="9"/>
    <w:rsid w:val="006D6F75"/>
    <w:rPr>
      <w:rFonts w:eastAsiaTheme="majorEastAsia" w:cs="Times New Roman"/>
      <w:b/>
      <w:bCs/>
      <w:i/>
      <w:color w:val="0070C0"/>
      <w:sz w:val="28"/>
      <w:szCs w:val="24"/>
    </w:rPr>
  </w:style>
  <w:style w:type="character" w:customStyle="1" w:styleId="Heading3Char">
    <w:name w:val="Heading 3 Char"/>
    <w:basedOn w:val="DefaultParagraphFont"/>
    <w:link w:val="Heading3"/>
    <w:uiPriority w:val="9"/>
    <w:rsid w:val="006D6F75"/>
    <w:rPr>
      <w:rFonts w:eastAsiaTheme="majorEastAsia" w:cstheme="minorHAnsi"/>
      <w:bCs/>
      <w:u w:val="single"/>
      <w:lang w:eastAsia="en-AU"/>
    </w:rPr>
  </w:style>
  <w:style w:type="character" w:customStyle="1" w:styleId="Heading4Char">
    <w:name w:val="Heading 4 Char"/>
    <w:basedOn w:val="DefaultParagraphFont"/>
    <w:link w:val="Heading4"/>
    <w:uiPriority w:val="9"/>
    <w:rsid w:val="006D6F75"/>
    <w:rPr>
      <w:rFonts w:asciiTheme="majorHAnsi" w:eastAsiaTheme="majorEastAsia" w:hAnsiTheme="majorHAnsi" w:cstheme="majorBidi"/>
      <w:b/>
      <w:bCs/>
      <w:i/>
      <w:iCs/>
      <w:color w:val="5B9BD5" w:themeColor="accent1"/>
    </w:rPr>
  </w:style>
  <w:style w:type="paragraph" w:styleId="ListParagraph">
    <w:name w:val="List Paragraph"/>
    <w:aliases w:val="Numbered paragraph,Recommendation,List Paragraph1,List Paragraph11,L,CV text,Table text,F5 List Paragraph,Dot pt,Bulleted Para,NFP GP Bulleted List,FooterText,numbered,Paragraphe de liste1,Bulletr List Paragraph,列出段落,列出段落1,List Paragraph2"/>
    <w:basedOn w:val="Numberedpara"/>
    <w:link w:val="ListParagraphChar"/>
    <w:uiPriority w:val="34"/>
    <w:qFormat/>
    <w:rsid w:val="00433313"/>
    <w:pPr>
      <w:numPr>
        <w:numId w:val="1"/>
      </w:numPr>
      <w:spacing w:before="120" w:after="120"/>
    </w:pPr>
    <w:rPr>
      <w:rFonts w:asciiTheme="minorHAnsi" w:hAnsiTheme="minorHAnsi" w:cstheme="minorHAnsi"/>
      <w:sz w:val="24"/>
      <w:szCs w:val="24"/>
    </w:rPr>
  </w:style>
  <w:style w:type="paragraph" w:styleId="BalloonText">
    <w:name w:val="Balloon Text"/>
    <w:basedOn w:val="Normal"/>
    <w:link w:val="BalloonTextChar"/>
    <w:unhideWhenUsed/>
    <w:rsid w:val="006D6F75"/>
    <w:rPr>
      <w:rFonts w:ascii="Tahoma" w:hAnsi="Tahoma" w:cs="Tahoma"/>
      <w:sz w:val="16"/>
      <w:szCs w:val="16"/>
    </w:rPr>
  </w:style>
  <w:style w:type="character" w:customStyle="1" w:styleId="BalloonTextChar">
    <w:name w:val="Balloon Text Char"/>
    <w:basedOn w:val="DefaultParagraphFont"/>
    <w:link w:val="BalloonText"/>
    <w:rsid w:val="006D6F75"/>
    <w:rPr>
      <w:rFonts w:ascii="Tahoma" w:hAnsi="Tahoma" w:cs="Tahoma"/>
      <w:sz w:val="16"/>
      <w:szCs w:val="16"/>
    </w:rPr>
  </w:style>
  <w:style w:type="paragraph" w:styleId="Header">
    <w:name w:val="header"/>
    <w:basedOn w:val="Normal"/>
    <w:link w:val="HeaderChar"/>
    <w:uiPriority w:val="99"/>
    <w:unhideWhenUsed/>
    <w:rsid w:val="006D6F75"/>
    <w:pPr>
      <w:tabs>
        <w:tab w:val="center" w:pos="4513"/>
        <w:tab w:val="right" w:pos="9026"/>
      </w:tabs>
    </w:pPr>
  </w:style>
  <w:style w:type="character" w:customStyle="1" w:styleId="HeaderChar">
    <w:name w:val="Header Char"/>
    <w:basedOn w:val="DefaultParagraphFont"/>
    <w:link w:val="Header"/>
    <w:uiPriority w:val="99"/>
    <w:rsid w:val="006D6F75"/>
  </w:style>
  <w:style w:type="paragraph" w:styleId="Footer">
    <w:name w:val="footer"/>
    <w:basedOn w:val="Normal"/>
    <w:link w:val="FooterChar"/>
    <w:uiPriority w:val="99"/>
    <w:unhideWhenUsed/>
    <w:rsid w:val="006D6F75"/>
    <w:pPr>
      <w:tabs>
        <w:tab w:val="center" w:pos="4513"/>
        <w:tab w:val="right" w:pos="9026"/>
      </w:tabs>
    </w:pPr>
  </w:style>
  <w:style w:type="character" w:customStyle="1" w:styleId="FooterChar">
    <w:name w:val="Footer Char"/>
    <w:basedOn w:val="DefaultParagraphFont"/>
    <w:link w:val="Footer"/>
    <w:uiPriority w:val="99"/>
    <w:rsid w:val="006D6F75"/>
  </w:style>
  <w:style w:type="paragraph" w:customStyle="1" w:styleId="Kevin">
    <w:name w:val="Kevin"/>
    <w:basedOn w:val="Normal"/>
    <w:rsid w:val="006D6F75"/>
    <w:pPr>
      <w:numPr>
        <w:numId w:val="2"/>
      </w:numPr>
      <w:spacing w:before="120"/>
      <w:jc w:val="both"/>
    </w:pPr>
    <w:rPr>
      <w:rFonts w:ascii="Times New Roman" w:eastAsia="SimSun" w:hAnsi="Times New Roman" w:cs="Times New Roman"/>
      <w:sz w:val="24"/>
      <w:szCs w:val="24"/>
      <w:lang w:eastAsia="zh-CN"/>
    </w:rPr>
  </w:style>
  <w:style w:type="numbering" w:customStyle="1" w:styleId="CABNETList">
    <w:name w:val="CABNET List"/>
    <w:rsid w:val="006D6F75"/>
    <w:pPr>
      <w:numPr>
        <w:numId w:val="2"/>
      </w:numPr>
    </w:pPr>
  </w:style>
  <w:style w:type="paragraph" w:customStyle="1" w:styleId="CABNETParagraph">
    <w:name w:val="CABNET Paragraph"/>
    <w:basedOn w:val="Normal"/>
    <w:link w:val="CABNETParagraphChar"/>
    <w:rsid w:val="006D6F75"/>
    <w:pPr>
      <w:spacing w:before="120"/>
    </w:pPr>
    <w:rPr>
      <w:rFonts w:ascii="Verdana" w:eastAsia="Verdana" w:hAnsi="Verdana" w:cs="Times New Roman"/>
    </w:rPr>
  </w:style>
  <w:style w:type="character" w:customStyle="1" w:styleId="CABNETParagraphChar">
    <w:name w:val="CABNET Paragraph Char"/>
    <w:basedOn w:val="DefaultParagraphFont"/>
    <w:link w:val="CABNETParagraph"/>
    <w:rsid w:val="006D6F75"/>
    <w:rPr>
      <w:rFonts w:ascii="Verdana" w:eastAsia="Verdana" w:hAnsi="Verdana" w:cs="Times New Roman"/>
    </w:rPr>
  </w:style>
  <w:style w:type="character" w:styleId="CommentReference">
    <w:name w:val="annotation reference"/>
    <w:basedOn w:val="DefaultParagraphFont"/>
    <w:unhideWhenUsed/>
    <w:rsid w:val="006D6F75"/>
    <w:rPr>
      <w:sz w:val="16"/>
      <w:szCs w:val="16"/>
    </w:rPr>
  </w:style>
  <w:style w:type="paragraph" w:styleId="CommentText">
    <w:name w:val="annotation text"/>
    <w:basedOn w:val="Normal"/>
    <w:link w:val="CommentTextChar"/>
    <w:unhideWhenUsed/>
    <w:rsid w:val="006D6F75"/>
    <w:rPr>
      <w:sz w:val="20"/>
      <w:szCs w:val="20"/>
    </w:rPr>
  </w:style>
  <w:style w:type="character" w:customStyle="1" w:styleId="CommentTextChar">
    <w:name w:val="Comment Text Char"/>
    <w:basedOn w:val="DefaultParagraphFont"/>
    <w:link w:val="CommentText"/>
    <w:rsid w:val="006D6F75"/>
    <w:rPr>
      <w:sz w:val="20"/>
      <w:szCs w:val="20"/>
    </w:rPr>
  </w:style>
  <w:style w:type="paragraph" w:styleId="CommentSubject">
    <w:name w:val="annotation subject"/>
    <w:basedOn w:val="CommentText"/>
    <w:next w:val="CommentText"/>
    <w:link w:val="CommentSubjectChar"/>
    <w:uiPriority w:val="99"/>
    <w:semiHidden/>
    <w:unhideWhenUsed/>
    <w:rsid w:val="006D6F75"/>
    <w:rPr>
      <w:b/>
      <w:bCs/>
    </w:rPr>
  </w:style>
  <w:style w:type="character" w:customStyle="1" w:styleId="CommentSubjectChar">
    <w:name w:val="Comment Subject Char"/>
    <w:basedOn w:val="CommentTextChar"/>
    <w:link w:val="CommentSubject"/>
    <w:uiPriority w:val="99"/>
    <w:semiHidden/>
    <w:rsid w:val="006D6F75"/>
    <w:rPr>
      <w:b/>
      <w:bCs/>
      <w:sz w:val="20"/>
      <w:szCs w:val="20"/>
    </w:rPr>
  </w:style>
  <w:style w:type="paragraph" w:styleId="Revision">
    <w:name w:val="Revision"/>
    <w:hidden/>
    <w:uiPriority w:val="99"/>
    <w:semiHidden/>
    <w:rsid w:val="006D6F75"/>
    <w:pPr>
      <w:spacing w:after="0"/>
    </w:pPr>
  </w:style>
  <w:style w:type="paragraph" w:styleId="FootnoteText">
    <w:name w:val="footnote text"/>
    <w:basedOn w:val="Normal"/>
    <w:link w:val="FootnoteTextChar"/>
    <w:unhideWhenUsed/>
    <w:rsid w:val="006D6F75"/>
    <w:rPr>
      <w:sz w:val="20"/>
      <w:szCs w:val="20"/>
    </w:rPr>
  </w:style>
  <w:style w:type="character" w:customStyle="1" w:styleId="FootnoteTextChar">
    <w:name w:val="Footnote Text Char"/>
    <w:basedOn w:val="DefaultParagraphFont"/>
    <w:link w:val="FootnoteText"/>
    <w:rsid w:val="006D6F75"/>
    <w:rPr>
      <w:sz w:val="20"/>
      <w:szCs w:val="20"/>
    </w:rPr>
  </w:style>
  <w:style w:type="character" w:styleId="FootnoteReference">
    <w:name w:val="footnote reference"/>
    <w:basedOn w:val="DefaultParagraphFont"/>
    <w:unhideWhenUsed/>
    <w:rsid w:val="006D6F75"/>
    <w:rPr>
      <w:vertAlign w:val="superscript"/>
    </w:rPr>
  </w:style>
  <w:style w:type="paragraph" w:styleId="NormalWeb">
    <w:name w:val="Normal (Web)"/>
    <w:basedOn w:val="Normal"/>
    <w:uiPriority w:val="99"/>
    <w:unhideWhenUsed/>
    <w:rsid w:val="006D6F75"/>
    <w:pPr>
      <w:spacing w:after="360"/>
    </w:pPr>
    <w:rPr>
      <w:rFonts w:ascii="Times New Roman" w:eastAsia="Times New Roman" w:hAnsi="Times New Roman" w:cs="Times New Roman"/>
      <w:sz w:val="24"/>
      <w:szCs w:val="24"/>
      <w:lang w:eastAsia="en-AU"/>
    </w:rPr>
  </w:style>
  <w:style w:type="paragraph" w:customStyle="1" w:styleId="CM57">
    <w:name w:val="CM57"/>
    <w:rsid w:val="006D6F75"/>
    <w:pPr>
      <w:autoSpaceDE w:val="0"/>
      <w:autoSpaceDN w:val="0"/>
      <w:adjustRightInd w:val="0"/>
      <w:spacing w:after="0"/>
    </w:pPr>
    <w:rPr>
      <w:rFonts w:ascii="Arial" w:eastAsia="Times New Roman" w:hAnsi="Arial" w:cs="Arial"/>
      <w:sz w:val="24"/>
      <w:szCs w:val="24"/>
      <w:lang w:eastAsia="en-AU"/>
    </w:rPr>
  </w:style>
  <w:style w:type="table" w:styleId="TableGrid">
    <w:name w:val="Table Grid"/>
    <w:basedOn w:val="TableNormal"/>
    <w:uiPriority w:val="39"/>
    <w:rsid w:val="006D6F75"/>
    <w:pPr>
      <w:spacing w:after="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uiPriority w:val="63"/>
    <w:rsid w:val="006D6F75"/>
    <w:pPr>
      <w:spacing w:after="0"/>
    </w:pPr>
    <w:rPr>
      <w:rFonts w:eastAsiaTheme="minorEastAsia" w:cs="Times New Roma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Lines="0" w:before="0" w:beforeAutospacing="0" w:afterLines="0" w:after="0" w:afterAutospacing="0"/>
      </w:pPr>
      <w:rPr>
        <w:rFonts w:ascii="Calibri" w:hAnsi="Calibri" w:cs="Times New Roman" w:hint="default"/>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6E6F4" w:themeFill="accent1" w:themeFillTint="3F"/>
      </w:tcPr>
    </w:tblStylePr>
    <w:tblStylePr w:type="band1Horz">
      <w:rPr>
        <w:rFonts w:ascii="Calibri" w:hAnsi="Calibri" w:cs="Times New Roman" w:hint="default"/>
      </w:rPr>
      <w:tblPr/>
      <w:tcPr>
        <w:tcBorders>
          <w:insideH w:val="nil"/>
          <w:insideV w:val="nil"/>
        </w:tcBorders>
        <w:shd w:val="clear" w:color="auto" w:fill="D6E6F4" w:themeFill="accent1" w:themeFillTint="3F"/>
      </w:tcPr>
    </w:tblStylePr>
    <w:tblStylePr w:type="band2Horz">
      <w:rPr>
        <w:rFonts w:ascii="Calibri" w:hAnsi="Calibri" w:cs="Times New Roman" w:hint="default"/>
      </w:rPr>
      <w:tblPr/>
      <w:tcPr>
        <w:tcBorders>
          <w:insideH w:val="nil"/>
          <w:insideV w:val="nil"/>
        </w:tcBorders>
      </w:tcPr>
    </w:tblStylePr>
  </w:style>
  <w:style w:type="character" w:styleId="Emphasis">
    <w:name w:val="Emphasis"/>
    <w:basedOn w:val="DefaultParagraphFont"/>
    <w:uiPriority w:val="20"/>
    <w:rsid w:val="006D6F75"/>
    <w:rPr>
      <w:rFonts w:ascii="Times New Roman" w:hAnsi="Times New Roman" w:cs="Times New Roman" w:hint="default"/>
      <w:b/>
      <w:bCs/>
      <w:i w:val="0"/>
      <w:iCs w:val="0"/>
    </w:rPr>
  </w:style>
  <w:style w:type="character" w:customStyle="1" w:styleId="st">
    <w:name w:val="st"/>
    <w:basedOn w:val="DefaultParagraphFont"/>
    <w:rsid w:val="006D6F75"/>
    <w:rPr>
      <w:rFonts w:ascii="Times New Roman" w:hAnsi="Times New Roman" w:cs="Times New Roman" w:hint="default"/>
    </w:rPr>
  </w:style>
  <w:style w:type="paragraph" w:styleId="TOCHeading">
    <w:name w:val="TOC Heading"/>
    <w:basedOn w:val="Heading1"/>
    <w:next w:val="Normal"/>
    <w:uiPriority w:val="39"/>
    <w:unhideWhenUsed/>
    <w:rsid w:val="006D6F75"/>
    <w:pPr>
      <w:spacing w:after="0" w:line="276" w:lineRule="auto"/>
      <w:outlineLvl w:val="9"/>
    </w:pPr>
    <w:rPr>
      <w:rFonts w:asciiTheme="majorHAnsi" w:hAnsiTheme="majorHAnsi"/>
      <w:color w:val="2E74B5" w:themeColor="accent1" w:themeShade="BF"/>
      <w:lang w:val="en-US" w:eastAsia="ja-JP"/>
    </w:rPr>
  </w:style>
  <w:style w:type="paragraph" w:styleId="TOC1">
    <w:name w:val="toc 1"/>
    <w:basedOn w:val="Normal"/>
    <w:next w:val="Normal"/>
    <w:autoRedefine/>
    <w:uiPriority w:val="39"/>
    <w:unhideWhenUsed/>
    <w:rsid w:val="006D6F75"/>
    <w:rPr>
      <w:rFonts w:ascii="Times New Roman" w:hAnsi="Times New Roman" w:cstheme="minorHAnsi"/>
      <w:bCs/>
      <w:sz w:val="24"/>
      <w:szCs w:val="20"/>
    </w:rPr>
  </w:style>
  <w:style w:type="character" w:styleId="Hyperlink">
    <w:name w:val="Hyperlink"/>
    <w:basedOn w:val="DefaultParagraphFont"/>
    <w:uiPriority w:val="99"/>
    <w:unhideWhenUsed/>
    <w:rsid w:val="006D6F75"/>
    <w:rPr>
      <w:color w:val="0563C1" w:themeColor="hyperlink"/>
      <w:u w:val="single"/>
    </w:rPr>
  </w:style>
  <w:style w:type="paragraph" w:styleId="TOC2">
    <w:name w:val="toc 2"/>
    <w:basedOn w:val="Normal"/>
    <w:next w:val="Normal"/>
    <w:autoRedefine/>
    <w:uiPriority w:val="39"/>
    <w:unhideWhenUsed/>
    <w:rsid w:val="006D6F75"/>
    <w:pPr>
      <w:spacing w:before="120"/>
      <w:ind w:left="220"/>
    </w:pPr>
    <w:rPr>
      <w:rFonts w:cstheme="minorHAnsi"/>
      <w:i/>
      <w:iCs/>
      <w:sz w:val="20"/>
      <w:szCs w:val="20"/>
    </w:rPr>
  </w:style>
  <w:style w:type="paragraph" w:styleId="TOC3">
    <w:name w:val="toc 3"/>
    <w:basedOn w:val="Normal"/>
    <w:next w:val="Normal"/>
    <w:autoRedefine/>
    <w:uiPriority w:val="39"/>
    <w:unhideWhenUsed/>
    <w:rsid w:val="006D6F75"/>
    <w:pPr>
      <w:ind w:left="440"/>
    </w:pPr>
    <w:rPr>
      <w:rFonts w:cstheme="minorHAnsi"/>
      <w:sz w:val="20"/>
      <w:szCs w:val="20"/>
    </w:rPr>
  </w:style>
  <w:style w:type="paragraph" w:styleId="TOC4">
    <w:name w:val="toc 4"/>
    <w:basedOn w:val="Normal"/>
    <w:next w:val="Normal"/>
    <w:autoRedefine/>
    <w:uiPriority w:val="39"/>
    <w:unhideWhenUsed/>
    <w:rsid w:val="006D6F75"/>
    <w:pPr>
      <w:ind w:left="660"/>
    </w:pPr>
    <w:rPr>
      <w:rFonts w:cstheme="minorHAnsi"/>
      <w:sz w:val="20"/>
      <w:szCs w:val="20"/>
    </w:rPr>
  </w:style>
  <w:style w:type="paragraph" w:styleId="TOC5">
    <w:name w:val="toc 5"/>
    <w:basedOn w:val="Normal"/>
    <w:next w:val="Normal"/>
    <w:autoRedefine/>
    <w:uiPriority w:val="39"/>
    <w:unhideWhenUsed/>
    <w:rsid w:val="006D6F75"/>
    <w:pPr>
      <w:ind w:left="880"/>
    </w:pPr>
    <w:rPr>
      <w:rFonts w:cstheme="minorHAnsi"/>
      <w:sz w:val="20"/>
      <w:szCs w:val="20"/>
    </w:rPr>
  </w:style>
  <w:style w:type="paragraph" w:styleId="TOC6">
    <w:name w:val="toc 6"/>
    <w:basedOn w:val="Normal"/>
    <w:next w:val="Normal"/>
    <w:autoRedefine/>
    <w:uiPriority w:val="39"/>
    <w:unhideWhenUsed/>
    <w:rsid w:val="006D6F75"/>
    <w:pPr>
      <w:ind w:left="1100"/>
    </w:pPr>
    <w:rPr>
      <w:rFonts w:cstheme="minorHAnsi"/>
      <w:sz w:val="20"/>
      <w:szCs w:val="20"/>
    </w:rPr>
  </w:style>
  <w:style w:type="paragraph" w:styleId="TOC7">
    <w:name w:val="toc 7"/>
    <w:basedOn w:val="Normal"/>
    <w:next w:val="Normal"/>
    <w:autoRedefine/>
    <w:uiPriority w:val="39"/>
    <w:unhideWhenUsed/>
    <w:rsid w:val="006D6F75"/>
    <w:pPr>
      <w:ind w:left="1320"/>
    </w:pPr>
    <w:rPr>
      <w:rFonts w:cstheme="minorHAnsi"/>
      <w:sz w:val="20"/>
      <w:szCs w:val="20"/>
    </w:rPr>
  </w:style>
  <w:style w:type="paragraph" w:styleId="TOC8">
    <w:name w:val="toc 8"/>
    <w:basedOn w:val="Normal"/>
    <w:next w:val="Normal"/>
    <w:autoRedefine/>
    <w:uiPriority w:val="39"/>
    <w:unhideWhenUsed/>
    <w:rsid w:val="006D6F75"/>
    <w:pPr>
      <w:ind w:left="1540"/>
    </w:pPr>
    <w:rPr>
      <w:rFonts w:cstheme="minorHAnsi"/>
      <w:sz w:val="20"/>
      <w:szCs w:val="20"/>
    </w:rPr>
  </w:style>
  <w:style w:type="paragraph" w:styleId="TOC9">
    <w:name w:val="toc 9"/>
    <w:basedOn w:val="Normal"/>
    <w:next w:val="Normal"/>
    <w:autoRedefine/>
    <w:uiPriority w:val="39"/>
    <w:unhideWhenUsed/>
    <w:rsid w:val="006D6F75"/>
    <w:pPr>
      <w:ind w:left="1760"/>
    </w:pPr>
    <w:rPr>
      <w:rFonts w:cstheme="minorHAnsi"/>
      <w:sz w:val="20"/>
      <w:szCs w:val="20"/>
    </w:rPr>
  </w:style>
  <w:style w:type="paragraph" w:customStyle="1" w:styleId="Dotpointstyle">
    <w:name w:val="Dot point style"/>
    <w:basedOn w:val="ListParagraph"/>
    <w:link w:val="DotpointstyleChar"/>
    <w:autoRedefine/>
    <w:qFormat/>
    <w:rsid w:val="0083338A"/>
    <w:pPr>
      <w:numPr>
        <w:numId w:val="3"/>
      </w:numPr>
      <w:contextualSpacing/>
    </w:pPr>
  </w:style>
  <w:style w:type="character" w:customStyle="1" w:styleId="ListParagraphChar">
    <w:name w:val="List Paragraph Char"/>
    <w:aliases w:val="Numbered paragraph Char,Recommendation Char,List Paragraph1 Char,List Paragraph11 Char,L Char,CV text Char,Table text Char,F5 List Paragraph Char,Dot pt Char,Bulleted Para Char,NFP GP Bulleted List Char,FooterText Char,numbered Char"/>
    <w:basedOn w:val="DefaultParagraphFont"/>
    <w:link w:val="ListParagraph"/>
    <w:uiPriority w:val="34"/>
    <w:qFormat/>
    <w:rsid w:val="00433313"/>
    <w:rPr>
      <w:rFonts w:eastAsia="Times New Roman" w:cstheme="minorHAnsi"/>
      <w:sz w:val="24"/>
      <w:szCs w:val="24"/>
      <w:lang w:eastAsia="en-AU"/>
    </w:rPr>
  </w:style>
  <w:style w:type="character" w:customStyle="1" w:styleId="DotpointstyleChar">
    <w:name w:val="Dot point style Char"/>
    <w:basedOn w:val="ListParagraphChar"/>
    <w:link w:val="Dotpointstyle"/>
    <w:rsid w:val="0083338A"/>
    <w:rPr>
      <w:rFonts w:eastAsia="Times New Roman" w:cstheme="minorHAnsi"/>
      <w:sz w:val="24"/>
      <w:szCs w:val="24"/>
      <w:lang w:eastAsia="en-AU"/>
    </w:rPr>
  </w:style>
  <w:style w:type="paragraph" w:customStyle="1" w:styleId="Tableheading">
    <w:name w:val="Table heading"/>
    <w:basedOn w:val="Normal"/>
    <w:link w:val="TableheadingChar"/>
    <w:qFormat/>
    <w:rsid w:val="006D6F75"/>
    <w:pPr>
      <w:keepNext/>
    </w:pPr>
    <w:rPr>
      <w:rFonts w:ascii="Times New Roman" w:hAnsi="Times New Roman" w:cs="Times New Roman"/>
      <w:b/>
    </w:rPr>
  </w:style>
  <w:style w:type="paragraph" w:customStyle="1" w:styleId="Numberedpara">
    <w:name w:val="Numbered para"/>
    <w:basedOn w:val="Normal"/>
    <w:link w:val="NumberedparaChar"/>
    <w:rsid w:val="006D6F75"/>
    <w:pPr>
      <w:numPr>
        <w:numId w:val="4"/>
      </w:numPr>
      <w:spacing w:after="240"/>
    </w:pPr>
    <w:rPr>
      <w:rFonts w:ascii="Verdana" w:eastAsia="Times New Roman" w:hAnsi="Verdana" w:cs="Times New Roman"/>
      <w:szCs w:val="20"/>
      <w:lang w:eastAsia="en-AU"/>
    </w:rPr>
  </w:style>
  <w:style w:type="character" w:customStyle="1" w:styleId="TableheadingChar">
    <w:name w:val="Table heading Char"/>
    <w:basedOn w:val="DefaultParagraphFont"/>
    <w:link w:val="Tableheading"/>
    <w:rsid w:val="006D6F75"/>
    <w:rPr>
      <w:rFonts w:ascii="Times New Roman" w:hAnsi="Times New Roman" w:cs="Times New Roman"/>
      <w:b/>
    </w:rPr>
  </w:style>
  <w:style w:type="character" w:customStyle="1" w:styleId="NumberedparaChar">
    <w:name w:val="Numbered para Char"/>
    <w:link w:val="Numberedpara"/>
    <w:rsid w:val="006D6F75"/>
    <w:rPr>
      <w:rFonts w:ascii="Verdana" w:eastAsia="Times New Roman" w:hAnsi="Verdana" w:cs="Times New Roman"/>
      <w:szCs w:val="20"/>
      <w:lang w:eastAsia="en-AU"/>
    </w:rPr>
  </w:style>
  <w:style w:type="paragraph" w:customStyle="1" w:styleId="Default">
    <w:name w:val="Default"/>
    <w:rsid w:val="006D6F75"/>
    <w:pPr>
      <w:autoSpaceDE w:val="0"/>
      <w:autoSpaceDN w:val="0"/>
      <w:adjustRightInd w:val="0"/>
      <w:spacing w:after="0"/>
    </w:pPr>
    <w:rPr>
      <w:rFonts w:ascii="Arial" w:hAnsi="Arial" w:cs="Arial"/>
      <w:color w:val="000000"/>
      <w:sz w:val="24"/>
      <w:szCs w:val="24"/>
    </w:rPr>
  </w:style>
  <w:style w:type="paragraph" w:customStyle="1" w:styleId="Style1">
    <w:name w:val="Style1"/>
    <w:basedOn w:val="ListParagraph"/>
    <w:link w:val="Style1Char"/>
    <w:qFormat/>
    <w:rsid w:val="006D6F75"/>
  </w:style>
  <w:style w:type="character" w:customStyle="1" w:styleId="Style1Char">
    <w:name w:val="Style1 Char"/>
    <w:basedOn w:val="ListParagraphChar"/>
    <w:link w:val="Style1"/>
    <w:rsid w:val="006D6F75"/>
    <w:rPr>
      <w:rFonts w:eastAsia="Times New Roman" w:cstheme="minorHAnsi"/>
      <w:sz w:val="24"/>
      <w:szCs w:val="24"/>
      <w:lang w:eastAsia="en-AU"/>
    </w:rPr>
  </w:style>
  <w:style w:type="character" w:styleId="FollowedHyperlink">
    <w:name w:val="FollowedHyperlink"/>
    <w:basedOn w:val="DefaultParagraphFont"/>
    <w:uiPriority w:val="99"/>
    <w:semiHidden/>
    <w:unhideWhenUsed/>
    <w:rsid w:val="006D6F75"/>
    <w:rPr>
      <w:color w:val="954F72" w:themeColor="followedHyperlink"/>
      <w:u w:val="single"/>
    </w:rPr>
  </w:style>
  <w:style w:type="paragraph" w:styleId="NoSpacing">
    <w:name w:val="No Spacing"/>
    <w:uiPriority w:val="1"/>
    <w:qFormat/>
    <w:rsid w:val="00B47337"/>
    <w:pPr>
      <w:spacing w:after="0"/>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E7858"/>
    <w:rPr>
      <w:color w:val="605E5C"/>
      <w:shd w:val="clear" w:color="auto" w:fill="E1DFDD"/>
    </w:rPr>
  </w:style>
  <w:style w:type="paragraph" w:styleId="Title">
    <w:name w:val="Title"/>
    <w:basedOn w:val="Normal"/>
    <w:next w:val="Normal"/>
    <w:link w:val="TitleChar"/>
    <w:uiPriority w:val="10"/>
    <w:qFormat/>
    <w:rsid w:val="00C7287C"/>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87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7287C"/>
    <w:rPr>
      <w:rFonts w:eastAsiaTheme="minorEastAsia"/>
      <w:color w:val="5A5A5A" w:themeColor="text1" w:themeTint="A5"/>
      <w:spacing w:val="15"/>
    </w:rPr>
  </w:style>
  <w:style w:type="table" w:styleId="PlainTable1">
    <w:name w:val="Plain Table 1"/>
    <w:basedOn w:val="TableNormal"/>
    <w:uiPriority w:val="41"/>
    <w:rsid w:val="00C21BA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72F4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D26501"/>
    <w:pPr>
      <w:spacing w:before="0" w:after="0"/>
    </w:pPr>
    <w:rPr>
      <w:sz w:val="20"/>
      <w:szCs w:val="20"/>
    </w:rPr>
  </w:style>
  <w:style w:type="character" w:customStyle="1" w:styleId="EndnoteTextChar">
    <w:name w:val="Endnote Text Char"/>
    <w:basedOn w:val="DefaultParagraphFont"/>
    <w:link w:val="EndnoteText"/>
    <w:uiPriority w:val="99"/>
    <w:semiHidden/>
    <w:rsid w:val="00D26501"/>
    <w:rPr>
      <w:sz w:val="20"/>
      <w:szCs w:val="20"/>
    </w:rPr>
  </w:style>
  <w:style w:type="character" w:styleId="EndnoteReference">
    <w:name w:val="endnote reference"/>
    <w:basedOn w:val="DefaultParagraphFont"/>
    <w:uiPriority w:val="99"/>
    <w:semiHidden/>
    <w:unhideWhenUsed/>
    <w:rsid w:val="00D26501"/>
    <w:rPr>
      <w:vertAlign w:val="superscript"/>
    </w:rPr>
  </w:style>
  <w:style w:type="character" w:customStyle="1" w:styleId="UnresolvedMention2">
    <w:name w:val="Unresolved Mention2"/>
    <w:basedOn w:val="DefaultParagraphFont"/>
    <w:uiPriority w:val="99"/>
    <w:unhideWhenUsed/>
    <w:rsid w:val="0065677D"/>
    <w:rPr>
      <w:color w:val="605E5C"/>
      <w:shd w:val="clear" w:color="auto" w:fill="E1DFDD"/>
    </w:rPr>
  </w:style>
  <w:style w:type="paragraph" w:customStyle="1" w:styleId="Body">
    <w:name w:val="Body"/>
    <w:rsid w:val="00BA5E69"/>
    <w:pPr>
      <w:pBdr>
        <w:top w:val="nil"/>
        <w:left w:val="nil"/>
        <w:bottom w:val="nil"/>
        <w:right w:val="nil"/>
        <w:between w:val="nil"/>
        <w:bar w:val="nil"/>
      </w:pBdr>
      <w:spacing w:before="0" w:after="0"/>
    </w:pPr>
    <w:rPr>
      <w:rFonts w:ascii="Times New Roman" w:eastAsia="Arial Unicode MS" w:hAnsi="Arial Unicode MS" w:cs="Arial Unicode MS"/>
      <w:color w:val="000000"/>
      <w:sz w:val="24"/>
      <w:szCs w:val="24"/>
      <w:u w:color="000000"/>
      <w:bdr w:val="nil"/>
      <w:lang w:val="en-US" w:eastAsia="ja-JP"/>
    </w:rPr>
  </w:style>
  <w:style w:type="paragraph" w:customStyle="1" w:styleId="HeaderFooter">
    <w:name w:val="Header &amp; Footer"/>
    <w:rsid w:val="00D24324"/>
    <w:pPr>
      <w:pBdr>
        <w:top w:val="nil"/>
        <w:left w:val="nil"/>
        <w:bottom w:val="nil"/>
        <w:right w:val="nil"/>
        <w:between w:val="nil"/>
        <w:bar w:val="nil"/>
      </w:pBdr>
      <w:tabs>
        <w:tab w:val="right" w:pos="9020"/>
      </w:tabs>
      <w:spacing w:before="0" w:after="0"/>
    </w:pPr>
    <w:rPr>
      <w:rFonts w:ascii="Helvetica" w:eastAsia="Arial Unicode MS" w:hAnsi="Arial Unicode MS" w:cs="Arial Unicode MS"/>
      <w:color w:val="000000"/>
      <w:sz w:val="24"/>
      <w:szCs w:val="24"/>
      <w:bdr w:val="nil"/>
      <w:lang w:eastAsia="ja-JP"/>
    </w:rPr>
  </w:style>
  <w:style w:type="paragraph" w:customStyle="1" w:styleId="BodyA">
    <w:name w:val="Body A"/>
    <w:rsid w:val="00D24324"/>
    <w:pPr>
      <w:pBdr>
        <w:top w:val="nil"/>
        <w:left w:val="nil"/>
        <w:bottom w:val="nil"/>
        <w:right w:val="nil"/>
        <w:between w:val="nil"/>
        <w:bar w:val="nil"/>
      </w:pBdr>
      <w:spacing w:before="0" w:after="0"/>
    </w:pPr>
    <w:rPr>
      <w:rFonts w:ascii="Calibri" w:eastAsia="Calibri" w:hAnsi="Calibri" w:cs="Calibri"/>
      <w:color w:val="000000"/>
      <w:u w:color="000000"/>
      <w:bdr w:val="nil"/>
      <w:lang w:val="en-US" w:eastAsia="ja-JP"/>
    </w:rPr>
  </w:style>
  <w:style w:type="paragraph" w:customStyle="1" w:styleId="Heading">
    <w:name w:val="Heading"/>
    <w:next w:val="BodyA"/>
    <w:rsid w:val="00D24324"/>
    <w:pPr>
      <w:keepNext/>
      <w:keepLines/>
      <w:pBdr>
        <w:top w:val="nil"/>
        <w:left w:val="nil"/>
        <w:bottom w:val="nil"/>
        <w:right w:val="nil"/>
        <w:between w:val="nil"/>
        <w:bar w:val="nil"/>
      </w:pBdr>
      <w:spacing w:after="240"/>
      <w:outlineLvl w:val="0"/>
    </w:pPr>
    <w:rPr>
      <w:rFonts w:ascii="Times New Roman" w:eastAsia="Times New Roman" w:hAnsi="Times New Roman" w:cs="Times New Roman"/>
      <w:b/>
      <w:bCs/>
      <w:color w:val="000000"/>
      <w:sz w:val="24"/>
      <w:szCs w:val="24"/>
      <w:u w:color="000000"/>
      <w:bdr w:val="nil"/>
      <w:lang w:eastAsia="ja-JP"/>
    </w:rPr>
  </w:style>
  <w:style w:type="numbering" w:customStyle="1" w:styleId="List0">
    <w:name w:val="List 0"/>
    <w:basedOn w:val="NoList"/>
    <w:rsid w:val="00D24324"/>
    <w:pPr>
      <w:numPr>
        <w:numId w:val="11"/>
      </w:numPr>
    </w:pPr>
  </w:style>
  <w:style w:type="character" w:customStyle="1" w:styleId="Heading5Char">
    <w:name w:val="Heading 5 Char"/>
    <w:basedOn w:val="DefaultParagraphFont"/>
    <w:link w:val="Heading5"/>
    <w:uiPriority w:val="9"/>
    <w:rsid w:val="007C109C"/>
    <w:rPr>
      <w:rFonts w:asciiTheme="majorHAnsi" w:eastAsiaTheme="majorEastAsia" w:hAnsiTheme="majorHAnsi" w:cstheme="majorBidi"/>
      <w:color w:val="2E74B5" w:themeColor="accent1" w:themeShade="BF"/>
    </w:rPr>
  </w:style>
  <w:style w:type="numbering" w:customStyle="1" w:styleId="List1">
    <w:name w:val="List 1"/>
    <w:basedOn w:val="NoList"/>
    <w:rsid w:val="00D24324"/>
    <w:pPr>
      <w:numPr>
        <w:numId w:val="9"/>
      </w:numPr>
    </w:pPr>
  </w:style>
  <w:style w:type="numbering" w:customStyle="1" w:styleId="List21">
    <w:name w:val="List 21"/>
    <w:basedOn w:val="NoList"/>
    <w:rsid w:val="00D24324"/>
    <w:pPr>
      <w:numPr>
        <w:numId w:val="10"/>
      </w:numPr>
    </w:pPr>
  </w:style>
  <w:style w:type="numbering" w:customStyle="1" w:styleId="List31">
    <w:name w:val="List 31"/>
    <w:basedOn w:val="NoList"/>
    <w:rsid w:val="00D24324"/>
    <w:pPr>
      <w:numPr>
        <w:numId w:val="29"/>
      </w:numPr>
    </w:pPr>
  </w:style>
  <w:style w:type="numbering" w:customStyle="1" w:styleId="List41">
    <w:name w:val="List 41"/>
    <w:basedOn w:val="NoList"/>
    <w:rsid w:val="00D24324"/>
    <w:pPr>
      <w:numPr>
        <w:numId w:val="12"/>
      </w:numPr>
    </w:pPr>
  </w:style>
  <w:style w:type="numbering" w:customStyle="1" w:styleId="List51">
    <w:name w:val="List 51"/>
    <w:basedOn w:val="NoList"/>
    <w:rsid w:val="00D24324"/>
    <w:pPr>
      <w:numPr>
        <w:numId w:val="13"/>
      </w:numPr>
    </w:pPr>
  </w:style>
  <w:style w:type="numbering" w:customStyle="1" w:styleId="List6">
    <w:name w:val="List 6"/>
    <w:basedOn w:val="NoList"/>
    <w:rsid w:val="00D24324"/>
    <w:pPr>
      <w:numPr>
        <w:numId w:val="14"/>
      </w:numPr>
    </w:pPr>
  </w:style>
  <w:style w:type="numbering" w:customStyle="1" w:styleId="List7">
    <w:name w:val="List 7"/>
    <w:basedOn w:val="NoList"/>
    <w:rsid w:val="00D24324"/>
    <w:pPr>
      <w:numPr>
        <w:numId w:val="15"/>
      </w:numPr>
    </w:pPr>
  </w:style>
  <w:style w:type="numbering" w:customStyle="1" w:styleId="List8">
    <w:name w:val="List 8"/>
    <w:basedOn w:val="NoList"/>
    <w:rsid w:val="00D24324"/>
    <w:pPr>
      <w:numPr>
        <w:numId w:val="16"/>
      </w:numPr>
    </w:pPr>
  </w:style>
  <w:style w:type="numbering" w:customStyle="1" w:styleId="List9">
    <w:name w:val="List 9"/>
    <w:basedOn w:val="NoList"/>
    <w:rsid w:val="00D24324"/>
    <w:pPr>
      <w:numPr>
        <w:numId w:val="17"/>
      </w:numPr>
    </w:pPr>
  </w:style>
  <w:style w:type="numbering" w:customStyle="1" w:styleId="List10">
    <w:name w:val="List 10"/>
    <w:basedOn w:val="NoList"/>
    <w:rsid w:val="00D24324"/>
    <w:pPr>
      <w:numPr>
        <w:numId w:val="18"/>
      </w:numPr>
    </w:pPr>
  </w:style>
  <w:style w:type="numbering" w:customStyle="1" w:styleId="List11">
    <w:name w:val="List 11"/>
    <w:basedOn w:val="NoList"/>
    <w:rsid w:val="00D24324"/>
    <w:pPr>
      <w:numPr>
        <w:numId w:val="19"/>
      </w:numPr>
    </w:pPr>
  </w:style>
  <w:style w:type="numbering" w:customStyle="1" w:styleId="List12">
    <w:name w:val="List 12"/>
    <w:basedOn w:val="NoList"/>
    <w:rsid w:val="00D24324"/>
    <w:pPr>
      <w:numPr>
        <w:numId w:val="20"/>
      </w:numPr>
    </w:pPr>
  </w:style>
  <w:style w:type="numbering" w:customStyle="1" w:styleId="List13">
    <w:name w:val="List 13"/>
    <w:basedOn w:val="NoList"/>
    <w:rsid w:val="00D24324"/>
    <w:pPr>
      <w:numPr>
        <w:numId w:val="21"/>
      </w:numPr>
    </w:pPr>
  </w:style>
  <w:style w:type="numbering" w:customStyle="1" w:styleId="List14">
    <w:name w:val="List 14"/>
    <w:basedOn w:val="NoList"/>
    <w:rsid w:val="00D24324"/>
    <w:pPr>
      <w:numPr>
        <w:numId w:val="22"/>
      </w:numPr>
    </w:pPr>
  </w:style>
  <w:style w:type="numbering" w:customStyle="1" w:styleId="List15">
    <w:name w:val="List 15"/>
    <w:basedOn w:val="NoList"/>
    <w:rsid w:val="00D24324"/>
    <w:pPr>
      <w:numPr>
        <w:numId w:val="23"/>
      </w:numPr>
    </w:pPr>
  </w:style>
  <w:style w:type="numbering" w:customStyle="1" w:styleId="List16">
    <w:name w:val="List 16"/>
    <w:basedOn w:val="NoList"/>
    <w:rsid w:val="00D24324"/>
    <w:pPr>
      <w:numPr>
        <w:numId w:val="25"/>
      </w:numPr>
    </w:pPr>
  </w:style>
  <w:style w:type="numbering" w:customStyle="1" w:styleId="List17">
    <w:name w:val="List 17"/>
    <w:basedOn w:val="NoList"/>
    <w:rsid w:val="00D24324"/>
    <w:pPr>
      <w:numPr>
        <w:numId w:val="24"/>
      </w:numPr>
    </w:pPr>
  </w:style>
  <w:style w:type="numbering" w:customStyle="1" w:styleId="List18">
    <w:name w:val="List 18"/>
    <w:basedOn w:val="NoList"/>
    <w:rsid w:val="00D24324"/>
    <w:pPr>
      <w:numPr>
        <w:numId w:val="26"/>
      </w:numPr>
    </w:pPr>
  </w:style>
  <w:style w:type="numbering" w:customStyle="1" w:styleId="List19">
    <w:name w:val="List 19"/>
    <w:basedOn w:val="NoList"/>
    <w:rsid w:val="00D24324"/>
    <w:pPr>
      <w:numPr>
        <w:numId w:val="27"/>
      </w:numPr>
    </w:pPr>
  </w:style>
  <w:style w:type="numbering" w:customStyle="1" w:styleId="List20">
    <w:name w:val="List 20"/>
    <w:basedOn w:val="NoList"/>
    <w:rsid w:val="00D24324"/>
    <w:pPr>
      <w:numPr>
        <w:numId w:val="28"/>
      </w:numPr>
    </w:pPr>
  </w:style>
  <w:style w:type="numbering" w:customStyle="1" w:styleId="List22">
    <w:name w:val="List 22"/>
    <w:basedOn w:val="NoList"/>
    <w:rsid w:val="00D24324"/>
    <w:pPr>
      <w:numPr>
        <w:numId w:val="30"/>
      </w:numPr>
    </w:pPr>
  </w:style>
  <w:style w:type="numbering" w:customStyle="1" w:styleId="List23">
    <w:name w:val="List 23"/>
    <w:basedOn w:val="NoList"/>
    <w:rsid w:val="00D24324"/>
    <w:pPr>
      <w:numPr>
        <w:numId w:val="31"/>
      </w:numPr>
    </w:pPr>
  </w:style>
  <w:style w:type="numbering" w:customStyle="1" w:styleId="List24">
    <w:name w:val="List 24"/>
    <w:basedOn w:val="NoList"/>
    <w:rsid w:val="00D24324"/>
    <w:pPr>
      <w:numPr>
        <w:numId w:val="32"/>
      </w:numPr>
    </w:pPr>
  </w:style>
  <w:style w:type="numbering" w:customStyle="1" w:styleId="List25">
    <w:name w:val="List 25"/>
    <w:basedOn w:val="NoList"/>
    <w:rsid w:val="00D24324"/>
    <w:pPr>
      <w:numPr>
        <w:numId w:val="33"/>
      </w:numPr>
    </w:pPr>
  </w:style>
  <w:style w:type="numbering" w:customStyle="1" w:styleId="List26">
    <w:name w:val="List 26"/>
    <w:basedOn w:val="NoList"/>
    <w:rsid w:val="00D24324"/>
    <w:pPr>
      <w:numPr>
        <w:numId w:val="34"/>
      </w:numPr>
    </w:pPr>
  </w:style>
  <w:style w:type="numbering" w:customStyle="1" w:styleId="List27">
    <w:name w:val="List 27"/>
    <w:basedOn w:val="NoList"/>
    <w:rsid w:val="00D24324"/>
    <w:pPr>
      <w:numPr>
        <w:numId w:val="35"/>
      </w:numPr>
    </w:pPr>
  </w:style>
  <w:style w:type="numbering" w:customStyle="1" w:styleId="List28">
    <w:name w:val="List 28"/>
    <w:basedOn w:val="NoList"/>
    <w:rsid w:val="00D24324"/>
    <w:pPr>
      <w:numPr>
        <w:numId w:val="36"/>
      </w:numPr>
    </w:pPr>
  </w:style>
  <w:style w:type="numbering" w:customStyle="1" w:styleId="List29">
    <w:name w:val="List 29"/>
    <w:basedOn w:val="NoList"/>
    <w:rsid w:val="00D24324"/>
    <w:pPr>
      <w:numPr>
        <w:numId w:val="37"/>
      </w:numPr>
    </w:pPr>
  </w:style>
  <w:style w:type="numbering" w:customStyle="1" w:styleId="List30">
    <w:name w:val="List 30"/>
    <w:basedOn w:val="NoList"/>
    <w:rsid w:val="00D24324"/>
    <w:pPr>
      <w:numPr>
        <w:numId w:val="38"/>
      </w:numPr>
    </w:pPr>
  </w:style>
  <w:style w:type="numbering" w:customStyle="1" w:styleId="List32">
    <w:name w:val="List 32"/>
    <w:basedOn w:val="NoList"/>
    <w:rsid w:val="00D24324"/>
    <w:pPr>
      <w:numPr>
        <w:numId w:val="41"/>
      </w:numPr>
    </w:pPr>
  </w:style>
  <w:style w:type="numbering" w:customStyle="1" w:styleId="List33">
    <w:name w:val="List 33"/>
    <w:basedOn w:val="NoList"/>
    <w:rsid w:val="00D24324"/>
    <w:pPr>
      <w:numPr>
        <w:numId w:val="39"/>
      </w:numPr>
    </w:pPr>
  </w:style>
  <w:style w:type="numbering" w:customStyle="1" w:styleId="List34">
    <w:name w:val="List 34"/>
    <w:basedOn w:val="NoList"/>
    <w:rsid w:val="00D24324"/>
    <w:pPr>
      <w:numPr>
        <w:numId w:val="40"/>
      </w:numPr>
    </w:pPr>
  </w:style>
  <w:style w:type="numbering" w:customStyle="1" w:styleId="List35">
    <w:name w:val="List 35"/>
    <w:basedOn w:val="NoList"/>
    <w:rsid w:val="00D24324"/>
    <w:pPr>
      <w:numPr>
        <w:numId w:val="42"/>
      </w:numPr>
    </w:pPr>
  </w:style>
  <w:style w:type="numbering" w:customStyle="1" w:styleId="List36">
    <w:name w:val="List 36"/>
    <w:basedOn w:val="NoList"/>
    <w:rsid w:val="00D24324"/>
    <w:pPr>
      <w:numPr>
        <w:numId w:val="43"/>
      </w:numPr>
    </w:pPr>
  </w:style>
  <w:style w:type="numbering" w:customStyle="1" w:styleId="List37">
    <w:name w:val="List 37"/>
    <w:basedOn w:val="NoList"/>
    <w:rsid w:val="00D24324"/>
    <w:pPr>
      <w:numPr>
        <w:numId w:val="44"/>
      </w:numPr>
    </w:pPr>
  </w:style>
  <w:style w:type="numbering" w:customStyle="1" w:styleId="List38">
    <w:name w:val="List 38"/>
    <w:basedOn w:val="NoList"/>
    <w:rsid w:val="00D24324"/>
    <w:pPr>
      <w:numPr>
        <w:numId w:val="46"/>
      </w:numPr>
    </w:pPr>
  </w:style>
  <w:style w:type="numbering" w:customStyle="1" w:styleId="List39">
    <w:name w:val="List 39"/>
    <w:basedOn w:val="NoList"/>
    <w:rsid w:val="00D24324"/>
    <w:pPr>
      <w:numPr>
        <w:numId w:val="45"/>
      </w:numPr>
    </w:pPr>
  </w:style>
  <w:style w:type="numbering" w:customStyle="1" w:styleId="List40">
    <w:name w:val="List 40"/>
    <w:basedOn w:val="NoList"/>
    <w:rsid w:val="00D24324"/>
    <w:pPr>
      <w:numPr>
        <w:numId w:val="47"/>
      </w:numPr>
    </w:pPr>
  </w:style>
  <w:style w:type="numbering" w:customStyle="1" w:styleId="List42">
    <w:name w:val="List 42"/>
    <w:basedOn w:val="NoList"/>
    <w:rsid w:val="00D24324"/>
    <w:pPr>
      <w:numPr>
        <w:numId w:val="48"/>
      </w:numPr>
    </w:pPr>
  </w:style>
  <w:style w:type="numbering" w:customStyle="1" w:styleId="List43">
    <w:name w:val="List 43"/>
    <w:basedOn w:val="NoList"/>
    <w:rsid w:val="00D24324"/>
    <w:pPr>
      <w:numPr>
        <w:numId w:val="49"/>
      </w:numPr>
    </w:pPr>
  </w:style>
  <w:style w:type="numbering" w:customStyle="1" w:styleId="List44">
    <w:name w:val="List 44"/>
    <w:basedOn w:val="NoList"/>
    <w:rsid w:val="00D24324"/>
    <w:pPr>
      <w:numPr>
        <w:numId w:val="51"/>
      </w:numPr>
    </w:pPr>
  </w:style>
  <w:style w:type="numbering" w:customStyle="1" w:styleId="List45">
    <w:name w:val="List 45"/>
    <w:basedOn w:val="NoList"/>
    <w:rsid w:val="00D24324"/>
    <w:pPr>
      <w:numPr>
        <w:numId w:val="50"/>
      </w:numPr>
    </w:pPr>
  </w:style>
  <w:style w:type="numbering" w:customStyle="1" w:styleId="List46">
    <w:name w:val="List 46"/>
    <w:basedOn w:val="NoList"/>
    <w:rsid w:val="00D24324"/>
    <w:pPr>
      <w:numPr>
        <w:numId w:val="52"/>
      </w:numPr>
    </w:pPr>
  </w:style>
  <w:style w:type="paragraph" w:styleId="BodyText">
    <w:name w:val="Body Text"/>
    <w:link w:val="BodyTextChar"/>
    <w:rsid w:val="00D24324"/>
    <w:pPr>
      <w:pBdr>
        <w:top w:val="nil"/>
        <w:left w:val="nil"/>
        <w:bottom w:val="nil"/>
        <w:right w:val="nil"/>
        <w:between w:val="nil"/>
        <w:bar w:val="nil"/>
      </w:pBdr>
      <w:spacing w:before="0" w:after="200" w:line="276" w:lineRule="auto"/>
    </w:pPr>
    <w:rPr>
      <w:rFonts w:ascii="Arial" w:eastAsia="Arial Unicode MS" w:hAnsi="Arial Unicode MS" w:cs="Arial Unicode MS"/>
      <w:color w:val="000000"/>
      <w:u w:color="414042"/>
      <w:bdr w:val="nil"/>
      <w:lang w:val="en-US" w:eastAsia="ja-JP"/>
    </w:rPr>
  </w:style>
  <w:style w:type="character" w:customStyle="1" w:styleId="BodyTextChar">
    <w:name w:val="Body Text Char"/>
    <w:basedOn w:val="DefaultParagraphFont"/>
    <w:link w:val="BodyText"/>
    <w:rsid w:val="00D24324"/>
    <w:rPr>
      <w:rFonts w:ascii="Arial" w:eastAsia="Arial Unicode MS" w:hAnsi="Arial Unicode MS" w:cs="Arial Unicode MS"/>
      <w:color w:val="000000"/>
      <w:u w:color="414042"/>
      <w:bdr w:val="nil"/>
      <w:lang w:val="en-US" w:eastAsia="ja-JP"/>
    </w:rPr>
  </w:style>
  <w:style w:type="numbering" w:customStyle="1" w:styleId="List47">
    <w:name w:val="List 47"/>
    <w:basedOn w:val="NoList"/>
    <w:rsid w:val="00D24324"/>
    <w:pPr>
      <w:numPr>
        <w:numId w:val="53"/>
      </w:numPr>
    </w:pPr>
  </w:style>
  <w:style w:type="numbering" w:customStyle="1" w:styleId="List48">
    <w:name w:val="List 48"/>
    <w:basedOn w:val="NoList"/>
    <w:rsid w:val="00D24324"/>
    <w:pPr>
      <w:numPr>
        <w:numId w:val="55"/>
      </w:numPr>
    </w:pPr>
  </w:style>
  <w:style w:type="numbering" w:customStyle="1" w:styleId="List49">
    <w:name w:val="List 49"/>
    <w:basedOn w:val="NoList"/>
    <w:rsid w:val="00D24324"/>
    <w:pPr>
      <w:numPr>
        <w:numId w:val="54"/>
      </w:numPr>
    </w:pPr>
  </w:style>
  <w:style w:type="numbering" w:customStyle="1" w:styleId="List50">
    <w:name w:val="List 50"/>
    <w:basedOn w:val="NoList"/>
    <w:rsid w:val="00D24324"/>
    <w:pPr>
      <w:numPr>
        <w:numId w:val="56"/>
      </w:numPr>
    </w:pPr>
  </w:style>
  <w:style w:type="numbering" w:customStyle="1" w:styleId="List52">
    <w:name w:val="List 52"/>
    <w:basedOn w:val="NoList"/>
    <w:rsid w:val="00D24324"/>
    <w:pPr>
      <w:numPr>
        <w:numId w:val="57"/>
      </w:numPr>
    </w:pPr>
  </w:style>
  <w:style w:type="numbering" w:customStyle="1" w:styleId="List53">
    <w:name w:val="List 53"/>
    <w:basedOn w:val="NoList"/>
    <w:rsid w:val="00D24324"/>
    <w:pPr>
      <w:numPr>
        <w:numId w:val="59"/>
      </w:numPr>
    </w:pPr>
  </w:style>
  <w:style w:type="numbering" w:customStyle="1" w:styleId="List54">
    <w:name w:val="List 54"/>
    <w:basedOn w:val="NoList"/>
    <w:rsid w:val="00D24324"/>
    <w:pPr>
      <w:numPr>
        <w:numId w:val="58"/>
      </w:numPr>
    </w:pPr>
  </w:style>
  <w:style w:type="numbering" w:customStyle="1" w:styleId="List55">
    <w:name w:val="List 55"/>
    <w:basedOn w:val="NoList"/>
    <w:rsid w:val="00D24324"/>
    <w:pPr>
      <w:numPr>
        <w:numId w:val="60"/>
      </w:numPr>
    </w:pPr>
  </w:style>
  <w:style w:type="numbering" w:customStyle="1" w:styleId="List56">
    <w:name w:val="List 56"/>
    <w:basedOn w:val="NoList"/>
    <w:rsid w:val="00D24324"/>
    <w:pPr>
      <w:numPr>
        <w:numId w:val="61"/>
      </w:numPr>
    </w:pPr>
  </w:style>
  <w:style w:type="numbering" w:customStyle="1" w:styleId="List57">
    <w:name w:val="List 57"/>
    <w:basedOn w:val="NoList"/>
    <w:rsid w:val="00D24324"/>
    <w:pPr>
      <w:numPr>
        <w:numId w:val="62"/>
      </w:numPr>
    </w:pPr>
  </w:style>
  <w:style w:type="numbering" w:customStyle="1" w:styleId="List58">
    <w:name w:val="List 58"/>
    <w:basedOn w:val="NoList"/>
    <w:rsid w:val="00D24324"/>
    <w:pPr>
      <w:numPr>
        <w:numId w:val="63"/>
      </w:numPr>
    </w:pPr>
  </w:style>
  <w:style w:type="numbering" w:customStyle="1" w:styleId="List59">
    <w:name w:val="List 59"/>
    <w:basedOn w:val="NoList"/>
    <w:rsid w:val="00D24324"/>
    <w:pPr>
      <w:numPr>
        <w:numId w:val="64"/>
      </w:numPr>
    </w:pPr>
  </w:style>
  <w:style w:type="numbering" w:customStyle="1" w:styleId="List60">
    <w:name w:val="List 60"/>
    <w:basedOn w:val="NoList"/>
    <w:rsid w:val="00D24324"/>
    <w:pPr>
      <w:numPr>
        <w:numId w:val="65"/>
      </w:numPr>
    </w:pPr>
  </w:style>
  <w:style w:type="numbering" w:customStyle="1" w:styleId="List61">
    <w:name w:val="List 61"/>
    <w:basedOn w:val="NoList"/>
    <w:rsid w:val="00D24324"/>
    <w:pPr>
      <w:numPr>
        <w:numId w:val="66"/>
      </w:numPr>
    </w:pPr>
  </w:style>
  <w:style w:type="numbering" w:customStyle="1" w:styleId="List62">
    <w:name w:val="List 62"/>
    <w:basedOn w:val="NoList"/>
    <w:rsid w:val="00D24324"/>
    <w:pPr>
      <w:numPr>
        <w:numId w:val="67"/>
      </w:numPr>
    </w:pPr>
  </w:style>
  <w:style w:type="numbering" w:customStyle="1" w:styleId="List63">
    <w:name w:val="List 63"/>
    <w:basedOn w:val="NoList"/>
    <w:rsid w:val="00D24324"/>
    <w:pPr>
      <w:numPr>
        <w:numId w:val="68"/>
      </w:numPr>
    </w:pPr>
  </w:style>
  <w:style w:type="numbering" w:customStyle="1" w:styleId="List64">
    <w:name w:val="List 64"/>
    <w:basedOn w:val="NoList"/>
    <w:rsid w:val="00D24324"/>
    <w:pPr>
      <w:numPr>
        <w:numId w:val="69"/>
      </w:numPr>
    </w:pPr>
  </w:style>
  <w:style w:type="numbering" w:customStyle="1" w:styleId="List65">
    <w:name w:val="List 65"/>
    <w:basedOn w:val="NoList"/>
    <w:rsid w:val="00D24324"/>
    <w:pPr>
      <w:numPr>
        <w:numId w:val="70"/>
      </w:numPr>
    </w:pPr>
  </w:style>
  <w:style w:type="numbering" w:customStyle="1" w:styleId="List66">
    <w:name w:val="List 66"/>
    <w:basedOn w:val="NoList"/>
    <w:rsid w:val="00D24324"/>
    <w:pPr>
      <w:numPr>
        <w:numId w:val="71"/>
      </w:numPr>
    </w:pPr>
  </w:style>
  <w:style w:type="character" w:styleId="Strong">
    <w:name w:val="Strong"/>
    <w:basedOn w:val="DefaultParagraphFont"/>
    <w:uiPriority w:val="22"/>
    <w:qFormat/>
    <w:rsid w:val="00D24324"/>
    <w:rPr>
      <w:b/>
      <w:bCs/>
    </w:rPr>
  </w:style>
  <w:style w:type="paragraph" w:customStyle="1" w:styleId="paragraph">
    <w:name w:val="paragraph"/>
    <w:basedOn w:val="Normal"/>
    <w:rsid w:val="00BC34FD"/>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C34FD"/>
  </w:style>
  <w:style w:type="character" w:customStyle="1" w:styleId="eop">
    <w:name w:val="eop"/>
    <w:basedOn w:val="DefaultParagraphFont"/>
    <w:rsid w:val="00BC34FD"/>
  </w:style>
  <w:style w:type="character" w:customStyle="1" w:styleId="Mention1">
    <w:name w:val="Mention1"/>
    <w:basedOn w:val="DefaultParagraphFont"/>
    <w:uiPriority w:val="99"/>
    <w:unhideWhenUsed/>
    <w:rsid w:val="00713A73"/>
    <w:rPr>
      <w:color w:val="2B579A"/>
      <w:shd w:val="clear" w:color="auto" w:fill="E1DFDD"/>
    </w:rPr>
  </w:style>
  <w:style w:type="character" w:customStyle="1" w:styleId="Advisorytext">
    <w:name w:val="Advisory text"/>
    <w:basedOn w:val="DefaultParagraphFont"/>
    <w:uiPriority w:val="99"/>
    <w:rsid w:val="00781629"/>
    <w:rPr>
      <w:color w:val="FF0000"/>
    </w:rPr>
  </w:style>
  <w:style w:type="character" w:customStyle="1" w:styleId="cf01">
    <w:name w:val="cf01"/>
    <w:basedOn w:val="DefaultParagraphFont"/>
    <w:rsid w:val="00D820E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2769">
      <w:bodyDiv w:val="1"/>
      <w:marLeft w:val="0"/>
      <w:marRight w:val="0"/>
      <w:marTop w:val="0"/>
      <w:marBottom w:val="0"/>
      <w:divBdr>
        <w:top w:val="none" w:sz="0" w:space="0" w:color="auto"/>
        <w:left w:val="none" w:sz="0" w:space="0" w:color="auto"/>
        <w:bottom w:val="none" w:sz="0" w:space="0" w:color="auto"/>
        <w:right w:val="none" w:sz="0" w:space="0" w:color="auto"/>
      </w:divBdr>
    </w:div>
    <w:div w:id="132257205">
      <w:bodyDiv w:val="1"/>
      <w:marLeft w:val="0"/>
      <w:marRight w:val="0"/>
      <w:marTop w:val="0"/>
      <w:marBottom w:val="0"/>
      <w:divBdr>
        <w:top w:val="none" w:sz="0" w:space="0" w:color="auto"/>
        <w:left w:val="none" w:sz="0" w:space="0" w:color="auto"/>
        <w:bottom w:val="none" w:sz="0" w:space="0" w:color="auto"/>
        <w:right w:val="none" w:sz="0" w:space="0" w:color="auto"/>
      </w:divBdr>
    </w:div>
    <w:div w:id="146632108">
      <w:bodyDiv w:val="1"/>
      <w:marLeft w:val="0"/>
      <w:marRight w:val="0"/>
      <w:marTop w:val="0"/>
      <w:marBottom w:val="0"/>
      <w:divBdr>
        <w:top w:val="none" w:sz="0" w:space="0" w:color="auto"/>
        <w:left w:val="none" w:sz="0" w:space="0" w:color="auto"/>
        <w:bottom w:val="none" w:sz="0" w:space="0" w:color="auto"/>
        <w:right w:val="none" w:sz="0" w:space="0" w:color="auto"/>
      </w:divBdr>
    </w:div>
    <w:div w:id="177542396">
      <w:bodyDiv w:val="1"/>
      <w:marLeft w:val="0"/>
      <w:marRight w:val="0"/>
      <w:marTop w:val="0"/>
      <w:marBottom w:val="0"/>
      <w:divBdr>
        <w:top w:val="none" w:sz="0" w:space="0" w:color="auto"/>
        <w:left w:val="none" w:sz="0" w:space="0" w:color="auto"/>
        <w:bottom w:val="none" w:sz="0" w:space="0" w:color="auto"/>
        <w:right w:val="none" w:sz="0" w:space="0" w:color="auto"/>
      </w:divBdr>
      <w:divsChild>
        <w:div w:id="957831615">
          <w:marLeft w:val="0"/>
          <w:marRight w:val="0"/>
          <w:marTop w:val="0"/>
          <w:marBottom w:val="0"/>
          <w:divBdr>
            <w:top w:val="none" w:sz="0" w:space="0" w:color="auto"/>
            <w:left w:val="none" w:sz="0" w:space="0" w:color="auto"/>
            <w:bottom w:val="none" w:sz="0" w:space="0" w:color="auto"/>
            <w:right w:val="none" w:sz="0" w:space="0" w:color="auto"/>
          </w:divBdr>
        </w:div>
      </w:divsChild>
    </w:div>
    <w:div w:id="193884459">
      <w:bodyDiv w:val="1"/>
      <w:marLeft w:val="0"/>
      <w:marRight w:val="0"/>
      <w:marTop w:val="0"/>
      <w:marBottom w:val="0"/>
      <w:divBdr>
        <w:top w:val="none" w:sz="0" w:space="0" w:color="auto"/>
        <w:left w:val="none" w:sz="0" w:space="0" w:color="auto"/>
        <w:bottom w:val="none" w:sz="0" w:space="0" w:color="auto"/>
        <w:right w:val="none" w:sz="0" w:space="0" w:color="auto"/>
      </w:divBdr>
      <w:divsChild>
        <w:div w:id="875048226">
          <w:marLeft w:val="0"/>
          <w:marRight w:val="0"/>
          <w:marTop w:val="0"/>
          <w:marBottom w:val="0"/>
          <w:divBdr>
            <w:top w:val="none" w:sz="0" w:space="0" w:color="auto"/>
            <w:left w:val="none" w:sz="0" w:space="0" w:color="auto"/>
            <w:bottom w:val="none" w:sz="0" w:space="0" w:color="auto"/>
            <w:right w:val="none" w:sz="0" w:space="0" w:color="auto"/>
          </w:divBdr>
        </w:div>
      </w:divsChild>
    </w:div>
    <w:div w:id="197818758">
      <w:bodyDiv w:val="1"/>
      <w:marLeft w:val="0"/>
      <w:marRight w:val="0"/>
      <w:marTop w:val="0"/>
      <w:marBottom w:val="0"/>
      <w:divBdr>
        <w:top w:val="none" w:sz="0" w:space="0" w:color="auto"/>
        <w:left w:val="none" w:sz="0" w:space="0" w:color="auto"/>
        <w:bottom w:val="none" w:sz="0" w:space="0" w:color="auto"/>
        <w:right w:val="none" w:sz="0" w:space="0" w:color="auto"/>
      </w:divBdr>
    </w:div>
    <w:div w:id="225916514">
      <w:bodyDiv w:val="1"/>
      <w:marLeft w:val="0"/>
      <w:marRight w:val="0"/>
      <w:marTop w:val="0"/>
      <w:marBottom w:val="0"/>
      <w:divBdr>
        <w:top w:val="none" w:sz="0" w:space="0" w:color="auto"/>
        <w:left w:val="none" w:sz="0" w:space="0" w:color="auto"/>
        <w:bottom w:val="none" w:sz="0" w:space="0" w:color="auto"/>
        <w:right w:val="none" w:sz="0" w:space="0" w:color="auto"/>
      </w:divBdr>
      <w:divsChild>
        <w:div w:id="505481637">
          <w:marLeft w:val="0"/>
          <w:marRight w:val="0"/>
          <w:marTop w:val="0"/>
          <w:marBottom w:val="0"/>
          <w:divBdr>
            <w:top w:val="none" w:sz="0" w:space="0" w:color="auto"/>
            <w:left w:val="none" w:sz="0" w:space="0" w:color="auto"/>
            <w:bottom w:val="none" w:sz="0" w:space="0" w:color="auto"/>
            <w:right w:val="none" w:sz="0" w:space="0" w:color="auto"/>
          </w:divBdr>
        </w:div>
      </w:divsChild>
    </w:div>
    <w:div w:id="257643831">
      <w:bodyDiv w:val="1"/>
      <w:marLeft w:val="0"/>
      <w:marRight w:val="0"/>
      <w:marTop w:val="0"/>
      <w:marBottom w:val="0"/>
      <w:divBdr>
        <w:top w:val="none" w:sz="0" w:space="0" w:color="auto"/>
        <w:left w:val="none" w:sz="0" w:space="0" w:color="auto"/>
        <w:bottom w:val="none" w:sz="0" w:space="0" w:color="auto"/>
        <w:right w:val="none" w:sz="0" w:space="0" w:color="auto"/>
      </w:divBdr>
    </w:div>
    <w:div w:id="268632340">
      <w:bodyDiv w:val="1"/>
      <w:marLeft w:val="0"/>
      <w:marRight w:val="0"/>
      <w:marTop w:val="0"/>
      <w:marBottom w:val="0"/>
      <w:divBdr>
        <w:top w:val="none" w:sz="0" w:space="0" w:color="auto"/>
        <w:left w:val="none" w:sz="0" w:space="0" w:color="auto"/>
        <w:bottom w:val="none" w:sz="0" w:space="0" w:color="auto"/>
        <w:right w:val="none" w:sz="0" w:space="0" w:color="auto"/>
      </w:divBdr>
      <w:divsChild>
        <w:div w:id="940449601">
          <w:marLeft w:val="0"/>
          <w:marRight w:val="0"/>
          <w:marTop w:val="0"/>
          <w:marBottom w:val="0"/>
          <w:divBdr>
            <w:top w:val="none" w:sz="0" w:space="0" w:color="auto"/>
            <w:left w:val="none" w:sz="0" w:space="0" w:color="auto"/>
            <w:bottom w:val="none" w:sz="0" w:space="0" w:color="auto"/>
            <w:right w:val="none" w:sz="0" w:space="0" w:color="auto"/>
          </w:divBdr>
        </w:div>
      </w:divsChild>
    </w:div>
    <w:div w:id="279996365">
      <w:bodyDiv w:val="1"/>
      <w:marLeft w:val="0"/>
      <w:marRight w:val="0"/>
      <w:marTop w:val="0"/>
      <w:marBottom w:val="0"/>
      <w:divBdr>
        <w:top w:val="none" w:sz="0" w:space="0" w:color="auto"/>
        <w:left w:val="none" w:sz="0" w:space="0" w:color="auto"/>
        <w:bottom w:val="none" w:sz="0" w:space="0" w:color="auto"/>
        <w:right w:val="none" w:sz="0" w:space="0" w:color="auto"/>
      </w:divBdr>
      <w:divsChild>
        <w:div w:id="1608347352">
          <w:marLeft w:val="0"/>
          <w:marRight w:val="0"/>
          <w:marTop w:val="0"/>
          <w:marBottom w:val="0"/>
          <w:divBdr>
            <w:top w:val="none" w:sz="0" w:space="0" w:color="auto"/>
            <w:left w:val="none" w:sz="0" w:space="0" w:color="auto"/>
            <w:bottom w:val="none" w:sz="0" w:space="0" w:color="auto"/>
            <w:right w:val="none" w:sz="0" w:space="0" w:color="auto"/>
          </w:divBdr>
        </w:div>
      </w:divsChild>
    </w:div>
    <w:div w:id="300500316">
      <w:bodyDiv w:val="1"/>
      <w:marLeft w:val="0"/>
      <w:marRight w:val="0"/>
      <w:marTop w:val="0"/>
      <w:marBottom w:val="0"/>
      <w:divBdr>
        <w:top w:val="none" w:sz="0" w:space="0" w:color="auto"/>
        <w:left w:val="none" w:sz="0" w:space="0" w:color="auto"/>
        <w:bottom w:val="none" w:sz="0" w:space="0" w:color="auto"/>
        <w:right w:val="none" w:sz="0" w:space="0" w:color="auto"/>
      </w:divBdr>
      <w:divsChild>
        <w:div w:id="391122952">
          <w:marLeft w:val="0"/>
          <w:marRight w:val="0"/>
          <w:marTop w:val="0"/>
          <w:marBottom w:val="0"/>
          <w:divBdr>
            <w:top w:val="none" w:sz="0" w:space="0" w:color="auto"/>
            <w:left w:val="none" w:sz="0" w:space="0" w:color="auto"/>
            <w:bottom w:val="none" w:sz="0" w:space="0" w:color="auto"/>
            <w:right w:val="none" w:sz="0" w:space="0" w:color="auto"/>
          </w:divBdr>
        </w:div>
      </w:divsChild>
    </w:div>
    <w:div w:id="313068175">
      <w:bodyDiv w:val="1"/>
      <w:marLeft w:val="0"/>
      <w:marRight w:val="0"/>
      <w:marTop w:val="0"/>
      <w:marBottom w:val="0"/>
      <w:divBdr>
        <w:top w:val="none" w:sz="0" w:space="0" w:color="auto"/>
        <w:left w:val="none" w:sz="0" w:space="0" w:color="auto"/>
        <w:bottom w:val="none" w:sz="0" w:space="0" w:color="auto"/>
        <w:right w:val="none" w:sz="0" w:space="0" w:color="auto"/>
      </w:divBdr>
      <w:divsChild>
        <w:div w:id="1810901332">
          <w:marLeft w:val="0"/>
          <w:marRight w:val="0"/>
          <w:marTop w:val="0"/>
          <w:marBottom w:val="0"/>
          <w:divBdr>
            <w:top w:val="none" w:sz="0" w:space="0" w:color="auto"/>
            <w:left w:val="none" w:sz="0" w:space="0" w:color="auto"/>
            <w:bottom w:val="none" w:sz="0" w:space="0" w:color="auto"/>
            <w:right w:val="none" w:sz="0" w:space="0" w:color="auto"/>
          </w:divBdr>
        </w:div>
      </w:divsChild>
    </w:div>
    <w:div w:id="313872261">
      <w:bodyDiv w:val="1"/>
      <w:marLeft w:val="0"/>
      <w:marRight w:val="0"/>
      <w:marTop w:val="0"/>
      <w:marBottom w:val="0"/>
      <w:divBdr>
        <w:top w:val="none" w:sz="0" w:space="0" w:color="auto"/>
        <w:left w:val="none" w:sz="0" w:space="0" w:color="auto"/>
        <w:bottom w:val="none" w:sz="0" w:space="0" w:color="auto"/>
        <w:right w:val="none" w:sz="0" w:space="0" w:color="auto"/>
      </w:divBdr>
    </w:div>
    <w:div w:id="327707487">
      <w:bodyDiv w:val="1"/>
      <w:marLeft w:val="0"/>
      <w:marRight w:val="0"/>
      <w:marTop w:val="0"/>
      <w:marBottom w:val="0"/>
      <w:divBdr>
        <w:top w:val="none" w:sz="0" w:space="0" w:color="auto"/>
        <w:left w:val="none" w:sz="0" w:space="0" w:color="auto"/>
        <w:bottom w:val="none" w:sz="0" w:space="0" w:color="auto"/>
        <w:right w:val="none" w:sz="0" w:space="0" w:color="auto"/>
      </w:divBdr>
    </w:div>
    <w:div w:id="351955898">
      <w:bodyDiv w:val="1"/>
      <w:marLeft w:val="0"/>
      <w:marRight w:val="0"/>
      <w:marTop w:val="0"/>
      <w:marBottom w:val="0"/>
      <w:divBdr>
        <w:top w:val="none" w:sz="0" w:space="0" w:color="auto"/>
        <w:left w:val="none" w:sz="0" w:space="0" w:color="auto"/>
        <w:bottom w:val="none" w:sz="0" w:space="0" w:color="auto"/>
        <w:right w:val="none" w:sz="0" w:space="0" w:color="auto"/>
      </w:divBdr>
    </w:div>
    <w:div w:id="380717162">
      <w:bodyDiv w:val="1"/>
      <w:marLeft w:val="0"/>
      <w:marRight w:val="0"/>
      <w:marTop w:val="0"/>
      <w:marBottom w:val="0"/>
      <w:divBdr>
        <w:top w:val="none" w:sz="0" w:space="0" w:color="auto"/>
        <w:left w:val="none" w:sz="0" w:space="0" w:color="auto"/>
        <w:bottom w:val="none" w:sz="0" w:space="0" w:color="auto"/>
        <w:right w:val="none" w:sz="0" w:space="0" w:color="auto"/>
      </w:divBdr>
    </w:div>
    <w:div w:id="415858326">
      <w:bodyDiv w:val="1"/>
      <w:marLeft w:val="0"/>
      <w:marRight w:val="0"/>
      <w:marTop w:val="0"/>
      <w:marBottom w:val="0"/>
      <w:divBdr>
        <w:top w:val="none" w:sz="0" w:space="0" w:color="auto"/>
        <w:left w:val="none" w:sz="0" w:space="0" w:color="auto"/>
        <w:bottom w:val="none" w:sz="0" w:space="0" w:color="auto"/>
        <w:right w:val="none" w:sz="0" w:space="0" w:color="auto"/>
      </w:divBdr>
      <w:divsChild>
        <w:div w:id="842281074">
          <w:marLeft w:val="0"/>
          <w:marRight w:val="0"/>
          <w:marTop w:val="0"/>
          <w:marBottom w:val="0"/>
          <w:divBdr>
            <w:top w:val="none" w:sz="0" w:space="0" w:color="auto"/>
            <w:left w:val="none" w:sz="0" w:space="0" w:color="auto"/>
            <w:bottom w:val="none" w:sz="0" w:space="0" w:color="auto"/>
            <w:right w:val="none" w:sz="0" w:space="0" w:color="auto"/>
          </w:divBdr>
        </w:div>
      </w:divsChild>
    </w:div>
    <w:div w:id="486365803">
      <w:bodyDiv w:val="1"/>
      <w:marLeft w:val="0"/>
      <w:marRight w:val="0"/>
      <w:marTop w:val="0"/>
      <w:marBottom w:val="0"/>
      <w:divBdr>
        <w:top w:val="none" w:sz="0" w:space="0" w:color="auto"/>
        <w:left w:val="none" w:sz="0" w:space="0" w:color="auto"/>
        <w:bottom w:val="none" w:sz="0" w:space="0" w:color="auto"/>
        <w:right w:val="none" w:sz="0" w:space="0" w:color="auto"/>
      </w:divBdr>
      <w:divsChild>
        <w:div w:id="296380604">
          <w:marLeft w:val="0"/>
          <w:marRight w:val="0"/>
          <w:marTop w:val="0"/>
          <w:marBottom w:val="0"/>
          <w:divBdr>
            <w:top w:val="none" w:sz="0" w:space="0" w:color="auto"/>
            <w:left w:val="none" w:sz="0" w:space="0" w:color="auto"/>
            <w:bottom w:val="none" w:sz="0" w:space="0" w:color="auto"/>
            <w:right w:val="none" w:sz="0" w:space="0" w:color="auto"/>
          </w:divBdr>
        </w:div>
      </w:divsChild>
    </w:div>
    <w:div w:id="544953412">
      <w:bodyDiv w:val="1"/>
      <w:marLeft w:val="0"/>
      <w:marRight w:val="0"/>
      <w:marTop w:val="0"/>
      <w:marBottom w:val="0"/>
      <w:divBdr>
        <w:top w:val="none" w:sz="0" w:space="0" w:color="auto"/>
        <w:left w:val="none" w:sz="0" w:space="0" w:color="auto"/>
        <w:bottom w:val="none" w:sz="0" w:space="0" w:color="auto"/>
        <w:right w:val="none" w:sz="0" w:space="0" w:color="auto"/>
      </w:divBdr>
      <w:divsChild>
        <w:div w:id="1298993968">
          <w:marLeft w:val="0"/>
          <w:marRight w:val="0"/>
          <w:marTop w:val="0"/>
          <w:marBottom w:val="0"/>
          <w:divBdr>
            <w:top w:val="none" w:sz="0" w:space="0" w:color="auto"/>
            <w:left w:val="none" w:sz="0" w:space="0" w:color="auto"/>
            <w:bottom w:val="none" w:sz="0" w:space="0" w:color="auto"/>
            <w:right w:val="none" w:sz="0" w:space="0" w:color="auto"/>
          </w:divBdr>
        </w:div>
      </w:divsChild>
    </w:div>
    <w:div w:id="547881627">
      <w:bodyDiv w:val="1"/>
      <w:marLeft w:val="0"/>
      <w:marRight w:val="0"/>
      <w:marTop w:val="0"/>
      <w:marBottom w:val="0"/>
      <w:divBdr>
        <w:top w:val="none" w:sz="0" w:space="0" w:color="auto"/>
        <w:left w:val="none" w:sz="0" w:space="0" w:color="auto"/>
        <w:bottom w:val="none" w:sz="0" w:space="0" w:color="auto"/>
        <w:right w:val="none" w:sz="0" w:space="0" w:color="auto"/>
      </w:divBdr>
    </w:div>
    <w:div w:id="582033253">
      <w:bodyDiv w:val="1"/>
      <w:marLeft w:val="0"/>
      <w:marRight w:val="0"/>
      <w:marTop w:val="0"/>
      <w:marBottom w:val="0"/>
      <w:divBdr>
        <w:top w:val="none" w:sz="0" w:space="0" w:color="auto"/>
        <w:left w:val="none" w:sz="0" w:space="0" w:color="auto"/>
        <w:bottom w:val="none" w:sz="0" w:space="0" w:color="auto"/>
        <w:right w:val="none" w:sz="0" w:space="0" w:color="auto"/>
      </w:divBdr>
    </w:div>
    <w:div w:id="662318549">
      <w:bodyDiv w:val="1"/>
      <w:marLeft w:val="0"/>
      <w:marRight w:val="0"/>
      <w:marTop w:val="0"/>
      <w:marBottom w:val="0"/>
      <w:divBdr>
        <w:top w:val="none" w:sz="0" w:space="0" w:color="auto"/>
        <w:left w:val="none" w:sz="0" w:space="0" w:color="auto"/>
        <w:bottom w:val="none" w:sz="0" w:space="0" w:color="auto"/>
        <w:right w:val="none" w:sz="0" w:space="0" w:color="auto"/>
      </w:divBdr>
    </w:div>
    <w:div w:id="685400508">
      <w:bodyDiv w:val="1"/>
      <w:marLeft w:val="0"/>
      <w:marRight w:val="0"/>
      <w:marTop w:val="0"/>
      <w:marBottom w:val="0"/>
      <w:divBdr>
        <w:top w:val="none" w:sz="0" w:space="0" w:color="auto"/>
        <w:left w:val="none" w:sz="0" w:space="0" w:color="auto"/>
        <w:bottom w:val="none" w:sz="0" w:space="0" w:color="auto"/>
        <w:right w:val="none" w:sz="0" w:space="0" w:color="auto"/>
      </w:divBdr>
      <w:divsChild>
        <w:div w:id="276835632">
          <w:marLeft w:val="0"/>
          <w:marRight w:val="0"/>
          <w:marTop w:val="0"/>
          <w:marBottom w:val="0"/>
          <w:divBdr>
            <w:top w:val="none" w:sz="0" w:space="0" w:color="auto"/>
            <w:left w:val="none" w:sz="0" w:space="0" w:color="auto"/>
            <w:bottom w:val="none" w:sz="0" w:space="0" w:color="auto"/>
            <w:right w:val="none" w:sz="0" w:space="0" w:color="auto"/>
          </w:divBdr>
        </w:div>
      </w:divsChild>
    </w:div>
    <w:div w:id="739326844">
      <w:bodyDiv w:val="1"/>
      <w:marLeft w:val="0"/>
      <w:marRight w:val="0"/>
      <w:marTop w:val="0"/>
      <w:marBottom w:val="0"/>
      <w:divBdr>
        <w:top w:val="none" w:sz="0" w:space="0" w:color="auto"/>
        <w:left w:val="none" w:sz="0" w:space="0" w:color="auto"/>
        <w:bottom w:val="none" w:sz="0" w:space="0" w:color="auto"/>
        <w:right w:val="none" w:sz="0" w:space="0" w:color="auto"/>
      </w:divBdr>
    </w:div>
    <w:div w:id="779029096">
      <w:bodyDiv w:val="1"/>
      <w:marLeft w:val="0"/>
      <w:marRight w:val="0"/>
      <w:marTop w:val="0"/>
      <w:marBottom w:val="0"/>
      <w:divBdr>
        <w:top w:val="none" w:sz="0" w:space="0" w:color="auto"/>
        <w:left w:val="none" w:sz="0" w:space="0" w:color="auto"/>
        <w:bottom w:val="none" w:sz="0" w:space="0" w:color="auto"/>
        <w:right w:val="none" w:sz="0" w:space="0" w:color="auto"/>
      </w:divBdr>
      <w:divsChild>
        <w:div w:id="600066745">
          <w:marLeft w:val="0"/>
          <w:marRight w:val="0"/>
          <w:marTop w:val="0"/>
          <w:marBottom w:val="0"/>
          <w:divBdr>
            <w:top w:val="none" w:sz="0" w:space="0" w:color="auto"/>
            <w:left w:val="none" w:sz="0" w:space="0" w:color="auto"/>
            <w:bottom w:val="none" w:sz="0" w:space="0" w:color="auto"/>
            <w:right w:val="none" w:sz="0" w:space="0" w:color="auto"/>
          </w:divBdr>
          <w:divsChild>
            <w:div w:id="12506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72545">
      <w:bodyDiv w:val="1"/>
      <w:marLeft w:val="0"/>
      <w:marRight w:val="0"/>
      <w:marTop w:val="0"/>
      <w:marBottom w:val="0"/>
      <w:divBdr>
        <w:top w:val="none" w:sz="0" w:space="0" w:color="auto"/>
        <w:left w:val="none" w:sz="0" w:space="0" w:color="auto"/>
        <w:bottom w:val="none" w:sz="0" w:space="0" w:color="auto"/>
        <w:right w:val="none" w:sz="0" w:space="0" w:color="auto"/>
      </w:divBdr>
      <w:divsChild>
        <w:div w:id="1613856261">
          <w:marLeft w:val="0"/>
          <w:marRight w:val="0"/>
          <w:marTop w:val="0"/>
          <w:marBottom w:val="0"/>
          <w:divBdr>
            <w:top w:val="none" w:sz="0" w:space="0" w:color="auto"/>
            <w:left w:val="none" w:sz="0" w:space="0" w:color="auto"/>
            <w:bottom w:val="none" w:sz="0" w:space="0" w:color="auto"/>
            <w:right w:val="none" w:sz="0" w:space="0" w:color="auto"/>
          </w:divBdr>
        </w:div>
      </w:divsChild>
    </w:div>
    <w:div w:id="921648251">
      <w:bodyDiv w:val="1"/>
      <w:marLeft w:val="0"/>
      <w:marRight w:val="0"/>
      <w:marTop w:val="0"/>
      <w:marBottom w:val="0"/>
      <w:divBdr>
        <w:top w:val="none" w:sz="0" w:space="0" w:color="auto"/>
        <w:left w:val="none" w:sz="0" w:space="0" w:color="auto"/>
        <w:bottom w:val="none" w:sz="0" w:space="0" w:color="auto"/>
        <w:right w:val="none" w:sz="0" w:space="0" w:color="auto"/>
      </w:divBdr>
      <w:divsChild>
        <w:div w:id="1164005339">
          <w:marLeft w:val="0"/>
          <w:marRight w:val="0"/>
          <w:marTop w:val="0"/>
          <w:marBottom w:val="0"/>
          <w:divBdr>
            <w:top w:val="none" w:sz="0" w:space="0" w:color="auto"/>
            <w:left w:val="none" w:sz="0" w:space="0" w:color="auto"/>
            <w:bottom w:val="none" w:sz="0" w:space="0" w:color="auto"/>
            <w:right w:val="none" w:sz="0" w:space="0" w:color="auto"/>
          </w:divBdr>
        </w:div>
      </w:divsChild>
    </w:div>
    <w:div w:id="977877503">
      <w:bodyDiv w:val="1"/>
      <w:marLeft w:val="0"/>
      <w:marRight w:val="0"/>
      <w:marTop w:val="0"/>
      <w:marBottom w:val="0"/>
      <w:divBdr>
        <w:top w:val="none" w:sz="0" w:space="0" w:color="auto"/>
        <w:left w:val="none" w:sz="0" w:space="0" w:color="auto"/>
        <w:bottom w:val="none" w:sz="0" w:space="0" w:color="auto"/>
        <w:right w:val="none" w:sz="0" w:space="0" w:color="auto"/>
      </w:divBdr>
      <w:divsChild>
        <w:div w:id="951596944">
          <w:marLeft w:val="0"/>
          <w:marRight w:val="0"/>
          <w:marTop w:val="0"/>
          <w:marBottom w:val="0"/>
          <w:divBdr>
            <w:top w:val="none" w:sz="0" w:space="0" w:color="auto"/>
            <w:left w:val="none" w:sz="0" w:space="0" w:color="auto"/>
            <w:bottom w:val="none" w:sz="0" w:space="0" w:color="auto"/>
            <w:right w:val="none" w:sz="0" w:space="0" w:color="auto"/>
          </w:divBdr>
        </w:div>
      </w:divsChild>
    </w:div>
    <w:div w:id="999692460">
      <w:bodyDiv w:val="1"/>
      <w:marLeft w:val="0"/>
      <w:marRight w:val="0"/>
      <w:marTop w:val="0"/>
      <w:marBottom w:val="0"/>
      <w:divBdr>
        <w:top w:val="none" w:sz="0" w:space="0" w:color="auto"/>
        <w:left w:val="none" w:sz="0" w:space="0" w:color="auto"/>
        <w:bottom w:val="none" w:sz="0" w:space="0" w:color="auto"/>
        <w:right w:val="none" w:sz="0" w:space="0" w:color="auto"/>
      </w:divBdr>
    </w:div>
    <w:div w:id="1053120553">
      <w:bodyDiv w:val="1"/>
      <w:marLeft w:val="0"/>
      <w:marRight w:val="0"/>
      <w:marTop w:val="0"/>
      <w:marBottom w:val="0"/>
      <w:divBdr>
        <w:top w:val="none" w:sz="0" w:space="0" w:color="auto"/>
        <w:left w:val="none" w:sz="0" w:space="0" w:color="auto"/>
        <w:bottom w:val="none" w:sz="0" w:space="0" w:color="auto"/>
        <w:right w:val="none" w:sz="0" w:space="0" w:color="auto"/>
      </w:divBdr>
      <w:divsChild>
        <w:div w:id="1774090707">
          <w:marLeft w:val="0"/>
          <w:marRight w:val="0"/>
          <w:marTop w:val="0"/>
          <w:marBottom w:val="0"/>
          <w:divBdr>
            <w:top w:val="none" w:sz="0" w:space="0" w:color="auto"/>
            <w:left w:val="none" w:sz="0" w:space="0" w:color="auto"/>
            <w:bottom w:val="none" w:sz="0" w:space="0" w:color="auto"/>
            <w:right w:val="none" w:sz="0" w:space="0" w:color="auto"/>
          </w:divBdr>
        </w:div>
      </w:divsChild>
    </w:div>
    <w:div w:id="1084380546">
      <w:bodyDiv w:val="1"/>
      <w:marLeft w:val="0"/>
      <w:marRight w:val="0"/>
      <w:marTop w:val="0"/>
      <w:marBottom w:val="0"/>
      <w:divBdr>
        <w:top w:val="none" w:sz="0" w:space="0" w:color="auto"/>
        <w:left w:val="none" w:sz="0" w:space="0" w:color="auto"/>
        <w:bottom w:val="none" w:sz="0" w:space="0" w:color="auto"/>
        <w:right w:val="none" w:sz="0" w:space="0" w:color="auto"/>
      </w:divBdr>
    </w:div>
    <w:div w:id="1089812966">
      <w:bodyDiv w:val="1"/>
      <w:marLeft w:val="0"/>
      <w:marRight w:val="0"/>
      <w:marTop w:val="0"/>
      <w:marBottom w:val="0"/>
      <w:divBdr>
        <w:top w:val="none" w:sz="0" w:space="0" w:color="auto"/>
        <w:left w:val="none" w:sz="0" w:space="0" w:color="auto"/>
        <w:bottom w:val="none" w:sz="0" w:space="0" w:color="auto"/>
        <w:right w:val="none" w:sz="0" w:space="0" w:color="auto"/>
      </w:divBdr>
    </w:div>
    <w:div w:id="1110587220">
      <w:bodyDiv w:val="1"/>
      <w:marLeft w:val="0"/>
      <w:marRight w:val="0"/>
      <w:marTop w:val="0"/>
      <w:marBottom w:val="0"/>
      <w:divBdr>
        <w:top w:val="none" w:sz="0" w:space="0" w:color="auto"/>
        <w:left w:val="none" w:sz="0" w:space="0" w:color="auto"/>
        <w:bottom w:val="none" w:sz="0" w:space="0" w:color="auto"/>
        <w:right w:val="none" w:sz="0" w:space="0" w:color="auto"/>
      </w:divBdr>
    </w:div>
    <w:div w:id="1128669244">
      <w:bodyDiv w:val="1"/>
      <w:marLeft w:val="0"/>
      <w:marRight w:val="0"/>
      <w:marTop w:val="0"/>
      <w:marBottom w:val="0"/>
      <w:divBdr>
        <w:top w:val="none" w:sz="0" w:space="0" w:color="auto"/>
        <w:left w:val="none" w:sz="0" w:space="0" w:color="auto"/>
        <w:bottom w:val="none" w:sz="0" w:space="0" w:color="auto"/>
        <w:right w:val="none" w:sz="0" w:space="0" w:color="auto"/>
      </w:divBdr>
    </w:div>
    <w:div w:id="1148278816">
      <w:bodyDiv w:val="1"/>
      <w:marLeft w:val="0"/>
      <w:marRight w:val="0"/>
      <w:marTop w:val="0"/>
      <w:marBottom w:val="0"/>
      <w:divBdr>
        <w:top w:val="none" w:sz="0" w:space="0" w:color="auto"/>
        <w:left w:val="none" w:sz="0" w:space="0" w:color="auto"/>
        <w:bottom w:val="none" w:sz="0" w:space="0" w:color="auto"/>
        <w:right w:val="none" w:sz="0" w:space="0" w:color="auto"/>
      </w:divBdr>
    </w:div>
    <w:div w:id="1202940173">
      <w:bodyDiv w:val="1"/>
      <w:marLeft w:val="0"/>
      <w:marRight w:val="0"/>
      <w:marTop w:val="0"/>
      <w:marBottom w:val="0"/>
      <w:divBdr>
        <w:top w:val="none" w:sz="0" w:space="0" w:color="auto"/>
        <w:left w:val="none" w:sz="0" w:space="0" w:color="auto"/>
        <w:bottom w:val="none" w:sz="0" w:space="0" w:color="auto"/>
        <w:right w:val="none" w:sz="0" w:space="0" w:color="auto"/>
      </w:divBdr>
      <w:divsChild>
        <w:div w:id="1147436573">
          <w:marLeft w:val="0"/>
          <w:marRight w:val="0"/>
          <w:marTop w:val="0"/>
          <w:marBottom w:val="0"/>
          <w:divBdr>
            <w:top w:val="none" w:sz="0" w:space="0" w:color="auto"/>
            <w:left w:val="none" w:sz="0" w:space="0" w:color="auto"/>
            <w:bottom w:val="none" w:sz="0" w:space="0" w:color="auto"/>
            <w:right w:val="none" w:sz="0" w:space="0" w:color="auto"/>
          </w:divBdr>
        </w:div>
      </w:divsChild>
    </w:div>
    <w:div w:id="1250655783">
      <w:bodyDiv w:val="1"/>
      <w:marLeft w:val="0"/>
      <w:marRight w:val="0"/>
      <w:marTop w:val="0"/>
      <w:marBottom w:val="0"/>
      <w:divBdr>
        <w:top w:val="none" w:sz="0" w:space="0" w:color="auto"/>
        <w:left w:val="none" w:sz="0" w:space="0" w:color="auto"/>
        <w:bottom w:val="none" w:sz="0" w:space="0" w:color="auto"/>
        <w:right w:val="none" w:sz="0" w:space="0" w:color="auto"/>
      </w:divBdr>
      <w:divsChild>
        <w:div w:id="589851884">
          <w:marLeft w:val="0"/>
          <w:marRight w:val="0"/>
          <w:marTop w:val="0"/>
          <w:marBottom w:val="0"/>
          <w:divBdr>
            <w:top w:val="none" w:sz="0" w:space="0" w:color="auto"/>
            <w:left w:val="none" w:sz="0" w:space="0" w:color="auto"/>
            <w:bottom w:val="none" w:sz="0" w:space="0" w:color="auto"/>
            <w:right w:val="none" w:sz="0" w:space="0" w:color="auto"/>
          </w:divBdr>
        </w:div>
      </w:divsChild>
    </w:div>
    <w:div w:id="1253315028">
      <w:bodyDiv w:val="1"/>
      <w:marLeft w:val="0"/>
      <w:marRight w:val="0"/>
      <w:marTop w:val="0"/>
      <w:marBottom w:val="0"/>
      <w:divBdr>
        <w:top w:val="none" w:sz="0" w:space="0" w:color="auto"/>
        <w:left w:val="none" w:sz="0" w:space="0" w:color="auto"/>
        <w:bottom w:val="none" w:sz="0" w:space="0" w:color="auto"/>
        <w:right w:val="none" w:sz="0" w:space="0" w:color="auto"/>
      </w:divBdr>
    </w:div>
    <w:div w:id="1354183709">
      <w:bodyDiv w:val="1"/>
      <w:marLeft w:val="0"/>
      <w:marRight w:val="0"/>
      <w:marTop w:val="0"/>
      <w:marBottom w:val="0"/>
      <w:divBdr>
        <w:top w:val="none" w:sz="0" w:space="0" w:color="auto"/>
        <w:left w:val="none" w:sz="0" w:space="0" w:color="auto"/>
        <w:bottom w:val="none" w:sz="0" w:space="0" w:color="auto"/>
        <w:right w:val="none" w:sz="0" w:space="0" w:color="auto"/>
      </w:divBdr>
      <w:divsChild>
        <w:div w:id="230695854">
          <w:marLeft w:val="0"/>
          <w:marRight w:val="0"/>
          <w:marTop w:val="0"/>
          <w:marBottom w:val="0"/>
          <w:divBdr>
            <w:top w:val="none" w:sz="0" w:space="0" w:color="auto"/>
            <w:left w:val="none" w:sz="0" w:space="0" w:color="auto"/>
            <w:bottom w:val="none" w:sz="0" w:space="0" w:color="auto"/>
            <w:right w:val="none" w:sz="0" w:space="0" w:color="auto"/>
          </w:divBdr>
        </w:div>
      </w:divsChild>
    </w:div>
    <w:div w:id="1476527253">
      <w:bodyDiv w:val="1"/>
      <w:marLeft w:val="0"/>
      <w:marRight w:val="0"/>
      <w:marTop w:val="0"/>
      <w:marBottom w:val="0"/>
      <w:divBdr>
        <w:top w:val="none" w:sz="0" w:space="0" w:color="auto"/>
        <w:left w:val="none" w:sz="0" w:space="0" w:color="auto"/>
        <w:bottom w:val="none" w:sz="0" w:space="0" w:color="auto"/>
        <w:right w:val="none" w:sz="0" w:space="0" w:color="auto"/>
      </w:divBdr>
    </w:div>
    <w:div w:id="1510023869">
      <w:bodyDiv w:val="1"/>
      <w:marLeft w:val="0"/>
      <w:marRight w:val="0"/>
      <w:marTop w:val="0"/>
      <w:marBottom w:val="0"/>
      <w:divBdr>
        <w:top w:val="none" w:sz="0" w:space="0" w:color="auto"/>
        <w:left w:val="none" w:sz="0" w:space="0" w:color="auto"/>
        <w:bottom w:val="none" w:sz="0" w:space="0" w:color="auto"/>
        <w:right w:val="none" w:sz="0" w:space="0" w:color="auto"/>
      </w:divBdr>
      <w:divsChild>
        <w:div w:id="978418045">
          <w:marLeft w:val="0"/>
          <w:marRight w:val="0"/>
          <w:marTop w:val="0"/>
          <w:marBottom w:val="0"/>
          <w:divBdr>
            <w:top w:val="none" w:sz="0" w:space="0" w:color="auto"/>
            <w:left w:val="none" w:sz="0" w:space="0" w:color="auto"/>
            <w:bottom w:val="none" w:sz="0" w:space="0" w:color="auto"/>
            <w:right w:val="none" w:sz="0" w:space="0" w:color="auto"/>
          </w:divBdr>
        </w:div>
      </w:divsChild>
    </w:div>
    <w:div w:id="1580214391">
      <w:bodyDiv w:val="1"/>
      <w:marLeft w:val="0"/>
      <w:marRight w:val="0"/>
      <w:marTop w:val="0"/>
      <w:marBottom w:val="0"/>
      <w:divBdr>
        <w:top w:val="none" w:sz="0" w:space="0" w:color="auto"/>
        <w:left w:val="none" w:sz="0" w:space="0" w:color="auto"/>
        <w:bottom w:val="none" w:sz="0" w:space="0" w:color="auto"/>
        <w:right w:val="none" w:sz="0" w:space="0" w:color="auto"/>
      </w:divBdr>
    </w:div>
    <w:div w:id="1590118780">
      <w:bodyDiv w:val="1"/>
      <w:marLeft w:val="0"/>
      <w:marRight w:val="0"/>
      <w:marTop w:val="0"/>
      <w:marBottom w:val="0"/>
      <w:divBdr>
        <w:top w:val="none" w:sz="0" w:space="0" w:color="auto"/>
        <w:left w:val="none" w:sz="0" w:space="0" w:color="auto"/>
        <w:bottom w:val="none" w:sz="0" w:space="0" w:color="auto"/>
        <w:right w:val="none" w:sz="0" w:space="0" w:color="auto"/>
      </w:divBdr>
    </w:div>
    <w:div w:id="1590194656">
      <w:bodyDiv w:val="1"/>
      <w:marLeft w:val="0"/>
      <w:marRight w:val="0"/>
      <w:marTop w:val="0"/>
      <w:marBottom w:val="0"/>
      <w:divBdr>
        <w:top w:val="none" w:sz="0" w:space="0" w:color="auto"/>
        <w:left w:val="none" w:sz="0" w:space="0" w:color="auto"/>
        <w:bottom w:val="none" w:sz="0" w:space="0" w:color="auto"/>
        <w:right w:val="none" w:sz="0" w:space="0" w:color="auto"/>
      </w:divBdr>
      <w:divsChild>
        <w:div w:id="1156917840">
          <w:marLeft w:val="0"/>
          <w:marRight w:val="0"/>
          <w:marTop w:val="0"/>
          <w:marBottom w:val="0"/>
          <w:divBdr>
            <w:top w:val="none" w:sz="0" w:space="0" w:color="auto"/>
            <w:left w:val="none" w:sz="0" w:space="0" w:color="auto"/>
            <w:bottom w:val="none" w:sz="0" w:space="0" w:color="auto"/>
            <w:right w:val="none" w:sz="0" w:space="0" w:color="auto"/>
          </w:divBdr>
        </w:div>
      </w:divsChild>
    </w:div>
    <w:div w:id="1630891255">
      <w:bodyDiv w:val="1"/>
      <w:marLeft w:val="0"/>
      <w:marRight w:val="0"/>
      <w:marTop w:val="0"/>
      <w:marBottom w:val="0"/>
      <w:divBdr>
        <w:top w:val="none" w:sz="0" w:space="0" w:color="auto"/>
        <w:left w:val="none" w:sz="0" w:space="0" w:color="auto"/>
        <w:bottom w:val="none" w:sz="0" w:space="0" w:color="auto"/>
        <w:right w:val="none" w:sz="0" w:space="0" w:color="auto"/>
      </w:divBdr>
      <w:divsChild>
        <w:div w:id="958686241">
          <w:marLeft w:val="0"/>
          <w:marRight w:val="0"/>
          <w:marTop w:val="0"/>
          <w:marBottom w:val="0"/>
          <w:divBdr>
            <w:top w:val="none" w:sz="0" w:space="0" w:color="auto"/>
            <w:left w:val="none" w:sz="0" w:space="0" w:color="auto"/>
            <w:bottom w:val="none" w:sz="0" w:space="0" w:color="auto"/>
            <w:right w:val="none" w:sz="0" w:space="0" w:color="auto"/>
          </w:divBdr>
        </w:div>
      </w:divsChild>
    </w:div>
    <w:div w:id="1799568954">
      <w:bodyDiv w:val="1"/>
      <w:marLeft w:val="0"/>
      <w:marRight w:val="0"/>
      <w:marTop w:val="0"/>
      <w:marBottom w:val="0"/>
      <w:divBdr>
        <w:top w:val="none" w:sz="0" w:space="0" w:color="auto"/>
        <w:left w:val="none" w:sz="0" w:space="0" w:color="auto"/>
        <w:bottom w:val="none" w:sz="0" w:space="0" w:color="auto"/>
        <w:right w:val="none" w:sz="0" w:space="0" w:color="auto"/>
      </w:divBdr>
    </w:div>
    <w:div w:id="1802069454">
      <w:bodyDiv w:val="1"/>
      <w:marLeft w:val="0"/>
      <w:marRight w:val="0"/>
      <w:marTop w:val="0"/>
      <w:marBottom w:val="0"/>
      <w:divBdr>
        <w:top w:val="none" w:sz="0" w:space="0" w:color="auto"/>
        <w:left w:val="none" w:sz="0" w:space="0" w:color="auto"/>
        <w:bottom w:val="none" w:sz="0" w:space="0" w:color="auto"/>
        <w:right w:val="none" w:sz="0" w:space="0" w:color="auto"/>
      </w:divBdr>
    </w:div>
    <w:div w:id="1841382971">
      <w:bodyDiv w:val="1"/>
      <w:marLeft w:val="0"/>
      <w:marRight w:val="0"/>
      <w:marTop w:val="0"/>
      <w:marBottom w:val="0"/>
      <w:divBdr>
        <w:top w:val="none" w:sz="0" w:space="0" w:color="auto"/>
        <w:left w:val="none" w:sz="0" w:space="0" w:color="auto"/>
        <w:bottom w:val="none" w:sz="0" w:space="0" w:color="auto"/>
        <w:right w:val="none" w:sz="0" w:space="0" w:color="auto"/>
      </w:divBdr>
      <w:divsChild>
        <w:div w:id="1669136707">
          <w:marLeft w:val="0"/>
          <w:marRight w:val="0"/>
          <w:marTop w:val="0"/>
          <w:marBottom w:val="0"/>
          <w:divBdr>
            <w:top w:val="none" w:sz="0" w:space="0" w:color="auto"/>
            <w:left w:val="none" w:sz="0" w:space="0" w:color="auto"/>
            <w:bottom w:val="none" w:sz="0" w:space="0" w:color="auto"/>
            <w:right w:val="none" w:sz="0" w:space="0" w:color="auto"/>
          </w:divBdr>
        </w:div>
      </w:divsChild>
    </w:div>
    <w:div w:id="1853108388">
      <w:bodyDiv w:val="1"/>
      <w:marLeft w:val="0"/>
      <w:marRight w:val="0"/>
      <w:marTop w:val="0"/>
      <w:marBottom w:val="0"/>
      <w:divBdr>
        <w:top w:val="none" w:sz="0" w:space="0" w:color="auto"/>
        <w:left w:val="none" w:sz="0" w:space="0" w:color="auto"/>
        <w:bottom w:val="none" w:sz="0" w:space="0" w:color="auto"/>
        <w:right w:val="none" w:sz="0" w:space="0" w:color="auto"/>
      </w:divBdr>
      <w:divsChild>
        <w:div w:id="1117142300">
          <w:marLeft w:val="0"/>
          <w:marRight w:val="0"/>
          <w:marTop w:val="0"/>
          <w:marBottom w:val="0"/>
          <w:divBdr>
            <w:top w:val="none" w:sz="0" w:space="0" w:color="auto"/>
            <w:left w:val="none" w:sz="0" w:space="0" w:color="auto"/>
            <w:bottom w:val="none" w:sz="0" w:space="0" w:color="auto"/>
            <w:right w:val="none" w:sz="0" w:space="0" w:color="auto"/>
          </w:divBdr>
        </w:div>
      </w:divsChild>
    </w:div>
    <w:div w:id="1879782986">
      <w:bodyDiv w:val="1"/>
      <w:marLeft w:val="0"/>
      <w:marRight w:val="0"/>
      <w:marTop w:val="0"/>
      <w:marBottom w:val="0"/>
      <w:divBdr>
        <w:top w:val="none" w:sz="0" w:space="0" w:color="auto"/>
        <w:left w:val="none" w:sz="0" w:space="0" w:color="auto"/>
        <w:bottom w:val="none" w:sz="0" w:space="0" w:color="auto"/>
        <w:right w:val="none" w:sz="0" w:space="0" w:color="auto"/>
      </w:divBdr>
      <w:divsChild>
        <w:div w:id="1350522445">
          <w:marLeft w:val="0"/>
          <w:marRight w:val="0"/>
          <w:marTop w:val="0"/>
          <w:marBottom w:val="0"/>
          <w:divBdr>
            <w:top w:val="none" w:sz="0" w:space="0" w:color="auto"/>
            <w:left w:val="none" w:sz="0" w:space="0" w:color="auto"/>
            <w:bottom w:val="none" w:sz="0" w:space="0" w:color="auto"/>
            <w:right w:val="none" w:sz="0" w:space="0" w:color="auto"/>
          </w:divBdr>
        </w:div>
      </w:divsChild>
    </w:div>
    <w:div w:id="1881940423">
      <w:bodyDiv w:val="1"/>
      <w:marLeft w:val="0"/>
      <w:marRight w:val="0"/>
      <w:marTop w:val="0"/>
      <w:marBottom w:val="0"/>
      <w:divBdr>
        <w:top w:val="none" w:sz="0" w:space="0" w:color="auto"/>
        <w:left w:val="none" w:sz="0" w:space="0" w:color="auto"/>
        <w:bottom w:val="none" w:sz="0" w:space="0" w:color="auto"/>
        <w:right w:val="none" w:sz="0" w:space="0" w:color="auto"/>
      </w:divBdr>
      <w:divsChild>
        <w:div w:id="1432167166">
          <w:marLeft w:val="0"/>
          <w:marRight w:val="0"/>
          <w:marTop w:val="0"/>
          <w:marBottom w:val="0"/>
          <w:divBdr>
            <w:top w:val="none" w:sz="0" w:space="0" w:color="auto"/>
            <w:left w:val="none" w:sz="0" w:space="0" w:color="auto"/>
            <w:bottom w:val="none" w:sz="0" w:space="0" w:color="auto"/>
            <w:right w:val="none" w:sz="0" w:space="0" w:color="auto"/>
          </w:divBdr>
        </w:div>
      </w:divsChild>
    </w:div>
    <w:div w:id="1946691724">
      <w:bodyDiv w:val="1"/>
      <w:marLeft w:val="0"/>
      <w:marRight w:val="0"/>
      <w:marTop w:val="0"/>
      <w:marBottom w:val="0"/>
      <w:divBdr>
        <w:top w:val="none" w:sz="0" w:space="0" w:color="auto"/>
        <w:left w:val="none" w:sz="0" w:space="0" w:color="auto"/>
        <w:bottom w:val="none" w:sz="0" w:space="0" w:color="auto"/>
        <w:right w:val="none" w:sz="0" w:space="0" w:color="auto"/>
      </w:divBdr>
      <w:divsChild>
        <w:div w:id="420758058">
          <w:marLeft w:val="0"/>
          <w:marRight w:val="0"/>
          <w:marTop w:val="0"/>
          <w:marBottom w:val="0"/>
          <w:divBdr>
            <w:top w:val="none" w:sz="0" w:space="0" w:color="auto"/>
            <w:left w:val="none" w:sz="0" w:space="0" w:color="auto"/>
            <w:bottom w:val="none" w:sz="0" w:space="0" w:color="auto"/>
            <w:right w:val="none" w:sz="0" w:space="0" w:color="auto"/>
          </w:divBdr>
        </w:div>
      </w:divsChild>
    </w:div>
    <w:div w:id="1957590911">
      <w:bodyDiv w:val="1"/>
      <w:marLeft w:val="0"/>
      <w:marRight w:val="0"/>
      <w:marTop w:val="0"/>
      <w:marBottom w:val="0"/>
      <w:divBdr>
        <w:top w:val="none" w:sz="0" w:space="0" w:color="auto"/>
        <w:left w:val="none" w:sz="0" w:space="0" w:color="auto"/>
        <w:bottom w:val="none" w:sz="0" w:space="0" w:color="auto"/>
        <w:right w:val="none" w:sz="0" w:space="0" w:color="auto"/>
      </w:divBdr>
    </w:div>
    <w:div w:id="2015960602">
      <w:bodyDiv w:val="1"/>
      <w:marLeft w:val="0"/>
      <w:marRight w:val="0"/>
      <w:marTop w:val="0"/>
      <w:marBottom w:val="0"/>
      <w:divBdr>
        <w:top w:val="none" w:sz="0" w:space="0" w:color="auto"/>
        <w:left w:val="none" w:sz="0" w:space="0" w:color="auto"/>
        <w:bottom w:val="none" w:sz="0" w:space="0" w:color="auto"/>
        <w:right w:val="none" w:sz="0" w:space="0" w:color="auto"/>
      </w:divBdr>
    </w:div>
    <w:div w:id="2063360505">
      <w:bodyDiv w:val="1"/>
      <w:marLeft w:val="0"/>
      <w:marRight w:val="0"/>
      <w:marTop w:val="0"/>
      <w:marBottom w:val="0"/>
      <w:divBdr>
        <w:top w:val="none" w:sz="0" w:space="0" w:color="auto"/>
        <w:left w:val="none" w:sz="0" w:space="0" w:color="auto"/>
        <w:bottom w:val="none" w:sz="0" w:space="0" w:color="auto"/>
        <w:right w:val="none" w:sz="0" w:space="0" w:color="auto"/>
      </w:divBdr>
    </w:div>
    <w:div w:id="2085714778">
      <w:bodyDiv w:val="1"/>
      <w:marLeft w:val="0"/>
      <w:marRight w:val="0"/>
      <w:marTop w:val="0"/>
      <w:marBottom w:val="0"/>
      <w:divBdr>
        <w:top w:val="none" w:sz="0" w:space="0" w:color="auto"/>
        <w:left w:val="none" w:sz="0" w:space="0" w:color="auto"/>
        <w:bottom w:val="none" w:sz="0" w:space="0" w:color="auto"/>
        <w:right w:val="none" w:sz="0" w:space="0" w:color="auto"/>
      </w:divBdr>
      <w:divsChild>
        <w:div w:id="19157807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aph.gov.au/Parliamentary_Business/Committees/Joint/Treaties/15_July_2014/Report_144" TargetMode="External"/><Relationship Id="rId18" Type="http://schemas.openxmlformats.org/officeDocument/2006/relationships/image" Target="media/image4.emf"/><Relationship Id="rId26" Type="http://schemas.openxmlformats.org/officeDocument/2006/relationships/image" Target="media/image12.png"/><Relationship Id="rId21" Type="http://schemas.openxmlformats.org/officeDocument/2006/relationships/image" Target="media/image7.png"/><Relationship Id="rId34" Type="http://schemas.openxmlformats.org/officeDocument/2006/relationships/image" Target="cid:image003.png@01DB6827.43DCF910"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image" Target="media/image11.png"/><Relationship Id="rId33"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5.emf"/><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hyperlink" Target="https://www.dfat.gov.au/trade/agreements/in-force/cptpp/commission-meetings" TargetMode="External"/><Relationship Id="rId8" Type="http://schemas.openxmlformats.org/officeDocument/2006/relationships/header" Target="header2.xm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aph.gov.au/Parliamentary_Business/Committees/Joint/Treaties/TPP-11/Report_181/section?id=committees%2freportjnt%2f024179%2f26103" TargetMode="External"/><Relationship Id="rId13" Type="http://schemas.openxmlformats.org/officeDocument/2006/relationships/hyperlink" Target="https://oia.pmc.gov.au/sites/default/files/posts/2020/02/final_version_-_jaepa_pir.pdf" TargetMode="External"/><Relationship Id="rId18" Type="http://schemas.openxmlformats.org/officeDocument/2006/relationships/hyperlink" Target="https://www.austrade.gov.au/en/news-and-analysis/analysis/how-global-energy-prices-are-affecting-the-price-of-australian-farm-inputs" TargetMode="External"/><Relationship Id="rId3" Type="http://schemas.openxmlformats.org/officeDocument/2006/relationships/hyperlink" Target="https://www.dfat.gov.au/sites/default/files/national-interest-analysis-including-analysis-of-regulatory-impact-on-australia.pdf" TargetMode="External"/><Relationship Id="rId21" Type="http://schemas.openxmlformats.org/officeDocument/2006/relationships/hyperlink" Target="https://aus01.safelinks.protection.outlook.com/?url=https%3A%2F%2Fwww.trademinister.gov.au%2Fminister%2Fdon-farrell%2Fmedia-release%2Fcommunique-third-meeting-ministerial-council-trade-and-investment%3F_gl%3D1*1pvfmfm*_ga*MjAzMjQ3NTg1OC4xNzA5MDEwMTcx*_ga_8Z18QMQG8V*MTczNjEzNzExNC4yNDkuMS4xNzM2MTM3MTg2LjYwLjAuMA..&amp;data=05%7C02%7CWilliam.Bridges%40dfat.gov.au%7Cdf911788a1084b4849a108dd2e0d9bd9%7C9b7f23b30e8347a58a40ffa8a6fea536%7C0%7C0%7C638717361291448017%7CUnknown%7CTWFpbGZsb3d8eyJFbXB0eU1hcGkiOnRydWUsIlYiOiIwLjAuMDAwMCIsIlAiOiJXaW4zMiIsIkFOIjoiTWFpbCIsIldUIjoyfQ%3D%3D%7C0%7C%7C%7C&amp;sdata=Qd%2FjyFiB0ne6nq4VggL3JOsk8aVQD8%2FRntib4DHqnEA%3D&amp;reserved=0" TargetMode="External"/><Relationship Id="rId7" Type="http://schemas.openxmlformats.org/officeDocument/2006/relationships/hyperlink" Target="https://www.dfat.gov.au/trade/agreements/in-force/cptpp/commission-meetings" TargetMode="External"/><Relationship Id="rId12" Type="http://schemas.openxmlformats.org/officeDocument/2006/relationships/hyperlink" Target="https://www.abf.gov.au/importing-exporting-and-manufacturing/fta/free-trade-agreements/canada" TargetMode="External"/><Relationship Id="rId17" Type="http://schemas.openxmlformats.org/officeDocument/2006/relationships/hyperlink" Target="https://www.abs.gov.au/media-centre/media-releases/australia-records-current-account-deficit-0" TargetMode="External"/><Relationship Id="rId25" Type="http://schemas.openxmlformats.org/officeDocument/2006/relationships/hyperlink" Target="https://www.aph.gov.au/Parliamentary_Business/Committees/Joint/Foreign_Affairs_Defence_and_Trade/CPTPPMembership/Report" TargetMode="External"/><Relationship Id="rId2" Type="http://schemas.openxmlformats.org/officeDocument/2006/relationships/hyperlink" Target="https://ustr.gov/about-us/policy-offices/press-office/press-releases/2017/january/US-Withdraws-From-TPP" TargetMode="External"/><Relationship Id="rId16" Type="http://schemas.openxmlformats.org/officeDocument/2006/relationships/hyperlink" Target="https://www.dfat.gov.au/sites/default/files/national-interest-analysis-including-analysis-of-regulatory-impact-on-australia.pdf" TargetMode="External"/><Relationship Id="rId20" Type="http://schemas.openxmlformats.org/officeDocument/2006/relationships/hyperlink" Target="https://docs.wto.org/dol2fe/Pages/SS/directdoc.aspx?filename=q:/WT/REG/395M3.pdf&amp;Open=True" TargetMode="External"/><Relationship Id="rId1" Type="http://schemas.openxmlformats.org/officeDocument/2006/relationships/hyperlink" Target="https://www.aph.gov.au/Parliamentary_Business/Committees/Joint/Treaties/TPP-11/Report_181/section?id=committees%2freportjnt%2f024179%2f26103" TargetMode="External"/><Relationship Id="rId6" Type="http://schemas.openxmlformats.org/officeDocument/2006/relationships/hyperlink" Target="https://parlinfo.aph.gov.au/parlInfo/search/display/display.w3p;query=Id%3A%22legislation%2Fems%2Fr6165_ems_f2956642-d909-45c8-8dc7-5c0248827098%22" TargetMode="External"/><Relationship Id="rId11" Type="http://schemas.openxmlformats.org/officeDocument/2006/relationships/hyperlink" Target="https://www.dfat.gov.au/publications/trade-and-investment/trade-and-investment-glance-2020" TargetMode="External"/><Relationship Id="rId24" Type="http://schemas.openxmlformats.org/officeDocument/2006/relationships/hyperlink" Target="https://www.dfat.gov.au/trade/agreements/in-force/cptpp/terms-reference-conducting-general-review-comprehensive-and-progressive-agreement-trans-pacific-partnership-cptpp-endorsed-cptpp-ministerial-meeting-15-november-2023-pst" TargetMode="External"/><Relationship Id="rId5" Type="http://schemas.openxmlformats.org/officeDocument/2006/relationships/hyperlink" Target="https://www.dfat.gov.au/trade/agreements/in-force/cptpp/news" TargetMode="External"/><Relationship Id="rId15" Type="http://schemas.openxmlformats.org/officeDocument/2006/relationships/hyperlink" Target="https://www.dfat.gov.au/sites/default/files/national-interest-analysis-including-analysis-of-regulatory-impact-on-australia.pdf" TargetMode="External"/><Relationship Id="rId23" Type="http://schemas.openxmlformats.org/officeDocument/2006/relationships/hyperlink" Target="https://www.dfat.gov.au/trade/agreements/in-force/cptpp/commission-meetings" TargetMode="External"/><Relationship Id="rId10" Type="http://schemas.openxmlformats.org/officeDocument/2006/relationships/hyperlink" Target="https://www.dfat.gov.au/trade/agreements/in-force/pafta/Pages/peru-australia-fta" TargetMode="External"/><Relationship Id="rId19" Type="http://schemas.openxmlformats.org/officeDocument/2006/relationships/hyperlink" Target="https://www.dfat.gov.au/sites/default/files/national-interest-analysis-including-analysis-of-regulatory-impact-on-australia.pdf" TargetMode="External"/><Relationship Id="rId4" Type="http://schemas.openxmlformats.org/officeDocument/2006/relationships/hyperlink" Target="https://www.aph.gov.au/Parliamentary_Business/Committees/Joint/Treaties/TPP-11/Report_181/section?id=committees%2freportjnt%2f024179%2f26103" TargetMode="External"/><Relationship Id="rId9" Type="http://schemas.openxmlformats.org/officeDocument/2006/relationships/hyperlink" Target="https://www.dfat.gov.au/trade/agreements/in-force" TargetMode="External"/><Relationship Id="rId14" Type="http://schemas.openxmlformats.org/officeDocument/2006/relationships/hyperlink" Target="https://www.dfat.gov.au/sites/default/files/national-interest-analysis-including-analysis-of-regulatory-impact-on-australia.pdf" TargetMode="External"/><Relationship Id="rId22" Type="http://schemas.openxmlformats.org/officeDocument/2006/relationships/hyperlink" Target="https://aus01.safelinks.protection.outlook.com/?url=https%3A%2F%2Fwww.trademinister.gov.au%2Fminister%2Fdon-farrell%2Fmedia-release%2Fcommunique-fourth-meeting-ministerial-council-trade-and-investment&amp;data=05%7C02%7CWilliam.Bridges%40dfat.gov.au%7Cdf911788a1084b4849a108dd2e0d9bd9%7C9b7f23b30e8347a58a40ffa8a6fea536%7C0%7C0%7C638717361291466254%7CUnknown%7CTWFpbGZsb3d8eyJFbXB0eU1hcGkiOnRydWUsIlYiOiIwLjAuMDAwMCIsIlAiOiJXaW4zMiIsIkFOIjoiTWFpbCIsIldUIjoyfQ%3D%3D%7C0%7C%7C%7C&amp;sdata=If6ZhRpEAhPHMQZeY8dnYBaWiN4qn%2FDe%2BNP2A43X1z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15389</Words>
  <Characters>87723</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2025-11-30T22:48:00Z</dcterms:created>
  <dcterms:modified xsi:type="dcterms:W3CDTF">2025-11-30T22:51:00Z</dcterms:modified>
  <cp:category/>
</cp:coreProperties>
</file>