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BC164" w14:textId="77777777" w:rsidR="00D475F5" w:rsidRDefault="00D475F5" w:rsidP="00CE536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0211D5" w:rsidRPr="00D475F5">
        <w:rPr>
          <w:rFonts w:ascii="Times New Roman" w:hAnsi="Times New Roman" w:cs="Times New Roman"/>
          <w:sz w:val="24"/>
          <w:szCs w:val="24"/>
        </w:rPr>
        <w:t>Joanna Abhayaratna</w:t>
      </w:r>
    </w:p>
    <w:p w14:paraId="46685A2A" w14:textId="65089C67" w:rsidR="000423A4" w:rsidRPr="00C63E98" w:rsidRDefault="00D475F5" w:rsidP="00CE5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5F5">
        <w:rPr>
          <w:rFonts w:ascii="Times New Roman" w:hAnsi="Times New Roman" w:cs="Times New Roman"/>
          <w:sz w:val="24"/>
          <w:szCs w:val="24"/>
        </w:rPr>
        <w:t>Executive Director</w:t>
      </w:r>
      <w:r w:rsidRPr="00C63E98" w:rsidDel="00021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7CEDB" w14:textId="77777777" w:rsidR="000423A4" w:rsidRPr="00C63E98" w:rsidRDefault="000423A4" w:rsidP="00CE5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Office of Impact Analysis</w:t>
      </w:r>
    </w:p>
    <w:p w14:paraId="3FA779FB" w14:textId="77777777" w:rsidR="000423A4" w:rsidRPr="00C63E98" w:rsidRDefault="000423A4" w:rsidP="00CE5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Department of the Prime Minister and Cabinet</w:t>
      </w:r>
    </w:p>
    <w:p w14:paraId="16FF6488" w14:textId="77777777" w:rsidR="000423A4" w:rsidRPr="000E6D0B" w:rsidRDefault="000423A4" w:rsidP="00CE53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6D0B">
        <w:rPr>
          <w:rFonts w:ascii="Times New Roman" w:hAnsi="Times New Roman" w:cs="Times New Roman"/>
          <w:sz w:val="24"/>
          <w:szCs w:val="24"/>
        </w:rPr>
        <w:t>1 National Circuit</w:t>
      </w:r>
    </w:p>
    <w:p w14:paraId="5EC080C8" w14:textId="77777777" w:rsidR="000423A4" w:rsidRPr="00C63E98" w:rsidRDefault="000423A4" w:rsidP="00CE53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BARTON ACT </w:t>
      </w:r>
      <w:r w:rsidRPr="000E6D0B">
        <w:rPr>
          <w:rFonts w:ascii="Times New Roman" w:hAnsi="Times New Roman" w:cs="Times New Roman"/>
          <w:sz w:val="24"/>
          <w:szCs w:val="24"/>
        </w:rPr>
        <w:t>2600</w:t>
      </w:r>
    </w:p>
    <w:p w14:paraId="1A196E85" w14:textId="77777777" w:rsidR="000423A4" w:rsidRPr="00C63E98" w:rsidRDefault="000423A4" w:rsidP="00980B2A">
      <w:pPr>
        <w:spacing w:before="160" w:after="240" w:line="240" w:lineRule="auto"/>
        <w:rPr>
          <w:szCs w:val="24"/>
        </w:rPr>
      </w:pPr>
      <w:r w:rsidRPr="00C63E98">
        <w:rPr>
          <w:szCs w:val="24"/>
        </w:rPr>
        <w:t>Email: helpdesk-OIA@pmc.gov.au</w:t>
      </w:r>
    </w:p>
    <w:p w14:paraId="56109811" w14:textId="1665025F" w:rsidR="00EC4331" w:rsidRDefault="000423A4" w:rsidP="00980B2A">
      <w:pPr>
        <w:spacing w:before="240" w:after="240" w:line="240" w:lineRule="auto"/>
      </w:pPr>
      <w:r w:rsidRPr="00C63E98">
        <w:rPr>
          <w:szCs w:val="24"/>
        </w:rPr>
        <w:t xml:space="preserve">Dear </w:t>
      </w:r>
      <w:r w:rsidR="00D475F5">
        <w:t>Ms Abhayaratna</w:t>
      </w:r>
      <w:r w:rsidR="00D475F5" w:rsidRPr="00C63E98" w:rsidDel="000211D5">
        <w:rPr>
          <w:szCs w:val="24"/>
        </w:rPr>
        <w:t xml:space="preserve"> </w:t>
      </w:r>
    </w:p>
    <w:p w14:paraId="55A6AB20" w14:textId="661F1BB1" w:rsidR="008C4768" w:rsidRPr="00507E76" w:rsidRDefault="00267C0F" w:rsidP="00D00345">
      <w:pPr>
        <w:pStyle w:val="Heading1"/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Impact </w:t>
      </w:r>
      <w:r w:rsidRPr="00507E76">
        <w:rPr>
          <w:color w:val="000000" w:themeColor="text1"/>
          <w:sz w:val="24"/>
          <w:szCs w:val="24"/>
        </w:rPr>
        <w:t>Analysis</w:t>
      </w:r>
      <w:r w:rsidR="008C4768" w:rsidRPr="00507E76">
        <w:rPr>
          <w:color w:val="000000" w:themeColor="text1"/>
          <w:sz w:val="24"/>
          <w:szCs w:val="24"/>
        </w:rPr>
        <w:t xml:space="preserve"> –</w:t>
      </w:r>
      <w:r w:rsidR="00212DB4" w:rsidRPr="00507E76">
        <w:rPr>
          <w:color w:val="000000" w:themeColor="text1"/>
          <w:sz w:val="24"/>
          <w:szCs w:val="24"/>
        </w:rPr>
        <w:t xml:space="preserve"> </w:t>
      </w:r>
      <w:r w:rsidR="008D6C81" w:rsidRPr="00507E76">
        <w:rPr>
          <w:color w:val="000000" w:themeColor="text1"/>
          <w:sz w:val="24"/>
          <w:szCs w:val="24"/>
        </w:rPr>
        <w:t>Excessive Pricing Prohibition for Supermarkets</w:t>
      </w:r>
      <w:r w:rsidR="00212DB4" w:rsidRPr="00507E76">
        <w:rPr>
          <w:color w:val="000000" w:themeColor="text1"/>
          <w:sz w:val="24"/>
          <w:szCs w:val="24"/>
        </w:rPr>
        <w:t xml:space="preserve"> – S</w:t>
      </w:r>
      <w:r w:rsidR="00E2259E" w:rsidRPr="00507E76">
        <w:rPr>
          <w:color w:val="000000" w:themeColor="text1"/>
          <w:sz w:val="24"/>
          <w:szCs w:val="24"/>
        </w:rPr>
        <w:t xml:space="preserve">econd </w:t>
      </w:r>
      <w:r w:rsidR="00212DB4" w:rsidRPr="00507E76">
        <w:rPr>
          <w:color w:val="000000" w:themeColor="text1"/>
          <w:sz w:val="24"/>
          <w:szCs w:val="24"/>
        </w:rPr>
        <w:t>P</w:t>
      </w:r>
      <w:r w:rsidR="00E2259E" w:rsidRPr="00507E76">
        <w:rPr>
          <w:color w:val="000000" w:themeColor="text1"/>
          <w:sz w:val="24"/>
          <w:szCs w:val="24"/>
        </w:rPr>
        <w:t>ass</w:t>
      </w:r>
      <w:r w:rsidR="00212DB4" w:rsidRPr="00507E76">
        <w:rPr>
          <w:color w:val="000000" w:themeColor="text1"/>
          <w:sz w:val="24"/>
          <w:szCs w:val="24"/>
        </w:rPr>
        <w:t xml:space="preserve"> Final Assessment</w:t>
      </w:r>
    </w:p>
    <w:p w14:paraId="75FFDA7D" w14:textId="10C405CA" w:rsidR="000A7ABA" w:rsidRPr="00507E76" w:rsidRDefault="00284E41" w:rsidP="00980B2A">
      <w:pPr>
        <w:pStyle w:val="BodyText"/>
        <w:spacing w:before="120" w:after="120" w:line="240" w:lineRule="auto"/>
        <w:jc w:val="left"/>
        <w:rPr>
          <w:color w:val="000000" w:themeColor="text1"/>
          <w:szCs w:val="24"/>
        </w:rPr>
      </w:pPr>
      <w:r w:rsidRPr="00507E76">
        <w:rPr>
          <w:color w:val="000000" w:themeColor="text1"/>
        </w:rPr>
        <w:t xml:space="preserve">I am writing in relation to the attached </w:t>
      </w:r>
      <w:r w:rsidR="00267C0F" w:rsidRPr="00507E76">
        <w:rPr>
          <w:color w:val="000000" w:themeColor="text1"/>
        </w:rPr>
        <w:t>Impact Analysis</w:t>
      </w:r>
      <w:r w:rsidR="005B6B55" w:rsidRPr="00507E76">
        <w:rPr>
          <w:color w:val="000000" w:themeColor="text1"/>
        </w:rPr>
        <w:t xml:space="preserve"> (</w:t>
      </w:r>
      <w:r w:rsidR="00267C0F" w:rsidRPr="00507E76">
        <w:rPr>
          <w:color w:val="000000" w:themeColor="text1"/>
        </w:rPr>
        <w:t>IA</w:t>
      </w:r>
      <w:r w:rsidR="005B6B55" w:rsidRPr="00507E76">
        <w:rPr>
          <w:color w:val="000000" w:themeColor="text1"/>
        </w:rPr>
        <w:t xml:space="preserve">) prepared </w:t>
      </w:r>
      <w:r w:rsidRPr="00507E76">
        <w:rPr>
          <w:color w:val="000000" w:themeColor="text1"/>
        </w:rPr>
        <w:t xml:space="preserve">for </w:t>
      </w:r>
      <w:r w:rsidR="00C33F02">
        <w:rPr>
          <w:color w:val="000000" w:themeColor="text1"/>
        </w:rPr>
        <w:t xml:space="preserve">the proposal to introduce an </w:t>
      </w:r>
      <w:r w:rsidR="002A6640">
        <w:rPr>
          <w:color w:val="000000" w:themeColor="text1"/>
        </w:rPr>
        <w:t>e</w:t>
      </w:r>
      <w:r w:rsidR="006B4D21" w:rsidRPr="00507E76">
        <w:rPr>
          <w:color w:val="000000" w:themeColor="text1"/>
        </w:rPr>
        <w:t xml:space="preserve">xcessive </w:t>
      </w:r>
      <w:r w:rsidR="002A6640">
        <w:rPr>
          <w:color w:val="000000" w:themeColor="text1"/>
        </w:rPr>
        <w:t>p</w:t>
      </w:r>
      <w:r w:rsidR="006B4D21" w:rsidRPr="00507E76">
        <w:rPr>
          <w:color w:val="000000" w:themeColor="text1"/>
        </w:rPr>
        <w:t xml:space="preserve">ricing </w:t>
      </w:r>
      <w:r w:rsidR="002A6640">
        <w:rPr>
          <w:color w:val="000000" w:themeColor="text1"/>
        </w:rPr>
        <w:t>p</w:t>
      </w:r>
      <w:r w:rsidR="006B4D21" w:rsidRPr="00507E76">
        <w:rPr>
          <w:color w:val="000000" w:themeColor="text1"/>
        </w:rPr>
        <w:t xml:space="preserve">rohibition for </w:t>
      </w:r>
      <w:r w:rsidR="002A6640">
        <w:rPr>
          <w:color w:val="000000" w:themeColor="text1"/>
        </w:rPr>
        <w:t>s</w:t>
      </w:r>
      <w:r w:rsidR="006B4D21" w:rsidRPr="00507E76">
        <w:rPr>
          <w:color w:val="000000" w:themeColor="text1"/>
        </w:rPr>
        <w:t>upermarkets</w:t>
      </w:r>
      <w:r w:rsidRPr="00507E76">
        <w:rPr>
          <w:color w:val="000000" w:themeColor="text1"/>
        </w:rPr>
        <w:t>.</w:t>
      </w:r>
      <w:r w:rsidR="000A7ABA" w:rsidRPr="00507E76">
        <w:rPr>
          <w:color w:val="000000" w:themeColor="text1"/>
        </w:rPr>
        <w:t xml:space="preserve"> </w:t>
      </w:r>
    </w:p>
    <w:p w14:paraId="3F8D9CE9" w14:textId="760D9C63" w:rsidR="0031769B" w:rsidRPr="0031769B" w:rsidRDefault="00284E41" w:rsidP="00980B2A">
      <w:pPr>
        <w:pStyle w:val="BodyText"/>
        <w:spacing w:before="120" w:after="120" w:line="240" w:lineRule="auto"/>
        <w:rPr>
          <w:szCs w:val="24"/>
        </w:rPr>
      </w:pPr>
      <w:r>
        <w:rPr>
          <w:szCs w:val="24"/>
        </w:rPr>
        <w:t xml:space="preserve">I am satisfied that the </w:t>
      </w:r>
      <w:r w:rsidR="00267C0F">
        <w:rPr>
          <w:szCs w:val="24"/>
        </w:rPr>
        <w:t xml:space="preserve">IA </w:t>
      </w:r>
      <w:r w:rsidR="00B5658B">
        <w:rPr>
          <w:szCs w:val="24"/>
        </w:rPr>
        <w:t xml:space="preserve">addresses the concerns raised in your letter of </w:t>
      </w:r>
      <w:r w:rsidR="0088026B" w:rsidRPr="00980B2A">
        <w:rPr>
          <w:szCs w:val="24"/>
        </w:rPr>
        <w:t>14 November 2025</w:t>
      </w:r>
      <w:r w:rsidR="00B5658B">
        <w:rPr>
          <w:szCs w:val="24"/>
        </w:rPr>
        <w:t xml:space="preserve">. Specifically, </w:t>
      </w:r>
      <w:r w:rsidR="00EC557C">
        <w:rPr>
          <w:szCs w:val="24"/>
        </w:rPr>
        <w:t>t</w:t>
      </w:r>
      <w:r w:rsidR="0031769B" w:rsidRPr="0031769B">
        <w:rPr>
          <w:szCs w:val="24"/>
        </w:rPr>
        <w:t xml:space="preserve">he revised IA now clearly establishes </w:t>
      </w:r>
      <w:r w:rsidR="009A2F4C">
        <w:rPr>
          <w:szCs w:val="24"/>
        </w:rPr>
        <w:t xml:space="preserve">in Question 4 </w:t>
      </w:r>
      <w:r w:rsidR="0031769B" w:rsidRPr="0031769B">
        <w:rPr>
          <w:szCs w:val="24"/>
        </w:rPr>
        <w:t xml:space="preserve">the </w:t>
      </w:r>
      <w:r w:rsidR="0031769B" w:rsidRPr="00980B2A">
        <w:rPr>
          <w:szCs w:val="24"/>
        </w:rPr>
        <w:t>status quo as the baseline</w:t>
      </w:r>
      <w:r w:rsidR="0031769B" w:rsidRPr="0031769B">
        <w:rPr>
          <w:szCs w:val="24"/>
        </w:rPr>
        <w:t xml:space="preserve"> with no impacts from change, provides additional discussion </w:t>
      </w:r>
      <w:r w:rsidR="009A2F4C">
        <w:rPr>
          <w:szCs w:val="24"/>
        </w:rPr>
        <w:t xml:space="preserve">in Question 4 </w:t>
      </w:r>
      <w:r w:rsidR="0031769B" w:rsidRPr="0031769B">
        <w:rPr>
          <w:szCs w:val="24"/>
        </w:rPr>
        <w:t xml:space="preserve">of </w:t>
      </w:r>
      <w:r w:rsidR="0031769B" w:rsidRPr="00980B2A">
        <w:rPr>
          <w:szCs w:val="24"/>
        </w:rPr>
        <w:t xml:space="preserve">potential costs </w:t>
      </w:r>
      <w:r w:rsidR="00F73ED0">
        <w:rPr>
          <w:szCs w:val="24"/>
        </w:rPr>
        <w:t>for</w:t>
      </w:r>
      <w:r w:rsidR="0031769B" w:rsidRPr="00980B2A">
        <w:rPr>
          <w:szCs w:val="24"/>
        </w:rPr>
        <w:t xml:space="preserve"> affected supermarkets</w:t>
      </w:r>
      <w:r w:rsidR="0031769B" w:rsidRPr="0031769B">
        <w:rPr>
          <w:szCs w:val="24"/>
        </w:rPr>
        <w:t xml:space="preserve">, and clarifies </w:t>
      </w:r>
      <w:r w:rsidR="0082142F">
        <w:rPr>
          <w:szCs w:val="24"/>
        </w:rPr>
        <w:t xml:space="preserve">throughout </w:t>
      </w:r>
      <w:r w:rsidR="0031769B" w:rsidRPr="0031769B">
        <w:rPr>
          <w:szCs w:val="24"/>
        </w:rPr>
        <w:t xml:space="preserve">that while </w:t>
      </w:r>
      <w:r w:rsidR="0031769B" w:rsidRPr="00980B2A">
        <w:rPr>
          <w:szCs w:val="24"/>
        </w:rPr>
        <w:t xml:space="preserve">Option 2 addresses </w:t>
      </w:r>
      <w:r w:rsidR="0085624E">
        <w:rPr>
          <w:szCs w:val="24"/>
        </w:rPr>
        <w:t xml:space="preserve">the risk of </w:t>
      </w:r>
      <w:r w:rsidR="0031769B" w:rsidRPr="00980B2A">
        <w:rPr>
          <w:szCs w:val="24"/>
        </w:rPr>
        <w:t>excessive pricing</w:t>
      </w:r>
      <w:r w:rsidR="007B6FBC">
        <w:rPr>
          <w:szCs w:val="24"/>
        </w:rPr>
        <w:t xml:space="preserve"> where pricing is significantly in excess of the cost of supply and reasonable margin</w:t>
      </w:r>
      <w:r w:rsidR="0031769B" w:rsidRPr="0031769B">
        <w:rPr>
          <w:szCs w:val="24"/>
        </w:rPr>
        <w:t xml:space="preserve">, it is </w:t>
      </w:r>
      <w:r w:rsidR="0031769B" w:rsidRPr="00980B2A">
        <w:rPr>
          <w:szCs w:val="24"/>
        </w:rPr>
        <w:t xml:space="preserve">not expected to </w:t>
      </w:r>
      <w:r w:rsidR="004317BD">
        <w:rPr>
          <w:szCs w:val="24"/>
        </w:rPr>
        <w:t>result in</w:t>
      </w:r>
      <w:r w:rsidR="0031769B" w:rsidRPr="00980B2A">
        <w:rPr>
          <w:szCs w:val="24"/>
        </w:rPr>
        <w:t xml:space="preserve"> fully competitive prices</w:t>
      </w:r>
      <w:r w:rsidR="0031769B" w:rsidRPr="0031769B">
        <w:rPr>
          <w:szCs w:val="24"/>
        </w:rPr>
        <w:t xml:space="preserve"> across the sector.</w:t>
      </w:r>
    </w:p>
    <w:p w14:paraId="36C9764B" w14:textId="58AD6874" w:rsidR="0031769B" w:rsidRPr="0031769B" w:rsidRDefault="0031769B" w:rsidP="00980B2A">
      <w:pPr>
        <w:pStyle w:val="BodyText"/>
        <w:spacing w:before="120" w:after="120" w:line="240" w:lineRule="auto"/>
        <w:rPr>
          <w:szCs w:val="24"/>
        </w:rPr>
      </w:pPr>
      <w:r w:rsidRPr="0031769B">
        <w:rPr>
          <w:szCs w:val="24"/>
        </w:rPr>
        <w:t xml:space="preserve">The IA has also been updated to describe </w:t>
      </w:r>
      <w:r w:rsidR="007C2F66">
        <w:rPr>
          <w:szCs w:val="24"/>
        </w:rPr>
        <w:t xml:space="preserve">why the </w:t>
      </w:r>
      <w:r w:rsidR="009540CF">
        <w:rPr>
          <w:szCs w:val="24"/>
        </w:rPr>
        <w:t xml:space="preserve">government is well placed to address this policy problem and how it can do so, as well as </w:t>
      </w:r>
      <w:r w:rsidRPr="0031769B">
        <w:rPr>
          <w:szCs w:val="24"/>
        </w:rPr>
        <w:t xml:space="preserve">the </w:t>
      </w:r>
      <w:r w:rsidRPr="00980B2A">
        <w:rPr>
          <w:szCs w:val="24"/>
        </w:rPr>
        <w:t>analytical method</w:t>
      </w:r>
      <w:r w:rsidRPr="0031769B">
        <w:rPr>
          <w:szCs w:val="24"/>
        </w:rPr>
        <w:t xml:space="preserve"> used to identify the option with the highest net benefit, including the rationale for this approach. These changes strengthen the </w:t>
      </w:r>
      <w:r w:rsidR="00142939">
        <w:rPr>
          <w:szCs w:val="24"/>
        </w:rPr>
        <w:t xml:space="preserve">overall </w:t>
      </w:r>
      <w:r w:rsidRPr="0031769B">
        <w:rPr>
          <w:szCs w:val="24"/>
        </w:rPr>
        <w:t>transparency of the analysis and ensure the assessment of costs, benefits, and distributional impacts</w:t>
      </w:r>
      <w:r w:rsidR="00C87F34">
        <w:rPr>
          <w:szCs w:val="24"/>
        </w:rPr>
        <w:t xml:space="preserve"> better</w:t>
      </w:r>
      <w:r w:rsidRPr="0031769B">
        <w:rPr>
          <w:szCs w:val="24"/>
        </w:rPr>
        <w:t xml:space="preserve"> aligns with OIA guidance.</w:t>
      </w:r>
    </w:p>
    <w:p w14:paraId="4DF490D9" w14:textId="77777777" w:rsidR="00E82EEF" w:rsidRPr="00E82EEF" w:rsidRDefault="00E82EEF" w:rsidP="00980B2A">
      <w:pPr>
        <w:pStyle w:val="BodyText"/>
        <w:spacing w:before="120" w:after="120" w:line="240" w:lineRule="auto"/>
        <w:jc w:val="left"/>
        <w:rPr>
          <w:szCs w:val="24"/>
        </w:rPr>
      </w:pPr>
      <w:r w:rsidRPr="00E82EEF">
        <w:t xml:space="preserve">The </w:t>
      </w:r>
      <w:r w:rsidRPr="00E82EEF">
        <w:rPr>
          <w:szCs w:val="24"/>
        </w:rPr>
        <w:t xml:space="preserve">regulatory burden to business, community organisations or individuals is quantified using the Australian Government’s </w:t>
      </w:r>
      <w:r w:rsidRPr="00E82EEF">
        <w:rPr>
          <w:i/>
          <w:szCs w:val="24"/>
        </w:rPr>
        <w:t xml:space="preserve">Regulatory Burden Measurement </w:t>
      </w:r>
      <w:r w:rsidRPr="00E82EEF">
        <w:rPr>
          <w:szCs w:val="24"/>
        </w:rPr>
        <w:t>framework and is provided below.</w:t>
      </w:r>
    </w:p>
    <w:p w14:paraId="6D6BA5CE" w14:textId="77777777" w:rsidR="00E82EEF" w:rsidRPr="00E82EEF" w:rsidRDefault="00E82EEF" w:rsidP="00980B2A">
      <w:pPr>
        <w:keepNext/>
        <w:keepLines/>
        <w:spacing w:before="40" w:line="240" w:lineRule="auto"/>
        <w:outlineLvl w:val="1"/>
        <w:rPr>
          <w:rFonts w:ascii="Cambria" w:hAnsi="Cambria"/>
          <w:b/>
          <w:color w:val="000000"/>
          <w:sz w:val="26"/>
          <w:szCs w:val="26"/>
        </w:rPr>
      </w:pPr>
      <w:r w:rsidRPr="00E82EEF">
        <w:rPr>
          <w:rFonts w:ascii="Cambria" w:hAnsi="Cambria"/>
          <w:b/>
          <w:color w:val="000000"/>
          <w:sz w:val="26"/>
          <w:szCs w:val="26"/>
        </w:rPr>
        <w:t>Regulatory burden estimate table</w:t>
      </w:r>
    </w:p>
    <w:tbl>
      <w:tblPr>
        <w:tblStyle w:val="LightGrid-Accent21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  <w:tblCaption w:val="Regulatory burden and cost offset estimate table"/>
        <w:tblDescription w:val="Template for the Regulatory burden and cost offset estimate table"/>
      </w:tblPr>
      <w:tblGrid>
        <w:gridCol w:w="1871"/>
        <w:gridCol w:w="1871"/>
        <w:gridCol w:w="1871"/>
        <w:gridCol w:w="1871"/>
        <w:gridCol w:w="1872"/>
      </w:tblGrid>
      <w:tr w:rsidR="00E82EEF" w:rsidRPr="00E82EEF" w14:paraId="7765C44B" w14:textId="77777777" w:rsidTr="00C72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0F243E"/>
            <w:noWrap/>
          </w:tcPr>
          <w:p w14:paraId="55C4BBCE" w14:textId="64D0D0F1" w:rsidR="00E82EEF" w:rsidRPr="00E82EEF" w:rsidRDefault="002D18D1" w:rsidP="00980B2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regulatory costs - $ million in present value over 10 years</w:t>
            </w:r>
          </w:p>
        </w:tc>
      </w:tr>
      <w:tr w:rsidR="00E82EEF" w:rsidRPr="00E82EEF" w14:paraId="0ED4B325" w14:textId="77777777" w:rsidTr="00C725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1628781F" w14:textId="39EC9913" w:rsidR="00E82EEF" w:rsidRPr="00E82EEF" w:rsidRDefault="00E82EEF" w:rsidP="00CE536D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71" w:type="dxa"/>
            <w:noWrap/>
          </w:tcPr>
          <w:p w14:paraId="2994EEF1" w14:textId="77777777" w:rsidR="00E82EEF" w:rsidRPr="00E82EEF" w:rsidRDefault="00E82EEF" w:rsidP="00CE536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E82EEF">
              <w:rPr>
                <w:rFonts w:ascii="Arial" w:hAnsi="Arial" w:cs="Arial"/>
                <w:bCs/>
                <w:sz w:val="20"/>
              </w:rPr>
              <w:t>Business</w:t>
            </w:r>
          </w:p>
        </w:tc>
        <w:tc>
          <w:tcPr>
            <w:tcW w:w="1871" w:type="dxa"/>
            <w:noWrap/>
          </w:tcPr>
          <w:p w14:paraId="519F576F" w14:textId="77777777" w:rsidR="00E82EEF" w:rsidRPr="00E82EEF" w:rsidRDefault="00E82EEF" w:rsidP="00980B2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Community organisations</w:t>
            </w:r>
          </w:p>
        </w:tc>
        <w:tc>
          <w:tcPr>
            <w:tcW w:w="1871" w:type="dxa"/>
            <w:noWrap/>
          </w:tcPr>
          <w:p w14:paraId="68EA2CE4" w14:textId="77777777" w:rsidR="00E82EEF" w:rsidRPr="00E82EEF" w:rsidRDefault="00E82EEF" w:rsidP="00980B2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Individuals</w:t>
            </w:r>
          </w:p>
        </w:tc>
        <w:tc>
          <w:tcPr>
            <w:tcW w:w="1872" w:type="dxa"/>
            <w:noWrap/>
          </w:tcPr>
          <w:p w14:paraId="7AC9126C" w14:textId="77777777" w:rsidR="00E82EEF" w:rsidRPr="00E82EEF" w:rsidRDefault="00E82EEF" w:rsidP="00980B2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 change in costs</w:t>
            </w:r>
          </w:p>
        </w:tc>
      </w:tr>
      <w:tr w:rsidR="00E82EEF" w:rsidRPr="00E82EEF" w14:paraId="720B5A1D" w14:textId="77777777" w:rsidTr="00C725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10E95A4D" w14:textId="77777777" w:rsidR="00E82EEF" w:rsidRPr="00E82EEF" w:rsidRDefault="00E82EEF" w:rsidP="00980B2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Total, by sector</w:t>
            </w:r>
          </w:p>
        </w:tc>
        <w:tc>
          <w:tcPr>
            <w:tcW w:w="1871" w:type="dxa"/>
            <w:noWrap/>
          </w:tcPr>
          <w:p w14:paraId="6339F6DD" w14:textId="437D205F" w:rsidR="00E82EEF" w:rsidRPr="00E82EEF" w:rsidRDefault="00E82EEF" w:rsidP="00980B2A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CC2DFF">
              <w:rPr>
                <w:rFonts w:ascii="Arial" w:hAnsi="Arial" w:cs="Arial"/>
                <w:sz w:val="20"/>
              </w:rPr>
              <w:t>7.2 million</w:t>
            </w:r>
          </w:p>
        </w:tc>
        <w:tc>
          <w:tcPr>
            <w:tcW w:w="1871" w:type="dxa"/>
            <w:noWrap/>
          </w:tcPr>
          <w:p w14:paraId="41C073A5" w14:textId="4A9C4FA9" w:rsidR="00E82EEF" w:rsidRPr="00E82EEF" w:rsidRDefault="00E82EEF" w:rsidP="00980B2A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965116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1" w:type="dxa"/>
            <w:noWrap/>
          </w:tcPr>
          <w:p w14:paraId="0F216859" w14:textId="0486F8AD" w:rsidR="00E82EEF" w:rsidRPr="00E82EEF" w:rsidRDefault="00E82EEF" w:rsidP="00980B2A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965116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2" w:type="dxa"/>
            <w:noWrap/>
          </w:tcPr>
          <w:p w14:paraId="0FACC4EC" w14:textId="5CF17C8D" w:rsidR="00E82EEF" w:rsidRPr="00E82EEF" w:rsidRDefault="00E82EEF" w:rsidP="00980B2A">
            <w:pPr>
              <w:spacing w:before="120" w:after="12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965116">
              <w:rPr>
                <w:rFonts w:ascii="Arial" w:hAnsi="Arial" w:cs="Arial"/>
                <w:sz w:val="20"/>
              </w:rPr>
              <w:t>7.2 million</w:t>
            </w:r>
          </w:p>
        </w:tc>
      </w:tr>
    </w:tbl>
    <w:p w14:paraId="6D49CB34" w14:textId="032FA76F" w:rsidR="00535899" w:rsidRDefault="00B5658B" w:rsidP="00980B2A">
      <w:pPr>
        <w:pStyle w:val="BodyText"/>
        <w:spacing w:before="120" w:after="120" w:line="240" w:lineRule="auto"/>
        <w:jc w:val="left"/>
        <w:rPr>
          <w:szCs w:val="24"/>
        </w:rPr>
      </w:pPr>
      <w:r>
        <w:rPr>
          <w:szCs w:val="24"/>
        </w:rPr>
        <w:t xml:space="preserve">Accordingly, I am satisfied that the </w:t>
      </w:r>
      <w:r w:rsidR="00267C0F">
        <w:rPr>
          <w:szCs w:val="24"/>
        </w:rPr>
        <w:t xml:space="preserve">IA </w:t>
      </w:r>
      <w:r w:rsidR="00212DB4">
        <w:rPr>
          <w:szCs w:val="24"/>
        </w:rPr>
        <w:t xml:space="preserve">is </w:t>
      </w:r>
      <w:r w:rsidR="00E2259E">
        <w:rPr>
          <w:szCs w:val="24"/>
        </w:rPr>
        <w:t>consistent with</w:t>
      </w:r>
      <w:r w:rsidR="006C1716">
        <w:rPr>
          <w:szCs w:val="24"/>
        </w:rPr>
        <w:t xml:space="preserve"> the </w:t>
      </w:r>
      <w:r w:rsidR="00212DB4">
        <w:rPr>
          <w:szCs w:val="24"/>
        </w:rPr>
        <w:t xml:space="preserve">six principles for Australian Government policy makers as specified in the </w:t>
      </w:r>
      <w:r w:rsidR="006C1716">
        <w:rPr>
          <w:i/>
          <w:szCs w:val="24"/>
        </w:rPr>
        <w:t xml:space="preserve">Australian Government Guide to </w:t>
      </w:r>
      <w:r w:rsidR="00267C0F">
        <w:rPr>
          <w:i/>
          <w:szCs w:val="24"/>
        </w:rPr>
        <w:t xml:space="preserve">Policy </w:t>
      </w:r>
      <w:r w:rsidR="00212DB4">
        <w:rPr>
          <w:i/>
          <w:szCs w:val="24"/>
        </w:rPr>
        <w:t>Impact Analysis</w:t>
      </w:r>
      <w:r w:rsidR="00692B2A">
        <w:rPr>
          <w:szCs w:val="24"/>
        </w:rPr>
        <w:t>.</w:t>
      </w:r>
    </w:p>
    <w:p w14:paraId="43057B8F" w14:textId="01A87C5F" w:rsidR="008C4768" w:rsidRPr="006E1B31" w:rsidRDefault="00535899" w:rsidP="00980B2A">
      <w:pPr>
        <w:pStyle w:val="BodyText"/>
        <w:spacing w:before="120" w:after="120" w:line="240" w:lineRule="auto"/>
        <w:jc w:val="left"/>
        <w:rPr>
          <w:szCs w:val="24"/>
        </w:rPr>
      </w:pPr>
      <w:r>
        <w:rPr>
          <w:szCs w:val="24"/>
        </w:rPr>
        <w:t>I</w:t>
      </w:r>
      <w:r w:rsidR="00284E41">
        <w:rPr>
          <w:szCs w:val="24"/>
        </w:rPr>
        <w:t xml:space="preserve"> submit </w:t>
      </w:r>
      <w:r>
        <w:rPr>
          <w:szCs w:val="24"/>
        </w:rPr>
        <w:t xml:space="preserve">the </w:t>
      </w:r>
      <w:r w:rsidR="00267C0F">
        <w:rPr>
          <w:szCs w:val="24"/>
        </w:rPr>
        <w:t xml:space="preserve">IA </w:t>
      </w:r>
      <w:r w:rsidR="00284E41">
        <w:rPr>
          <w:szCs w:val="24"/>
        </w:rPr>
        <w:t xml:space="preserve">to the Office of </w:t>
      </w:r>
      <w:r w:rsidR="00267C0F">
        <w:rPr>
          <w:szCs w:val="24"/>
        </w:rPr>
        <w:t>Impact Analysis</w:t>
      </w:r>
      <w:r w:rsidR="00284E41">
        <w:rPr>
          <w:szCs w:val="24"/>
        </w:rPr>
        <w:t xml:space="preserve"> for formal </w:t>
      </w:r>
      <w:r w:rsidR="006C1716">
        <w:rPr>
          <w:szCs w:val="24"/>
        </w:rPr>
        <w:t xml:space="preserve">final </w:t>
      </w:r>
      <w:r w:rsidR="00B5658B">
        <w:rPr>
          <w:szCs w:val="24"/>
        </w:rPr>
        <w:t>assessment</w:t>
      </w:r>
      <w:r w:rsidR="00284E41">
        <w:rPr>
          <w:szCs w:val="24"/>
        </w:rPr>
        <w:t>.</w:t>
      </w:r>
    </w:p>
    <w:p w14:paraId="7AB052CC" w14:textId="472C266E" w:rsidR="008C4768" w:rsidRDefault="008C4768" w:rsidP="00980B2A">
      <w:pPr>
        <w:pStyle w:val="Header"/>
        <w:spacing w:before="120" w:after="120" w:line="240" w:lineRule="auto"/>
      </w:pPr>
      <w:r>
        <w:t>Yours sincerely</w:t>
      </w:r>
    </w:p>
    <w:p w14:paraId="3FFF7B5B" w14:textId="77777777" w:rsidR="00C97ACD" w:rsidRDefault="00C97ACD" w:rsidP="00C97ACD">
      <w:pPr>
        <w:spacing w:line="240" w:lineRule="auto"/>
      </w:pPr>
    </w:p>
    <w:p w14:paraId="5F639951" w14:textId="77777777" w:rsidR="00C97ACD" w:rsidRDefault="00C97ACD" w:rsidP="00C97ACD">
      <w:pPr>
        <w:spacing w:line="240" w:lineRule="auto"/>
      </w:pPr>
    </w:p>
    <w:p w14:paraId="5E634F90" w14:textId="5BC2E8A3" w:rsidR="009540CF" w:rsidRDefault="009540CF">
      <w:pPr>
        <w:spacing w:line="240" w:lineRule="auto"/>
      </w:pPr>
      <w:r>
        <w:t>James Kelly</w:t>
      </w:r>
    </w:p>
    <w:p w14:paraId="5821915E" w14:textId="53CB668C" w:rsidR="00630EFE" w:rsidRDefault="009540CF" w:rsidP="00980B2A">
      <w:pPr>
        <w:spacing w:line="240" w:lineRule="auto"/>
      </w:pPr>
      <w:r>
        <w:t>Deputy Secretary</w:t>
      </w:r>
      <w:r w:rsidR="008C4768">
        <w:br/>
      </w:r>
      <w:r>
        <w:t>Treasury</w:t>
      </w:r>
      <w:r w:rsidR="008C4768">
        <w:br/>
      </w:r>
      <w:r>
        <w:t>17 November 2025</w:t>
      </w:r>
    </w:p>
    <w:sectPr w:rsidR="00630EFE" w:rsidSect="009A1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7D15" w14:textId="77777777" w:rsidR="00AA64A7" w:rsidRDefault="00AA64A7" w:rsidP="00630EFE">
      <w:pPr>
        <w:spacing w:line="240" w:lineRule="auto"/>
      </w:pPr>
      <w:r>
        <w:separator/>
      </w:r>
    </w:p>
  </w:endnote>
  <w:endnote w:type="continuationSeparator" w:id="0">
    <w:p w14:paraId="2BF7E623" w14:textId="77777777" w:rsidR="00AA64A7" w:rsidRDefault="00AA64A7" w:rsidP="00630EFE">
      <w:pPr>
        <w:spacing w:line="240" w:lineRule="auto"/>
      </w:pPr>
      <w:r>
        <w:continuationSeparator/>
      </w:r>
    </w:p>
  </w:endnote>
  <w:endnote w:type="continuationNotice" w:id="1">
    <w:p w14:paraId="4160ADAB" w14:textId="77777777" w:rsidR="00AA64A7" w:rsidRDefault="00AA64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2FC5" w14:textId="77777777" w:rsidR="00A820FF" w:rsidRDefault="00A8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0EA58" w14:textId="77777777" w:rsidR="00A820FF" w:rsidRDefault="00A82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67A4" w14:textId="77777777" w:rsidR="00A820FF" w:rsidRDefault="00A8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DFB65" w14:textId="77777777" w:rsidR="00AA64A7" w:rsidRDefault="00AA64A7" w:rsidP="00630EFE">
      <w:pPr>
        <w:spacing w:line="240" w:lineRule="auto"/>
      </w:pPr>
      <w:r>
        <w:separator/>
      </w:r>
    </w:p>
  </w:footnote>
  <w:footnote w:type="continuationSeparator" w:id="0">
    <w:p w14:paraId="7F8AE6B6" w14:textId="77777777" w:rsidR="00AA64A7" w:rsidRDefault="00AA64A7" w:rsidP="00630EFE">
      <w:pPr>
        <w:spacing w:line="240" w:lineRule="auto"/>
      </w:pPr>
      <w:r>
        <w:continuationSeparator/>
      </w:r>
    </w:p>
  </w:footnote>
  <w:footnote w:type="continuationNotice" w:id="1">
    <w:p w14:paraId="3B51B2AD" w14:textId="77777777" w:rsidR="00AA64A7" w:rsidRDefault="00AA64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339E" w14:textId="77777777" w:rsidR="00A820FF" w:rsidRDefault="00A8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344B" w14:textId="77777777" w:rsidR="00A820FF" w:rsidRDefault="00A82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D2A9" w14:textId="77777777" w:rsidR="00A820FF" w:rsidRDefault="00A8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7E25"/>
    <w:multiLevelType w:val="hybridMultilevel"/>
    <w:tmpl w:val="29C4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CB"/>
    <w:rsid w:val="000211D5"/>
    <w:rsid w:val="00022CF8"/>
    <w:rsid w:val="0003057C"/>
    <w:rsid w:val="000423A4"/>
    <w:rsid w:val="000626A4"/>
    <w:rsid w:val="0006321D"/>
    <w:rsid w:val="000764B5"/>
    <w:rsid w:val="000954BF"/>
    <w:rsid w:val="000A7ABA"/>
    <w:rsid w:val="000B5184"/>
    <w:rsid w:val="000D72D7"/>
    <w:rsid w:val="000E63AC"/>
    <w:rsid w:val="000F415B"/>
    <w:rsid w:val="001219D1"/>
    <w:rsid w:val="0012258B"/>
    <w:rsid w:val="00124998"/>
    <w:rsid w:val="00142939"/>
    <w:rsid w:val="0015323A"/>
    <w:rsid w:val="001546FD"/>
    <w:rsid w:val="001907B3"/>
    <w:rsid w:val="001C2E28"/>
    <w:rsid w:val="00212DB4"/>
    <w:rsid w:val="00232602"/>
    <w:rsid w:val="00243D5F"/>
    <w:rsid w:val="00260F75"/>
    <w:rsid w:val="00267C0F"/>
    <w:rsid w:val="00267E33"/>
    <w:rsid w:val="00284610"/>
    <w:rsid w:val="00284E41"/>
    <w:rsid w:val="00291302"/>
    <w:rsid w:val="002A64C6"/>
    <w:rsid w:val="002A6640"/>
    <w:rsid w:val="002B1A2E"/>
    <w:rsid w:val="002B4BE4"/>
    <w:rsid w:val="002D18D1"/>
    <w:rsid w:val="002D28B4"/>
    <w:rsid w:val="002E44A6"/>
    <w:rsid w:val="002F247F"/>
    <w:rsid w:val="00301B77"/>
    <w:rsid w:val="003039B3"/>
    <w:rsid w:val="00313B9E"/>
    <w:rsid w:val="0031769B"/>
    <w:rsid w:val="0035246D"/>
    <w:rsid w:val="00384801"/>
    <w:rsid w:val="003D511E"/>
    <w:rsid w:val="003D5500"/>
    <w:rsid w:val="003E5FC0"/>
    <w:rsid w:val="003F456F"/>
    <w:rsid w:val="00401789"/>
    <w:rsid w:val="00411FC4"/>
    <w:rsid w:val="00427663"/>
    <w:rsid w:val="004317BD"/>
    <w:rsid w:val="00460935"/>
    <w:rsid w:val="00461AA8"/>
    <w:rsid w:val="00471D75"/>
    <w:rsid w:val="0047563D"/>
    <w:rsid w:val="004916ED"/>
    <w:rsid w:val="004A0CCE"/>
    <w:rsid w:val="004A65C2"/>
    <w:rsid w:val="004D3F19"/>
    <w:rsid w:val="004D4681"/>
    <w:rsid w:val="004D6A26"/>
    <w:rsid w:val="004F0C00"/>
    <w:rsid w:val="00507E76"/>
    <w:rsid w:val="0052424F"/>
    <w:rsid w:val="00535899"/>
    <w:rsid w:val="00542CFC"/>
    <w:rsid w:val="00547F2C"/>
    <w:rsid w:val="00551C03"/>
    <w:rsid w:val="00581846"/>
    <w:rsid w:val="00586CCD"/>
    <w:rsid w:val="005921A1"/>
    <w:rsid w:val="005B3684"/>
    <w:rsid w:val="005B6B55"/>
    <w:rsid w:val="005B73BF"/>
    <w:rsid w:val="005B76D7"/>
    <w:rsid w:val="005E621B"/>
    <w:rsid w:val="005E6AD5"/>
    <w:rsid w:val="005F6551"/>
    <w:rsid w:val="006074F8"/>
    <w:rsid w:val="0061285A"/>
    <w:rsid w:val="00630EFE"/>
    <w:rsid w:val="00633D69"/>
    <w:rsid w:val="006369A1"/>
    <w:rsid w:val="00645577"/>
    <w:rsid w:val="00656B3A"/>
    <w:rsid w:val="00662117"/>
    <w:rsid w:val="00671DCB"/>
    <w:rsid w:val="006745E6"/>
    <w:rsid w:val="00692B2A"/>
    <w:rsid w:val="006A3DDA"/>
    <w:rsid w:val="006B4D21"/>
    <w:rsid w:val="006B6184"/>
    <w:rsid w:val="006C1716"/>
    <w:rsid w:val="006C1E8A"/>
    <w:rsid w:val="006C6950"/>
    <w:rsid w:val="006E1B31"/>
    <w:rsid w:val="006E362C"/>
    <w:rsid w:val="007004FC"/>
    <w:rsid w:val="00707DD8"/>
    <w:rsid w:val="00717E26"/>
    <w:rsid w:val="007350EE"/>
    <w:rsid w:val="0076750A"/>
    <w:rsid w:val="00770E95"/>
    <w:rsid w:val="007B6FBC"/>
    <w:rsid w:val="007C2F66"/>
    <w:rsid w:val="007C7236"/>
    <w:rsid w:val="007D3939"/>
    <w:rsid w:val="007E5BC1"/>
    <w:rsid w:val="007F7884"/>
    <w:rsid w:val="0082142F"/>
    <w:rsid w:val="00830E27"/>
    <w:rsid w:val="00836343"/>
    <w:rsid w:val="0084041E"/>
    <w:rsid w:val="00844934"/>
    <w:rsid w:val="0084719A"/>
    <w:rsid w:val="0085624E"/>
    <w:rsid w:val="008727C5"/>
    <w:rsid w:val="00873BFD"/>
    <w:rsid w:val="0088026B"/>
    <w:rsid w:val="008A2C18"/>
    <w:rsid w:val="008C4768"/>
    <w:rsid w:val="008D4630"/>
    <w:rsid w:val="008D6C81"/>
    <w:rsid w:val="008D7802"/>
    <w:rsid w:val="008E6A0C"/>
    <w:rsid w:val="008F11D8"/>
    <w:rsid w:val="008F1BC6"/>
    <w:rsid w:val="00911D76"/>
    <w:rsid w:val="00913483"/>
    <w:rsid w:val="009303B2"/>
    <w:rsid w:val="0094405E"/>
    <w:rsid w:val="009540CF"/>
    <w:rsid w:val="00963DED"/>
    <w:rsid w:val="00965116"/>
    <w:rsid w:val="009740C2"/>
    <w:rsid w:val="00980B2A"/>
    <w:rsid w:val="00990DA0"/>
    <w:rsid w:val="00992860"/>
    <w:rsid w:val="00996BEC"/>
    <w:rsid w:val="009A18F3"/>
    <w:rsid w:val="009A2F4C"/>
    <w:rsid w:val="009A3110"/>
    <w:rsid w:val="009B5605"/>
    <w:rsid w:val="009D0CF5"/>
    <w:rsid w:val="009E0E0F"/>
    <w:rsid w:val="00A15B9B"/>
    <w:rsid w:val="00A32F9F"/>
    <w:rsid w:val="00A34209"/>
    <w:rsid w:val="00A4441C"/>
    <w:rsid w:val="00A4442F"/>
    <w:rsid w:val="00A8121F"/>
    <w:rsid w:val="00A820FF"/>
    <w:rsid w:val="00AA2F0C"/>
    <w:rsid w:val="00AA64A7"/>
    <w:rsid w:val="00AB0FB2"/>
    <w:rsid w:val="00AC1D54"/>
    <w:rsid w:val="00AD0834"/>
    <w:rsid w:val="00B02A85"/>
    <w:rsid w:val="00B10F43"/>
    <w:rsid w:val="00B23DBB"/>
    <w:rsid w:val="00B244B5"/>
    <w:rsid w:val="00B51C4A"/>
    <w:rsid w:val="00B5658B"/>
    <w:rsid w:val="00B858F9"/>
    <w:rsid w:val="00BA06B0"/>
    <w:rsid w:val="00BD613C"/>
    <w:rsid w:val="00BE36D2"/>
    <w:rsid w:val="00C125E9"/>
    <w:rsid w:val="00C16E66"/>
    <w:rsid w:val="00C32011"/>
    <w:rsid w:val="00C33F02"/>
    <w:rsid w:val="00C42AEA"/>
    <w:rsid w:val="00C503D4"/>
    <w:rsid w:val="00C55FA7"/>
    <w:rsid w:val="00C72513"/>
    <w:rsid w:val="00C87F34"/>
    <w:rsid w:val="00C97ACD"/>
    <w:rsid w:val="00CA7B3C"/>
    <w:rsid w:val="00CB4AD3"/>
    <w:rsid w:val="00CC1E38"/>
    <w:rsid w:val="00CC2DFF"/>
    <w:rsid w:val="00CE536D"/>
    <w:rsid w:val="00CF2EE9"/>
    <w:rsid w:val="00D00345"/>
    <w:rsid w:val="00D253B1"/>
    <w:rsid w:val="00D3512D"/>
    <w:rsid w:val="00D475F5"/>
    <w:rsid w:val="00D50115"/>
    <w:rsid w:val="00D56336"/>
    <w:rsid w:val="00D825A5"/>
    <w:rsid w:val="00DA0099"/>
    <w:rsid w:val="00DB3C5F"/>
    <w:rsid w:val="00DC5FAA"/>
    <w:rsid w:val="00DE2AB1"/>
    <w:rsid w:val="00DF2747"/>
    <w:rsid w:val="00DF54D4"/>
    <w:rsid w:val="00DF7309"/>
    <w:rsid w:val="00DF7A8D"/>
    <w:rsid w:val="00E04508"/>
    <w:rsid w:val="00E0563B"/>
    <w:rsid w:val="00E2259E"/>
    <w:rsid w:val="00E5554F"/>
    <w:rsid w:val="00E6663D"/>
    <w:rsid w:val="00E7763B"/>
    <w:rsid w:val="00E82E24"/>
    <w:rsid w:val="00E82EEF"/>
    <w:rsid w:val="00EA4572"/>
    <w:rsid w:val="00EB4F4C"/>
    <w:rsid w:val="00EB5FBA"/>
    <w:rsid w:val="00EC4331"/>
    <w:rsid w:val="00EC557C"/>
    <w:rsid w:val="00ED7854"/>
    <w:rsid w:val="00EE5ABE"/>
    <w:rsid w:val="00F01098"/>
    <w:rsid w:val="00F17BDE"/>
    <w:rsid w:val="00F21256"/>
    <w:rsid w:val="00F24195"/>
    <w:rsid w:val="00F67352"/>
    <w:rsid w:val="00F73ED0"/>
    <w:rsid w:val="00F80033"/>
    <w:rsid w:val="00FC0F81"/>
    <w:rsid w:val="00FE21A1"/>
    <w:rsid w:val="00FF60FC"/>
    <w:rsid w:val="5E03E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B49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68"/>
    <w:pPr>
      <w:spacing w:after="0" w:line="240" w:lineRule="atLeast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68"/>
    <w:pPr>
      <w:keepNext/>
      <w:spacing w:before="60" w:after="3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4768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768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476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C4768"/>
    <w:pPr>
      <w:spacing w:before="240" w:line="300" w:lineRule="exact"/>
      <w:jc w:val="both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4768"/>
    <w:rPr>
      <w:rFonts w:ascii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B4"/>
    <w:rPr>
      <w:rFonts w:ascii="Segoe UI" w:hAnsi="Segoe UI" w:cs="Segoe UI"/>
      <w:sz w:val="18"/>
      <w:szCs w:val="18"/>
    </w:rPr>
  </w:style>
  <w:style w:type="paragraph" w:styleId="NoSpacing">
    <w:name w:val="No Spacing"/>
    <w:uiPriority w:val="98"/>
    <w:unhideWhenUsed/>
    <w:rsid w:val="000423A4"/>
    <w:pPr>
      <w:spacing w:after="0" w:line="240" w:lineRule="auto"/>
    </w:pPr>
    <w:rPr>
      <w:rFonts w:eastAsiaTheme="minorEastAsia" w:cstheme="minorBid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30E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FE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F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FA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FA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5FA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E82EEF"/>
    <w:pPr>
      <w:spacing w:after="0" w:line="240" w:lineRule="auto"/>
    </w:pPr>
    <w:rPr>
      <w:rFonts w:cs="Times New Roman"/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2E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31769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2025-12-15T03:31:00Z</dcterms:created>
  <dcterms:modified xsi:type="dcterms:W3CDTF">2025-12-15T03:31:00Z</dcterms:modified>
</cp:coreProperties>
</file>