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90B6F0"/>
          <w:sz w:val="32"/>
          <w:szCs w:val="32"/>
        </w:rPr>
        <w:id w:val="-1442289537"/>
        <w:docPartObj>
          <w:docPartGallery w:val="Cover Pages"/>
          <w:docPartUnique/>
        </w:docPartObj>
      </w:sdtPr>
      <w:sdtEndPr>
        <w:rPr>
          <w:color w:val="90B6F0" w:themeColor="accent5"/>
        </w:rPr>
      </w:sdtEndPr>
      <w:sdtContent>
        <w:p w14:paraId="2F2F801D" w14:textId="42391470" w:rsidR="00A97160" w:rsidRPr="006D0240" w:rsidRDefault="00A97160" w:rsidP="00A850E8">
          <w:r>
            <w:rPr>
              <w:noProof/>
            </w:rPr>
            <w:drawing>
              <wp:anchor distT="0" distB="0" distL="114300" distR="114300" simplePos="0" relativeHeight="251658240" behindDoc="1" locked="0" layoutInCell="1" allowOverlap="1" wp14:anchorId="68CC1617" wp14:editId="4C92E8CA">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2AF74" w14:textId="77777777" w:rsidR="00A97160" w:rsidRPr="006D0240" w:rsidRDefault="00A97160" w:rsidP="00301755">
          <w:pPr>
            <w:pStyle w:val="Header"/>
            <w:spacing w:after="1200"/>
          </w:pPr>
        </w:p>
        <w:p w14:paraId="1B21C398" w14:textId="076986FC" w:rsidR="00A97160" w:rsidRPr="006923DF" w:rsidRDefault="00765A6B" w:rsidP="002A7A31">
          <w:pPr>
            <w:pStyle w:val="Title"/>
            <w:tabs>
              <w:tab w:val="left" w:pos="6379"/>
            </w:tabs>
            <w:spacing w:after="120" w:line="720" w:lineRule="exact"/>
            <w:ind w:right="1982"/>
          </w:pPr>
          <w:r>
            <w:t>202</w:t>
          </w:r>
          <w:r w:rsidR="00F22F6F">
            <w:t>1</w:t>
          </w:r>
          <w:r>
            <w:t xml:space="preserve"> Foreign Investment Reforms</w:t>
          </w:r>
        </w:p>
        <w:p w14:paraId="79595883" w14:textId="26D75176" w:rsidR="00A97160" w:rsidRPr="006923DF" w:rsidRDefault="00765A6B" w:rsidP="004C2902">
          <w:pPr>
            <w:pStyle w:val="Subtitle"/>
            <w:spacing w:after="360"/>
          </w:pPr>
          <w:r>
            <w:t>Post</w:t>
          </w:r>
          <w:r w:rsidR="004260B1">
            <w:noBreakHyphen/>
          </w:r>
          <w:r>
            <w:t>implementation Review</w:t>
          </w:r>
        </w:p>
        <w:p w14:paraId="36608187" w14:textId="77777777" w:rsidR="00DC0CB5" w:rsidRDefault="00765A6B" w:rsidP="00DC0CB5">
          <w:pPr>
            <w:pStyle w:val="ReportDate"/>
          </w:pPr>
          <w:r>
            <w:rPr>
              <w:rStyle w:val="ReportDateChar"/>
            </w:rPr>
            <w:t>October 2025</w:t>
          </w:r>
          <w:r w:rsidR="00A97160">
            <w:br w:type="page"/>
          </w:r>
        </w:p>
      </w:sdtContent>
    </w:sdt>
    <w:p w14:paraId="4C1E2750" w14:textId="238645BB" w:rsidR="000E0B74" w:rsidRDefault="000E0B74" w:rsidP="005877AC">
      <w:pPr>
        <w:spacing w:before="0" w:after="160" w:line="259" w:lineRule="auto"/>
      </w:pPr>
      <w:r w:rsidRPr="00661BF0">
        <w:lastRenderedPageBreak/>
        <w:t xml:space="preserve">© Commonwealth of Australia </w:t>
      </w:r>
      <w:r w:rsidR="00436D14">
        <w:t>2025</w:t>
      </w:r>
    </w:p>
    <w:p w14:paraId="40B060C4" w14:textId="6C8A5614"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00444CDB">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9" w:history="1">
        <w:r w:rsidR="00444CDB">
          <w:rPr>
            <w:rStyle w:val="Hyperlink"/>
          </w:rPr>
          <w:t>creativecommons.org/licenses/by/4.0/</w:t>
        </w:r>
        <w:proofErr w:type="spellStart"/>
        <w:r w:rsidR="00444CDB">
          <w:rPr>
            <w:rStyle w:val="Hyperlink"/>
          </w:rPr>
          <w:t>legalcode</w:t>
        </w:r>
        <w:proofErr w:type="spellEnd"/>
      </w:hyperlink>
      <w:r w:rsidRPr="00444CDB">
        <w:t>.</w:t>
      </w:r>
      <w:r w:rsidRPr="00D06A21">
        <w:rPr>
          <w:sz w:val="24"/>
          <w:szCs w:val="24"/>
        </w:rPr>
        <w:t xml:space="preserve"> </w:t>
      </w:r>
    </w:p>
    <w:p w14:paraId="497D0F4D" w14:textId="77777777" w:rsidR="000E0B74" w:rsidRDefault="000E0B74" w:rsidP="000E0B74">
      <w:pPr>
        <w:pStyle w:val="ChartGraphic"/>
        <w:jc w:val="left"/>
      </w:pPr>
      <w:r w:rsidRPr="00E56DFB">
        <w:rPr>
          <w:noProof/>
        </w:rPr>
        <w:drawing>
          <wp:inline distT="0" distB="0" distL="0" distR="0" wp14:anchorId="0EED5D72" wp14:editId="4326859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DC0DD7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00444CDB">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4AFD8FB9" w14:textId="3434D6C7" w:rsidR="000E0B74" w:rsidRPr="00444CDB" w:rsidRDefault="000E0B74" w:rsidP="006469CC">
      <w:pPr>
        <w:spacing w:before="240"/>
        <w:rPr>
          <w:rStyle w:val="Strong"/>
        </w:rPr>
      </w:pPr>
      <w:r w:rsidRPr="00444CDB">
        <w:rPr>
          <w:rStyle w:val="Strong"/>
        </w:rPr>
        <w:t xml:space="preserve">Treasury material used </w:t>
      </w:r>
      <w:r w:rsidR="004260B1">
        <w:rPr>
          <w:rStyle w:val="Strong"/>
        </w:rPr>
        <w:t>‘</w:t>
      </w:r>
      <w:r w:rsidRPr="00444CDB">
        <w:rPr>
          <w:rStyle w:val="Strong"/>
        </w:rPr>
        <w:t>as supplied</w:t>
      </w:r>
      <w:r w:rsidR="004260B1">
        <w:rPr>
          <w:rStyle w:val="Strong"/>
        </w:rPr>
        <w:t>’</w:t>
      </w:r>
    </w:p>
    <w:p w14:paraId="7C7F9674"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444CDB">
        <w:rPr>
          <w:rFonts w:cs="Calibri Light"/>
        </w:rPr>
        <w:t>–</w:t>
      </w:r>
      <w:r>
        <w:t xml:space="preserve"> then Treasury prefers t</w:t>
      </w:r>
      <w:r w:rsidRPr="00476F09">
        <w:t xml:space="preserve">he following attribution: </w:t>
      </w:r>
    </w:p>
    <w:p w14:paraId="45BBCFB5"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511C3E6D" w14:textId="77777777" w:rsidR="000E0B74" w:rsidRPr="00444CDB" w:rsidRDefault="000E0B74" w:rsidP="000E0B74">
      <w:pPr>
        <w:spacing w:before="240"/>
        <w:rPr>
          <w:rStyle w:val="Strong"/>
        </w:rPr>
      </w:pPr>
      <w:r w:rsidRPr="00444CDB">
        <w:rPr>
          <w:rStyle w:val="Strong"/>
        </w:rPr>
        <w:t>Derivative material</w:t>
      </w:r>
    </w:p>
    <w:p w14:paraId="4393B61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4BE3A33"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60CB6AD3" w14:textId="77777777" w:rsidR="000E0B74" w:rsidRPr="00444CDB" w:rsidRDefault="000E0B74" w:rsidP="000E0B74">
      <w:pPr>
        <w:spacing w:before="240"/>
        <w:rPr>
          <w:rStyle w:val="Strong"/>
        </w:rPr>
      </w:pPr>
      <w:r w:rsidRPr="00444CDB">
        <w:rPr>
          <w:rStyle w:val="Strong"/>
        </w:rPr>
        <w:t>Use of the Coat of Arms</w:t>
      </w:r>
    </w:p>
    <w:p w14:paraId="76CE189C" w14:textId="5D577DE6"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444CDB">
          <w:rPr>
            <w:rStyle w:val="Hyperlink"/>
          </w:rPr>
          <w:t>www.pmc.gov.au/government/commonwealth</w:t>
        </w:r>
        <w:r w:rsidR="004260B1">
          <w:rPr>
            <w:rStyle w:val="Hyperlink"/>
          </w:rPr>
          <w:noBreakHyphen/>
        </w:r>
        <w:r w:rsidR="00444CDB">
          <w:rPr>
            <w:rStyle w:val="Hyperlink"/>
          </w:rPr>
          <w:t>coat</w:t>
        </w:r>
        <w:r w:rsidR="004260B1">
          <w:rPr>
            <w:rStyle w:val="Hyperlink"/>
          </w:rPr>
          <w:noBreakHyphen/>
        </w:r>
        <w:r w:rsidR="00444CDB">
          <w:rPr>
            <w:rStyle w:val="Hyperlink"/>
          </w:rPr>
          <w:t>arms</w:t>
        </w:r>
      </w:hyperlink>
      <w:r w:rsidRPr="005C503A">
        <w:t>).</w:t>
      </w:r>
    </w:p>
    <w:p w14:paraId="5B931174" w14:textId="77777777" w:rsidR="000E0B74" w:rsidRPr="00444CDB" w:rsidRDefault="000E0B74" w:rsidP="000E0B74">
      <w:pPr>
        <w:spacing w:before="240"/>
        <w:rPr>
          <w:rStyle w:val="Strong"/>
        </w:rPr>
      </w:pPr>
      <w:r w:rsidRPr="00444CDB">
        <w:rPr>
          <w:rStyle w:val="Strong"/>
        </w:rPr>
        <w:t>Other uses</w:t>
      </w:r>
    </w:p>
    <w:p w14:paraId="341187DA" w14:textId="77777777" w:rsidR="000E0B74" w:rsidRPr="006627B4" w:rsidRDefault="000E0B74" w:rsidP="000E0B74">
      <w:r>
        <w:t>E</w:t>
      </w:r>
      <w:r w:rsidRPr="006627B4">
        <w:t>nquiries regarding this licence and any other use of this document are welcome at:</w:t>
      </w:r>
    </w:p>
    <w:p w14:paraId="1F958193"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3" w:history="1">
        <w:r w:rsidR="00386297">
          <w:rPr>
            <w:rStyle w:val="Hyperlink"/>
          </w:rPr>
          <w:t>media@treasury.gov.au</w:t>
        </w:r>
      </w:hyperlink>
    </w:p>
    <w:p w14:paraId="2B40CA92" w14:textId="77777777" w:rsidR="0052261F" w:rsidRDefault="00D32709" w:rsidP="00DF7CBD">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p w14:paraId="7B211470" w14:textId="77777777" w:rsidR="001B3817" w:rsidRDefault="001B3817" w:rsidP="00DF7CBD">
      <w:pPr>
        <w:rPr>
          <w:rStyle w:val="Emphasis"/>
        </w:rPr>
      </w:pPr>
    </w:p>
    <w:p w14:paraId="74CE45F9" w14:textId="77777777" w:rsidR="001B3817" w:rsidRDefault="001B3817" w:rsidP="00DF7CBD">
      <w:pPr>
        <w:rPr>
          <w:rStyle w:val="Emphasis"/>
        </w:rPr>
        <w:sectPr w:rsidR="001B3817" w:rsidSect="00D4150C">
          <w:footerReference w:type="default" r:id="rId14"/>
          <w:type w:val="oddPage"/>
          <w:pgSz w:w="11906" w:h="16838" w:code="9"/>
          <w:pgMar w:top="1843" w:right="1417" w:bottom="1417" w:left="1417" w:header="709" w:footer="709" w:gutter="0"/>
          <w:pgNumType w:fmt="lowerRoman"/>
          <w:cols w:space="708"/>
          <w:docGrid w:linePitch="360"/>
        </w:sectPr>
      </w:pPr>
    </w:p>
    <w:p w14:paraId="27705F13" w14:textId="77777777" w:rsidR="0072201F" w:rsidRDefault="000E0B74" w:rsidP="00C64457">
      <w:pPr>
        <w:pStyle w:val="Heading1"/>
      </w:pPr>
      <w:bookmarkStart w:id="0" w:name="_Toc210039648"/>
      <w:bookmarkStart w:id="1" w:name="_Toc111026801"/>
      <w:r w:rsidRPr="001F1B27">
        <w:lastRenderedPageBreak/>
        <w:t>Contents</w:t>
      </w:r>
      <w:bookmarkEnd w:id="0"/>
    </w:p>
    <w:bookmarkStart w:id="2" w:name="_Toc432067103"/>
    <w:bookmarkStart w:id="3" w:name="_Toc452635030"/>
    <w:bookmarkEnd w:id="1"/>
    <w:p w14:paraId="6DC1E335" w14:textId="6A97B98A" w:rsidR="00C64457" w:rsidRDefault="00C64457" w:rsidP="004260B1">
      <w:pPr>
        <w:pStyle w:val="TOC1"/>
        <w:tabs>
          <w:tab w:val="left" w:pos="709"/>
        </w:tabs>
        <w:rPr>
          <w:rFonts w:asciiTheme="minorHAnsi" w:eastAsiaTheme="minorEastAsia" w:hAnsiTheme="minorHAnsi" w:cstheme="minorBidi"/>
          <w:b w:val="0"/>
          <w:color w:val="auto"/>
          <w:kern w:val="2"/>
          <w:sz w:val="24"/>
          <w:szCs w:val="24"/>
          <w14:ligatures w14:val="standardContextual"/>
        </w:rPr>
      </w:pPr>
      <w:r>
        <w:rPr>
          <w:b w:val="0"/>
          <w:color w:val="004A7F"/>
        </w:rPr>
        <w:fldChar w:fldCharType="begin"/>
      </w:r>
      <w:r>
        <w:rPr>
          <w:b w:val="0"/>
          <w:color w:val="004A7F"/>
        </w:rPr>
        <w:instrText xml:space="preserve"> TOC \o "1-2" \h \z \u </w:instrText>
      </w:r>
      <w:r>
        <w:rPr>
          <w:b w:val="0"/>
          <w:color w:val="004A7F"/>
        </w:rPr>
        <w:fldChar w:fldCharType="separate"/>
      </w:r>
      <w:hyperlink w:anchor="_Toc210039649" w:history="1">
        <w:r w:rsidRPr="0081668B">
          <w:rPr>
            <w:rStyle w:val="Hyperlink"/>
          </w:rPr>
          <w:t>1.</w:t>
        </w:r>
        <w:r>
          <w:rPr>
            <w:rFonts w:asciiTheme="minorHAnsi" w:eastAsiaTheme="minorEastAsia" w:hAnsiTheme="minorHAnsi" w:cstheme="minorBidi"/>
            <w:b w:val="0"/>
            <w:color w:val="auto"/>
            <w:kern w:val="2"/>
            <w:sz w:val="24"/>
            <w:szCs w:val="24"/>
            <w14:ligatures w14:val="standardContextual"/>
          </w:rPr>
          <w:tab/>
        </w:r>
        <w:r w:rsidRPr="0081668B">
          <w:rPr>
            <w:rStyle w:val="Hyperlink"/>
          </w:rPr>
          <w:t>Introduction</w:t>
        </w:r>
        <w:r>
          <w:rPr>
            <w:webHidden/>
          </w:rPr>
          <w:tab/>
        </w:r>
        <w:r>
          <w:rPr>
            <w:webHidden/>
          </w:rPr>
          <w:fldChar w:fldCharType="begin"/>
        </w:r>
        <w:r>
          <w:rPr>
            <w:webHidden/>
          </w:rPr>
          <w:instrText xml:space="preserve"> PAGEREF _Toc210039649 \h </w:instrText>
        </w:r>
        <w:r>
          <w:rPr>
            <w:webHidden/>
          </w:rPr>
        </w:r>
        <w:r>
          <w:rPr>
            <w:webHidden/>
          </w:rPr>
          <w:fldChar w:fldCharType="separate"/>
        </w:r>
        <w:r w:rsidR="00EA3CC1">
          <w:rPr>
            <w:webHidden/>
          </w:rPr>
          <w:t>1</w:t>
        </w:r>
        <w:r>
          <w:rPr>
            <w:webHidden/>
          </w:rPr>
          <w:fldChar w:fldCharType="end"/>
        </w:r>
      </w:hyperlink>
    </w:p>
    <w:p w14:paraId="423663E3" w14:textId="2DC684EA"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50" w:history="1">
        <w:r w:rsidRPr="0081668B">
          <w:rPr>
            <w:rStyle w:val="Hyperlink"/>
          </w:rPr>
          <w:t>2.</w:t>
        </w:r>
        <w:r>
          <w:rPr>
            <w:rFonts w:asciiTheme="minorHAnsi" w:eastAsiaTheme="minorEastAsia" w:hAnsiTheme="minorHAnsi" w:cstheme="minorBidi"/>
            <w:b w:val="0"/>
            <w:color w:val="auto"/>
            <w:kern w:val="2"/>
            <w:sz w:val="24"/>
            <w:szCs w:val="24"/>
            <w14:ligatures w14:val="standardContextual"/>
          </w:rPr>
          <w:tab/>
        </w:r>
        <w:r w:rsidRPr="0081668B">
          <w:rPr>
            <w:rStyle w:val="Hyperlink"/>
          </w:rPr>
          <w:t>Background</w:t>
        </w:r>
        <w:r>
          <w:rPr>
            <w:webHidden/>
          </w:rPr>
          <w:tab/>
        </w:r>
        <w:r>
          <w:rPr>
            <w:webHidden/>
          </w:rPr>
          <w:fldChar w:fldCharType="begin"/>
        </w:r>
        <w:r>
          <w:rPr>
            <w:webHidden/>
          </w:rPr>
          <w:instrText xml:space="preserve"> PAGEREF _Toc210039650 \h </w:instrText>
        </w:r>
        <w:r>
          <w:rPr>
            <w:webHidden/>
          </w:rPr>
        </w:r>
        <w:r>
          <w:rPr>
            <w:webHidden/>
          </w:rPr>
          <w:fldChar w:fldCharType="separate"/>
        </w:r>
        <w:r w:rsidR="00EA3CC1">
          <w:rPr>
            <w:webHidden/>
          </w:rPr>
          <w:t>2</w:t>
        </w:r>
        <w:r>
          <w:rPr>
            <w:webHidden/>
          </w:rPr>
          <w:fldChar w:fldCharType="end"/>
        </w:r>
      </w:hyperlink>
    </w:p>
    <w:p w14:paraId="3BA2CA37" w14:textId="1002B1CA"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1" w:history="1">
        <w:r w:rsidRPr="0081668B">
          <w:rPr>
            <w:rStyle w:val="Hyperlink"/>
          </w:rPr>
          <w:t>2.1</w:t>
        </w:r>
        <w:r>
          <w:rPr>
            <w:rFonts w:asciiTheme="minorHAnsi" w:eastAsiaTheme="minorEastAsia" w:hAnsiTheme="minorHAnsi" w:cstheme="minorBidi"/>
            <w:color w:val="auto"/>
            <w:kern w:val="2"/>
            <w:sz w:val="24"/>
            <w:szCs w:val="24"/>
            <w14:ligatures w14:val="standardContextual"/>
          </w:rPr>
          <w:tab/>
        </w:r>
        <w:r w:rsidRPr="0081668B">
          <w:rPr>
            <w:rStyle w:val="Hyperlink"/>
          </w:rPr>
          <w:t>Protecting Australia</w:t>
        </w:r>
        <w:r w:rsidR="004260B1">
          <w:rPr>
            <w:rStyle w:val="Hyperlink"/>
          </w:rPr>
          <w:t>’</w:t>
        </w:r>
        <w:r w:rsidRPr="0081668B">
          <w:rPr>
            <w:rStyle w:val="Hyperlink"/>
          </w:rPr>
          <w:t>s national security</w:t>
        </w:r>
        <w:r>
          <w:rPr>
            <w:webHidden/>
          </w:rPr>
          <w:tab/>
        </w:r>
        <w:r>
          <w:rPr>
            <w:webHidden/>
          </w:rPr>
          <w:fldChar w:fldCharType="begin"/>
        </w:r>
        <w:r>
          <w:rPr>
            <w:webHidden/>
          </w:rPr>
          <w:instrText xml:space="preserve"> PAGEREF _Toc210039651 \h </w:instrText>
        </w:r>
        <w:r>
          <w:rPr>
            <w:webHidden/>
          </w:rPr>
        </w:r>
        <w:r>
          <w:rPr>
            <w:webHidden/>
          </w:rPr>
          <w:fldChar w:fldCharType="separate"/>
        </w:r>
        <w:r w:rsidR="00EA3CC1">
          <w:rPr>
            <w:webHidden/>
          </w:rPr>
          <w:t>2</w:t>
        </w:r>
        <w:r>
          <w:rPr>
            <w:webHidden/>
          </w:rPr>
          <w:fldChar w:fldCharType="end"/>
        </w:r>
      </w:hyperlink>
    </w:p>
    <w:p w14:paraId="6F347625" w14:textId="79CE0A4C"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2" w:history="1">
        <w:r w:rsidRPr="0081668B">
          <w:rPr>
            <w:rStyle w:val="Hyperlink"/>
          </w:rPr>
          <w:t>2.2</w:t>
        </w:r>
        <w:r>
          <w:rPr>
            <w:rFonts w:asciiTheme="minorHAnsi" w:eastAsiaTheme="minorEastAsia" w:hAnsiTheme="minorHAnsi" w:cstheme="minorBidi"/>
            <w:color w:val="auto"/>
            <w:kern w:val="2"/>
            <w:sz w:val="24"/>
            <w:szCs w:val="24"/>
            <w14:ligatures w14:val="standardContextual"/>
          </w:rPr>
          <w:tab/>
        </w:r>
        <w:r w:rsidRPr="0081668B">
          <w:rPr>
            <w:rStyle w:val="Hyperlink"/>
          </w:rPr>
          <w:t>Improving the integrity of the foreign investment review framework</w:t>
        </w:r>
        <w:r>
          <w:rPr>
            <w:webHidden/>
          </w:rPr>
          <w:tab/>
        </w:r>
        <w:r>
          <w:rPr>
            <w:webHidden/>
          </w:rPr>
          <w:fldChar w:fldCharType="begin"/>
        </w:r>
        <w:r>
          <w:rPr>
            <w:webHidden/>
          </w:rPr>
          <w:instrText xml:space="preserve"> PAGEREF _Toc210039652 \h </w:instrText>
        </w:r>
        <w:r>
          <w:rPr>
            <w:webHidden/>
          </w:rPr>
        </w:r>
        <w:r>
          <w:rPr>
            <w:webHidden/>
          </w:rPr>
          <w:fldChar w:fldCharType="separate"/>
        </w:r>
        <w:r w:rsidR="00EA3CC1">
          <w:rPr>
            <w:webHidden/>
          </w:rPr>
          <w:t>2</w:t>
        </w:r>
        <w:r>
          <w:rPr>
            <w:webHidden/>
          </w:rPr>
          <w:fldChar w:fldCharType="end"/>
        </w:r>
      </w:hyperlink>
    </w:p>
    <w:p w14:paraId="4AA5654C" w14:textId="44BCF285"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3" w:history="1">
        <w:r w:rsidRPr="0081668B">
          <w:rPr>
            <w:rStyle w:val="Hyperlink"/>
          </w:rPr>
          <w:t>2.3</w:t>
        </w:r>
        <w:r>
          <w:rPr>
            <w:rFonts w:asciiTheme="minorHAnsi" w:eastAsiaTheme="minorEastAsia" w:hAnsiTheme="minorHAnsi" w:cstheme="minorBidi"/>
            <w:color w:val="auto"/>
            <w:kern w:val="2"/>
            <w:sz w:val="24"/>
            <w:szCs w:val="24"/>
            <w14:ligatures w14:val="standardContextual"/>
          </w:rPr>
          <w:tab/>
        </w:r>
        <w:r w:rsidRPr="0081668B">
          <w:rPr>
            <w:rStyle w:val="Hyperlink"/>
          </w:rPr>
          <w:t>Stronger compliance and enforcement powers</w:t>
        </w:r>
        <w:r>
          <w:rPr>
            <w:webHidden/>
          </w:rPr>
          <w:tab/>
        </w:r>
        <w:r>
          <w:rPr>
            <w:webHidden/>
          </w:rPr>
          <w:fldChar w:fldCharType="begin"/>
        </w:r>
        <w:r>
          <w:rPr>
            <w:webHidden/>
          </w:rPr>
          <w:instrText xml:space="preserve"> PAGEREF _Toc210039653 \h </w:instrText>
        </w:r>
        <w:r>
          <w:rPr>
            <w:webHidden/>
          </w:rPr>
        </w:r>
        <w:r>
          <w:rPr>
            <w:webHidden/>
          </w:rPr>
          <w:fldChar w:fldCharType="separate"/>
        </w:r>
        <w:r w:rsidR="00EA3CC1">
          <w:rPr>
            <w:webHidden/>
          </w:rPr>
          <w:t>3</w:t>
        </w:r>
        <w:r>
          <w:rPr>
            <w:webHidden/>
          </w:rPr>
          <w:fldChar w:fldCharType="end"/>
        </w:r>
      </w:hyperlink>
    </w:p>
    <w:p w14:paraId="462BF830" w14:textId="5A1F69A6"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4" w:history="1">
        <w:r w:rsidRPr="0081668B">
          <w:rPr>
            <w:rStyle w:val="Hyperlink"/>
          </w:rPr>
          <w:t>2.4</w:t>
        </w:r>
        <w:r>
          <w:rPr>
            <w:rFonts w:asciiTheme="minorHAnsi" w:eastAsiaTheme="minorEastAsia" w:hAnsiTheme="minorHAnsi" w:cstheme="minorBidi"/>
            <w:color w:val="auto"/>
            <w:kern w:val="2"/>
            <w:sz w:val="24"/>
            <w:szCs w:val="24"/>
            <w14:ligatures w14:val="standardContextual"/>
          </w:rPr>
          <w:tab/>
        </w:r>
        <w:r w:rsidRPr="0081668B">
          <w:rPr>
            <w:rStyle w:val="Hyperlink"/>
          </w:rPr>
          <w:t>Streamlining less sensitive investments</w:t>
        </w:r>
        <w:r>
          <w:rPr>
            <w:webHidden/>
          </w:rPr>
          <w:tab/>
        </w:r>
        <w:r>
          <w:rPr>
            <w:webHidden/>
          </w:rPr>
          <w:fldChar w:fldCharType="begin"/>
        </w:r>
        <w:r>
          <w:rPr>
            <w:webHidden/>
          </w:rPr>
          <w:instrText xml:space="preserve"> PAGEREF _Toc210039654 \h </w:instrText>
        </w:r>
        <w:r>
          <w:rPr>
            <w:webHidden/>
          </w:rPr>
        </w:r>
        <w:r>
          <w:rPr>
            <w:webHidden/>
          </w:rPr>
          <w:fldChar w:fldCharType="separate"/>
        </w:r>
        <w:r w:rsidR="00EA3CC1">
          <w:rPr>
            <w:webHidden/>
          </w:rPr>
          <w:t>3</w:t>
        </w:r>
        <w:r>
          <w:rPr>
            <w:webHidden/>
          </w:rPr>
          <w:fldChar w:fldCharType="end"/>
        </w:r>
      </w:hyperlink>
    </w:p>
    <w:p w14:paraId="1FDD32A4" w14:textId="5CF01056"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5" w:history="1">
        <w:r w:rsidRPr="0081668B">
          <w:rPr>
            <w:rStyle w:val="Hyperlink"/>
          </w:rPr>
          <w:t>2.5</w:t>
        </w:r>
        <w:r>
          <w:rPr>
            <w:rFonts w:asciiTheme="minorHAnsi" w:eastAsiaTheme="minorEastAsia" w:hAnsiTheme="minorHAnsi" w:cstheme="minorBidi"/>
            <w:color w:val="auto"/>
            <w:kern w:val="2"/>
            <w:sz w:val="24"/>
            <w:szCs w:val="24"/>
            <w14:ligatures w14:val="standardContextual"/>
          </w:rPr>
          <w:tab/>
        </w:r>
        <w:r w:rsidRPr="0081668B">
          <w:rPr>
            <w:rStyle w:val="Hyperlink"/>
          </w:rPr>
          <w:t>Register of Foreign Owned Australian Assets (the Register)</w:t>
        </w:r>
        <w:r>
          <w:rPr>
            <w:webHidden/>
          </w:rPr>
          <w:tab/>
        </w:r>
        <w:r>
          <w:rPr>
            <w:webHidden/>
          </w:rPr>
          <w:fldChar w:fldCharType="begin"/>
        </w:r>
        <w:r>
          <w:rPr>
            <w:webHidden/>
          </w:rPr>
          <w:instrText xml:space="preserve"> PAGEREF _Toc210039655 \h </w:instrText>
        </w:r>
        <w:r>
          <w:rPr>
            <w:webHidden/>
          </w:rPr>
        </w:r>
        <w:r>
          <w:rPr>
            <w:webHidden/>
          </w:rPr>
          <w:fldChar w:fldCharType="separate"/>
        </w:r>
        <w:r w:rsidR="00EA3CC1">
          <w:rPr>
            <w:webHidden/>
          </w:rPr>
          <w:t>3</w:t>
        </w:r>
        <w:r>
          <w:rPr>
            <w:webHidden/>
          </w:rPr>
          <w:fldChar w:fldCharType="end"/>
        </w:r>
      </w:hyperlink>
    </w:p>
    <w:p w14:paraId="03EC71F5" w14:textId="6917CF10"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6" w:history="1">
        <w:r w:rsidRPr="0081668B">
          <w:rPr>
            <w:rStyle w:val="Hyperlink"/>
          </w:rPr>
          <w:t>2.6</w:t>
        </w:r>
        <w:r>
          <w:rPr>
            <w:rFonts w:asciiTheme="minorHAnsi" w:eastAsiaTheme="minorEastAsia" w:hAnsiTheme="minorHAnsi" w:cstheme="minorBidi"/>
            <w:color w:val="auto"/>
            <w:kern w:val="2"/>
            <w:sz w:val="24"/>
            <w:szCs w:val="24"/>
            <w14:ligatures w14:val="standardContextual"/>
          </w:rPr>
          <w:tab/>
        </w:r>
        <w:r w:rsidRPr="0081668B">
          <w:rPr>
            <w:rStyle w:val="Hyperlink"/>
          </w:rPr>
          <w:t>A fairer and simpler framework for foreign investment fees</w:t>
        </w:r>
        <w:r>
          <w:rPr>
            <w:webHidden/>
          </w:rPr>
          <w:tab/>
        </w:r>
        <w:r>
          <w:rPr>
            <w:webHidden/>
          </w:rPr>
          <w:fldChar w:fldCharType="begin"/>
        </w:r>
        <w:r>
          <w:rPr>
            <w:webHidden/>
          </w:rPr>
          <w:instrText xml:space="preserve"> PAGEREF _Toc210039656 \h </w:instrText>
        </w:r>
        <w:r>
          <w:rPr>
            <w:webHidden/>
          </w:rPr>
        </w:r>
        <w:r>
          <w:rPr>
            <w:webHidden/>
          </w:rPr>
          <w:fldChar w:fldCharType="separate"/>
        </w:r>
        <w:r w:rsidR="00EA3CC1">
          <w:rPr>
            <w:webHidden/>
          </w:rPr>
          <w:t>4</w:t>
        </w:r>
        <w:r>
          <w:rPr>
            <w:webHidden/>
          </w:rPr>
          <w:fldChar w:fldCharType="end"/>
        </w:r>
      </w:hyperlink>
    </w:p>
    <w:p w14:paraId="20DC7635" w14:textId="3CB0A0BE"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57" w:history="1">
        <w:r w:rsidRPr="0081668B">
          <w:rPr>
            <w:rStyle w:val="Hyperlink"/>
          </w:rPr>
          <w:t>2.7</w:t>
        </w:r>
        <w:r>
          <w:rPr>
            <w:rFonts w:asciiTheme="minorHAnsi" w:eastAsiaTheme="minorEastAsia" w:hAnsiTheme="minorHAnsi" w:cstheme="minorBidi"/>
            <w:color w:val="auto"/>
            <w:kern w:val="2"/>
            <w:sz w:val="24"/>
            <w:szCs w:val="24"/>
            <w14:ligatures w14:val="standardContextual"/>
          </w:rPr>
          <w:tab/>
        </w:r>
        <w:r w:rsidRPr="0081668B">
          <w:rPr>
            <w:rStyle w:val="Hyperlink"/>
          </w:rPr>
          <w:t>Modernising Australia</w:t>
        </w:r>
        <w:r w:rsidR="004260B1">
          <w:rPr>
            <w:rStyle w:val="Hyperlink"/>
          </w:rPr>
          <w:t>’</w:t>
        </w:r>
        <w:r w:rsidRPr="0081668B">
          <w:rPr>
            <w:rStyle w:val="Hyperlink"/>
          </w:rPr>
          <w:t xml:space="preserve">s foreign investment ICT platform for better case management, </w:t>
        </w:r>
        <w:r w:rsidR="004260B1">
          <w:rPr>
            <w:rStyle w:val="Hyperlink"/>
          </w:rPr>
          <w:tab/>
        </w:r>
        <w:r w:rsidRPr="0081668B">
          <w:rPr>
            <w:rStyle w:val="Hyperlink"/>
          </w:rPr>
          <w:t>compliance enforcement and data use</w:t>
        </w:r>
        <w:r>
          <w:rPr>
            <w:webHidden/>
          </w:rPr>
          <w:tab/>
        </w:r>
        <w:r>
          <w:rPr>
            <w:webHidden/>
          </w:rPr>
          <w:fldChar w:fldCharType="begin"/>
        </w:r>
        <w:r>
          <w:rPr>
            <w:webHidden/>
          </w:rPr>
          <w:instrText xml:space="preserve"> PAGEREF _Toc210039657 \h </w:instrText>
        </w:r>
        <w:r>
          <w:rPr>
            <w:webHidden/>
          </w:rPr>
        </w:r>
        <w:r>
          <w:rPr>
            <w:webHidden/>
          </w:rPr>
          <w:fldChar w:fldCharType="separate"/>
        </w:r>
        <w:r w:rsidR="00EA3CC1">
          <w:rPr>
            <w:webHidden/>
          </w:rPr>
          <w:t>4</w:t>
        </w:r>
        <w:r>
          <w:rPr>
            <w:webHidden/>
          </w:rPr>
          <w:fldChar w:fldCharType="end"/>
        </w:r>
      </w:hyperlink>
    </w:p>
    <w:p w14:paraId="44AF9D8E" w14:textId="07C2DE9E"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58" w:history="1">
        <w:r w:rsidRPr="0081668B">
          <w:rPr>
            <w:rStyle w:val="Hyperlink"/>
          </w:rPr>
          <w:t>3.</w:t>
        </w:r>
        <w:r>
          <w:rPr>
            <w:rFonts w:asciiTheme="minorHAnsi" w:eastAsiaTheme="minorEastAsia" w:hAnsiTheme="minorHAnsi" w:cstheme="minorBidi"/>
            <w:b w:val="0"/>
            <w:color w:val="auto"/>
            <w:kern w:val="2"/>
            <w:sz w:val="24"/>
            <w:szCs w:val="24"/>
            <w14:ligatures w14:val="standardContextual"/>
          </w:rPr>
          <w:tab/>
        </w:r>
        <w:r w:rsidRPr="0081668B">
          <w:rPr>
            <w:rStyle w:val="Hyperlink"/>
          </w:rPr>
          <w:t>What problem was the policy meant to solve?</w:t>
        </w:r>
        <w:r>
          <w:rPr>
            <w:webHidden/>
          </w:rPr>
          <w:tab/>
        </w:r>
        <w:r>
          <w:rPr>
            <w:webHidden/>
          </w:rPr>
          <w:fldChar w:fldCharType="begin"/>
        </w:r>
        <w:r>
          <w:rPr>
            <w:webHidden/>
          </w:rPr>
          <w:instrText xml:space="preserve"> PAGEREF _Toc210039658 \h </w:instrText>
        </w:r>
        <w:r>
          <w:rPr>
            <w:webHidden/>
          </w:rPr>
        </w:r>
        <w:r>
          <w:rPr>
            <w:webHidden/>
          </w:rPr>
          <w:fldChar w:fldCharType="separate"/>
        </w:r>
        <w:r w:rsidR="00EA3CC1">
          <w:rPr>
            <w:webHidden/>
          </w:rPr>
          <w:t>5</w:t>
        </w:r>
        <w:r>
          <w:rPr>
            <w:webHidden/>
          </w:rPr>
          <w:fldChar w:fldCharType="end"/>
        </w:r>
      </w:hyperlink>
    </w:p>
    <w:p w14:paraId="203C234F" w14:textId="74B6DA9D"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59" w:history="1">
        <w:r w:rsidRPr="0081668B">
          <w:rPr>
            <w:rStyle w:val="Hyperlink"/>
          </w:rPr>
          <w:t>4.</w:t>
        </w:r>
        <w:r>
          <w:rPr>
            <w:rFonts w:asciiTheme="minorHAnsi" w:eastAsiaTheme="minorEastAsia" w:hAnsiTheme="minorHAnsi" w:cstheme="minorBidi"/>
            <w:b w:val="0"/>
            <w:color w:val="auto"/>
            <w:kern w:val="2"/>
            <w:sz w:val="24"/>
            <w:szCs w:val="24"/>
            <w14:ligatures w14:val="standardContextual"/>
          </w:rPr>
          <w:tab/>
        </w:r>
        <w:r w:rsidRPr="0081668B">
          <w:rPr>
            <w:rStyle w:val="Hyperlink"/>
          </w:rPr>
          <w:t>Why was government action needed?</w:t>
        </w:r>
        <w:r>
          <w:rPr>
            <w:webHidden/>
          </w:rPr>
          <w:tab/>
        </w:r>
        <w:r>
          <w:rPr>
            <w:webHidden/>
          </w:rPr>
          <w:fldChar w:fldCharType="begin"/>
        </w:r>
        <w:r>
          <w:rPr>
            <w:webHidden/>
          </w:rPr>
          <w:instrText xml:space="preserve"> PAGEREF _Toc210039659 \h </w:instrText>
        </w:r>
        <w:r>
          <w:rPr>
            <w:webHidden/>
          </w:rPr>
        </w:r>
        <w:r>
          <w:rPr>
            <w:webHidden/>
          </w:rPr>
          <w:fldChar w:fldCharType="separate"/>
        </w:r>
        <w:r w:rsidR="00EA3CC1">
          <w:rPr>
            <w:webHidden/>
          </w:rPr>
          <w:t>8</w:t>
        </w:r>
        <w:r>
          <w:rPr>
            <w:webHidden/>
          </w:rPr>
          <w:fldChar w:fldCharType="end"/>
        </w:r>
      </w:hyperlink>
    </w:p>
    <w:p w14:paraId="3E23558E" w14:textId="2B8C2F0C"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60" w:history="1">
        <w:r w:rsidRPr="0081668B">
          <w:rPr>
            <w:rStyle w:val="Hyperlink"/>
          </w:rPr>
          <w:t>5.</w:t>
        </w:r>
        <w:r>
          <w:rPr>
            <w:rFonts w:asciiTheme="minorHAnsi" w:eastAsiaTheme="minorEastAsia" w:hAnsiTheme="minorHAnsi" w:cstheme="minorBidi"/>
            <w:b w:val="0"/>
            <w:color w:val="auto"/>
            <w:kern w:val="2"/>
            <w:sz w:val="24"/>
            <w:szCs w:val="24"/>
            <w14:ligatures w14:val="standardContextual"/>
          </w:rPr>
          <w:tab/>
        </w:r>
        <w:r w:rsidRPr="0081668B">
          <w:rPr>
            <w:rStyle w:val="Hyperlink"/>
          </w:rPr>
          <w:t>What policy options were considered?</w:t>
        </w:r>
        <w:r>
          <w:rPr>
            <w:webHidden/>
          </w:rPr>
          <w:tab/>
        </w:r>
        <w:r>
          <w:rPr>
            <w:webHidden/>
          </w:rPr>
          <w:fldChar w:fldCharType="begin"/>
        </w:r>
        <w:r>
          <w:rPr>
            <w:webHidden/>
          </w:rPr>
          <w:instrText xml:space="preserve"> PAGEREF _Toc210039660 \h </w:instrText>
        </w:r>
        <w:r>
          <w:rPr>
            <w:webHidden/>
          </w:rPr>
        </w:r>
        <w:r>
          <w:rPr>
            <w:webHidden/>
          </w:rPr>
          <w:fldChar w:fldCharType="separate"/>
        </w:r>
        <w:r w:rsidR="00EA3CC1">
          <w:rPr>
            <w:webHidden/>
          </w:rPr>
          <w:t>10</w:t>
        </w:r>
        <w:r>
          <w:rPr>
            <w:webHidden/>
          </w:rPr>
          <w:fldChar w:fldCharType="end"/>
        </w:r>
      </w:hyperlink>
    </w:p>
    <w:p w14:paraId="6C9609D7" w14:textId="5A8CE531"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1" w:history="1">
        <w:r w:rsidRPr="0081668B">
          <w:rPr>
            <w:rStyle w:val="Hyperlink"/>
          </w:rPr>
          <w:t>5.1</w:t>
        </w:r>
        <w:r>
          <w:rPr>
            <w:rFonts w:asciiTheme="minorHAnsi" w:eastAsiaTheme="minorEastAsia" w:hAnsiTheme="minorHAnsi" w:cstheme="minorBidi"/>
            <w:color w:val="auto"/>
            <w:kern w:val="2"/>
            <w:sz w:val="24"/>
            <w:szCs w:val="24"/>
            <w14:ligatures w14:val="standardContextual"/>
          </w:rPr>
          <w:tab/>
        </w:r>
        <w:r w:rsidRPr="0081668B">
          <w:rPr>
            <w:rStyle w:val="Hyperlink"/>
          </w:rPr>
          <w:t>Protecting Australia</w:t>
        </w:r>
        <w:r w:rsidR="004260B1">
          <w:rPr>
            <w:rStyle w:val="Hyperlink"/>
          </w:rPr>
          <w:t>’</w:t>
        </w:r>
        <w:r w:rsidRPr="0081668B">
          <w:rPr>
            <w:rStyle w:val="Hyperlink"/>
          </w:rPr>
          <w:t>s national security</w:t>
        </w:r>
        <w:r>
          <w:rPr>
            <w:webHidden/>
          </w:rPr>
          <w:tab/>
        </w:r>
        <w:r>
          <w:rPr>
            <w:webHidden/>
          </w:rPr>
          <w:fldChar w:fldCharType="begin"/>
        </w:r>
        <w:r>
          <w:rPr>
            <w:webHidden/>
          </w:rPr>
          <w:instrText xml:space="preserve"> PAGEREF _Toc210039661 \h </w:instrText>
        </w:r>
        <w:r>
          <w:rPr>
            <w:webHidden/>
          </w:rPr>
        </w:r>
        <w:r>
          <w:rPr>
            <w:webHidden/>
          </w:rPr>
          <w:fldChar w:fldCharType="separate"/>
        </w:r>
        <w:r w:rsidR="00EA3CC1">
          <w:rPr>
            <w:webHidden/>
          </w:rPr>
          <w:t>11</w:t>
        </w:r>
        <w:r>
          <w:rPr>
            <w:webHidden/>
          </w:rPr>
          <w:fldChar w:fldCharType="end"/>
        </w:r>
      </w:hyperlink>
    </w:p>
    <w:p w14:paraId="53047477" w14:textId="6CC7B8D6"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2" w:history="1">
        <w:r w:rsidRPr="0081668B">
          <w:rPr>
            <w:rStyle w:val="Hyperlink"/>
          </w:rPr>
          <w:t>5.2</w:t>
        </w:r>
        <w:r>
          <w:rPr>
            <w:rFonts w:asciiTheme="minorHAnsi" w:eastAsiaTheme="minorEastAsia" w:hAnsiTheme="minorHAnsi" w:cstheme="minorBidi"/>
            <w:color w:val="auto"/>
            <w:kern w:val="2"/>
            <w:sz w:val="24"/>
            <w:szCs w:val="24"/>
            <w14:ligatures w14:val="standardContextual"/>
          </w:rPr>
          <w:tab/>
        </w:r>
        <w:r w:rsidRPr="0081668B">
          <w:rPr>
            <w:rStyle w:val="Hyperlink"/>
          </w:rPr>
          <w:t>Improving the integrity of the foreign investment review framework</w:t>
        </w:r>
        <w:r>
          <w:rPr>
            <w:webHidden/>
          </w:rPr>
          <w:tab/>
        </w:r>
        <w:r>
          <w:rPr>
            <w:webHidden/>
          </w:rPr>
          <w:fldChar w:fldCharType="begin"/>
        </w:r>
        <w:r>
          <w:rPr>
            <w:webHidden/>
          </w:rPr>
          <w:instrText xml:space="preserve"> PAGEREF _Toc210039662 \h </w:instrText>
        </w:r>
        <w:r>
          <w:rPr>
            <w:webHidden/>
          </w:rPr>
        </w:r>
        <w:r>
          <w:rPr>
            <w:webHidden/>
          </w:rPr>
          <w:fldChar w:fldCharType="separate"/>
        </w:r>
        <w:r w:rsidR="00EA3CC1">
          <w:rPr>
            <w:webHidden/>
          </w:rPr>
          <w:t>13</w:t>
        </w:r>
        <w:r>
          <w:rPr>
            <w:webHidden/>
          </w:rPr>
          <w:fldChar w:fldCharType="end"/>
        </w:r>
      </w:hyperlink>
    </w:p>
    <w:p w14:paraId="6CF4E0B4" w14:textId="4F39552D"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3" w:history="1">
        <w:r w:rsidRPr="0081668B">
          <w:rPr>
            <w:rStyle w:val="Hyperlink"/>
          </w:rPr>
          <w:t>5.3</w:t>
        </w:r>
        <w:r>
          <w:rPr>
            <w:rFonts w:asciiTheme="minorHAnsi" w:eastAsiaTheme="minorEastAsia" w:hAnsiTheme="minorHAnsi" w:cstheme="minorBidi"/>
            <w:color w:val="auto"/>
            <w:kern w:val="2"/>
            <w:sz w:val="24"/>
            <w:szCs w:val="24"/>
            <w14:ligatures w14:val="standardContextual"/>
          </w:rPr>
          <w:tab/>
        </w:r>
        <w:r w:rsidRPr="0081668B">
          <w:rPr>
            <w:rStyle w:val="Hyperlink"/>
          </w:rPr>
          <w:t>Stronger compliance and enforcement powers</w:t>
        </w:r>
        <w:r>
          <w:rPr>
            <w:webHidden/>
          </w:rPr>
          <w:tab/>
        </w:r>
        <w:r>
          <w:rPr>
            <w:webHidden/>
          </w:rPr>
          <w:fldChar w:fldCharType="begin"/>
        </w:r>
        <w:r>
          <w:rPr>
            <w:webHidden/>
          </w:rPr>
          <w:instrText xml:space="preserve"> PAGEREF _Toc210039663 \h </w:instrText>
        </w:r>
        <w:r>
          <w:rPr>
            <w:webHidden/>
          </w:rPr>
        </w:r>
        <w:r>
          <w:rPr>
            <w:webHidden/>
          </w:rPr>
          <w:fldChar w:fldCharType="separate"/>
        </w:r>
        <w:r w:rsidR="00EA3CC1">
          <w:rPr>
            <w:webHidden/>
          </w:rPr>
          <w:t>14</w:t>
        </w:r>
        <w:r>
          <w:rPr>
            <w:webHidden/>
          </w:rPr>
          <w:fldChar w:fldCharType="end"/>
        </w:r>
      </w:hyperlink>
    </w:p>
    <w:p w14:paraId="095D53AD" w14:textId="4AFD29D4"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4" w:history="1">
        <w:r w:rsidRPr="0081668B">
          <w:rPr>
            <w:rStyle w:val="Hyperlink"/>
          </w:rPr>
          <w:t>5.4</w:t>
        </w:r>
        <w:r>
          <w:rPr>
            <w:rFonts w:asciiTheme="minorHAnsi" w:eastAsiaTheme="minorEastAsia" w:hAnsiTheme="minorHAnsi" w:cstheme="minorBidi"/>
            <w:color w:val="auto"/>
            <w:kern w:val="2"/>
            <w:sz w:val="24"/>
            <w:szCs w:val="24"/>
            <w14:ligatures w14:val="standardContextual"/>
          </w:rPr>
          <w:tab/>
        </w:r>
        <w:r w:rsidRPr="0081668B">
          <w:rPr>
            <w:rStyle w:val="Hyperlink"/>
          </w:rPr>
          <w:t>Streamlining less sensitive investments</w:t>
        </w:r>
        <w:r>
          <w:rPr>
            <w:webHidden/>
          </w:rPr>
          <w:tab/>
        </w:r>
        <w:r>
          <w:rPr>
            <w:webHidden/>
          </w:rPr>
          <w:fldChar w:fldCharType="begin"/>
        </w:r>
        <w:r>
          <w:rPr>
            <w:webHidden/>
          </w:rPr>
          <w:instrText xml:space="preserve"> PAGEREF _Toc210039664 \h </w:instrText>
        </w:r>
        <w:r>
          <w:rPr>
            <w:webHidden/>
          </w:rPr>
        </w:r>
        <w:r>
          <w:rPr>
            <w:webHidden/>
          </w:rPr>
          <w:fldChar w:fldCharType="separate"/>
        </w:r>
        <w:r w:rsidR="00EA3CC1">
          <w:rPr>
            <w:webHidden/>
          </w:rPr>
          <w:t>16</w:t>
        </w:r>
        <w:r>
          <w:rPr>
            <w:webHidden/>
          </w:rPr>
          <w:fldChar w:fldCharType="end"/>
        </w:r>
      </w:hyperlink>
    </w:p>
    <w:p w14:paraId="5C5FD81B" w14:textId="772F2DC1"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5" w:history="1">
        <w:r w:rsidRPr="0081668B">
          <w:rPr>
            <w:rStyle w:val="Hyperlink"/>
          </w:rPr>
          <w:t>5.5</w:t>
        </w:r>
        <w:r>
          <w:rPr>
            <w:rFonts w:asciiTheme="minorHAnsi" w:eastAsiaTheme="minorEastAsia" w:hAnsiTheme="minorHAnsi" w:cstheme="minorBidi"/>
            <w:color w:val="auto"/>
            <w:kern w:val="2"/>
            <w:sz w:val="24"/>
            <w:szCs w:val="24"/>
            <w14:ligatures w14:val="standardContextual"/>
          </w:rPr>
          <w:tab/>
        </w:r>
        <w:r w:rsidRPr="0081668B">
          <w:rPr>
            <w:rStyle w:val="Hyperlink"/>
          </w:rPr>
          <w:t>Register of foreign ownership of Australian assets</w:t>
        </w:r>
        <w:r>
          <w:rPr>
            <w:webHidden/>
          </w:rPr>
          <w:tab/>
        </w:r>
        <w:r>
          <w:rPr>
            <w:webHidden/>
          </w:rPr>
          <w:fldChar w:fldCharType="begin"/>
        </w:r>
        <w:r>
          <w:rPr>
            <w:webHidden/>
          </w:rPr>
          <w:instrText xml:space="preserve"> PAGEREF _Toc210039665 \h </w:instrText>
        </w:r>
        <w:r>
          <w:rPr>
            <w:webHidden/>
          </w:rPr>
        </w:r>
        <w:r>
          <w:rPr>
            <w:webHidden/>
          </w:rPr>
          <w:fldChar w:fldCharType="separate"/>
        </w:r>
        <w:r w:rsidR="00EA3CC1">
          <w:rPr>
            <w:webHidden/>
          </w:rPr>
          <w:t>17</w:t>
        </w:r>
        <w:r>
          <w:rPr>
            <w:webHidden/>
          </w:rPr>
          <w:fldChar w:fldCharType="end"/>
        </w:r>
      </w:hyperlink>
    </w:p>
    <w:p w14:paraId="63F26FDA" w14:textId="2ED57835"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6" w:history="1">
        <w:r w:rsidRPr="0081668B">
          <w:rPr>
            <w:rStyle w:val="Hyperlink"/>
          </w:rPr>
          <w:t>5.6</w:t>
        </w:r>
        <w:r>
          <w:rPr>
            <w:rFonts w:asciiTheme="minorHAnsi" w:eastAsiaTheme="minorEastAsia" w:hAnsiTheme="minorHAnsi" w:cstheme="minorBidi"/>
            <w:color w:val="auto"/>
            <w:kern w:val="2"/>
            <w:sz w:val="24"/>
            <w:szCs w:val="24"/>
            <w14:ligatures w14:val="standardContextual"/>
          </w:rPr>
          <w:tab/>
        </w:r>
        <w:r w:rsidRPr="0081668B">
          <w:rPr>
            <w:rStyle w:val="Hyperlink"/>
          </w:rPr>
          <w:t>A fairer and simpler framework for foreign investment fees</w:t>
        </w:r>
        <w:r>
          <w:rPr>
            <w:webHidden/>
          </w:rPr>
          <w:tab/>
        </w:r>
        <w:r>
          <w:rPr>
            <w:webHidden/>
          </w:rPr>
          <w:fldChar w:fldCharType="begin"/>
        </w:r>
        <w:r>
          <w:rPr>
            <w:webHidden/>
          </w:rPr>
          <w:instrText xml:space="preserve"> PAGEREF _Toc210039666 \h </w:instrText>
        </w:r>
        <w:r>
          <w:rPr>
            <w:webHidden/>
          </w:rPr>
        </w:r>
        <w:r>
          <w:rPr>
            <w:webHidden/>
          </w:rPr>
          <w:fldChar w:fldCharType="separate"/>
        </w:r>
        <w:r w:rsidR="00EA3CC1">
          <w:rPr>
            <w:webHidden/>
          </w:rPr>
          <w:t>18</w:t>
        </w:r>
        <w:r>
          <w:rPr>
            <w:webHidden/>
          </w:rPr>
          <w:fldChar w:fldCharType="end"/>
        </w:r>
      </w:hyperlink>
    </w:p>
    <w:p w14:paraId="66B9FB8C" w14:textId="6C781DF8"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7" w:history="1">
        <w:r w:rsidRPr="0081668B">
          <w:rPr>
            <w:rStyle w:val="Hyperlink"/>
          </w:rPr>
          <w:t>5.7</w:t>
        </w:r>
        <w:r>
          <w:rPr>
            <w:rFonts w:asciiTheme="minorHAnsi" w:eastAsiaTheme="minorEastAsia" w:hAnsiTheme="minorHAnsi" w:cstheme="minorBidi"/>
            <w:color w:val="auto"/>
            <w:kern w:val="2"/>
            <w:sz w:val="24"/>
            <w:szCs w:val="24"/>
            <w14:ligatures w14:val="standardContextual"/>
          </w:rPr>
          <w:tab/>
        </w:r>
        <w:r w:rsidRPr="0081668B">
          <w:rPr>
            <w:rStyle w:val="Hyperlink"/>
          </w:rPr>
          <w:t>Modernising Australia</w:t>
        </w:r>
        <w:r w:rsidR="004260B1">
          <w:rPr>
            <w:rStyle w:val="Hyperlink"/>
          </w:rPr>
          <w:t>’</w:t>
        </w:r>
        <w:r w:rsidRPr="0081668B">
          <w:rPr>
            <w:rStyle w:val="Hyperlink"/>
          </w:rPr>
          <w:t xml:space="preserve">s foreign investment ICT platform for better case management, </w:t>
        </w:r>
        <w:r w:rsidR="004260B1">
          <w:rPr>
            <w:rStyle w:val="Hyperlink"/>
          </w:rPr>
          <w:tab/>
        </w:r>
        <w:r w:rsidRPr="0081668B">
          <w:rPr>
            <w:rStyle w:val="Hyperlink"/>
          </w:rPr>
          <w:t>compliance enforcement and data use</w:t>
        </w:r>
        <w:r>
          <w:rPr>
            <w:webHidden/>
          </w:rPr>
          <w:tab/>
        </w:r>
        <w:r>
          <w:rPr>
            <w:webHidden/>
          </w:rPr>
          <w:fldChar w:fldCharType="begin"/>
        </w:r>
        <w:r>
          <w:rPr>
            <w:webHidden/>
          </w:rPr>
          <w:instrText xml:space="preserve"> PAGEREF _Toc210039667 \h </w:instrText>
        </w:r>
        <w:r>
          <w:rPr>
            <w:webHidden/>
          </w:rPr>
        </w:r>
        <w:r>
          <w:rPr>
            <w:webHidden/>
          </w:rPr>
          <w:fldChar w:fldCharType="separate"/>
        </w:r>
        <w:r w:rsidR="00EA3CC1">
          <w:rPr>
            <w:webHidden/>
          </w:rPr>
          <w:t>20</w:t>
        </w:r>
        <w:r>
          <w:rPr>
            <w:webHidden/>
          </w:rPr>
          <w:fldChar w:fldCharType="end"/>
        </w:r>
      </w:hyperlink>
    </w:p>
    <w:p w14:paraId="07F425A5" w14:textId="67B5AE41"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68" w:history="1">
        <w:r w:rsidRPr="0081668B">
          <w:rPr>
            <w:rStyle w:val="Hyperlink"/>
          </w:rPr>
          <w:t>6.</w:t>
        </w:r>
        <w:r>
          <w:rPr>
            <w:rFonts w:asciiTheme="minorHAnsi" w:eastAsiaTheme="minorEastAsia" w:hAnsiTheme="minorHAnsi" w:cstheme="minorBidi"/>
            <w:b w:val="0"/>
            <w:color w:val="auto"/>
            <w:kern w:val="2"/>
            <w:sz w:val="24"/>
            <w:szCs w:val="24"/>
            <w14:ligatures w14:val="standardContextual"/>
          </w:rPr>
          <w:tab/>
        </w:r>
        <w:r w:rsidRPr="0081668B">
          <w:rPr>
            <w:rStyle w:val="Hyperlink"/>
          </w:rPr>
          <w:t>What were the impacts of the policy?</w:t>
        </w:r>
        <w:r>
          <w:rPr>
            <w:webHidden/>
          </w:rPr>
          <w:tab/>
        </w:r>
        <w:r>
          <w:rPr>
            <w:webHidden/>
          </w:rPr>
          <w:fldChar w:fldCharType="begin"/>
        </w:r>
        <w:r>
          <w:rPr>
            <w:webHidden/>
          </w:rPr>
          <w:instrText xml:space="preserve"> PAGEREF _Toc210039668 \h </w:instrText>
        </w:r>
        <w:r>
          <w:rPr>
            <w:webHidden/>
          </w:rPr>
        </w:r>
        <w:r>
          <w:rPr>
            <w:webHidden/>
          </w:rPr>
          <w:fldChar w:fldCharType="separate"/>
        </w:r>
        <w:r w:rsidR="00EA3CC1">
          <w:rPr>
            <w:webHidden/>
          </w:rPr>
          <w:t>22</w:t>
        </w:r>
        <w:r>
          <w:rPr>
            <w:webHidden/>
          </w:rPr>
          <w:fldChar w:fldCharType="end"/>
        </w:r>
      </w:hyperlink>
    </w:p>
    <w:p w14:paraId="3C54E11D" w14:textId="33228FE7"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69" w:history="1">
        <w:r w:rsidRPr="0081668B">
          <w:rPr>
            <w:rStyle w:val="Hyperlink"/>
          </w:rPr>
          <w:t>6.1</w:t>
        </w:r>
        <w:r>
          <w:rPr>
            <w:rFonts w:asciiTheme="minorHAnsi" w:eastAsiaTheme="minorEastAsia" w:hAnsiTheme="minorHAnsi" w:cstheme="minorBidi"/>
            <w:color w:val="auto"/>
            <w:kern w:val="2"/>
            <w:sz w:val="24"/>
            <w:szCs w:val="24"/>
            <w14:ligatures w14:val="standardContextual"/>
          </w:rPr>
          <w:tab/>
        </w:r>
        <w:r w:rsidRPr="0081668B">
          <w:rPr>
            <w:rStyle w:val="Hyperlink"/>
          </w:rPr>
          <w:t>Protecting Australia</w:t>
        </w:r>
        <w:r w:rsidR="004260B1">
          <w:rPr>
            <w:rStyle w:val="Hyperlink"/>
          </w:rPr>
          <w:t>’</w:t>
        </w:r>
        <w:r w:rsidRPr="0081668B">
          <w:rPr>
            <w:rStyle w:val="Hyperlink"/>
          </w:rPr>
          <w:t>s national security</w:t>
        </w:r>
        <w:r>
          <w:rPr>
            <w:webHidden/>
          </w:rPr>
          <w:tab/>
        </w:r>
        <w:r>
          <w:rPr>
            <w:webHidden/>
          </w:rPr>
          <w:fldChar w:fldCharType="begin"/>
        </w:r>
        <w:r>
          <w:rPr>
            <w:webHidden/>
          </w:rPr>
          <w:instrText xml:space="preserve"> PAGEREF _Toc210039669 \h </w:instrText>
        </w:r>
        <w:r>
          <w:rPr>
            <w:webHidden/>
          </w:rPr>
        </w:r>
        <w:r>
          <w:rPr>
            <w:webHidden/>
          </w:rPr>
          <w:fldChar w:fldCharType="separate"/>
        </w:r>
        <w:r w:rsidR="00EA3CC1">
          <w:rPr>
            <w:webHidden/>
          </w:rPr>
          <w:t>24</w:t>
        </w:r>
        <w:r>
          <w:rPr>
            <w:webHidden/>
          </w:rPr>
          <w:fldChar w:fldCharType="end"/>
        </w:r>
      </w:hyperlink>
    </w:p>
    <w:p w14:paraId="1F4CFBE4" w14:textId="5E496E5E"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0" w:history="1">
        <w:r w:rsidRPr="0081668B">
          <w:rPr>
            <w:rStyle w:val="Hyperlink"/>
          </w:rPr>
          <w:t>6.2</w:t>
        </w:r>
        <w:r>
          <w:rPr>
            <w:rFonts w:asciiTheme="minorHAnsi" w:eastAsiaTheme="minorEastAsia" w:hAnsiTheme="minorHAnsi" w:cstheme="minorBidi"/>
            <w:color w:val="auto"/>
            <w:kern w:val="2"/>
            <w:sz w:val="24"/>
            <w:szCs w:val="24"/>
            <w14:ligatures w14:val="standardContextual"/>
          </w:rPr>
          <w:tab/>
        </w:r>
        <w:r w:rsidRPr="0081668B">
          <w:rPr>
            <w:rStyle w:val="Hyperlink"/>
          </w:rPr>
          <w:t>Improving the integrity of foreign investment framework</w:t>
        </w:r>
        <w:r>
          <w:rPr>
            <w:webHidden/>
          </w:rPr>
          <w:tab/>
        </w:r>
        <w:r>
          <w:rPr>
            <w:webHidden/>
          </w:rPr>
          <w:fldChar w:fldCharType="begin"/>
        </w:r>
        <w:r>
          <w:rPr>
            <w:webHidden/>
          </w:rPr>
          <w:instrText xml:space="preserve"> PAGEREF _Toc210039670 \h </w:instrText>
        </w:r>
        <w:r>
          <w:rPr>
            <w:webHidden/>
          </w:rPr>
        </w:r>
        <w:r>
          <w:rPr>
            <w:webHidden/>
          </w:rPr>
          <w:fldChar w:fldCharType="separate"/>
        </w:r>
        <w:r w:rsidR="00EA3CC1">
          <w:rPr>
            <w:webHidden/>
          </w:rPr>
          <w:t>26</w:t>
        </w:r>
        <w:r>
          <w:rPr>
            <w:webHidden/>
          </w:rPr>
          <w:fldChar w:fldCharType="end"/>
        </w:r>
      </w:hyperlink>
    </w:p>
    <w:p w14:paraId="676811F3" w14:textId="459A7254"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1" w:history="1">
        <w:r w:rsidRPr="0081668B">
          <w:rPr>
            <w:rStyle w:val="Hyperlink"/>
          </w:rPr>
          <w:t>6.3</w:t>
        </w:r>
        <w:r>
          <w:rPr>
            <w:rFonts w:asciiTheme="minorHAnsi" w:eastAsiaTheme="minorEastAsia" w:hAnsiTheme="minorHAnsi" w:cstheme="minorBidi"/>
            <w:color w:val="auto"/>
            <w:kern w:val="2"/>
            <w:sz w:val="24"/>
            <w:szCs w:val="24"/>
            <w14:ligatures w14:val="standardContextual"/>
          </w:rPr>
          <w:tab/>
        </w:r>
        <w:r w:rsidRPr="0081668B">
          <w:rPr>
            <w:rStyle w:val="Hyperlink"/>
          </w:rPr>
          <w:t>Stronger compliance and enforcement powers</w:t>
        </w:r>
        <w:r>
          <w:rPr>
            <w:webHidden/>
          </w:rPr>
          <w:tab/>
        </w:r>
        <w:r>
          <w:rPr>
            <w:webHidden/>
          </w:rPr>
          <w:fldChar w:fldCharType="begin"/>
        </w:r>
        <w:r>
          <w:rPr>
            <w:webHidden/>
          </w:rPr>
          <w:instrText xml:space="preserve"> PAGEREF _Toc210039671 \h </w:instrText>
        </w:r>
        <w:r>
          <w:rPr>
            <w:webHidden/>
          </w:rPr>
        </w:r>
        <w:r>
          <w:rPr>
            <w:webHidden/>
          </w:rPr>
          <w:fldChar w:fldCharType="separate"/>
        </w:r>
        <w:r w:rsidR="00EA3CC1">
          <w:rPr>
            <w:webHidden/>
          </w:rPr>
          <w:t>26</w:t>
        </w:r>
        <w:r>
          <w:rPr>
            <w:webHidden/>
          </w:rPr>
          <w:fldChar w:fldCharType="end"/>
        </w:r>
      </w:hyperlink>
    </w:p>
    <w:p w14:paraId="1E8572FE" w14:textId="7570FAB3"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2" w:history="1">
        <w:r w:rsidRPr="0081668B">
          <w:rPr>
            <w:rStyle w:val="Hyperlink"/>
          </w:rPr>
          <w:t>6.4</w:t>
        </w:r>
        <w:r>
          <w:rPr>
            <w:rFonts w:asciiTheme="minorHAnsi" w:eastAsiaTheme="minorEastAsia" w:hAnsiTheme="minorHAnsi" w:cstheme="minorBidi"/>
            <w:color w:val="auto"/>
            <w:kern w:val="2"/>
            <w:sz w:val="24"/>
            <w:szCs w:val="24"/>
            <w14:ligatures w14:val="standardContextual"/>
          </w:rPr>
          <w:tab/>
        </w:r>
        <w:r w:rsidRPr="0081668B">
          <w:rPr>
            <w:rStyle w:val="Hyperlink"/>
          </w:rPr>
          <w:t>Streamlining less sensitive investments</w:t>
        </w:r>
        <w:r>
          <w:rPr>
            <w:webHidden/>
          </w:rPr>
          <w:tab/>
        </w:r>
        <w:r>
          <w:rPr>
            <w:webHidden/>
          </w:rPr>
          <w:fldChar w:fldCharType="begin"/>
        </w:r>
        <w:r>
          <w:rPr>
            <w:webHidden/>
          </w:rPr>
          <w:instrText xml:space="preserve"> PAGEREF _Toc210039672 \h </w:instrText>
        </w:r>
        <w:r>
          <w:rPr>
            <w:webHidden/>
          </w:rPr>
        </w:r>
        <w:r>
          <w:rPr>
            <w:webHidden/>
          </w:rPr>
          <w:fldChar w:fldCharType="separate"/>
        </w:r>
        <w:r w:rsidR="00EA3CC1">
          <w:rPr>
            <w:webHidden/>
          </w:rPr>
          <w:t>28</w:t>
        </w:r>
        <w:r>
          <w:rPr>
            <w:webHidden/>
          </w:rPr>
          <w:fldChar w:fldCharType="end"/>
        </w:r>
      </w:hyperlink>
    </w:p>
    <w:p w14:paraId="00993A57" w14:textId="0622BA63"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3" w:history="1">
        <w:r w:rsidRPr="0081668B">
          <w:rPr>
            <w:rStyle w:val="Hyperlink"/>
          </w:rPr>
          <w:t>6.5</w:t>
        </w:r>
        <w:r>
          <w:rPr>
            <w:rFonts w:asciiTheme="minorHAnsi" w:eastAsiaTheme="minorEastAsia" w:hAnsiTheme="minorHAnsi" w:cstheme="minorBidi"/>
            <w:color w:val="auto"/>
            <w:kern w:val="2"/>
            <w:sz w:val="24"/>
            <w:szCs w:val="24"/>
            <w14:ligatures w14:val="standardContextual"/>
          </w:rPr>
          <w:tab/>
        </w:r>
        <w:r w:rsidRPr="0081668B">
          <w:rPr>
            <w:rStyle w:val="Hyperlink"/>
          </w:rPr>
          <w:t>Register of Foreign Owned Australian Assets (the Register)</w:t>
        </w:r>
        <w:r>
          <w:rPr>
            <w:webHidden/>
          </w:rPr>
          <w:tab/>
        </w:r>
        <w:r>
          <w:rPr>
            <w:webHidden/>
          </w:rPr>
          <w:fldChar w:fldCharType="begin"/>
        </w:r>
        <w:r>
          <w:rPr>
            <w:webHidden/>
          </w:rPr>
          <w:instrText xml:space="preserve"> PAGEREF _Toc210039673 \h </w:instrText>
        </w:r>
        <w:r>
          <w:rPr>
            <w:webHidden/>
          </w:rPr>
        </w:r>
        <w:r>
          <w:rPr>
            <w:webHidden/>
          </w:rPr>
          <w:fldChar w:fldCharType="separate"/>
        </w:r>
        <w:r w:rsidR="00EA3CC1">
          <w:rPr>
            <w:webHidden/>
          </w:rPr>
          <w:t>29</w:t>
        </w:r>
        <w:r>
          <w:rPr>
            <w:webHidden/>
          </w:rPr>
          <w:fldChar w:fldCharType="end"/>
        </w:r>
      </w:hyperlink>
    </w:p>
    <w:p w14:paraId="115FDAB3" w14:textId="47AE1155"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4" w:history="1">
        <w:r w:rsidRPr="0081668B">
          <w:rPr>
            <w:rStyle w:val="Hyperlink"/>
          </w:rPr>
          <w:t>6.6</w:t>
        </w:r>
        <w:r>
          <w:rPr>
            <w:rFonts w:asciiTheme="minorHAnsi" w:eastAsiaTheme="minorEastAsia" w:hAnsiTheme="minorHAnsi" w:cstheme="minorBidi"/>
            <w:color w:val="auto"/>
            <w:kern w:val="2"/>
            <w:sz w:val="24"/>
            <w:szCs w:val="24"/>
            <w14:ligatures w14:val="standardContextual"/>
          </w:rPr>
          <w:tab/>
        </w:r>
        <w:r w:rsidRPr="0081668B">
          <w:rPr>
            <w:rStyle w:val="Hyperlink"/>
          </w:rPr>
          <w:t>A fairer and simpler framework for foreign investment fees</w:t>
        </w:r>
        <w:r>
          <w:rPr>
            <w:webHidden/>
          </w:rPr>
          <w:tab/>
        </w:r>
        <w:r>
          <w:rPr>
            <w:webHidden/>
          </w:rPr>
          <w:fldChar w:fldCharType="begin"/>
        </w:r>
        <w:r>
          <w:rPr>
            <w:webHidden/>
          </w:rPr>
          <w:instrText xml:space="preserve"> PAGEREF _Toc210039674 \h </w:instrText>
        </w:r>
        <w:r>
          <w:rPr>
            <w:webHidden/>
          </w:rPr>
        </w:r>
        <w:r>
          <w:rPr>
            <w:webHidden/>
          </w:rPr>
          <w:fldChar w:fldCharType="separate"/>
        </w:r>
        <w:r w:rsidR="00EA3CC1">
          <w:rPr>
            <w:webHidden/>
          </w:rPr>
          <w:t>30</w:t>
        </w:r>
        <w:r>
          <w:rPr>
            <w:webHidden/>
          </w:rPr>
          <w:fldChar w:fldCharType="end"/>
        </w:r>
      </w:hyperlink>
    </w:p>
    <w:p w14:paraId="2555B642" w14:textId="377A8C54"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5" w:history="1">
        <w:r w:rsidRPr="0081668B">
          <w:rPr>
            <w:rStyle w:val="Hyperlink"/>
          </w:rPr>
          <w:t>6.7</w:t>
        </w:r>
        <w:r>
          <w:rPr>
            <w:rFonts w:asciiTheme="minorHAnsi" w:eastAsiaTheme="minorEastAsia" w:hAnsiTheme="minorHAnsi" w:cstheme="minorBidi"/>
            <w:color w:val="auto"/>
            <w:kern w:val="2"/>
            <w:sz w:val="24"/>
            <w:szCs w:val="24"/>
            <w14:ligatures w14:val="standardContextual"/>
          </w:rPr>
          <w:tab/>
        </w:r>
        <w:r w:rsidRPr="0081668B">
          <w:rPr>
            <w:rStyle w:val="Hyperlink"/>
          </w:rPr>
          <w:t>Modernising Australia</w:t>
        </w:r>
        <w:r w:rsidR="004260B1">
          <w:rPr>
            <w:rStyle w:val="Hyperlink"/>
          </w:rPr>
          <w:t>’</w:t>
        </w:r>
        <w:r w:rsidRPr="0081668B">
          <w:rPr>
            <w:rStyle w:val="Hyperlink"/>
          </w:rPr>
          <w:t xml:space="preserve">s foreign investment ICT platform for better case management, </w:t>
        </w:r>
        <w:r w:rsidR="004260B1">
          <w:rPr>
            <w:rStyle w:val="Hyperlink"/>
          </w:rPr>
          <w:tab/>
        </w:r>
        <w:r w:rsidRPr="0081668B">
          <w:rPr>
            <w:rStyle w:val="Hyperlink"/>
          </w:rPr>
          <w:t>compliance enforcement and data use</w:t>
        </w:r>
        <w:r>
          <w:rPr>
            <w:webHidden/>
          </w:rPr>
          <w:tab/>
        </w:r>
        <w:r>
          <w:rPr>
            <w:webHidden/>
          </w:rPr>
          <w:fldChar w:fldCharType="begin"/>
        </w:r>
        <w:r>
          <w:rPr>
            <w:webHidden/>
          </w:rPr>
          <w:instrText xml:space="preserve"> PAGEREF _Toc210039675 \h </w:instrText>
        </w:r>
        <w:r>
          <w:rPr>
            <w:webHidden/>
          </w:rPr>
        </w:r>
        <w:r>
          <w:rPr>
            <w:webHidden/>
          </w:rPr>
          <w:fldChar w:fldCharType="separate"/>
        </w:r>
        <w:r w:rsidR="00EA3CC1">
          <w:rPr>
            <w:webHidden/>
          </w:rPr>
          <w:t>31</w:t>
        </w:r>
        <w:r>
          <w:rPr>
            <w:webHidden/>
          </w:rPr>
          <w:fldChar w:fldCharType="end"/>
        </w:r>
      </w:hyperlink>
    </w:p>
    <w:p w14:paraId="643DCDEA" w14:textId="364713D6"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76" w:history="1">
        <w:r w:rsidRPr="0081668B">
          <w:rPr>
            <w:rStyle w:val="Hyperlink"/>
          </w:rPr>
          <w:t>7.</w:t>
        </w:r>
        <w:r>
          <w:rPr>
            <w:rFonts w:asciiTheme="minorHAnsi" w:eastAsiaTheme="minorEastAsia" w:hAnsiTheme="minorHAnsi" w:cstheme="minorBidi"/>
            <w:b w:val="0"/>
            <w:color w:val="auto"/>
            <w:kern w:val="2"/>
            <w:sz w:val="24"/>
            <w:szCs w:val="24"/>
            <w14:ligatures w14:val="standardContextual"/>
          </w:rPr>
          <w:tab/>
        </w:r>
        <w:r w:rsidRPr="0081668B">
          <w:rPr>
            <w:rStyle w:val="Hyperlink"/>
          </w:rPr>
          <w:t>Which stakeholders have been consulted?</w:t>
        </w:r>
        <w:r>
          <w:rPr>
            <w:webHidden/>
          </w:rPr>
          <w:tab/>
        </w:r>
        <w:r>
          <w:rPr>
            <w:webHidden/>
          </w:rPr>
          <w:fldChar w:fldCharType="begin"/>
        </w:r>
        <w:r>
          <w:rPr>
            <w:webHidden/>
          </w:rPr>
          <w:instrText xml:space="preserve"> PAGEREF _Toc210039676 \h </w:instrText>
        </w:r>
        <w:r>
          <w:rPr>
            <w:webHidden/>
          </w:rPr>
        </w:r>
        <w:r>
          <w:rPr>
            <w:webHidden/>
          </w:rPr>
          <w:fldChar w:fldCharType="separate"/>
        </w:r>
        <w:r w:rsidR="00EA3CC1">
          <w:rPr>
            <w:webHidden/>
          </w:rPr>
          <w:t>33</w:t>
        </w:r>
        <w:r>
          <w:rPr>
            <w:webHidden/>
          </w:rPr>
          <w:fldChar w:fldCharType="end"/>
        </w:r>
      </w:hyperlink>
    </w:p>
    <w:p w14:paraId="32117A97" w14:textId="66B30C40"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77" w:history="1">
        <w:r w:rsidRPr="0081668B">
          <w:rPr>
            <w:rStyle w:val="Hyperlink"/>
          </w:rPr>
          <w:t>8.</w:t>
        </w:r>
        <w:r>
          <w:rPr>
            <w:rFonts w:asciiTheme="minorHAnsi" w:eastAsiaTheme="minorEastAsia" w:hAnsiTheme="minorHAnsi" w:cstheme="minorBidi"/>
            <w:b w:val="0"/>
            <w:color w:val="auto"/>
            <w:kern w:val="2"/>
            <w:sz w:val="24"/>
            <w:szCs w:val="24"/>
            <w14:ligatures w14:val="standardContextual"/>
          </w:rPr>
          <w:tab/>
        </w:r>
        <w:r w:rsidRPr="0081668B">
          <w:rPr>
            <w:rStyle w:val="Hyperlink"/>
          </w:rPr>
          <w:t>Has the regulation delivered a net benefit?</w:t>
        </w:r>
        <w:r>
          <w:rPr>
            <w:webHidden/>
          </w:rPr>
          <w:tab/>
        </w:r>
        <w:r>
          <w:rPr>
            <w:webHidden/>
          </w:rPr>
          <w:fldChar w:fldCharType="begin"/>
        </w:r>
        <w:r>
          <w:rPr>
            <w:webHidden/>
          </w:rPr>
          <w:instrText xml:space="preserve"> PAGEREF _Toc210039677 \h </w:instrText>
        </w:r>
        <w:r>
          <w:rPr>
            <w:webHidden/>
          </w:rPr>
        </w:r>
        <w:r>
          <w:rPr>
            <w:webHidden/>
          </w:rPr>
          <w:fldChar w:fldCharType="separate"/>
        </w:r>
        <w:r w:rsidR="00EA3CC1">
          <w:rPr>
            <w:webHidden/>
          </w:rPr>
          <w:t>35</w:t>
        </w:r>
        <w:r>
          <w:rPr>
            <w:webHidden/>
          </w:rPr>
          <w:fldChar w:fldCharType="end"/>
        </w:r>
      </w:hyperlink>
    </w:p>
    <w:p w14:paraId="6398B64A" w14:textId="10FFD3E8" w:rsidR="00C64457" w:rsidRDefault="00C64457">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210039678" w:history="1">
        <w:r w:rsidRPr="0081668B">
          <w:rPr>
            <w:rStyle w:val="Hyperlink"/>
          </w:rPr>
          <w:t>9.</w:t>
        </w:r>
        <w:r>
          <w:rPr>
            <w:rFonts w:asciiTheme="minorHAnsi" w:eastAsiaTheme="minorEastAsia" w:hAnsiTheme="minorHAnsi" w:cstheme="minorBidi"/>
            <w:b w:val="0"/>
            <w:color w:val="auto"/>
            <w:kern w:val="2"/>
            <w:sz w:val="24"/>
            <w:szCs w:val="24"/>
            <w14:ligatures w14:val="standardContextual"/>
          </w:rPr>
          <w:tab/>
        </w:r>
        <w:r w:rsidRPr="0081668B">
          <w:rPr>
            <w:rStyle w:val="Hyperlink"/>
          </w:rPr>
          <w:t>How was the policy implemented and evaluated?</w:t>
        </w:r>
        <w:r>
          <w:rPr>
            <w:webHidden/>
          </w:rPr>
          <w:tab/>
        </w:r>
        <w:r>
          <w:rPr>
            <w:webHidden/>
          </w:rPr>
          <w:fldChar w:fldCharType="begin"/>
        </w:r>
        <w:r>
          <w:rPr>
            <w:webHidden/>
          </w:rPr>
          <w:instrText xml:space="preserve"> PAGEREF _Toc210039678 \h </w:instrText>
        </w:r>
        <w:r>
          <w:rPr>
            <w:webHidden/>
          </w:rPr>
        </w:r>
        <w:r>
          <w:rPr>
            <w:webHidden/>
          </w:rPr>
          <w:fldChar w:fldCharType="separate"/>
        </w:r>
        <w:r w:rsidR="00EA3CC1">
          <w:rPr>
            <w:webHidden/>
          </w:rPr>
          <w:t>38</w:t>
        </w:r>
        <w:r>
          <w:rPr>
            <w:webHidden/>
          </w:rPr>
          <w:fldChar w:fldCharType="end"/>
        </w:r>
      </w:hyperlink>
    </w:p>
    <w:p w14:paraId="74962100" w14:textId="2AB8D588"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79" w:history="1">
        <w:r w:rsidRPr="0081668B">
          <w:rPr>
            <w:rStyle w:val="Hyperlink"/>
          </w:rPr>
          <w:t>9.1</w:t>
        </w:r>
        <w:r>
          <w:rPr>
            <w:rFonts w:asciiTheme="minorHAnsi" w:eastAsiaTheme="minorEastAsia" w:hAnsiTheme="minorHAnsi" w:cstheme="minorBidi"/>
            <w:color w:val="auto"/>
            <w:kern w:val="2"/>
            <w:sz w:val="24"/>
            <w:szCs w:val="24"/>
            <w14:ligatures w14:val="standardContextual"/>
          </w:rPr>
          <w:tab/>
        </w:r>
        <w:r w:rsidRPr="0081668B">
          <w:rPr>
            <w:rStyle w:val="Hyperlink"/>
          </w:rPr>
          <w:t>Implementation</w:t>
        </w:r>
        <w:r>
          <w:rPr>
            <w:webHidden/>
          </w:rPr>
          <w:tab/>
        </w:r>
        <w:r>
          <w:rPr>
            <w:webHidden/>
          </w:rPr>
          <w:fldChar w:fldCharType="begin"/>
        </w:r>
        <w:r>
          <w:rPr>
            <w:webHidden/>
          </w:rPr>
          <w:instrText xml:space="preserve"> PAGEREF _Toc210039679 \h </w:instrText>
        </w:r>
        <w:r>
          <w:rPr>
            <w:webHidden/>
          </w:rPr>
        </w:r>
        <w:r>
          <w:rPr>
            <w:webHidden/>
          </w:rPr>
          <w:fldChar w:fldCharType="separate"/>
        </w:r>
        <w:r w:rsidR="00EA3CC1">
          <w:rPr>
            <w:webHidden/>
          </w:rPr>
          <w:t>38</w:t>
        </w:r>
        <w:r>
          <w:rPr>
            <w:webHidden/>
          </w:rPr>
          <w:fldChar w:fldCharType="end"/>
        </w:r>
      </w:hyperlink>
    </w:p>
    <w:p w14:paraId="3E7D0153" w14:textId="4D14D38C" w:rsidR="00C64457" w:rsidRDefault="00C64457">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10039680" w:history="1">
        <w:r w:rsidRPr="0081668B">
          <w:rPr>
            <w:rStyle w:val="Hyperlink"/>
          </w:rPr>
          <w:t>9.2</w:t>
        </w:r>
        <w:r>
          <w:rPr>
            <w:rFonts w:asciiTheme="minorHAnsi" w:eastAsiaTheme="minorEastAsia" w:hAnsiTheme="minorHAnsi" w:cstheme="minorBidi"/>
            <w:color w:val="auto"/>
            <w:kern w:val="2"/>
            <w:sz w:val="24"/>
            <w:szCs w:val="24"/>
            <w14:ligatures w14:val="standardContextual"/>
          </w:rPr>
          <w:tab/>
        </w:r>
        <w:r w:rsidRPr="0081668B">
          <w:rPr>
            <w:rStyle w:val="Hyperlink"/>
          </w:rPr>
          <w:t>Evaluation</w:t>
        </w:r>
        <w:r>
          <w:rPr>
            <w:webHidden/>
          </w:rPr>
          <w:tab/>
        </w:r>
        <w:r>
          <w:rPr>
            <w:webHidden/>
          </w:rPr>
          <w:fldChar w:fldCharType="begin"/>
        </w:r>
        <w:r>
          <w:rPr>
            <w:webHidden/>
          </w:rPr>
          <w:instrText xml:space="preserve"> PAGEREF _Toc210039680 \h </w:instrText>
        </w:r>
        <w:r>
          <w:rPr>
            <w:webHidden/>
          </w:rPr>
        </w:r>
        <w:r>
          <w:rPr>
            <w:webHidden/>
          </w:rPr>
          <w:fldChar w:fldCharType="separate"/>
        </w:r>
        <w:r w:rsidR="00EA3CC1">
          <w:rPr>
            <w:webHidden/>
          </w:rPr>
          <w:t>38</w:t>
        </w:r>
        <w:r>
          <w:rPr>
            <w:webHidden/>
          </w:rPr>
          <w:fldChar w:fldCharType="end"/>
        </w:r>
      </w:hyperlink>
    </w:p>
    <w:p w14:paraId="38F267CA" w14:textId="77777777" w:rsidR="005B177F" w:rsidRDefault="00C64457" w:rsidP="005B177F">
      <w:pPr>
        <w:pStyle w:val="SingleParagraph"/>
        <w:ind w:right="-2"/>
        <w:rPr>
          <w:b/>
          <w:noProof/>
          <w:color w:val="004A7F"/>
          <w:szCs w:val="22"/>
        </w:rPr>
        <w:sectPr w:rsidR="005B177F" w:rsidSect="001B3817">
          <w:footerReference w:type="default" r:id="rId15"/>
          <w:pgSz w:w="11906" w:h="16838" w:code="9"/>
          <w:pgMar w:top="1843" w:right="1417" w:bottom="1417" w:left="1417" w:header="709" w:footer="709" w:gutter="0"/>
          <w:pgNumType w:fmt="lowerRoman"/>
          <w:cols w:space="708"/>
          <w:docGrid w:linePitch="360"/>
        </w:sectPr>
      </w:pPr>
      <w:r>
        <w:rPr>
          <w:b/>
          <w:noProof/>
          <w:color w:val="004A7F"/>
          <w:szCs w:val="22"/>
        </w:rPr>
        <w:fldChar w:fldCharType="end"/>
      </w:r>
      <w:bookmarkStart w:id="4" w:name="_Toc210039649"/>
      <w:bookmarkEnd w:id="2"/>
      <w:bookmarkEnd w:id="3"/>
    </w:p>
    <w:p w14:paraId="62EA7F44" w14:textId="756CAFEC" w:rsidR="00475085" w:rsidRPr="00F045E0" w:rsidRDefault="00765A6B" w:rsidP="005B177F">
      <w:pPr>
        <w:pStyle w:val="Heading1"/>
      </w:pPr>
      <w:r>
        <w:lastRenderedPageBreak/>
        <w:t>Introduction</w:t>
      </w:r>
      <w:bookmarkEnd w:id="4"/>
    </w:p>
    <w:p w14:paraId="3DB0CC09" w14:textId="3BED9DB1" w:rsidR="000D7B9E" w:rsidRDefault="000D7B9E" w:rsidP="00802926">
      <w:r>
        <w:t>Foreign investment is crucial to Australia</w:t>
      </w:r>
      <w:r w:rsidR="004260B1">
        <w:t>’</w:t>
      </w:r>
      <w:r>
        <w:t>s prosperity. It helps drive economic growth, creates skilled jobs, improves access to overseas markets and improves productivity, competition and innovation.</w:t>
      </w:r>
    </w:p>
    <w:p w14:paraId="4290387B" w14:textId="6F1C101C" w:rsidR="000D7B9E" w:rsidRDefault="003836BA" w:rsidP="00802926">
      <w:r>
        <w:t>However, o</w:t>
      </w:r>
      <w:r w:rsidR="000D7B9E">
        <w:t>ver recent years, the risks from foreign investment to Australia</w:t>
      </w:r>
      <w:r w:rsidR="004260B1">
        <w:t>’</w:t>
      </w:r>
      <w:r w:rsidR="000D7B9E">
        <w:t>s national interest, particularly national security, have increased due to a confluence of developments including rapid technological change and changes in the international security environment.</w:t>
      </w:r>
    </w:p>
    <w:p w14:paraId="34C0F445" w14:textId="5EB69BA0" w:rsidR="00AE48A0" w:rsidRDefault="007863C4" w:rsidP="00802926">
      <w:r>
        <w:t>Australia</w:t>
      </w:r>
      <w:r w:rsidR="004260B1">
        <w:t>’</w:t>
      </w:r>
      <w:r>
        <w:t>s foreign investment framework (the framework) allows the Government to review foreign investment proposals to ensure they are not contrary to the national interest.</w:t>
      </w:r>
    </w:p>
    <w:p w14:paraId="31D39DE7" w14:textId="7169F8E2" w:rsidR="000D7B9E" w:rsidRDefault="00A348ED" w:rsidP="00802926">
      <w:r w:rsidRPr="00A348ED">
        <w:t>On 5 June 2020, the Treasurer announced a major package of foreign investment reforms to address these risks and improve the overall operation of the framework.</w:t>
      </w:r>
      <w:r w:rsidR="00567A81">
        <w:t xml:space="preserve"> </w:t>
      </w:r>
      <w:r w:rsidR="00E277D2" w:rsidRPr="00E277D2">
        <w:t>On 9 December 2020, the Parliament passed legislation that gave effect to the most significant reforms</w:t>
      </w:r>
      <w:r w:rsidR="004F265F">
        <w:t xml:space="preserve"> </w:t>
      </w:r>
      <w:r w:rsidR="00723020">
        <w:t>to</w:t>
      </w:r>
      <w:r w:rsidR="00E277D2" w:rsidRPr="00E277D2">
        <w:t xml:space="preserve"> the framework since </w:t>
      </w:r>
      <w:r w:rsidR="001A274F">
        <w:t xml:space="preserve">its establishment in </w:t>
      </w:r>
      <w:r w:rsidR="00E277D2" w:rsidRPr="00E277D2">
        <w:t xml:space="preserve">1975. </w:t>
      </w:r>
      <w:r w:rsidR="000D7B9E">
        <w:t xml:space="preserve">On 1 January 2021, legislation came into force that introduced a package of reforms </w:t>
      </w:r>
      <w:r w:rsidR="00101DEE">
        <w:t xml:space="preserve">to enable the </w:t>
      </w:r>
      <w:r w:rsidR="009419D9">
        <w:t xml:space="preserve">Australian </w:t>
      </w:r>
      <w:r w:rsidR="00101DEE">
        <w:t>Government to better address emerging national security risks that arise from foreign owner</w:t>
      </w:r>
      <w:r w:rsidR="0014210C">
        <w:t xml:space="preserve">ship. </w:t>
      </w:r>
      <w:r w:rsidR="009D0D44">
        <w:t xml:space="preserve">There were also measures to reduce the regulatory burden for certain investments that do not pose national security risks and provide greater clarity on the scope and application of the </w:t>
      </w:r>
      <w:r w:rsidR="009D0D44" w:rsidRPr="00EF7499">
        <w:rPr>
          <w:i/>
          <w:iCs/>
        </w:rPr>
        <w:t>Foreign Acquisitions and Takeovers Act</w:t>
      </w:r>
      <w:r w:rsidR="00F44D06">
        <w:rPr>
          <w:i/>
          <w:iCs/>
        </w:rPr>
        <w:t>,</w:t>
      </w:r>
      <w:r w:rsidR="009D0D44" w:rsidRPr="00EF7499">
        <w:rPr>
          <w:i/>
          <w:iCs/>
        </w:rPr>
        <w:t xml:space="preserve"> 1975</w:t>
      </w:r>
      <w:r w:rsidR="009D0D44">
        <w:t xml:space="preserve"> (FATA)</w:t>
      </w:r>
      <w:r w:rsidR="00166980">
        <w:t>.</w:t>
      </w:r>
      <w:r w:rsidR="000D7B9E">
        <w:t xml:space="preserve"> </w:t>
      </w:r>
      <w:r w:rsidR="00BA5272">
        <w:t>The reforms included:</w:t>
      </w:r>
    </w:p>
    <w:p w14:paraId="4690A88F" w14:textId="030C1787" w:rsidR="00BA5272" w:rsidRDefault="00F12F8D" w:rsidP="00BA5272">
      <w:pPr>
        <w:pStyle w:val="Bullet"/>
      </w:pPr>
      <w:r>
        <w:t>n</w:t>
      </w:r>
      <w:r w:rsidR="00C1021B">
        <w:t>ew national security powers and actions</w:t>
      </w:r>
    </w:p>
    <w:p w14:paraId="5F871F18" w14:textId="5CE3E962" w:rsidR="00C1021B" w:rsidRDefault="00F12F8D" w:rsidP="00BA5272">
      <w:pPr>
        <w:pStyle w:val="Bullet"/>
      </w:pPr>
      <w:r>
        <w:t>e</w:t>
      </w:r>
      <w:r w:rsidR="00027673">
        <w:t xml:space="preserve">xpanded compliance, monitoring and enforcement </w:t>
      </w:r>
      <w:proofErr w:type="gramStart"/>
      <w:r w:rsidR="00027673">
        <w:t>capabilities</w:t>
      </w:r>
      <w:r w:rsidR="0042572A">
        <w:t>;</w:t>
      </w:r>
      <w:proofErr w:type="gramEnd"/>
    </w:p>
    <w:p w14:paraId="107C46A5" w14:textId="28436439" w:rsidR="00027673" w:rsidRDefault="000A20F3" w:rsidP="00BA5272">
      <w:pPr>
        <w:pStyle w:val="Bullet"/>
      </w:pPr>
      <w:r>
        <w:t>m</w:t>
      </w:r>
      <w:r w:rsidR="00CC5569">
        <w:t xml:space="preserve">easures to streamline the foreign investment process </w:t>
      </w:r>
      <w:r w:rsidR="00EF22B1">
        <w:t>for passive investors and non</w:t>
      </w:r>
      <w:r w:rsidR="004260B1">
        <w:noBreakHyphen/>
      </w:r>
      <w:r w:rsidR="00EF22B1">
        <w:t xml:space="preserve">sensitive </w:t>
      </w:r>
      <w:proofErr w:type="gramStart"/>
      <w:r w:rsidR="00EF22B1">
        <w:t>investments</w:t>
      </w:r>
      <w:r w:rsidR="0042572A">
        <w:t>;</w:t>
      </w:r>
      <w:proofErr w:type="gramEnd"/>
    </w:p>
    <w:p w14:paraId="15DFB707" w14:textId="3A6773D3" w:rsidR="008127FD" w:rsidRDefault="000A20F3" w:rsidP="00BA5272">
      <w:pPr>
        <w:pStyle w:val="Bullet"/>
      </w:pPr>
      <w:r>
        <w:t>f</w:t>
      </w:r>
      <w:r w:rsidR="00EF22B1">
        <w:t xml:space="preserve">airer and simpler application fee </w:t>
      </w:r>
      <w:proofErr w:type="gramStart"/>
      <w:r w:rsidR="00EF22B1">
        <w:t>arrangements</w:t>
      </w:r>
      <w:r w:rsidR="0042572A">
        <w:t>;</w:t>
      </w:r>
      <w:proofErr w:type="gramEnd"/>
    </w:p>
    <w:p w14:paraId="1EC2AB3E" w14:textId="44E0AACE" w:rsidR="00EF22B1" w:rsidRDefault="000A20F3" w:rsidP="00BA5272">
      <w:pPr>
        <w:pStyle w:val="Bullet"/>
      </w:pPr>
      <w:r>
        <w:t>m</w:t>
      </w:r>
      <w:r w:rsidR="008127FD">
        <w:t>odernising Australia</w:t>
      </w:r>
      <w:r w:rsidR="004260B1">
        <w:t>’</w:t>
      </w:r>
      <w:r w:rsidR="008127FD">
        <w:t xml:space="preserve">s foreign investment IT platform; </w:t>
      </w:r>
      <w:r w:rsidR="00EF22B1">
        <w:t>and</w:t>
      </w:r>
    </w:p>
    <w:p w14:paraId="19C1CFBB" w14:textId="5C7B7F32" w:rsidR="00EF22B1" w:rsidRDefault="67BD3D94" w:rsidP="00EF7499">
      <w:pPr>
        <w:pStyle w:val="Bullet"/>
      </w:pPr>
      <w:r>
        <w:t>the</w:t>
      </w:r>
      <w:r w:rsidR="00EF22B1">
        <w:t xml:space="preserve"> </w:t>
      </w:r>
      <w:r w:rsidR="00066423">
        <w:t xml:space="preserve">creation of a </w:t>
      </w:r>
      <w:r w:rsidR="00EF22B1">
        <w:t>Register of Foreign Ownership of Australian Assets.</w:t>
      </w:r>
    </w:p>
    <w:p w14:paraId="39E6376D" w14:textId="7DE7BB62" w:rsidR="0071363E" w:rsidRPr="00EF7499" w:rsidRDefault="0071363E" w:rsidP="00802926">
      <w:r w:rsidRPr="00EF7499">
        <w:t xml:space="preserve">The </w:t>
      </w:r>
      <w:r w:rsidR="008A2E53">
        <w:t xml:space="preserve">2021 </w:t>
      </w:r>
      <w:r w:rsidRPr="00EF7499">
        <w:t>reforms</w:t>
      </w:r>
      <w:r w:rsidR="008A2E53">
        <w:t xml:space="preserve"> aimed</w:t>
      </w:r>
      <w:r w:rsidRPr="00EF7499">
        <w:t xml:space="preserve"> </w:t>
      </w:r>
      <w:r w:rsidR="00DA2A94">
        <w:t xml:space="preserve">to </w:t>
      </w:r>
      <w:r w:rsidRPr="00EF7499">
        <w:t>ensure the framework continue</w:t>
      </w:r>
      <w:r w:rsidR="008A2E53">
        <w:t xml:space="preserve">d </w:t>
      </w:r>
      <w:r w:rsidRPr="00EF7499">
        <w:t xml:space="preserve">to balance: </w:t>
      </w:r>
    </w:p>
    <w:p w14:paraId="058AE88A" w14:textId="29CDE1CF" w:rsidR="0071363E" w:rsidRPr="00EF7499" w:rsidRDefault="0071363E" w:rsidP="00EF7499">
      <w:pPr>
        <w:pStyle w:val="Bullet"/>
      </w:pPr>
      <w:r w:rsidRPr="00EF7499">
        <w:t>maintaining Australia as an attractive place for foreign investment with a</w:t>
      </w:r>
      <w:r w:rsidR="00CF4E61">
        <w:t xml:space="preserve"> regulatory</w:t>
      </w:r>
      <w:r w:rsidRPr="00EF7499">
        <w:t xml:space="preserve"> framework that promotes business certainty and delivers timely </w:t>
      </w:r>
      <w:proofErr w:type="gramStart"/>
      <w:r w:rsidRPr="00EF7499">
        <w:t>decisions</w:t>
      </w:r>
      <w:r w:rsidR="0042572A">
        <w:t>;</w:t>
      </w:r>
      <w:proofErr w:type="gramEnd"/>
      <w:r w:rsidRPr="00EF7499">
        <w:t xml:space="preserve"> </w:t>
      </w:r>
    </w:p>
    <w:p w14:paraId="3D07978D" w14:textId="13EB671E" w:rsidR="0071363E" w:rsidRPr="00EF7499" w:rsidRDefault="0071363E" w:rsidP="00EF7499">
      <w:pPr>
        <w:pStyle w:val="Bullet"/>
      </w:pPr>
      <w:r w:rsidRPr="00EF7499">
        <w:t>maintaining public confidence in the integrity of the framework, including compliance</w:t>
      </w:r>
      <w:r w:rsidR="0042572A">
        <w:t>; and</w:t>
      </w:r>
      <w:r w:rsidRPr="00EF7499">
        <w:t xml:space="preserve"> </w:t>
      </w:r>
    </w:p>
    <w:p w14:paraId="2B742DD7" w14:textId="3CE18BCF" w:rsidR="0071363E" w:rsidRPr="0071363E" w:rsidRDefault="0071363E" w:rsidP="00EF7499">
      <w:pPr>
        <w:pStyle w:val="Bullet"/>
      </w:pPr>
      <w:r>
        <w:t>protecting Australia</w:t>
      </w:r>
      <w:r w:rsidR="004260B1">
        <w:t>’</w:t>
      </w:r>
      <w:r>
        <w:t>s national interest including national security</w:t>
      </w:r>
      <w:r w:rsidR="4B117A75">
        <w:t>.</w:t>
      </w:r>
    </w:p>
    <w:p w14:paraId="1E5D6AE1" w14:textId="3B95F571" w:rsidR="000D7B9E" w:rsidRDefault="000D7B9E" w:rsidP="00802926">
      <w:r>
        <w:t xml:space="preserve">The reforms were enacted through the </w:t>
      </w:r>
      <w:r w:rsidRPr="006D426F">
        <w:t>Foreign Investment Reform (Protecting Australia</w:t>
      </w:r>
      <w:r w:rsidR="004260B1">
        <w:t>’</w:t>
      </w:r>
      <w:r w:rsidRPr="006D426F">
        <w:t>s National Security) Act 2020</w:t>
      </w:r>
      <w:r>
        <w:t xml:space="preserve"> and the </w:t>
      </w:r>
      <w:r w:rsidRPr="006D426F">
        <w:t>Foreign Acquisitions and Takeovers Fees Imposition Amendment Act 2020</w:t>
      </w:r>
      <w:r>
        <w:t xml:space="preserve">, along with supporting regulations: the </w:t>
      </w:r>
      <w:r w:rsidRPr="006D426F">
        <w:t>Foreign Investment Reform (Protecting Australia</w:t>
      </w:r>
      <w:r w:rsidR="004260B1">
        <w:t>’</w:t>
      </w:r>
      <w:r w:rsidRPr="006D426F">
        <w:t>s National Security) Regulations 2020</w:t>
      </w:r>
      <w:r>
        <w:t xml:space="preserve"> and the </w:t>
      </w:r>
      <w:r w:rsidRPr="006D426F">
        <w:t>Foreign Acquisitions and Takeovers Fees Imposition Regulations</w:t>
      </w:r>
      <w:r w:rsidR="004260B1">
        <w:t> </w:t>
      </w:r>
      <w:r w:rsidRPr="006D426F">
        <w:t>2020</w:t>
      </w:r>
      <w:r w:rsidR="007E0699">
        <w:t>)</w:t>
      </w:r>
      <w:r>
        <w:t xml:space="preserve">. </w:t>
      </w:r>
    </w:p>
    <w:p w14:paraId="21AE3BA8" w14:textId="77777777" w:rsidR="005B177F" w:rsidRDefault="007B2E28" w:rsidP="00802926">
      <w:pPr>
        <w:sectPr w:rsidR="005B177F" w:rsidSect="00D4150C">
          <w:footerReference w:type="default" r:id="rId16"/>
          <w:pgSz w:w="11906" w:h="16838" w:code="9"/>
          <w:pgMar w:top="1843" w:right="1417" w:bottom="1417" w:left="1417" w:header="709" w:footer="709" w:gutter="0"/>
          <w:pgNumType w:start="1"/>
          <w:cols w:space="708"/>
          <w:docGrid w:linePitch="360"/>
        </w:sectPr>
      </w:pPr>
      <w:r>
        <w:t xml:space="preserve">A </w:t>
      </w:r>
      <w:r w:rsidR="000D7B9E">
        <w:t>post</w:t>
      </w:r>
      <w:r w:rsidR="004260B1">
        <w:noBreakHyphen/>
      </w:r>
      <w:r w:rsidR="000D7B9E">
        <w:t>implementation review</w:t>
      </w:r>
      <w:r w:rsidR="006D1751">
        <w:t xml:space="preserve"> (PIR)</w:t>
      </w:r>
      <w:r w:rsidR="000D7B9E">
        <w:t xml:space="preserve"> of the 202</w:t>
      </w:r>
      <w:r>
        <w:t>1</w:t>
      </w:r>
      <w:r w:rsidR="000D7B9E">
        <w:t xml:space="preserve"> reforms is required to be undertaken in accordance with the </w:t>
      </w:r>
      <w:r w:rsidR="00CF4E61">
        <w:t>Australian G</w:t>
      </w:r>
      <w:r w:rsidR="000D7B9E">
        <w:t>overnment</w:t>
      </w:r>
      <w:r w:rsidR="004260B1">
        <w:t>’</w:t>
      </w:r>
      <w:r w:rsidR="000D7B9E">
        <w:t>s regulatory impact analysis requirements</w:t>
      </w:r>
      <w:r>
        <w:t xml:space="preserve"> due to the scope and the substantial impact of the reforms</w:t>
      </w:r>
      <w:bookmarkStart w:id="5" w:name="_Toc196389563"/>
    </w:p>
    <w:p w14:paraId="3110B105" w14:textId="24F903F3" w:rsidR="00891626" w:rsidRDefault="00891626" w:rsidP="004B42C7">
      <w:pPr>
        <w:pStyle w:val="Heading1Numbered"/>
      </w:pPr>
      <w:bookmarkStart w:id="6" w:name="_Toc210039650"/>
      <w:r>
        <w:t>Background</w:t>
      </w:r>
      <w:bookmarkEnd w:id="5"/>
      <w:bookmarkEnd w:id="6"/>
    </w:p>
    <w:p w14:paraId="6863CE3A" w14:textId="00195520" w:rsidR="00891626" w:rsidRDefault="00891626" w:rsidP="00802926">
      <w:r>
        <w:t>The 202</w:t>
      </w:r>
      <w:r w:rsidR="00FD760F">
        <w:t>1</w:t>
      </w:r>
      <w:r>
        <w:t xml:space="preserve"> reforms introduced the following powers and changes. </w:t>
      </w:r>
    </w:p>
    <w:p w14:paraId="57EB76DD" w14:textId="077AEDF5" w:rsidR="00891626" w:rsidRDefault="004F0A31" w:rsidP="00802926">
      <w:pPr>
        <w:pStyle w:val="Heading2Numbered"/>
      </w:pPr>
      <w:bookmarkStart w:id="7" w:name="_Toc210039651"/>
      <w:r>
        <w:t>Protecting Australia</w:t>
      </w:r>
      <w:r w:rsidR="004260B1">
        <w:t>’</w:t>
      </w:r>
      <w:r>
        <w:t>s national security</w:t>
      </w:r>
      <w:bookmarkEnd w:id="7"/>
    </w:p>
    <w:p w14:paraId="07283C7E" w14:textId="0E45113B" w:rsidR="0093786D" w:rsidRDefault="0093786D" w:rsidP="00802926">
      <w:r>
        <w:t xml:space="preserve">The national security </w:t>
      </w:r>
      <w:r w:rsidR="000D34B6">
        <w:t xml:space="preserve">aspect of the </w:t>
      </w:r>
      <w:r>
        <w:t>reform</w:t>
      </w:r>
      <w:r w:rsidR="002F56AC">
        <w:t>s</w:t>
      </w:r>
      <w:r>
        <w:t xml:space="preserve"> </w:t>
      </w:r>
      <w:r w:rsidR="002B6439">
        <w:t>introduced:</w:t>
      </w:r>
    </w:p>
    <w:p w14:paraId="5AFF83B7" w14:textId="5DA3C490" w:rsidR="0071055D" w:rsidRDefault="00891626" w:rsidP="00377E65">
      <w:pPr>
        <w:pStyle w:val="Bullet"/>
      </w:pPr>
      <w:r>
        <w:t xml:space="preserve">two new types of </w:t>
      </w:r>
      <w:r w:rsidR="00CF4E61">
        <w:t xml:space="preserve">foreign investment </w:t>
      </w:r>
      <w:r>
        <w:t>actions – notifiable national security actions (NNSAs) and reviewable national security actions (RNSAs)</w:t>
      </w:r>
    </w:p>
    <w:p w14:paraId="359DDAC8" w14:textId="0C80C50D" w:rsidR="00891626" w:rsidRDefault="00891626" w:rsidP="00377E65">
      <w:pPr>
        <w:pStyle w:val="Bullet"/>
      </w:pPr>
      <w:r>
        <w:t xml:space="preserve">new definitions such as </w:t>
      </w:r>
      <w:r w:rsidR="004260B1">
        <w:t>‘</w:t>
      </w:r>
      <w:r>
        <w:t>national security business</w:t>
      </w:r>
      <w:r w:rsidR="004260B1">
        <w:t>’</w:t>
      </w:r>
      <w:r>
        <w:t xml:space="preserve"> and </w:t>
      </w:r>
      <w:r w:rsidR="004260B1">
        <w:t>‘</w:t>
      </w:r>
      <w:r>
        <w:t>national security land</w:t>
      </w:r>
      <w:r w:rsidR="004260B1">
        <w:t>’</w:t>
      </w:r>
      <w:r>
        <w:t xml:space="preserve">. </w:t>
      </w:r>
    </w:p>
    <w:p w14:paraId="74D55FAF" w14:textId="122FEA31" w:rsidR="00AA2ACA" w:rsidRPr="00AA2ACA" w:rsidRDefault="00EB6E9D" w:rsidP="00802926">
      <w:r>
        <w:t xml:space="preserve">The reforms </w:t>
      </w:r>
      <w:r w:rsidR="009A2D75">
        <w:t>also introduced t</w:t>
      </w:r>
      <w:r w:rsidR="00891626">
        <w:t xml:space="preserve">he ability for the Treasurer to </w:t>
      </w:r>
      <w:r w:rsidR="004260B1">
        <w:t>‘</w:t>
      </w:r>
      <w:r w:rsidR="00891626">
        <w:t>call in</w:t>
      </w:r>
      <w:r w:rsidR="004260B1">
        <w:t>’</w:t>
      </w:r>
      <w:r w:rsidR="00891626">
        <w:t xml:space="preserve"> foreign investments that are not otherwise captured by the framework but raise national security concerns</w:t>
      </w:r>
      <w:r>
        <w:t>,</w:t>
      </w:r>
      <w:r w:rsidR="00EE6E1D">
        <w:t xml:space="preserve"> and a</w:t>
      </w:r>
      <w:r w:rsidR="00891626">
        <w:t xml:space="preserve"> </w:t>
      </w:r>
      <w:r w:rsidR="004260B1">
        <w:t>‘</w:t>
      </w:r>
      <w:r w:rsidR="00891626">
        <w:t>last resort</w:t>
      </w:r>
      <w:r w:rsidR="004260B1">
        <w:t>’</w:t>
      </w:r>
      <w:r w:rsidR="00891626">
        <w:t xml:space="preserve"> power to be used in exceptional circumstances to vary conditions or force divestment. </w:t>
      </w:r>
    </w:p>
    <w:p w14:paraId="0DECCA4A" w14:textId="77777777" w:rsidR="006D44AF" w:rsidRDefault="006D44AF" w:rsidP="00802926">
      <w:pPr>
        <w:pStyle w:val="Heading2Numbered"/>
      </w:pPr>
      <w:bookmarkStart w:id="8" w:name="_Toc210039652"/>
      <w:r>
        <w:t>Improving the integrity of the foreign investment review framework</w:t>
      </w:r>
      <w:bookmarkEnd w:id="8"/>
      <w:r>
        <w:t xml:space="preserve"> </w:t>
      </w:r>
    </w:p>
    <w:p w14:paraId="5AC02F8F" w14:textId="7B720BA5" w:rsidR="00F9503A" w:rsidRDefault="00A86B51" w:rsidP="00802926">
      <w:r>
        <w:t xml:space="preserve">The reforms </w:t>
      </w:r>
      <w:r w:rsidR="00C4103F">
        <w:t>introduced key changes to improve the integrity of the framework</w:t>
      </w:r>
      <w:r w:rsidR="007B4A6D">
        <w:t xml:space="preserve"> by</w:t>
      </w:r>
      <w:r w:rsidR="00F9503A">
        <w:t>:</w:t>
      </w:r>
      <w:r w:rsidR="00C4103F">
        <w:t xml:space="preserve"> </w:t>
      </w:r>
    </w:p>
    <w:p w14:paraId="51DCB24E" w14:textId="32607A49" w:rsidR="00F9503A" w:rsidRDefault="00973531" w:rsidP="00F9503A">
      <w:pPr>
        <w:pStyle w:val="Bullet"/>
      </w:pPr>
      <w:r>
        <w:t>consider</w:t>
      </w:r>
      <w:r w:rsidR="00F9503A">
        <w:t>ing</w:t>
      </w:r>
      <w:r>
        <w:t xml:space="preserve"> s</w:t>
      </w:r>
      <w:r w:rsidR="00C4103F">
        <w:t xml:space="preserve">ome </w:t>
      </w:r>
      <w:r w:rsidR="00AC2B80">
        <w:t xml:space="preserve">actions </w:t>
      </w:r>
      <w:r>
        <w:t xml:space="preserve">as </w:t>
      </w:r>
      <w:r w:rsidR="00AC2B80">
        <w:t xml:space="preserve">significant actions without requiring the </w:t>
      </w:r>
      <w:r w:rsidR="006D44AF">
        <w:t>change in control test to be met where the foreign person already has control</w:t>
      </w:r>
    </w:p>
    <w:p w14:paraId="2CEF736E" w14:textId="41C20531" w:rsidR="00F9503A" w:rsidRDefault="00F9503A" w:rsidP="00F9503A">
      <w:pPr>
        <w:pStyle w:val="Bullet"/>
      </w:pPr>
      <w:r>
        <w:t>expanding t</w:t>
      </w:r>
      <w:r w:rsidR="00095C40">
        <w:t xml:space="preserve">racing rules to unincorporated limited </w:t>
      </w:r>
      <w:r w:rsidR="00363AA6">
        <w:t>partnerships</w:t>
      </w:r>
    </w:p>
    <w:p w14:paraId="4C43B241" w14:textId="6E5A30B5" w:rsidR="00F9503A" w:rsidRDefault="00F9503A" w:rsidP="00F9503A">
      <w:pPr>
        <w:pStyle w:val="Bullet"/>
      </w:pPr>
      <w:r>
        <w:t>providing</w:t>
      </w:r>
      <w:r w:rsidR="005C65C9">
        <w:t xml:space="preserve"> the Treasurer </w:t>
      </w:r>
      <w:r>
        <w:t xml:space="preserve">with the </w:t>
      </w:r>
      <w:r w:rsidR="005C65C9">
        <w:t>ability to extend or further extend the decision period</w:t>
      </w:r>
      <w:r w:rsidR="00802880">
        <w:t xml:space="preserve"> for applications</w:t>
      </w:r>
      <w:r w:rsidR="005C65C9">
        <w:t xml:space="preserve"> by up to 90 days</w:t>
      </w:r>
    </w:p>
    <w:p w14:paraId="7E6A5514" w14:textId="3EF7BD39" w:rsidR="007B4A6D" w:rsidRDefault="00F9503A" w:rsidP="004576D4">
      <w:pPr>
        <w:pStyle w:val="Bullet"/>
      </w:pPr>
      <w:r>
        <w:t>providing</w:t>
      </w:r>
      <w:r w:rsidR="0003642D">
        <w:t xml:space="preserve"> </w:t>
      </w:r>
      <w:r w:rsidR="005C65C9">
        <w:t xml:space="preserve">the </w:t>
      </w:r>
      <w:r w:rsidR="00083226">
        <w:t>Treasurer</w:t>
      </w:r>
      <w:r>
        <w:t xml:space="preserve"> with the</w:t>
      </w:r>
      <w:r w:rsidR="00083226">
        <w:t xml:space="preserve"> </w:t>
      </w:r>
      <w:r w:rsidR="005C65C9">
        <w:t xml:space="preserve">ability to </w:t>
      </w:r>
      <w:r w:rsidR="006D44AF">
        <w:t>make</w:t>
      </w:r>
      <w:r w:rsidR="00577C10">
        <w:t xml:space="preserve"> a new</w:t>
      </w:r>
      <w:r w:rsidR="006D44AF">
        <w:t xml:space="preserve"> order </w:t>
      </w:r>
      <w:r w:rsidR="00944CBF">
        <w:t xml:space="preserve">or decision </w:t>
      </w:r>
      <w:r w:rsidR="006D44AF">
        <w:t>prohibiting</w:t>
      </w:r>
      <w:r w:rsidR="00213513">
        <w:t xml:space="preserve"> an action</w:t>
      </w:r>
      <w:r w:rsidR="006D44AF">
        <w:t xml:space="preserve"> </w:t>
      </w:r>
      <w:r w:rsidR="00CB32B4">
        <w:t xml:space="preserve">if a court finds that an earlier order or decision </w:t>
      </w:r>
      <w:r w:rsidR="00C04B50">
        <w:t>was</w:t>
      </w:r>
      <w:r w:rsidR="004576D4">
        <w:t xml:space="preserve"> </w:t>
      </w:r>
      <w:r w:rsidR="00616D8A">
        <w:t>invalid,</w:t>
      </w:r>
      <w:r w:rsidR="004576D4">
        <w:t xml:space="preserve"> </w:t>
      </w:r>
      <w:r w:rsidR="006D44AF">
        <w:t xml:space="preserve">and the </w:t>
      </w:r>
      <w:r w:rsidR="00655125">
        <w:t xml:space="preserve">original </w:t>
      </w:r>
      <w:r w:rsidR="006D44AF">
        <w:t xml:space="preserve">decision period has expired </w:t>
      </w:r>
    </w:p>
    <w:p w14:paraId="3BBD12D2" w14:textId="3559168E" w:rsidR="00265956" w:rsidRDefault="000D34B6" w:rsidP="00C343E5">
      <w:pPr>
        <w:pStyle w:val="Bullet"/>
      </w:pPr>
      <w:r>
        <w:t>allow</w:t>
      </w:r>
      <w:r w:rsidR="007B4A6D">
        <w:t>ing</w:t>
      </w:r>
      <w:r>
        <w:t xml:space="preserve"> for greater information</w:t>
      </w:r>
      <w:r w:rsidR="00270D25">
        <w:t xml:space="preserve"> </w:t>
      </w:r>
      <w:r w:rsidR="006D44AF">
        <w:t xml:space="preserve">sharing domestically and internationally with foreign counterparts. </w:t>
      </w:r>
    </w:p>
    <w:p w14:paraId="35C327E5" w14:textId="77777777" w:rsidR="00265956" w:rsidRDefault="00265956">
      <w:pPr>
        <w:spacing w:before="0" w:after="160" w:line="259" w:lineRule="auto"/>
      </w:pPr>
      <w:r>
        <w:br w:type="page"/>
      </w:r>
    </w:p>
    <w:p w14:paraId="5E653014" w14:textId="105C0FD1" w:rsidR="00891626" w:rsidRDefault="004F0A31" w:rsidP="003429E5">
      <w:pPr>
        <w:pStyle w:val="Heading2Numbered"/>
      </w:pPr>
      <w:bookmarkStart w:id="9" w:name="_Toc210039653"/>
      <w:r>
        <w:t>Stronger compliance and enforcement powers</w:t>
      </w:r>
      <w:bookmarkEnd w:id="9"/>
      <w:r w:rsidR="00891626">
        <w:t xml:space="preserve"> </w:t>
      </w:r>
    </w:p>
    <w:p w14:paraId="5DE34226" w14:textId="5537FDDE" w:rsidR="00EF651F" w:rsidRPr="0041733B" w:rsidRDefault="00E44D66" w:rsidP="00802926">
      <w:r>
        <w:t xml:space="preserve">The reforms introduced stronger and more flexible compliance and </w:t>
      </w:r>
      <w:r w:rsidR="00F27D96">
        <w:t>enforcement powers to enhance the Treasury</w:t>
      </w:r>
      <w:r w:rsidR="004260B1">
        <w:t>’</w:t>
      </w:r>
      <w:r w:rsidR="00DC219F">
        <w:t>s</w:t>
      </w:r>
      <w:r w:rsidR="00F27D96">
        <w:t xml:space="preserve"> and the A</w:t>
      </w:r>
      <w:r w:rsidR="0010033D">
        <w:t>ustralian Taxation Office</w:t>
      </w:r>
      <w:r w:rsidR="004260B1">
        <w:t>’</w:t>
      </w:r>
      <w:r w:rsidR="007D3E39">
        <w:t>s</w:t>
      </w:r>
      <w:r w:rsidR="0010033D">
        <w:t xml:space="preserve"> (ATO) ability to monitor, investigate and pursue breaches of Australia</w:t>
      </w:r>
      <w:r w:rsidR="004260B1">
        <w:t>’</w:t>
      </w:r>
      <w:r w:rsidR="0010033D">
        <w:t xml:space="preserve">s </w:t>
      </w:r>
      <w:r w:rsidR="000A3E59">
        <w:t xml:space="preserve">foreign investment laws. </w:t>
      </w:r>
      <w:r w:rsidR="00D22610">
        <w:t>This include</w:t>
      </w:r>
      <w:r w:rsidR="002F56AC">
        <w:t>d</w:t>
      </w:r>
      <w:r w:rsidR="00D22610">
        <w:t xml:space="preserve">: </w:t>
      </w:r>
    </w:p>
    <w:p w14:paraId="6AF25CA9" w14:textId="5392B258" w:rsidR="00891626" w:rsidRDefault="000F1C17" w:rsidP="00802926">
      <w:pPr>
        <w:pStyle w:val="Bullet"/>
      </w:pPr>
      <w:r>
        <w:t>e</w:t>
      </w:r>
      <w:r w:rsidR="00891626">
        <w:t>xpanding the infringement notices regime to cover all types of foreign investments and introducing a third tier to allow for a more graduated approach to enforcement</w:t>
      </w:r>
    </w:p>
    <w:p w14:paraId="6ED9A0B9" w14:textId="557350BC" w:rsidR="00891626" w:rsidRDefault="000F1C17" w:rsidP="00802926">
      <w:pPr>
        <w:pStyle w:val="Bullet"/>
      </w:pPr>
      <w:r>
        <w:t>i</w:t>
      </w:r>
      <w:r w:rsidR="00891626">
        <w:t xml:space="preserve">ncreasing civil and criminal penalties to ensure penalties act as an effective deterrent </w:t>
      </w:r>
    </w:p>
    <w:p w14:paraId="2DF7D79D" w14:textId="605F6737" w:rsidR="00891626" w:rsidRDefault="00BB425C" w:rsidP="00802926">
      <w:pPr>
        <w:pStyle w:val="Bullet"/>
      </w:pPr>
      <w:r>
        <w:t>providing t</w:t>
      </w:r>
      <w:r w:rsidR="0025256A">
        <w:t>he ability</w:t>
      </w:r>
      <w:r w:rsidR="00891626">
        <w:t xml:space="preserve"> to revoke a no objection notification or exemption certificate where a foreign person has given false or misleading information </w:t>
      </w:r>
    </w:p>
    <w:p w14:paraId="181765FF" w14:textId="7999109B" w:rsidR="00891626" w:rsidRDefault="00BB425C" w:rsidP="00802926">
      <w:pPr>
        <w:pStyle w:val="Bullet"/>
      </w:pPr>
      <w:r>
        <w:t>r</w:t>
      </w:r>
      <w:r w:rsidR="00891626">
        <w:t xml:space="preserve">equiring foreign persons who have been issued a no objection notification or an exemption certificate to notify the Government of certain events </w:t>
      </w:r>
    </w:p>
    <w:p w14:paraId="54B0B7CF" w14:textId="415F7AC4" w:rsidR="00891626" w:rsidRDefault="00BB425C" w:rsidP="00802926">
      <w:pPr>
        <w:pStyle w:val="Bullet"/>
      </w:pPr>
      <w:r>
        <w:t>introducing n</w:t>
      </w:r>
      <w:r w:rsidR="00891626">
        <w:t>ew powers to give directions to investors to prevent or address suspected breaches of conditions or of foreign investment laws</w:t>
      </w:r>
    </w:p>
    <w:p w14:paraId="1A8867AE" w14:textId="5A3B092A" w:rsidR="00891626" w:rsidRDefault="00BB425C" w:rsidP="00802926">
      <w:pPr>
        <w:pStyle w:val="Bullet"/>
      </w:pPr>
      <w:r>
        <w:t>p</w:t>
      </w:r>
      <w:r w:rsidR="00891626">
        <w:t xml:space="preserve">roviding standard monitoring and investigative powers (in line with other regulators) </w:t>
      </w:r>
    </w:p>
    <w:p w14:paraId="7DFE2BC4" w14:textId="3B83A56C" w:rsidR="00891626" w:rsidRDefault="00BB425C" w:rsidP="00802926">
      <w:pPr>
        <w:pStyle w:val="Bullet"/>
      </w:pPr>
      <w:r>
        <w:t>providing the a</w:t>
      </w:r>
      <w:r w:rsidR="005C5CF4">
        <w:t>bility</w:t>
      </w:r>
      <w:r w:rsidR="00891626">
        <w:t xml:space="preserve"> to accept enforceable undertakings from foreign persons. </w:t>
      </w:r>
    </w:p>
    <w:p w14:paraId="1DAE6D9A" w14:textId="5C1FC6AD" w:rsidR="00891626" w:rsidRDefault="00891626" w:rsidP="003429E5">
      <w:pPr>
        <w:pStyle w:val="Heading2Numbered"/>
      </w:pPr>
      <w:bookmarkStart w:id="10" w:name="_Toc210039654"/>
      <w:r>
        <w:t>Streamlin</w:t>
      </w:r>
      <w:r w:rsidR="004E4948">
        <w:t xml:space="preserve">ing </w:t>
      </w:r>
      <w:proofErr w:type="gramStart"/>
      <w:r w:rsidR="004E4948">
        <w:t>less</w:t>
      </w:r>
      <w:proofErr w:type="gramEnd"/>
      <w:r w:rsidR="004E4948">
        <w:t xml:space="preserve"> sensitive investments</w:t>
      </w:r>
      <w:bookmarkEnd w:id="10"/>
    </w:p>
    <w:p w14:paraId="6785EA4F" w14:textId="14C6591F" w:rsidR="00BB425C" w:rsidRDefault="002B1518" w:rsidP="00802926">
      <w:r>
        <w:t>The reform</w:t>
      </w:r>
      <w:r w:rsidR="003F4592">
        <w:t>s</w:t>
      </w:r>
      <w:r>
        <w:t xml:space="preserve"> introduced </w:t>
      </w:r>
      <w:r w:rsidR="005919DA">
        <w:t xml:space="preserve">measures to streamline less sensitive investments </w:t>
      </w:r>
      <w:r w:rsidR="00AF7F5A">
        <w:t>such as</w:t>
      </w:r>
      <w:r w:rsidR="00BB425C">
        <w:t>:</w:t>
      </w:r>
    </w:p>
    <w:p w14:paraId="0CA40231" w14:textId="67BC4888" w:rsidR="00BB425C" w:rsidRDefault="00083226" w:rsidP="00802926">
      <w:pPr>
        <w:pStyle w:val="Bullet"/>
      </w:pPr>
      <w:r>
        <w:t xml:space="preserve">no longer </w:t>
      </w:r>
      <w:r w:rsidR="00AF7F5A">
        <w:t xml:space="preserve">requiring </w:t>
      </w:r>
      <w:r w:rsidR="003F4592">
        <w:t>a</w:t>
      </w:r>
      <w:r w:rsidR="00891626">
        <w:t>pproval</w:t>
      </w:r>
      <w:r w:rsidR="00012645">
        <w:t>s</w:t>
      </w:r>
      <w:r w:rsidR="00891626">
        <w:t xml:space="preserve"> for private foreign investors for acquisitions of exploration tenements or certain revenue streams from mining and production tenements that do not provide rights, control or influence</w:t>
      </w:r>
      <w:r w:rsidR="003F4592">
        <w:t xml:space="preserve"> </w:t>
      </w:r>
    </w:p>
    <w:p w14:paraId="7188AAFA" w14:textId="0ECC327B" w:rsidR="00891626" w:rsidRDefault="00BB425C" w:rsidP="00802926">
      <w:pPr>
        <w:pStyle w:val="Bullet"/>
      </w:pPr>
      <w:r>
        <w:t xml:space="preserve">treating </w:t>
      </w:r>
      <w:r w:rsidR="001F239B">
        <w:t>c</w:t>
      </w:r>
      <w:r w:rsidR="00891626">
        <w:t>ertain investment funds as private foreign investors rather than foreign government investors</w:t>
      </w:r>
      <w:r w:rsidR="003F4592">
        <w:t xml:space="preserve"> and</w:t>
      </w:r>
      <w:r w:rsidR="00891626">
        <w:t xml:space="preserve"> </w:t>
      </w:r>
      <w:r w:rsidR="00C33A50">
        <w:t>introduc</w:t>
      </w:r>
      <w:r>
        <w:t>ing</w:t>
      </w:r>
      <w:r w:rsidR="00C33A50">
        <w:t xml:space="preserve"> </w:t>
      </w:r>
      <w:r w:rsidR="00891626">
        <w:t xml:space="preserve">the concept of a passive foreign government investor exemption certificate. </w:t>
      </w:r>
    </w:p>
    <w:p w14:paraId="23142A57" w14:textId="0E45395E" w:rsidR="00891626" w:rsidRDefault="00891626" w:rsidP="00802926">
      <w:pPr>
        <w:pStyle w:val="Heading2Numbered"/>
      </w:pPr>
      <w:bookmarkStart w:id="11" w:name="_Toc210039655"/>
      <w:r>
        <w:t>Register of Foreign Owned Australian Assets (</w:t>
      </w:r>
      <w:r w:rsidR="00881007">
        <w:t xml:space="preserve">the </w:t>
      </w:r>
      <w:r w:rsidR="0000607B">
        <w:tab/>
      </w:r>
      <w:r w:rsidR="00881007">
        <w:t>Register</w:t>
      </w:r>
      <w:r>
        <w:t>)</w:t>
      </w:r>
      <w:bookmarkEnd w:id="11"/>
    </w:p>
    <w:p w14:paraId="65D9E267" w14:textId="66426E66" w:rsidR="00BB425C" w:rsidRDefault="00891626" w:rsidP="00802926">
      <w:r>
        <w:t xml:space="preserve">The reforms created the </w:t>
      </w:r>
      <w:r w:rsidR="00F875CA">
        <w:t>Register</w:t>
      </w:r>
      <w:r w:rsidR="00BB425C">
        <w:t>,</w:t>
      </w:r>
      <w:r w:rsidR="00F875CA">
        <w:t xml:space="preserve"> </w:t>
      </w:r>
      <w:r>
        <w:t xml:space="preserve">which incorporated the Register of Foreign Ownership of </w:t>
      </w:r>
      <w:r w:rsidR="00EF156B" w:rsidRPr="00EF156B">
        <w:t>Residential Land</w:t>
      </w:r>
      <w:r w:rsidR="00EF156B">
        <w:t xml:space="preserve">, </w:t>
      </w:r>
      <w:r>
        <w:t>Register of Foreign Ownership of Water Entitlements and Register of Foreign Ownership of Agricultural Land</w:t>
      </w:r>
      <w:r w:rsidR="00C33A50">
        <w:t xml:space="preserve">. </w:t>
      </w:r>
    </w:p>
    <w:p w14:paraId="42754E90" w14:textId="224D96ED" w:rsidR="002F54B1" w:rsidRDefault="002448EB" w:rsidP="00802926">
      <w:r>
        <w:t>It also created a</w:t>
      </w:r>
      <w:r w:rsidR="00891626">
        <w:t>dditional obligation</w:t>
      </w:r>
      <w:r w:rsidR="002F54B1">
        <w:t>s</w:t>
      </w:r>
      <w:r w:rsidR="00BB425C">
        <w:t xml:space="preserve"> to</w:t>
      </w:r>
      <w:r w:rsidR="002F54B1">
        <w:t>:</w:t>
      </w:r>
    </w:p>
    <w:p w14:paraId="70D9A0AA" w14:textId="79946E08" w:rsidR="002F54B1" w:rsidRDefault="00891626" w:rsidP="00802926">
      <w:pPr>
        <w:pStyle w:val="Bullet"/>
      </w:pPr>
      <w:r>
        <w:t xml:space="preserve">notify the Registrar of a broader range of interests </w:t>
      </w:r>
      <w:r w:rsidR="00333F62" w:rsidRPr="00333F62">
        <w:t>including business interests, commercial land and mining or production tenements and exploration tenements</w:t>
      </w:r>
    </w:p>
    <w:p w14:paraId="57A90646" w14:textId="19C6F886" w:rsidR="00891626" w:rsidRDefault="00333F62" w:rsidP="00802926">
      <w:pPr>
        <w:pStyle w:val="Bullet"/>
      </w:pPr>
      <w:r w:rsidRPr="00333F62">
        <w:t>register certain events such as disposal of an asset, changes in foreign person status or the nature of an interest in an asset.</w:t>
      </w:r>
    </w:p>
    <w:p w14:paraId="0F857A8B" w14:textId="2B4C39C0" w:rsidR="004F0A31" w:rsidRDefault="004F0A31" w:rsidP="00802926">
      <w:pPr>
        <w:pStyle w:val="Heading2Numbered"/>
      </w:pPr>
      <w:bookmarkStart w:id="12" w:name="_Toc210039656"/>
      <w:r>
        <w:t xml:space="preserve">A fairer and simpler framework for </w:t>
      </w:r>
      <w:r w:rsidR="00107B51">
        <w:t>fo</w:t>
      </w:r>
      <w:r>
        <w:t xml:space="preserve">reign investment </w:t>
      </w:r>
      <w:r w:rsidR="00A45927">
        <w:tab/>
      </w:r>
      <w:r>
        <w:t>fees</w:t>
      </w:r>
      <w:bookmarkEnd w:id="12"/>
    </w:p>
    <w:p w14:paraId="28328636" w14:textId="37081B47" w:rsidR="00426AF9" w:rsidRPr="00426AF9" w:rsidRDefault="00360DB7" w:rsidP="00802926">
      <w:r>
        <w:t xml:space="preserve">The reforms established </w:t>
      </w:r>
      <w:r w:rsidR="004F0A31">
        <w:t>authority for regulations to charge existing and new fees (as well as the types of fees that could be prescribed)</w:t>
      </w:r>
      <w:r w:rsidR="00524321">
        <w:t xml:space="preserve"> </w:t>
      </w:r>
      <w:r w:rsidR="00AB6015">
        <w:t>for new actions (NNSAs and RNSAs)</w:t>
      </w:r>
      <w:r w:rsidR="008D3F44">
        <w:t xml:space="preserve"> and </w:t>
      </w:r>
      <w:r w:rsidR="00426AF9">
        <w:t xml:space="preserve">fees for retrospective </w:t>
      </w:r>
      <w:r w:rsidR="00426AF9" w:rsidRPr="00CE6B45">
        <w:t>action</w:t>
      </w:r>
      <w:r w:rsidR="008D3F44" w:rsidRPr="00CE6B45">
        <w:t>s</w:t>
      </w:r>
      <w:r w:rsidR="008D3F44" w:rsidRPr="00106495">
        <w:t xml:space="preserve">. </w:t>
      </w:r>
      <w:r w:rsidR="00010E07" w:rsidRPr="00106495">
        <w:t xml:space="preserve">The reforms also established </w:t>
      </w:r>
      <w:r w:rsidR="003F5D45" w:rsidRPr="00106495">
        <w:t xml:space="preserve">a </w:t>
      </w:r>
      <w:r w:rsidR="00426AF9" w:rsidRPr="00106495">
        <w:t>maximum cap</w:t>
      </w:r>
      <w:r w:rsidR="00B06888" w:rsidRPr="00106495">
        <w:t xml:space="preserve"> on fees payable for</w:t>
      </w:r>
      <w:r w:rsidR="00880CF1" w:rsidRPr="00106495">
        <w:t xml:space="preserve"> foreign investment applications</w:t>
      </w:r>
      <w:r w:rsidR="004260B1">
        <w:t xml:space="preserve">. </w:t>
      </w:r>
      <w:r w:rsidR="00394227">
        <w:t xml:space="preserve"> </w:t>
      </w:r>
    </w:p>
    <w:p w14:paraId="6F8DF90A" w14:textId="1CBD88EE" w:rsidR="00891626" w:rsidRDefault="000963B5" w:rsidP="003429E5">
      <w:pPr>
        <w:pStyle w:val="Heading2Numbered"/>
      </w:pPr>
      <w:bookmarkStart w:id="13" w:name="_Toc210039657"/>
      <w:r>
        <w:t>Modernising Australia</w:t>
      </w:r>
      <w:r w:rsidR="004260B1">
        <w:t>’</w:t>
      </w:r>
      <w:r>
        <w:t>s foreign investment ICT platform</w:t>
      </w:r>
      <w:r w:rsidR="0058645C">
        <w:t xml:space="preserve"> </w:t>
      </w:r>
      <w:r w:rsidR="00A45927">
        <w:tab/>
      </w:r>
      <w:r w:rsidR="0058645C">
        <w:t xml:space="preserve">for better case management, compliance enforcement </w:t>
      </w:r>
      <w:r w:rsidR="00A45927">
        <w:tab/>
      </w:r>
      <w:r w:rsidR="0058645C">
        <w:t>and data use</w:t>
      </w:r>
      <w:bookmarkEnd w:id="13"/>
    </w:p>
    <w:p w14:paraId="190B559D" w14:textId="7AC99733" w:rsidR="00891626" w:rsidRDefault="00891626" w:rsidP="00802926">
      <w:r>
        <w:t>The reforms were supported by additional funding for the Treasury to upgrade its foreign investment case management system and uplift its capability as the regulator of foreign investment in Australia.</w:t>
      </w:r>
    </w:p>
    <w:p w14:paraId="50CF087F" w14:textId="77777777" w:rsidR="00C15717" w:rsidRDefault="004C21EE" w:rsidP="00802926">
      <w:r w:rsidRPr="004C21EE">
        <w:t xml:space="preserve">Funding was </w:t>
      </w:r>
      <w:r w:rsidR="00BB425C">
        <w:t xml:space="preserve">also </w:t>
      </w:r>
      <w:r w:rsidRPr="004C21EE">
        <w:t xml:space="preserve">provided to the ATO for the development of an online services portal for foreign investors to submit residential property applications and maintain asset registrations </w:t>
      </w:r>
      <w:r w:rsidR="00FE4D56">
        <w:t>i</w:t>
      </w:r>
      <w:r w:rsidRPr="004C21EE">
        <w:t>n the Register</w:t>
      </w:r>
    </w:p>
    <w:p w14:paraId="6C64831D" w14:textId="0A3FE8B4" w:rsidR="00C15717" w:rsidRDefault="004C21EE" w:rsidP="00802926">
      <w:pPr>
        <w:sectPr w:rsidR="00C15717" w:rsidSect="005B177F">
          <w:footerReference w:type="default" r:id="rId17"/>
          <w:pgSz w:w="11906" w:h="16838" w:code="9"/>
          <w:pgMar w:top="1843" w:right="1417" w:bottom="1417" w:left="1417" w:header="709" w:footer="709" w:gutter="0"/>
          <w:cols w:space="708"/>
          <w:docGrid w:linePitch="360"/>
        </w:sectPr>
      </w:pPr>
      <w:r w:rsidRPr="004C21EE">
        <w:t>.</w:t>
      </w:r>
    </w:p>
    <w:p w14:paraId="5B3A8BD4" w14:textId="1B1851F6" w:rsidR="00760560" w:rsidRDefault="00183E75" w:rsidP="004B42C7">
      <w:pPr>
        <w:pStyle w:val="Heading1Numbered"/>
      </w:pPr>
      <w:bookmarkStart w:id="14" w:name="_Toc210039658"/>
      <w:r>
        <w:t>What problem was the policy meant to solve?</w:t>
      </w:r>
      <w:bookmarkEnd w:id="14"/>
      <w:r w:rsidR="00C555AC">
        <w:t xml:space="preserve"> </w:t>
      </w:r>
    </w:p>
    <w:p w14:paraId="325991F0" w14:textId="74DFC5DA" w:rsidR="0031368C" w:rsidRDefault="006A53C4" w:rsidP="00802926">
      <w:r w:rsidRPr="006C0920">
        <w:t>Foreign investment is vital to Australia</w:t>
      </w:r>
      <w:r w:rsidR="004260B1">
        <w:t>’</w:t>
      </w:r>
      <w:r w:rsidRPr="006C0920">
        <w:t>s economic growth and prosperity. By supplementing domestic savings, foreign investment facilitates a greater level of investment in the economy than would otherwise be sustainable.</w:t>
      </w:r>
      <w:r w:rsidR="00066423">
        <w:t xml:space="preserve"> Foreign investment also supports competition, innovation and dynamism.</w:t>
      </w:r>
      <w:r w:rsidRPr="006C0920">
        <w:t xml:space="preserve"> </w:t>
      </w:r>
      <w:r w:rsidR="0036403C">
        <w:t xml:space="preserve">The foreign </w:t>
      </w:r>
      <w:r w:rsidR="00472E28">
        <w:t xml:space="preserve">investment framework is </w:t>
      </w:r>
      <w:r w:rsidR="00E95495">
        <w:t>fundamental</w:t>
      </w:r>
      <w:r w:rsidR="00472E28">
        <w:t xml:space="preserve"> in </w:t>
      </w:r>
      <w:r w:rsidR="008F6900">
        <w:t xml:space="preserve">maintaining </w:t>
      </w:r>
      <w:r w:rsidR="009E2F77">
        <w:t>Australia</w:t>
      </w:r>
      <w:r w:rsidR="004260B1">
        <w:t>’</w:t>
      </w:r>
      <w:r w:rsidR="009E2F77">
        <w:t>s attractiveness</w:t>
      </w:r>
      <w:r w:rsidR="008F6900">
        <w:t xml:space="preserve"> as a</w:t>
      </w:r>
      <w:r w:rsidR="009E2F77">
        <w:t xml:space="preserve">n investment destination. However, the framework </w:t>
      </w:r>
      <w:r w:rsidR="00263464">
        <w:t>need</w:t>
      </w:r>
      <w:r w:rsidR="00323A8A">
        <w:t>s</w:t>
      </w:r>
      <w:r w:rsidR="00263464">
        <w:t xml:space="preserve"> to evolve to </w:t>
      </w:r>
      <w:r w:rsidR="00E36E27">
        <w:t>changes in the operating context</w:t>
      </w:r>
      <w:r w:rsidR="00323A8A">
        <w:t xml:space="preserve"> over time</w:t>
      </w:r>
      <w:r w:rsidR="00E36E27">
        <w:t xml:space="preserve">. </w:t>
      </w:r>
    </w:p>
    <w:p w14:paraId="6F43F49B" w14:textId="3E773022" w:rsidR="00C11375" w:rsidRDefault="00323A8A" w:rsidP="00802926">
      <w:r>
        <w:t>T</w:t>
      </w:r>
      <w:r w:rsidR="009947D3">
        <w:t>he</w:t>
      </w:r>
      <w:r w:rsidR="00F37D61">
        <w:t xml:space="preserve"> key changes and problems identified</w:t>
      </w:r>
      <w:r w:rsidR="00222033">
        <w:t xml:space="preserve"> at the time</w:t>
      </w:r>
      <w:r w:rsidR="006A7EF9">
        <w:t>,</w:t>
      </w:r>
      <w:r w:rsidR="00222033">
        <w:t xml:space="preserve"> which informed the development of the 2021 reforms</w:t>
      </w:r>
      <w:r w:rsidR="006A7EF9">
        <w:t>,</w:t>
      </w:r>
      <w:r>
        <w:t xml:space="preserve"> are outlined below</w:t>
      </w:r>
      <w:r w:rsidR="00222033">
        <w:t xml:space="preserve">. Further </w:t>
      </w:r>
      <w:r w:rsidR="00467C9E">
        <w:t>details of these problem</w:t>
      </w:r>
      <w:r w:rsidR="00435279">
        <w:t>s</w:t>
      </w:r>
      <w:r w:rsidR="00467C9E">
        <w:t xml:space="preserve"> can be found in the </w:t>
      </w:r>
      <w:r w:rsidR="00435279">
        <w:t>Regulation Impact Statements (RIS)</w:t>
      </w:r>
      <w:r w:rsidR="00435279" w:rsidRPr="003D4D60">
        <w:rPr>
          <w:rStyle w:val="FootnoteReference"/>
          <w:vertAlign w:val="superscript"/>
        </w:rPr>
        <w:footnoteReference w:id="2"/>
      </w:r>
      <w:r w:rsidR="00435279" w:rsidRPr="00EB12B7">
        <w:t xml:space="preserve"> </w:t>
      </w:r>
      <w:r w:rsidR="00435279">
        <w:t>prepared and certified by the Department of the Treasury (Treasury)</w:t>
      </w:r>
      <w:r w:rsidR="001F174F">
        <w:t>.</w:t>
      </w:r>
      <w:r w:rsidR="007E166F" w:rsidRPr="003D4D60">
        <w:rPr>
          <w:rStyle w:val="FootnoteReference"/>
          <w:vertAlign w:val="superscript"/>
        </w:rPr>
        <w:footnoteReference w:id="3"/>
      </w:r>
      <w:r w:rsidR="00435279" w:rsidRPr="003D4D60">
        <w:rPr>
          <w:vertAlign w:val="superscript"/>
        </w:rPr>
        <w:t xml:space="preserve"> </w:t>
      </w:r>
    </w:p>
    <w:p w14:paraId="5F132910" w14:textId="34FB8998" w:rsidR="00E07899" w:rsidRPr="000C33A7" w:rsidRDefault="00B5517E" w:rsidP="00E07899">
      <w:pPr>
        <w:pStyle w:val="ListParagraph"/>
        <w:numPr>
          <w:ilvl w:val="0"/>
          <w:numId w:val="51"/>
        </w:numPr>
        <w:rPr>
          <w:b/>
        </w:rPr>
      </w:pPr>
      <w:r>
        <w:rPr>
          <w:b/>
        </w:rPr>
        <w:t>I</w:t>
      </w:r>
      <w:r w:rsidR="00E07899" w:rsidRPr="000C33A7">
        <w:rPr>
          <w:b/>
        </w:rPr>
        <w:t>nsufficiently equipped</w:t>
      </w:r>
      <w:r w:rsidR="00793A25" w:rsidRPr="000C33A7">
        <w:rPr>
          <w:b/>
        </w:rPr>
        <w:t xml:space="preserve"> </w:t>
      </w:r>
      <w:r>
        <w:rPr>
          <w:b/>
        </w:rPr>
        <w:t xml:space="preserve">framework to </w:t>
      </w:r>
      <w:r w:rsidR="00E07899" w:rsidRPr="000C33A7">
        <w:rPr>
          <w:b/>
        </w:rPr>
        <w:t xml:space="preserve">manage increasing risk of foreign investment </w:t>
      </w:r>
      <w:r w:rsidR="00793A25" w:rsidRPr="000C33A7">
        <w:rPr>
          <w:b/>
        </w:rPr>
        <w:t xml:space="preserve">to </w:t>
      </w:r>
      <w:r w:rsidR="00E07899" w:rsidRPr="000C33A7">
        <w:rPr>
          <w:b/>
        </w:rPr>
        <w:t>Australia</w:t>
      </w:r>
      <w:r w:rsidR="004260B1">
        <w:rPr>
          <w:b/>
        </w:rPr>
        <w:t>’</w:t>
      </w:r>
      <w:r w:rsidR="00E07899" w:rsidRPr="000C33A7">
        <w:rPr>
          <w:b/>
        </w:rPr>
        <w:t>s national interest.</w:t>
      </w:r>
    </w:p>
    <w:p w14:paraId="7D1B28B2" w14:textId="4348591E" w:rsidR="00E07899" w:rsidRDefault="0016663E" w:rsidP="00C5191C">
      <w:r>
        <w:t>T</w:t>
      </w:r>
      <w:r w:rsidR="00B41000">
        <w:t>here was an increasing</w:t>
      </w:r>
      <w:r w:rsidR="00E07899">
        <w:t xml:space="preserve"> risk </w:t>
      </w:r>
      <w:r w:rsidR="00762776">
        <w:t xml:space="preserve">from </w:t>
      </w:r>
      <w:r w:rsidR="00E07899">
        <w:t xml:space="preserve">foreign investment </w:t>
      </w:r>
      <w:r w:rsidR="00762776">
        <w:t xml:space="preserve">to </w:t>
      </w:r>
      <w:r w:rsidR="00E07899">
        <w:t>Australia</w:t>
      </w:r>
      <w:r w:rsidR="004260B1">
        <w:t>’</w:t>
      </w:r>
      <w:r w:rsidR="00E07899">
        <w:t>s national interest, particularly in relation to national security, including:</w:t>
      </w:r>
    </w:p>
    <w:p w14:paraId="15F5255C" w14:textId="37C16C27" w:rsidR="00E07899" w:rsidRDefault="00E07899" w:rsidP="00C5191C">
      <w:pPr>
        <w:pStyle w:val="Bullet"/>
      </w:pPr>
      <w:r>
        <w:t>technological developments and digitalisation that turned personal data and companies that possess such data into sensitive assets that may be subject to misuse or malicious manipulation</w:t>
      </w:r>
    </w:p>
    <w:p w14:paraId="78A6F516" w14:textId="125EE338" w:rsidR="00E07899" w:rsidRDefault="00E07899" w:rsidP="00C5191C">
      <w:pPr>
        <w:pStyle w:val="Bullet"/>
      </w:pPr>
      <w:r>
        <w:t xml:space="preserve">a shift in global economic weights (i.e. the rising share of global economic activity from developing economies, relative to the established economies of Europe and North America) that has created new dependencies, interests and threats </w:t>
      </w:r>
    </w:p>
    <w:p w14:paraId="381555D0" w14:textId="5D3FA705" w:rsidR="00E07899" w:rsidRDefault="00E07899" w:rsidP="00C5191C">
      <w:pPr>
        <w:pStyle w:val="Bullet"/>
      </w:pPr>
      <w:r>
        <w:t xml:space="preserve">heightened sensitivity over the control of assets that constitute critical infrastructure </w:t>
      </w:r>
    </w:p>
    <w:p w14:paraId="2589DA1D" w14:textId="41B380A0" w:rsidR="00E07899" w:rsidRDefault="00E07899" w:rsidP="00C5191C">
      <w:pPr>
        <w:pStyle w:val="Bullet"/>
      </w:pPr>
      <w:r>
        <w:t>new and more widely shared concerns, in addition to espionage and sabotage, about diversity of suppliers and access to advanced technology, today and in the future</w:t>
      </w:r>
      <w:r w:rsidR="004260B1">
        <w:t xml:space="preserve">. </w:t>
      </w:r>
    </w:p>
    <w:p w14:paraId="3481644D" w14:textId="52AC8671" w:rsidR="00E07899" w:rsidRDefault="001C737B" w:rsidP="00C5191C">
      <w:r>
        <w:t xml:space="preserve">Prior to the reforms, </w:t>
      </w:r>
      <w:r w:rsidR="00E07899">
        <w:t>Australia</w:t>
      </w:r>
      <w:r w:rsidR="004260B1">
        <w:t>’</w:t>
      </w:r>
      <w:r w:rsidR="00E07899">
        <w:t xml:space="preserve">s foreign investment framework was insufficiently equipped to capture and manage many of the risks that foreign ownership can pose. Most notably, the framework had a </w:t>
      </w:r>
      <w:r w:rsidR="004260B1">
        <w:t>‘</w:t>
      </w:r>
      <w:r w:rsidR="00E07899">
        <w:t>screening gap</w:t>
      </w:r>
      <w:r w:rsidR="004260B1">
        <w:t>’</w:t>
      </w:r>
      <w:r w:rsidR="00E07899">
        <w:t>, whereby low</w:t>
      </w:r>
      <w:r w:rsidR="004260B1">
        <w:noBreakHyphen/>
      </w:r>
      <w:r w:rsidR="00E07899">
        <w:t xml:space="preserve">value </w:t>
      </w:r>
      <w:r w:rsidR="002D32E4">
        <w:t>non</w:t>
      </w:r>
      <w:r w:rsidR="004260B1">
        <w:noBreakHyphen/>
      </w:r>
      <w:r w:rsidR="002D32E4">
        <w:t xml:space="preserve">residential </w:t>
      </w:r>
      <w:r w:rsidR="00E07899">
        <w:t xml:space="preserve">private foreign investments could proceed into Australia without any </w:t>
      </w:r>
      <w:r w:rsidR="004409C8">
        <w:t>g</w:t>
      </w:r>
      <w:r w:rsidR="00E07899">
        <w:t xml:space="preserve">overnment oversight, even where they may pose significant national security risks. </w:t>
      </w:r>
      <w:r w:rsidR="000C2951">
        <w:t xml:space="preserve">The reforms were also considered </w:t>
      </w:r>
      <w:r w:rsidR="005665EA">
        <w:t>alongside other legislation</w:t>
      </w:r>
      <w:r w:rsidR="008674A6">
        <w:t xml:space="preserve"> outside the foreign investment framework</w:t>
      </w:r>
      <w:r w:rsidR="005665EA">
        <w:t xml:space="preserve"> </w:t>
      </w:r>
      <w:r w:rsidR="00B01B2E">
        <w:t>aimed at improving Australia</w:t>
      </w:r>
      <w:r w:rsidR="004260B1">
        <w:t>’</w:t>
      </w:r>
      <w:r w:rsidR="00B01B2E">
        <w:t xml:space="preserve">s regulatory ecosystem </w:t>
      </w:r>
      <w:r w:rsidR="008674A6">
        <w:t>regarding</w:t>
      </w:r>
      <w:r w:rsidR="00B01B2E">
        <w:t xml:space="preserve"> national security</w:t>
      </w:r>
      <w:r w:rsidR="008674A6">
        <w:t>,</w:t>
      </w:r>
      <w:r w:rsidR="00B01B2E">
        <w:t xml:space="preserve"> including countering foreign interference and </w:t>
      </w:r>
      <w:r w:rsidR="00747672">
        <w:t xml:space="preserve">ensuring the </w:t>
      </w:r>
      <w:r w:rsidR="00D84C8B">
        <w:t>security of critical infrastructure assets.</w:t>
      </w:r>
    </w:p>
    <w:p w14:paraId="62F1A8AD" w14:textId="24B4A7C0" w:rsidR="00E07899" w:rsidRPr="006C0920" w:rsidRDefault="00E07899" w:rsidP="00C5191C">
      <w:r>
        <w:t>Prior to the reforms</w:t>
      </w:r>
      <w:r w:rsidRPr="006C0920">
        <w:t xml:space="preserve">, foreign persons </w:t>
      </w:r>
      <w:r>
        <w:t>were</w:t>
      </w:r>
      <w:r w:rsidRPr="006C0920">
        <w:t xml:space="preserve"> only required to seek government approval for </w:t>
      </w:r>
      <w:r w:rsidR="002D32E4">
        <w:t>n</w:t>
      </w:r>
      <w:r w:rsidR="00235A0C">
        <w:t>o</w:t>
      </w:r>
      <w:r w:rsidR="002D32E4">
        <w:t>n</w:t>
      </w:r>
      <w:r w:rsidR="004260B1">
        <w:noBreakHyphen/>
      </w:r>
      <w:r w:rsidR="002D32E4">
        <w:t xml:space="preserve">residential </w:t>
      </w:r>
      <w:r w:rsidRPr="006C0920">
        <w:t>investments above certain monetary and percentage thresholds dependent on the target sector and country of investor. While foreign government investors face</w:t>
      </w:r>
      <w:r w:rsidR="00C609D0">
        <w:t>d</w:t>
      </w:r>
      <w:r w:rsidRPr="006C0920">
        <w:t xml:space="preserve"> a </w:t>
      </w:r>
      <w:r w:rsidR="000F0AA8" w:rsidRPr="006C0920">
        <w:t>zero</w:t>
      </w:r>
      <w:r w:rsidR="004260B1">
        <w:noBreakHyphen/>
      </w:r>
      <w:r w:rsidR="000F0AA8" w:rsidRPr="006C0920">
        <w:t>dollar</w:t>
      </w:r>
      <w:r w:rsidRPr="006C0920">
        <w:t xml:space="preserve"> threshold, for most private investors this threshold </w:t>
      </w:r>
      <w:r>
        <w:t>was</w:t>
      </w:r>
      <w:r w:rsidRPr="006C0920">
        <w:t xml:space="preserve"> $275 million (or up to</w:t>
      </w:r>
      <w:r>
        <w:t> </w:t>
      </w:r>
      <w:r w:rsidRPr="006C0920">
        <w:t>$1,192 million for investors from certain Free Trade Agreement countries). The presence of such thresholds mean</w:t>
      </w:r>
      <w:r w:rsidR="00235A0C">
        <w:t>t</w:t>
      </w:r>
      <w:r w:rsidRPr="006C0920">
        <w:t xml:space="preserve"> that low</w:t>
      </w:r>
      <w:r w:rsidR="004260B1">
        <w:noBreakHyphen/>
      </w:r>
      <w:r w:rsidRPr="006C0920">
        <w:t>value investments</w:t>
      </w:r>
      <w:r w:rsidR="00235A0C">
        <w:t xml:space="preserve"> </w:t>
      </w:r>
      <w:r w:rsidR="0016486C">
        <w:t>could</w:t>
      </w:r>
      <w:r w:rsidR="0016486C" w:rsidRPr="006C0920">
        <w:t xml:space="preserve"> </w:t>
      </w:r>
      <w:r w:rsidRPr="006C0920">
        <w:t>occur without screening</w:t>
      </w:r>
      <w:r w:rsidR="00235A0C">
        <w:t xml:space="preserve"> even into Australia</w:t>
      </w:r>
      <w:r w:rsidR="004260B1">
        <w:t>’</w:t>
      </w:r>
      <w:r w:rsidR="00235A0C">
        <w:t>s most sensitive sectors</w:t>
      </w:r>
      <w:r w:rsidRPr="006C0920">
        <w:t xml:space="preserve">. These sectors </w:t>
      </w:r>
      <w:r w:rsidR="00FD29A6">
        <w:t>were</w:t>
      </w:r>
      <w:r w:rsidRPr="006C0920">
        <w:t xml:space="preserve"> particularly vulnerable as their specialised expertise often mean</w:t>
      </w:r>
      <w:r w:rsidR="00235A0C">
        <w:t>t</w:t>
      </w:r>
      <w:r w:rsidRPr="006C0920">
        <w:t xml:space="preserve"> they </w:t>
      </w:r>
      <w:r w:rsidR="00562F49">
        <w:t>were</w:t>
      </w:r>
      <w:r w:rsidRPr="006C0920">
        <w:t xml:space="preserve"> comprised of </w:t>
      </w:r>
      <w:proofErr w:type="gramStart"/>
      <w:r w:rsidRPr="006C0920">
        <w:t>a large number of</w:t>
      </w:r>
      <w:proofErr w:type="gramEnd"/>
      <w:r w:rsidRPr="006C0920">
        <w:t xml:space="preserve"> new and/or smaller firms, with valuations frequently well below </w:t>
      </w:r>
      <w:r w:rsidR="0016486C">
        <w:t xml:space="preserve">the </w:t>
      </w:r>
      <w:r w:rsidRPr="006C0920">
        <w:t>screening thresholds</w:t>
      </w:r>
      <w:r w:rsidR="0016486C">
        <w:t xml:space="preserve"> that existed at the time</w:t>
      </w:r>
      <w:r w:rsidRPr="006C0920">
        <w:t xml:space="preserve">. </w:t>
      </w:r>
    </w:p>
    <w:p w14:paraId="4DA452E2" w14:textId="7273661C" w:rsidR="00A561C0" w:rsidRPr="0031368C" w:rsidRDefault="00E07899" w:rsidP="00C5191C">
      <w:r w:rsidRPr="006C0920">
        <w:t xml:space="preserve">Having the capability to screen these acquisitions </w:t>
      </w:r>
      <w:r>
        <w:t>aimed to</w:t>
      </w:r>
      <w:r w:rsidRPr="006C0920">
        <w:t xml:space="preserve"> ensure that the Government has a greater ability to identify and address national security risks that may arise, including risks to critical Defence and intelligence capabilities, supply chains, and data.</w:t>
      </w:r>
    </w:p>
    <w:p w14:paraId="67DD1007" w14:textId="73F26F29" w:rsidR="00C46159" w:rsidRPr="00F44D06" w:rsidRDefault="00097567">
      <w:pPr>
        <w:pStyle w:val="ListParagraph"/>
        <w:numPr>
          <w:ilvl w:val="0"/>
          <w:numId w:val="51"/>
        </w:numPr>
        <w:rPr>
          <w:b/>
        </w:rPr>
      </w:pPr>
      <w:r>
        <w:rPr>
          <w:b/>
        </w:rPr>
        <w:t>Limi</w:t>
      </w:r>
      <w:r w:rsidR="00874E45">
        <w:rPr>
          <w:b/>
        </w:rPr>
        <w:t xml:space="preserve">tations </w:t>
      </w:r>
      <w:r w:rsidR="0027772B">
        <w:rPr>
          <w:b/>
        </w:rPr>
        <w:t xml:space="preserve">which created </w:t>
      </w:r>
      <w:r w:rsidRPr="001C1AFC">
        <w:rPr>
          <w:b/>
        </w:rPr>
        <w:t>investor uncertainty and administrative challenges.</w:t>
      </w:r>
    </w:p>
    <w:p w14:paraId="42B909C7" w14:textId="26135B85" w:rsidR="00E07899" w:rsidRPr="00F34608" w:rsidRDefault="00455E65" w:rsidP="00C5191C">
      <w:r w:rsidRPr="00455E65">
        <w:t xml:space="preserve">Prior to the reforms, there were limitations </w:t>
      </w:r>
      <w:r w:rsidR="00E76CC1">
        <w:t>o</w:t>
      </w:r>
      <w:r w:rsidRPr="00455E65">
        <w:t>n the Government</w:t>
      </w:r>
      <w:r w:rsidR="004260B1">
        <w:t>’</w:t>
      </w:r>
      <w:r w:rsidRPr="00455E65">
        <w:t>s ability to effectively address national interest and security risks, particularly where limited partnerships are used as a vehicle for investment in critical infrastructure and other sensitive sectors. For example, the effects of certain capital reductions (such as a company undertaking a strategy of share buybacks) presented a potential gap in the Government</w:t>
      </w:r>
      <w:r w:rsidR="004260B1">
        <w:t>’</w:t>
      </w:r>
      <w:r w:rsidRPr="00455E65">
        <w:t xml:space="preserve">s ability to address national interest risks with respect to previously approved foreign investors increasing their percentage. Another example was the inconsistent application of the tracing rules. </w:t>
      </w:r>
      <w:r w:rsidR="00F32819">
        <w:t>T</w:t>
      </w:r>
      <w:r w:rsidRPr="00455E65">
        <w:t xml:space="preserve">racing provisions </w:t>
      </w:r>
      <w:r w:rsidR="00F32819">
        <w:t xml:space="preserve">had </w:t>
      </w:r>
      <w:r w:rsidRPr="00455E65">
        <w:t xml:space="preserve">only applied to interests in trusts and companies and could not be applied to unincorporated limited partnerships. Feedback from stakeholders </w:t>
      </w:r>
      <w:r w:rsidR="009971DB">
        <w:t xml:space="preserve">had </w:t>
      </w:r>
      <w:r w:rsidRPr="00455E65">
        <w:t xml:space="preserve">consistently called for </w:t>
      </w:r>
      <w:r w:rsidR="009971DB">
        <w:t xml:space="preserve">these </w:t>
      </w:r>
      <w:r w:rsidRPr="00455E65">
        <w:t xml:space="preserve">issues to be clarified to give investors greater confidence in the framework. </w:t>
      </w:r>
    </w:p>
    <w:p w14:paraId="4FB8FED8" w14:textId="2E455593" w:rsidR="00E07899" w:rsidRPr="006759F4" w:rsidRDefault="00E07899" w:rsidP="00A850E8">
      <w:pPr>
        <w:pStyle w:val="ListParagraph"/>
        <w:numPr>
          <w:ilvl w:val="0"/>
          <w:numId w:val="51"/>
        </w:numPr>
        <w:rPr>
          <w:b/>
        </w:rPr>
      </w:pPr>
      <w:r w:rsidRPr="006759F4">
        <w:rPr>
          <w:b/>
        </w:rPr>
        <w:t xml:space="preserve">Limited compliance monitoring and enforcement tools. </w:t>
      </w:r>
    </w:p>
    <w:p w14:paraId="47F7C6D8" w14:textId="63D13BF5" w:rsidR="00495199" w:rsidRDefault="00E07899" w:rsidP="00C5191C">
      <w:r>
        <w:t>Prior to the reforms, the Government</w:t>
      </w:r>
      <w:r w:rsidR="004260B1">
        <w:t>’</w:t>
      </w:r>
      <w:r>
        <w:t>s compliance monitoring and enforcement tools were limited, and did not act as an effective deterrent to non</w:t>
      </w:r>
      <w:r w:rsidR="004260B1">
        <w:noBreakHyphen/>
      </w:r>
      <w:r>
        <w:t>compliance. For example, penalty amounts</w:t>
      </w:r>
      <w:r w:rsidR="00455DA9">
        <w:t xml:space="preserve"> at the time</w:t>
      </w:r>
      <w:r>
        <w:t xml:space="preserve"> were low, and the Government lacked sufficient monitoring and investigative powers to be able to draw reliable compliance conclusions in some situations. The Government also could not respond proportionately to issues of identified non</w:t>
      </w:r>
      <w:r w:rsidR="004260B1">
        <w:noBreakHyphen/>
      </w:r>
      <w:r>
        <w:t xml:space="preserve">compliance and would </w:t>
      </w:r>
      <w:r w:rsidR="007674C0">
        <w:t>have been</w:t>
      </w:r>
      <w:r>
        <w:t xml:space="preserve"> </w:t>
      </w:r>
      <w:r w:rsidR="00FC2384">
        <w:t>left with no option but to pursue</w:t>
      </w:r>
      <w:r>
        <w:t xml:space="preserve"> court action to enforce conditions, even</w:t>
      </w:r>
      <w:r w:rsidR="00725693">
        <w:t xml:space="preserve"> in cases where</w:t>
      </w:r>
      <w:r>
        <w:t xml:space="preserve"> the breach of condition was only minor. </w:t>
      </w:r>
    </w:p>
    <w:p w14:paraId="737FC357" w14:textId="7734A9F1" w:rsidR="00AE111C" w:rsidRDefault="00877222" w:rsidP="00C5191C">
      <w:r>
        <w:t xml:space="preserve">In the five years prior to the reforms, </w:t>
      </w:r>
      <w:r w:rsidR="00916DBC">
        <w:t>a</w:t>
      </w:r>
      <w:r w:rsidR="003C7014">
        <w:t xml:space="preserve">s </w:t>
      </w:r>
      <w:r w:rsidR="00677267">
        <w:t>the risk</w:t>
      </w:r>
      <w:r w:rsidR="00B81FF3">
        <w:t>s</w:t>
      </w:r>
      <w:r w:rsidR="00677267">
        <w:t xml:space="preserve"> from foreign ownership grew</w:t>
      </w:r>
      <w:r w:rsidR="00CF3B2E">
        <w:t>, the Government increasingly used conditions to manage</w:t>
      </w:r>
      <w:r>
        <w:t xml:space="preserve"> those risks while still allowing investments to proceed.</w:t>
      </w:r>
      <w:r w:rsidR="00916DBC">
        <w:t xml:space="preserve"> </w:t>
      </w:r>
      <w:r w:rsidR="00E07899" w:rsidRPr="006C0920">
        <w:t>In 2018</w:t>
      </w:r>
      <w:r w:rsidR="0052261F" w:rsidRPr="0052261F">
        <w:t>–</w:t>
      </w:r>
      <w:r w:rsidR="00E07899" w:rsidRPr="006C0920">
        <w:t>19, 80 per cent of approved cases by value had conditions attached to them, compared to 35</w:t>
      </w:r>
      <w:r w:rsidR="0052261F">
        <w:t> </w:t>
      </w:r>
      <w:r w:rsidR="00E07899" w:rsidRPr="006C0920">
        <w:t>per</w:t>
      </w:r>
      <w:r w:rsidR="0052261F">
        <w:t> </w:t>
      </w:r>
      <w:r w:rsidR="00E07899" w:rsidRPr="006C0920">
        <w:t>cent in 2015</w:t>
      </w:r>
      <w:r w:rsidR="0052261F" w:rsidRPr="0052261F">
        <w:t>–</w:t>
      </w:r>
      <w:r w:rsidR="00E07899" w:rsidRPr="006C0920">
        <w:t xml:space="preserve">16. </w:t>
      </w:r>
      <w:r w:rsidR="00652CCC">
        <w:t>This increase</w:t>
      </w:r>
      <w:r w:rsidR="0017680C">
        <w:t>d</w:t>
      </w:r>
      <w:r w:rsidR="00652CCC">
        <w:t xml:space="preserve"> </w:t>
      </w:r>
      <w:r w:rsidR="001649D4">
        <w:t xml:space="preserve">use of conditions </w:t>
      </w:r>
      <w:r w:rsidR="005D3D67">
        <w:t xml:space="preserve">placed </w:t>
      </w:r>
      <w:r w:rsidR="007F5ACF">
        <w:t xml:space="preserve">pressure </w:t>
      </w:r>
      <w:r w:rsidR="00840459">
        <w:t>on the Government</w:t>
      </w:r>
      <w:r w:rsidR="004260B1">
        <w:t>’</w:t>
      </w:r>
      <w:r w:rsidR="00840459">
        <w:t xml:space="preserve">s ability to monitor </w:t>
      </w:r>
      <w:r w:rsidR="00C46159">
        <w:t xml:space="preserve">and enforce compliance effectively. </w:t>
      </w:r>
    </w:p>
    <w:p w14:paraId="44DDFD5C" w14:textId="082375A0" w:rsidR="00E07899" w:rsidRPr="001102CF" w:rsidRDefault="00E07899" w:rsidP="00E07899">
      <w:pPr>
        <w:pStyle w:val="ListParagraph"/>
        <w:numPr>
          <w:ilvl w:val="0"/>
          <w:numId w:val="51"/>
        </w:numPr>
        <w:rPr>
          <w:b/>
        </w:rPr>
      </w:pPr>
      <w:r w:rsidRPr="001102CF">
        <w:rPr>
          <w:b/>
        </w:rPr>
        <w:t xml:space="preserve">Complex and burdensome framework for </w:t>
      </w:r>
      <w:r w:rsidR="00F97C91">
        <w:rPr>
          <w:b/>
        </w:rPr>
        <w:t>less sensitive</w:t>
      </w:r>
      <w:r w:rsidRPr="001102CF">
        <w:rPr>
          <w:b/>
        </w:rPr>
        <w:t xml:space="preserve"> investments</w:t>
      </w:r>
      <w:r w:rsidR="004260B1">
        <w:rPr>
          <w:b/>
        </w:rPr>
        <w:t xml:space="preserve">. </w:t>
      </w:r>
    </w:p>
    <w:p w14:paraId="134D90D6" w14:textId="237C0FD6" w:rsidR="00E07899" w:rsidRDefault="00072FDE" w:rsidP="00C5191C">
      <w:r>
        <w:t>Prior to the reforms, s</w:t>
      </w:r>
      <w:r w:rsidR="00CF05FB">
        <w:t>ome s</w:t>
      </w:r>
      <w:r w:rsidR="00E07899">
        <w:t xml:space="preserve">takeholders had stated that </w:t>
      </w:r>
      <w:r w:rsidR="003338DF">
        <w:t xml:space="preserve">the </w:t>
      </w:r>
      <w:r w:rsidR="00E07899">
        <w:t xml:space="preserve">framework </w:t>
      </w:r>
      <w:r w:rsidR="00021A5D">
        <w:t>was</w:t>
      </w:r>
      <w:r w:rsidR="00E07899">
        <w:t xml:space="preserve"> burdensome and complex to navigate</w:t>
      </w:r>
      <w:r w:rsidR="00665351">
        <w:t>,</w:t>
      </w:r>
      <w:r w:rsidR="00EF3B56">
        <w:t xml:space="preserve"> </w:t>
      </w:r>
      <w:r w:rsidR="00E07899">
        <w:t xml:space="preserve">particularly for </w:t>
      </w:r>
      <w:r w:rsidR="00A76D89">
        <w:t xml:space="preserve">less sensitive </w:t>
      </w:r>
      <w:r w:rsidR="00E07899">
        <w:t>investments</w:t>
      </w:r>
      <w:r w:rsidR="00EF3B56">
        <w:t>. This includes</w:t>
      </w:r>
      <w:r w:rsidR="007F12C5">
        <w:t xml:space="preserve"> </w:t>
      </w:r>
      <w:r w:rsidR="00554C46">
        <w:t xml:space="preserve">investments </w:t>
      </w:r>
      <w:r w:rsidR="00E07899">
        <w:t xml:space="preserve">made by large privately controlled and managed investment funds which are regularly screened under foreign government investor screening rules due to the presence of foreign government investors in their funds. Delays in case processing times </w:t>
      </w:r>
      <w:r w:rsidR="006F2B58">
        <w:t>were</w:t>
      </w:r>
      <w:r w:rsidR="00E07899">
        <w:t xml:space="preserve"> consistently raised by some stakeholders as an ongoing source of concern </w:t>
      </w:r>
      <w:r w:rsidR="00C73168">
        <w:t>–</w:t>
      </w:r>
      <w:r w:rsidR="00FE0B01">
        <w:t xml:space="preserve"> </w:t>
      </w:r>
      <w:r w:rsidR="00E07899">
        <w:t>with the indicative median processing time for Treasury cases in 2018</w:t>
      </w:r>
      <w:r w:rsidR="0052261F" w:rsidRPr="0052261F">
        <w:t>–</w:t>
      </w:r>
      <w:r w:rsidR="00E07899">
        <w:t>19 being 45</w:t>
      </w:r>
      <w:r w:rsidR="00B41E17">
        <w:t> </w:t>
      </w:r>
      <w:r w:rsidR="00E07899">
        <w:t>days, relative to the statutory deadline that sets an initial case processing timeframe of 30 days. These shortcomings were some of the most frequently raised concerns during the consultation process for the 202</w:t>
      </w:r>
      <w:r w:rsidR="007D52E2">
        <w:t>1</w:t>
      </w:r>
      <w:r w:rsidR="00E07899">
        <w:t xml:space="preserve"> reforms. They frustrated investors (both lower risk investors, and those whose applications take longer than 30 days to process), and risk</w:t>
      </w:r>
      <w:r w:rsidR="00116F42">
        <w:t>ed</w:t>
      </w:r>
      <w:r w:rsidR="00E07899">
        <w:t xml:space="preserve"> impeding valuable foreign investment into Australia.</w:t>
      </w:r>
    </w:p>
    <w:p w14:paraId="21BA1020" w14:textId="77777777" w:rsidR="00E07899" w:rsidRPr="00C17FF1" w:rsidRDefault="00E07899" w:rsidP="00E07899">
      <w:pPr>
        <w:pStyle w:val="ListParagraph"/>
        <w:numPr>
          <w:ilvl w:val="0"/>
          <w:numId w:val="51"/>
        </w:numPr>
        <w:rPr>
          <w:b/>
        </w:rPr>
      </w:pPr>
      <w:r w:rsidRPr="00C17FF1">
        <w:rPr>
          <w:b/>
        </w:rPr>
        <w:t xml:space="preserve">Limited data collected on actual foreign investments made into certain sectors of the economy. </w:t>
      </w:r>
    </w:p>
    <w:p w14:paraId="38A817B4" w14:textId="5B20DD2D" w:rsidR="00F81EDC" w:rsidRPr="006C0920" w:rsidRDefault="00E07899" w:rsidP="00C5191C">
      <w:r>
        <w:t>Prior to the reforms, the Government collect</w:t>
      </w:r>
      <w:r w:rsidR="005827AA">
        <w:t>ed</w:t>
      </w:r>
      <w:r>
        <w:t xml:space="preserve"> data on proposed investments through </w:t>
      </w:r>
      <w:r w:rsidRPr="0059728E">
        <w:t>applications</w:t>
      </w:r>
      <w:r>
        <w:t xml:space="preserve">, </w:t>
      </w:r>
      <w:r w:rsidR="00BD6CBB">
        <w:t xml:space="preserve">and information about realised foreign investments made into certain sectors of the economy </w:t>
      </w:r>
      <w:r w:rsidR="007E0918">
        <w:t xml:space="preserve">through </w:t>
      </w:r>
      <w:r w:rsidR="001C4C55">
        <w:t xml:space="preserve">registers </w:t>
      </w:r>
      <w:r w:rsidR="00C73168">
        <w:t>–</w:t>
      </w:r>
      <w:r w:rsidR="00CF0AFF">
        <w:t xml:space="preserve"> that</w:t>
      </w:r>
      <w:r w:rsidR="00BD6CBB">
        <w:t xml:space="preserve"> being residential land, agricultural land, water interests, media businesses and critical infrastructu</w:t>
      </w:r>
      <w:r w:rsidR="00DF6A2C">
        <w:t>re</w:t>
      </w:r>
      <w:r w:rsidR="00FE0B01">
        <w:t xml:space="preserve">. However, </w:t>
      </w:r>
      <w:r>
        <w:t xml:space="preserve">it did </w:t>
      </w:r>
      <w:r w:rsidRPr="006C0920">
        <w:t xml:space="preserve">not collect data </w:t>
      </w:r>
      <w:r>
        <w:t xml:space="preserve">on actual investments made into </w:t>
      </w:r>
      <w:r w:rsidR="001C4C55">
        <w:t xml:space="preserve">other </w:t>
      </w:r>
      <w:r>
        <w:t>sectors of the economy, including many Australian businesses</w:t>
      </w:r>
      <w:r w:rsidRPr="006C0920">
        <w:t>.</w:t>
      </w:r>
      <w:r w:rsidR="00834503">
        <w:t xml:space="preserve"> </w:t>
      </w:r>
      <w:r w:rsidRPr="006C0920">
        <w:t>This limit</w:t>
      </w:r>
      <w:r>
        <w:t>ed</w:t>
      </w:r>
      <w:r w:rsidRPr="006C0920">
        <w:t xml:space="preserve"> the Government</w:t>
      </w:r>
      <w:r w:rsidR="004260B1">
        <w:t>’</w:t>
      </w:r>
      <w:r w:rsidRPr="006C0920">
        <w:t xml:space="preserve">s ability to assess cases, monitor </w:t>
      </w:r>
      <w:r>
        <w:t xml:space="preserve">and enforce </w:t>
      </w:r>
      <w:r w:rsidRPr="006C0920">
        <w:t>compliance with conditions imposed on investments, and draw on a robust data set to inform policy development.</w:t>
      </w:r>
    </w:p>
    <w:p w14:paraId="427DAD4B" w14:textId="108FD3E2" w:rsidR="005151B8" w:rsidRPr="004F3436" w:rsidRDefault="00320ADF" w:rsidP="00C5191C">
      <w:r w:rsidRPr="675DC849">
        <w:t>T</w:t>
      </w:r>
      <w:r w:rsidR="00E07899" w:rsidRPr="675DC849">
        <w:t>he data the Government d</w:t>
      </w:r>
      <w:r w:rsidR="008E7232" w:rsidRPr="675DC849">
        <w:t>id</w:t>
      </w:r>
      <w:r w:rsidR="00E07899" w:rsidRPr="675DC849">
        <w:t xml:space="preserve"> hold </w:t>
      </w:r>
      <w:r w:rsidR="00D712F0" w:rsidRPr="675DC849">
        <w:t>was</w:t>
      </w:r>
      <w:r w:rsidR="00E07899" w:rsidRPr="675DC849">
        <w:t xml:space="preserve"> spread out across different government regulators and </w:t>
      </w:r>
      <w:r w:rsidR="00057C3C" w:rsidRPr="675DC849">
        <w:t>was</w:t>
      </w:r>
      <w:r w:rsidR="00E07899" w:rsidRPr="675DC849">
        <w:t xml:space="preserve"> underpinned by different legislation. This ma</w:t>
      </w:r>
      <w:r w:rsidR="00F74FC6" w:rsidRPr="675DC849">
        <w:t>de</w:t>
      </w:r>
      <w:r w:rsidR="00E07899" w:rsidRPr="675DC849">
        <w:t xml:space="preserve"> it difficult to form a cohesive picture, identify trends, and properly assess the benefits and risks of foreign investment. The lack of data on what foreign investors own</w:t>
      </w:r>
      <w:r w:rsidR="000B30B6" w:rsidRPr="675DC849">
        <w:t>ed</w:t>
      </w:r>
      <w:r w:rsidR="00E07899" w:rsidRPr="675DC849">
        <w:t xml:space="preserve"> in Australia also risk</w:t>
      </w:r>
      <w:r w:rsidR="00F74FC6" w:rsidRPr="675DC849">
        <w:t>ed</w:t>
      </w:r>
      <w:r w:rsidR="00E07899" w:rsidRPr="675DC849">
        <w:t xml:space="preserve"> undermining the Government</w:t>
      </w:r>
      <w:r w:rsidR="004260B1">
        <w:t>’</w:t>
      </w:r>
      <w:r w:rsidR="00E07899" w:rsidRPr="675DC849">
        <w:t xml:space="preserve">s ability to provide robust and </w:t>
      </w:r>
      <w:r>
        <w:t>evidence</w:t>
      </w:r>
      <w:r w:rsidR="004260B1">
        <w:rPr>
          <w:szCs w:val="22"/>
        </w:rPr>
        <w:noBreakHyphen/>
      </w:r>
      <w:r>
        <w:t>based</w:t>
      </w:r>
      <w:r w:rsidR="00E07899" w:rsidRPr="675DC849">
        <w:t xml:space="preserve"> information to the community, </w:t>
      </w:r>
      <w:r w:rsidR="0059728E" w:rsidRPr="675DC849">
        <w:t>including</w:t>
      </w:r>
      <w:r w:rsidR="0059728E">
        <w:rPr>
          <w:szCs w:val="22"/>
        </w:rPr>
        <w:t xml:space="preserve"> </w:t>
      </w:r>
      <w:r w:rsidR="0059728E" w:rsidRPr="675DC849">
        <w:t>in</w:t>
      </w:r>
      <w:r w:rsidR="00E07899" w:rsidRPr="675DC849">
        <w:t xml:space="preserve"> response to Parliamentary questions and inquiries and in annual reports.</w:t>
      </w:r>
    </w:p>
    <w:p w14:paraId="1C4617FC" w14:textId="083F2E9F" w:rsidR="00E07899" w:rsidRPr="0025141B" w:rsidRDefault="00E07899" w:rsidP="00E07899">
      <w:pPr>
        <w:pStyle w:val="ListParagraph"/>
        <w:numPr>
          <w:ilvl w:val="0"/>
          <w:numId w:val="51"/>
        </w:numPr>
        <w:rPr>
          <w:b/>
        </w:rPr>
      </w:pPr>
      <w:r w:rsidRPr="0025141B">
        <w:rPr>
          <w:b/>
        </w:rPr>
        <w:t>Complex fee framework</w:t>
      </w:r>
      <w:r w:rsidR="0025141B" w:rsidRPr="0025141B">
        <w:rPr>
          <w:b/>
          <w:bCs/>
        </w:rPr>
        <w:t>.</w:t>
      </w:r>
    </w:p>
    <w:p w14:paraId="4812D432" w14:textId="1D0B191D" w:rsidR="00E07899" w:rsidRDefault="00E07899" w:rsidP="00C5191C">
      <w:r>
        <w:t xml:space="preserve">In 2015, the Government introduced foreign investment application fees to ensure that the cost of administering the foreign investment framework was borne by foreign investors, not Australian </w:t>
      </w:r>
      <w:r w:rsidR="00DC2A1F">
        <w:t>taxpayers. However</w:t>
      </w:r>
      <w:r>
        <w:t>, the fee framework ha</w:t>
      </w:r>
      <w:r w:rsidR="00761EBF">
        <w:t>d</w:t>
      </w:r>
      <w:r>
        <w:t xml:space="preserve"> evolved over time to become complex and difficult to navigate. For example, fees </w:t>
      </w:r>
      <w:r w:rsidR="00B123F7">
        <w:t>were</w:t>
      </w:r>
      <w:r>
        <w:t xml:space="preserve"> spread across both the </w:t>
      </w:r>
      <w:r w:rsidRPr="00EF7499">
        <w:rPr>
          <w:i/>
          <w:iCs/>
        </w:rPr>
        <w:t>Foreign Acquisitions and Takeovers Fees Imposition Act 2015</w:t>
      </w:r>
      <w:r>
        <w:t xml:space="preserve"> and the </w:t>
      </w:r>
      <w:r w:rsidRPr="00EF7499">
        <w:rPr>
          <w:i/>
          <w:iCs/>
        </w:rPr>
        <w:t>Foreign Acquisitions and Takeovers Fees Imposition Regulation 2015</w:t>
      </w:r>
      <w:r>
        <w:t xml:space="preserve">, making it difficult and time consuming for applicants and their advisers to determine the appropriate fee. The complexity of the framework </w:t>
      </w:r>
      <w:r w:rsidR="009B2061">
        <w:t>resulted</w:t>
      </w:r>
      <w:r w:rsidR="00AF03A4">
        <w:t xml:space="preserve"> in</w:t>
      </w:r>
      <w:r>
        <w:t xml:space="preserve"> uncertainty </w:t>
      </w:r>
      <w:r w:rsidR="003431A8">
        <w:t>for</w:t>
      </w:r>
      <w:r>
        <w:t xml:space="preserve"> both investors and government in determining the correct application fee, and it was identified </w:t>
      </w:r>
      <w:r w:rsidR="001764E2">
        <w:t>that the fee framework</w:t>
      </w:r>
      <w:r>
        <w:t xml:space="preserve"> would benefit from review and </w:t>
      </w:r>
      <w:r w:rsidRPr="00FC2B5C">
        <w:t>simplification.</w:t>
      </w:r>
      <w:r>
        <w:t xml:space="preserve"> </w:t>
      </w:r>
    </w:p>
    <w:p w14:paraId="15635E1B" w14:textId="4E8FA23F" w:rsidR="00E07899" w:rsidRPr="0025141B" w:rsidRDefault="00E07899" w:rsidP="00E07899">
      <w:pPr>
        <w:pStyle w:val="ListParagraph"/>
        <w:numPr>
          <w:ilvl w:val="0"/>
          <w:numId w:val="51"/>
        </w:numPr>
        <w:rPr>
          <w:b/>
        </w:rPr>
      </w:pPr>
      <w:r w:rsidRPr="0025141B">
        <w:rPr>
          <w:b/>
        </w:rPr>
        <w:t xml:space="preserve">Outdated system </w:t>
      </w:r>
      <w:r w:rsidR="00141E20">
        <w:rPr>
          <w:b/>
        </w:rPr>
        <w:t xml:space="preserve">unable </w:t>
      </w:r>
      <w:r w:rsidRPr="0025141B">
        <w:rPr>
          <w:b/>
        </w:rPr>
        <w:t>to keep up with evolving operational demands such as case management and reporting.</w:t>
      </w:r>
    </w:p>
    <w:p w14:paraId="33C7C756" w14:textId="03D98376" w:rsidR="00793A25" w:rsidRDefault="00E07899" w:rsidP="00C5191C">
      <w:r>
        <w:t>Treasury</w:t>
      </w:r>
      <w:r w:rsidR="004260B1">
        <w:t>’</w:t>
      </w:r>
      <w:r>
        <w:t>s IT system prior the reforms ha</w:t>
      </w:r>
      <w:r w:rsidR="00BC1E81">
        <w:t>d</w:t>
      </w:r>
      <w:r>
        <w:t xml:space="preserve"> not kept pace with evolving operational demands</w:t>
      </w:r>
      <w:r w:rsidR="002B1EE3">
        <w:t>.</w:t>
      </w:r>
      <w:r>
        <w:t xml:space="preserve"> </w:t>
      </w:r>
      <w:r w:rsidR="002B1EE3">
        <w:t xml:space="preserve">It </w:t>
      </w:r>
      <w:r w:rsidR="00C11E82">
        <w:t>was</w:t>
      </w:r>
      <w:r>
        <w:t xml:space="preserve"> not a functional case management system, nor </w:t>
      </w:r>
      <w:r w:rsidR="00C83D6F">
        <w:t xml:space="preserve">did </w:t>
      </w:r>
      <w:r>
        <w:t>it effectively support compliance activity. T</w:t>
      </w:r>
      <w:r w:rsidRPr="006C0920">
        <w:t>he accessibility and useability of quality, accurat</w:t>
      </w:r>
      <w:r>
        <w:t>e</w:t>
      </w:r>
      <w:r w:rsidRPr="006C0920">
        <w:t xml:space="preserve"> and </w:t>
      </w:r>
      <w:r>
        <w:t xml:space="preserve">current </w:t>
      </w:r>
      <w:r w:rsidRPr="006C0920">
        <w:t>data</w:t>
      </w:r>
      <w:r>
        <w:t xml:space="preserve"> was, at times, limited</w:t>
      </w:r>
      <w:r w:rsidR="004260B1">
        <w:t>.</w:t>
      </w:r>
    </w:p>
    <w:p w14:paraId="285E2E5E" w14:textId="77777777" w:rsidR="00043CFA" w:rsidRDefault="00043CFA" w:rsidP="00423FA4">
      <w:pPr>
        <w:pStyle w:val="DoubleDot"/>
        <w:numPr>
          <w:ilvl w:val="0"/>
          <w:numId w:val="0"/>
        </w:numPr>
        <w:rPr>
          <w:i/>
        </w:rPr>
        <w:sectPr w:rsidR="00043CFA" w:rsidSect="0052261F">
          <w:type w:val="oddPage"/>
          <w:pgSz w:w="11906" w:h="16838" w:code="9"/>
          <w:pgMar w:top="1843" w:right="1417" w:bottom="1417" w:left="1417" w:header="709" w:footer="709" w:gutter="0"/>
          <w:cols w:space="708"/>
          <w:docGrid w:linePitch="360"/>
        </w:sectPr>
      </w:pPr>
      <w:r>
        <w:rPr>
          <w:i/>
        </w:rPr>
        <w:br w:type="page"/>
      </w:r>
    </w:p>
    <w:p w14:paraId="0FE096DF" w14:textId="6A22938A" w:rsidR="00423FA4" w:rsidRDefault="007304F2" w:rsidP="004B42C7">
      <w:pPr>
        <w:pStyle w:val="Heading1Numbered"/>
      </w:pPr>
      <w:bookmarkStart w:id="15" w:name="_Toc210039659"/>
      <w:r>
        <w:t>Why was government action needed?</w:t>
      </w:r>
      <w:bookmarkEnd w:id="15"/>
    </w:p>
    <w:p w14:paraId="4E3644A4" w14:textId="011D8B5A" w:rsidR="003C7D41" w:rsidRPr="006C0920" w:rsidRDefault="003C7D41" w:rsidP="00C5191C">
      <w:r w:rsidRPr="006C0920">
        <w:t>The regulation of foreign investment is a long</w:t>
      </w:r>
      <w:r w:rsidR="004260B1">
        <w:noBreakHyphen/>
      </w:r>
      <w:r w:rsidRPr="006C0920">
        <w:t xml:space="preserve">standing function of the Government. The legal framework is set out in the </w:t>
      </w:r>
      <w:r w:rsidRPr="006C0920">
        <w:rPr>
          <w:i/>
        </w:rPr>
        <w:t>Foreign Acquisitions and Takeovers Act 1975</w:t>
      </w:r>
      <w:r w:rsidRPr="006C0920">
        <w:t xml:space="preserve"> (FATA), along with its supporting regulations, fees framework and data collection Acts. </w:t>
      </w:r>
    </w:p>
    <w:p w14:paraId="1C4E1D54" w14:textId="164BD031" w:rsidR="00192228" w:rsidRDefault="003C7D41" w:rsidP="00C5191C">
      <w:r w:rsidRPr="006C0920">
        <w:t>The regulation of foreign investment</w:t>
      </w:r>
      <w:r w:rsidR="00192228">
        <w:t>,</w:t>
      </w:r>
      <w:r w:rsidRPr="006C0920">
        <w:t xml:space="preserve"> and the problems that th</w:t>
      </w:r>
      <w:r w:rsidR="00E80906">
        <w:t>e</w:t>
      </w:r>
      <w:r w:rsidRPr="006C0920">
        <w:t xml:space="preserve"> reform package aim</w:t>
      </w:r>
      <w:r w:rsidR="00E80906">
        <w:t>ed</w:t>
      </w:r>
      <w:r w:rsidRPr="006C0920">
        <w:t xml:space="preserve"> to address</w:t>
      </w:r>
      <w:r w:rsidR="00C05542">
        <w:t xml:space="preserve"> at the time</w:t>
      </w:r>
      <w:r w:rsidR="00192228">
        <w:t>,</w:t>
      </w:r>
      <w:r w:rsidR="00F74BA1">
        <w:t xml:space="preserve"> </w:t>
      </w:r>
      <w:r w:rsidR="00773977" w:rsidRPr="006C0920">
        <w:t>involve</w:t>
      </w:r>
      <w:r w:rsidR="00773977">
        <w:t>d</w:t>
      </w:r>
      <w:r w:rsidR="00773977" w:rsidRPr="006C0920">
        <w:t xml:space="preserve"> </w:t>
      </w:r>
      <w:r w:rsidRPr="006C0920">
        <w:t xml:space="preserve">both </w:t>
      </w:r>
      <w:r w:rsidR="00773977">
        <w:t xml:space="preserve">the </w:t>
      </w:r>
      <w:r w:rsidRPr="006C0920">
        <w:t>consideration of highly sensitive issues</w:t>
      </w:r>
      <w:r w:rsidR="00D70B4D">
        <w:t xml:space="preserve"> such as </w:t>
      </w:r>
      <w:r w:rsidR="007303DF">
        <w:t xml:space="preserve">risks </w:t>
      </w:r>
      <w:r w:rsidRPr="006C0920">
        <w:t>to the national interest (particularly national security)</w:t>
      </w:r>
      <w:r w:rsidR="007303DF">
        <w:t xml:space="preserve"> </w:t>
      </w:r>
      <w:r w:rsidRPr="006C0920">
        <w:t>and balancing Australia</w:t>
      </w:r>
      <w:r w:rsidR="004260B1">
        <w:t>’</w:t>
      </w:r>
      <w:r w:rsidRPr="006C0920">
        <w:t>s economic</w:t>
      </w:r>
      <w:r w:rsidR="005D1857">
        <w:t xml:space="preserve"> </w:t>
      </w:r>
      <w:r w:rsidRPr="006C0920">
        <w:t>interests.</w:t>
      </w:r>
    </w:p>
    <w:p w14:paraId="12F42FA8" w14:textId="4C70BEA2" w:rsidR="003C7D41" w:rsidRDefault="003C7D41" w:rsidP="00C5191C">
      <w:r w:rsidRPr="006C0920">
        <w:t xml:space="preserve">The need to ensure that risks to national security are properly assessed with full access to </w:t>
      </w:r>
      <w:proofErr w:type="gramStart"/>
      <w:r w:rsidRPr="006C0920">
        <w:t>all of</w:t>
      </w:r>
      <w:proofErr w:type="gramEnd"/>
      <w:r w:rsidRPr="006C0920">
        <w:t xml:space="preserve"> the necessary information, and the concurrent need to keep investors commercially sensitive information confidential, means the Government is the only a</w:t>
      </w:r>
      <w:r>
        <w:t xml:space="preserve">ppropriate body to perform </w:t>
      </w:r>
      <w:r w:rsidRPr="009332B3">
        <w:t>this</w:t>
      </w:r>
      <w:r>
        <w:t> </w:t>
      </w:r>
      <w:r w:rsidRPr="009332B3">
        <w:t>function</w:t>
      </w:r>
      <w:r w:rsidRPr="006C0920">
        <w:t>.</w:t>
      </w:r>
    </w:p>
    <w:p w14:paraId="062AD442" w14:textId="77777777" w:rsidR="00634E64" w:rsidRDefault="003C7D41" w:rsidP="00C5191C">
      <w:r w:rsidRPr="006C0920">
        <w:t>The reforms include</w:t>
      </w:r>
      <w:r w:rsidR="00A16550">
        <w:t>d</w:t>
      </w:r>
      <w:r w:rsidRPr="006C0920">
        <w:t xml:space="preserve"> measures to strengthen the existing framework with: </w:t>
      </w:r>
    </w:p>
    <w:p w14:paraId="070ADB0B" w14:textId="6DF75630" w:rsidR="00634E64" w:rsidRDefault="003C7D41" w:rsidP="00C5191C">
      <w:pPr>
        <w:pStyle w:val="Bullet"/>
      </w:pPr>
      <w:r w:rsidRPr="006C0920">
        <w:t xml:space="preserve">enhanced national security review of sensitive acquisitions </w:t>
      </w:r>
    </w:p>
    <w:p w14:paraId="26887AC3" w14:textId="44B25471" w:rsidR="00634E64" w:rsidRDefault="003C7D41" w:rsidP="00C5191C">
      <w:pPr>
        <w:pStyle w:val="Bullet"/>
      </w:pPr>
      <w:r w:rsidRPr="006C0920">
        <w:t xml:space="preserve">extra powers and resources to ensure foreign investors comply with the terms of their approval </w:t>
      </w:r>
    </w:p>
    <w:p w14:paraId="3CD4FEF9" w14:textId="3857A163" w:rsidR="003C7D41" w:rsidRPr="006C0920" w:rsidRDefault="003C7D41" w:rsidP="00C5191C">
      <w:pPr>
        <w:pStyle w:val="Bullet"/>
      </w:pPr>
      <w:r w:rsidRPr="006C0920">
        <w:t>amendments to streamline investment in non</w:t>
      </w:r>
      <w:r w:rsidR="004260B1">
        <w:noBreakHyphen/>
      </w:r>
      <w:r w:rsidRPr="006C0920">
        <w:t>sensitive areas.</w:t>
      </w:r>
    </w:p>
    <w:p w14:paraId="5246601C" w14:textId="6FB97807" w:rsidR="003C7D41" w:rsidRPr="006C0920" w:rsidRDefault="003C7D41" w:rsidP="00C5191C">
      <w:r w:rsidRPr="006C0920">
        <w:t xml:space="preserve">In particular, the national security reforms </w:t>
      </w:r>
      <w:r w:rsidR="00E67968">
        <w:t>aimed to</w:t>
      </w:r>
      <w:r w:rsidRPr="006C0920">
        <w:t xml:space="preserve"> enable the Government to better address emerging national security risks that arise from foreign ownership, such as </w:t>
      </w:r>
      <w:r w:rsidR="00533CF1">
        <w:t xml:space="preserve">through </w:t>
      </w:r>
      <w:r w:rsidRPr="006C0920">
        <w:t xml:space="preserve">powers to screen certain foreign investment on national security grounds regardless of value. There </w:t>
      </w:r>
      <w:r w:rsidR="00686382">
        <w:t>were</w:t>
      </w:r>
      <w:r w:rsidRPr="006C0920">
        <w:t xml:space="preserve"> also measures to reduce the regulatory burden for certain investments that do not pose national security risks and provide greater clarity on the scope and application of the FATA. </w:t>
      </w:r>
    </w:p>
    <w:p w14:paraId="70E20137" w14:textId="16A192C0" w:rsidR="003C7D41" w:rsidRPr="006C0920" w:rsidRDefault="003C7D41" w:rsidP="00C5191C">
      <w:pPr>
        <w:rPr>
          <w:rFonts w:eastAsia="Arial" w:cs="Arial"/>
        </w:rPr>
      </w:pPr>
      <w:r w:rsidRPr="006C0920">
        <w:t xml:space="preserve">The reforms </w:t>
      </w:r>
      <w:r w:rsidR="00686382">
        <w:t>were</w:t>
      </w:r>
      <w:r w:rsidRPr="006C0920">
        <w:t xml:space="preserve"> not expected to significantly impact </w:t>
      </w:r>
      <w:r w:rsidRPr="006C0920">
        <w:rPr>
          <w:rFonts w:eastAsia="Arial" w:cs="Arial"/>
        </w:rPr>
        <w:t xml:space="preserve">on foreign capital inflows to Australia. While it </w:t>
      </w:r>
      <w:r w:rsidR="00686382">
        <w:rPr>
          <w:rFonts w:eastAsia="Arial" w:cs="Arial"/>
        </w:rPr>
        <w:t xml:space="preserve">was </w:t>
      </w:r>
      <w:r w:rsidRPr="006C0920">
        <w:rPr>
          <w:rFonts w:eastAsia="Arial" w:cs="Arial"/>
        </w:rPr>
        <w:t xml:space="preserve">estimated that the reforms </w:t>
      </w:r>
      <w:r>
        <w:rPr>
          <w:rFonts w:eastAsia="Arial" w:cs="Arial"/>
        </w:rPr>
        <w:t>w</w:t>
      </w:r>
      <w:r w:rsidR="00961881">
        <w:rPr>
          <w:rFonts w:eastAsia="Arial" w:cs="Arial"/>
        </w:rPr>
        <w:t>ould</w:t>
      </w:r>
      <w:r w:rsidRPr="006C0920">
        <w:rPr>
          <w:rFonts w:eastAsia="Arial" w:cs="Arial"/>
        </w:rPr>
        <w:t xml:space="preserve"> likely impose some </w:t>
      </w:r>
      <w:r w:rsidRPr="006C0920">
        <w:t xml:space="preserve">additional regulatory burden on investors, </w:t>
      </w:r>
      <w:r w:rsidRPr="006C0920">
        <w:rPr>
          <w:rFonts w:eastAsia="Arial" w:cs="Arial"/>
        </w:rPr>
        <w:t xml:space="preserve">this </w:t>
      </w:r>
      <w:r w:rsidR="00582821">
        <w:rPr>
          <w:rFonts w:eastAsia="Arial" w:cs="Arial"/>
        </w:rPr>
        <w:t>was</w:t>
      </w:r>
      <w:r w:rsidRPr="006C0920">
        <w:rPr>
          <w:rFonts w:eastAsia="Arial" w:cs="Arial"/>
        </w:rPr>
        <w:t xml:space="preserve"> not expected to be a significant deterrent to foreign investment in Australia. Foreign investor survey data consistently reinforces that market factors play the most significant role in a </w:t>
      </w:r>
      <w:r>
        <w:rPr>
          <w:rFonts w:eastAsia="Arial" w:cs="Arial"/>
        </w:rPr>
        <w:t>firm</w:t>
      </w:r>
      <w:r w:rsidR="004260B1">
        <w:rPr>
          <w:rFonts w:eastAsia="Arial" w:cs="Arial"/>
        </w:rPr>
        <w:t>’</w:t>
      </w:r>
      <w:r>
        <w:rPr>
          <w:rFonts w:eastAsia="Arial" w:cs="Arial"/>
        </w:rPr>
        <w:t>s foreign investment </w:t>
      </w:r>
      <w:r w:rsidRPr="006C0920">
        <w:rPr>
          <w:rFonts w:eastAsia="Arial" w:cs="Arial"/>
        </w:rPr>
        <w:t>decisions.</w:t>
      </w:r>
      <w:r w:rsidR="00BB6040" w:rsidRPr="00D977F0">
        <w:rPr>
          <w:rStyle w:val="FootnoteReference"/>
          <w:rFonts w:eastAsia="Arial" w:cs="Arial"/>
          <w:vertAlign w:val="superscript"/>
        </w:rPr>
        <w:footnoteReference w:id="4"/>
      </w:r>
      <w:r w:rsidR="00896DA2">
        <w:rPr>
          <w:rFonts w:eastAsia="Arial" w:cs="Arial"/>
        </w:rPr>
        <w:t xml:space="preserve"> </w:t>
      </w:r>
    </w:p>
    <w:p w14:paraId="29557C2A" w14:textId="3B45E15C" w:rsidR="003C7D41" w:rsidRPr="006C0920" w:rsidRDefault="003C7D41" w:rsidP="00C5191C">
      <w:r w:rsidRPr="006C0920">
        <w:t xml:space="preserve">The reforms </w:t>
      </w:r>
      <w:r w:rsidR="00582821">
        <w:t>were</w:t>
      </w:r>
      <w:r w:rsidRPr="006C0920">
        <w:t xml:space="preserve"> also expected to improve case processing times</w:t>
      </w:r>
      <w:r>
        <w:t>,</w:t>
      </w:r>
      <w:r w:rsidRPr="006C0920">
        <w:t xml:space="preserve"> in part due to an improved IT case management system, better data collection</w:t>
      </w:r>
      <w:r>
        <w:t xml:space="preserve">, better reporting of foreign investments realised in Australia from the new Register and </w:t>
      </w:r>
      <w:r w:rsidRPr="006C0920">
        <w:t xml:space="preserve">additional staff resourcing. </w:t>
      </w:r>
    </w:p>
    <w:p w14:paraId="4F89215C" w14:textId="0587A0AE" w:rsidR="003C7D41" w:rsidRPr="006C0920" w:rsidDel="000C6C4C" w:rsidRDefault="003C7D41" w:rsidP="00C5191C">
      <w:r w:rsidRPr="006C0920">
        <w:t>Importantly, the reforms</w:t>
      </w:r>
      <w:r w:rsidR="0068774E">
        <w:t xml:space="preserve"> aimed to</w:t>
      </w:r>
      <w:r w:rsidRPr="006C0920">
        <w:t xml:space="preserve"> preserve the core principle underpinning Australia</w:t>
      </w:r>
      <w:r w:rsidR="004260B1">
        <w:t>’</w:t>
      </w:r>
      <w:r w:rsidRPr="006C0920">
        <w:t>s foreign investment system</w:t>
      </w:r>
      <w:r w:rsidR="00EB5E31">
        <w:t xml:space="preserve"> – </w:t>
      </w:r>
      <w:r w:rsidRPr="006C0920">
        <w:t xml:space="preserve">that Australia welcomes foreign investment for the significant economic benefits it provides. Under the reforms, the Government </w:t>
      </w:r>
      <w:r w:rsidR="0068774E">
        <w:t>aimed to</w:t>
      </w:r>
      <w:r w:rsidRPr="006C0920">
        <w:t xml:space="preserve"> continue to review individual investments on a case</w:t>
      </w:r>
      <w:r w:rsidR="004260B1">
        <w:noBreakHyphen/>
      </w:r>
      <w:r w:rsidRPr="006C0920">
        <w:t>by</w:t>
      </w:r>
      <w:r w:rsidR="004260B1">
        <w:noBreakHyphen/>
      </w:r>
      <w:r w:rsidRPr="006C0920">
        <w:t xml:space="preserve">case basis to ensure they are not contrary to the national interest. This </w:t>
      </w:r>
      <w:r w:rsidR="00FB198A">
        <w:t>was</w:t>
      </w:r>
      <w:r w:rsidRPr="006C0920">
        <w:t xml:space="preserve"> critical to both protecting Australia</w:t>
      </w:r>
      <w:r w:rsidR="004260B1">
        <w:t>’</w:t>
      </w:r>
      <w:r w:rsidRPr="006C0920">
        <w:t>s national interest and maintaining the Australian public</w:t>
      </w:r>
      <w:r w:rsidR="004260B1">
        <w:t>’</w:t>
      </w:r>
      <w:r w:rsidRPr="006C0920">
        <w:t>s confidence in the foreign investment regime.</w:t>
      </w:r>
    </w:p>
    <w:p w14:paraId="5AD1B8E9" w14:textId="5BD0875E" w:rsidR="003C7D41" w:rsidRPr="006C0920" w:rsidRDefault="003C7D41" w:rsidP="00C5191C">
      <w:r w:rsidRPr="006C0920">
        <w:t xml:space="preserve">Australia </w:t>
      </w:r>
      <w:r w:rsidR="00FB198A">
        <w:t>was</w:t>
      </w:r>
      <w:r w:rsidRPr="006C0920">
        <w:t xml:space="preserve"> not alone in recognising and responding to the rising national security challenges posed by foreign ownership</w:t>
      </w:r>
      <w:r w:rsidR="00FB198A">
        <w:t xml:space="preserve"> prior to these reforms</w:t>
      </w:r>
      <w:r w:rsidRPr="006C0920">
        <w:t>. Many other countries</w:t>
      </w:r>
      <w:r w:rsidR="004260B1">
        <w:t xml:space="preserve"> – </w:t>
      </w:r>
      <w:r w:rsidRPr="006C0920">
        <w:t>including Canada, China, the European Union, Japan, New Zealand, the United Kingdom and the United States</w:t>
      </w:r>
      <w:r w:rsidR="004260B1">
        <w:t xml:space="preserve"> – </w:t>
      </w:r>
      <w:r w:rsidR="00CF19D9" w:rsidRPr="006C0920">
        <w:t>also updated</w:t>
      </w:r>
      <w:r w:rsidRPr="006C0920">
        <w:t xml:space="preserve"> their foreign investment rules</w:t>
      </w:r>
      <w:r w:rsidR="00E326D0">
        <w:t xml:space="preserve"> at similar times</w:t>
      </w:r>
      <w:r w:rsidRPr="006C0920">
        <w:t xml:space="preserve"> for similar reasons.</w:t>
      </w:r>
    </w:p>
    <w:p w14:paraId="59B1273A" w14:textId="77777777" w:rsidR="00C15717" w:rsidRDefault="00C15717">
      <w:pPr>
        <w:spacing w:before="0" w:after="160" w:line="259" w:lineRule="auto"/>
      </w:pPr>
      <w:r>
        <w:br w:type="page"/>
      </w:r>
    </w:p>
    <w:p w14:paraId="3EC0998E" w14:textId="59F2FBC2" w:rsidR="00CF19D9" w:rsidRDefault="003C7D41" w:rsidP="00C5191C">
      <w:r w:rsidRPr="006C0920">
        <w:t xml:space="preserve">This package of measures </w:t>
      </w:r>
      <w:r w:rsidR="00983AA1">
        <w:t>aimed to</w:t>
      </w:r>
      <w:r w:rsidRPr="006C0920">
        <w:t xml:space="preserve"> build on the reforms to the foreign investment framework that the Government introduced in 2015</w:t>
      </w:r>
      <w:r w:rsidR="00CF19D9">
        <w:t xml:space="preserve"> to </w:t>
      </w:r>
      <w:r w:rsidRPr="006C0920">
        <w:t>modernise the FATA by:</w:t>
      </w:r>
    </w:p>
    <w:p w14:paraId="4473F646" w14:textId="085E4733" w:rsidR="00CF19D9" w:rsidRDefault="003C7D41" w:rsidP="00C5191C">
      <w:pPr>
        <w:pStyle w:val="Bullet"/>
      </w:pPr>
      <w:r w:rsidRPr="006C0920">
        <w:t>bringing all foreign investment into the legislative framework rather than relying on</w:t>
      </w:r>
      <w:r w:rsidR="00101974">
        <w:t xml:space="preserve"> previous</w:t>
      </w:r>
      <w:r w:rsidRPr="006C0920">
        <w:t xml:space="preserve"> policy statements </w:t>
      </w:r>
    </w:p>
    <w:p w14:paraId="745751AD" w14:textId="1365D24B" w:rsidR="00CF19D9" w:rsidRDefault="003C7D41" w:rsidP="00C5191C">
      <w:pPr>
        <w:pStyle w:val="Bullet"/>
      </w:pPr>
      <w:r w:rsidRPr="006C0920">
        <w:t>strengthening the Government</w:t>
      </w:r>
      <w:r w:rsidR="004260B1">
        <w:t>’</w:t>
      </w:r>
      <w:r w:rsidRPr="006C0920">
        <w:t xml:space="preserve">s oversight and enforcement of the residential real estate sector </w:t>
      </w:r>
    </w:p>
    <w:p w14:paraId="5E363231" w14:textId="1BD7D034" w:rsidR="00CF19D9" w:rsidRDefault="003C7D41" w:rsidP="00C5191C">
      <w:pPr>
        <w:pStyle w:val="Bullet"/>
      </w:pPr>
      <w:r w:rsidRPr="006C0920">
        <w:t xml:space="preserve">providing greater scrutiny and transparency around agricultural investments </w:t>
      </w:r>
    </w:p>
    <w:p w14:paraId="3AAFB177" w14:textId="769C1DF5" w:rsidR="003C7D41" w:rsidRPr="006C0920" w:rsidRDefault="003C7D41" w:rsidP="00C5191C">
      <w:pPr>
        <w:pStyle w:val="Bullet"/>
      </w:pPr>
      <w:r w:rsidRPr="006C0920">
        <w:t>introducing fees so that the cost of administering the foreign investment regime is borne by foreign investors and not Australian taxpayers.</w:t>
      </w:r>
    </w:p>
    <w:p w14:paraId="0137EE83" w14:textId="59045E53" w:rsidR="003C7D41" w:rsidRPr="006C0920" w:rsidRDefault="003C7D41" w:rsidP="00C5191C">
      <w:r w:rsidRPr="006C0920">
        <w:t xml:space="preserve">The reforms </w:t>
      </w:r>
      <w:r w:rsidR="00970634">
        <w:t>aimed to</w:t>
      </w:r>
      <w:r w:rsidRPr="006C0920">
        <w:t xml:space="preserve"> ensure that the foreign investment framework continue</w:t>
      </w:r>
      <w:r w:rsidR="00970634">
        <w:t>d</w:t>
      </w:r>
      <w:r w:rsidRPr="006C0920">
        <w:t xml:space="preserve"> to balance:</w:t>
      </w:r>
    </w:p>
    <w:p w14:paraId="59C5C79E" w14:textId="415B0CA5" w:rsidR="003C7D41" w:rsidRPr="006C0920" w:rsidRDefault="003C7D41" w:rsidP="00C5191C">
      <w:pPr>
        <w:pStyle w:val="Bullet"/>
      </w:pPr>
      <w:r w:rsidRPr="006C0920">
        <w:t xml:space="preserve">maintaining Australia as an attractive place for foreign investment, with a </w:t>
      </w:r>
      <w:r w:rsidR="00252BF5">
        <w:t xml:space="preserve">regulatory </w:t>
      </w:r>
      <w:r w:rsidRPr="006C0920">
        <w:t xml:space="preserve">framework that promotes business certainty and delivers timely decisions </w:t>
      </w:r>
    </w:p>
    <w:p w14:paraId="1387E2CD" w14:textId="5D00E0CB" w:rsidR="003C7D41" w:rsidRPr="006C0920" w:rsidRDefault="003C7D41" w:rsidP="00C5191C">
      <w:pPr>
        <w:pStyle w:val="Bullet"/>
      </w:pPr>
      <w:r w:rsidRPr="006C0920">
        <w:t xml:space="preserve">maintaining public confidence in the integrity of the framework, including compliance </w:t>
      </w:r>
    </w:p>
    <w:p w14:paraId="699D965E" w14:textId="6C2A6D33" w:rsidR="00955913" w:rsidRDefault="003C7D41" w:rsidP="00C5191C">
      <w:pPr>
        <w:pStyle w:val="Bullet"/>
      </w:pPr>
      <w:r w:rsidRPr="006C0920">
        <w:t>protecting Australia</w:t>
      </w:r>
      <w:r w:rsidR="004260B1">
        <w:t>’</w:t>
      </w:r>
      <w:r w:rsidRPr="006C0920">
        <w:t xml:space="preserve">s national interest, including national security. </w:t>
      </w:r>
    </w:p>
    <w:p w14:paraId="2A04B90D" w14:textId="77777777" w:rsidR="00955913" w:rsidRDefault="00955913">
      <w:pPr>
        <w:spacing w:before="0" w:after="160" w:line="259" w:lineRule="auto"/>
      </w:pPr>
    </w:p>
    <w:p w14:paraId="49366A2A" w14:textId="77777777" w:rsidR="00955913" w:rsidRDefault="00955913">
      <w:pPr>
        <w:spacing w:before="0" w:after="160" w:line="259" w:lineRule="auto"/>
        <w:sectPr w:rsidR="00955913" w:rsidSect="00043CFA">
          <w:pgSz w:w="11906" w:h="16838" w:code="9"/>
          <w:pgMar w:top="1843" w:right="1417" w:bottom="1417" w:left="1417" w:header="709" w:footer="709" w:gutter="0"/>
          <w:cols w:space="708"/>
          <w:docGrid w:linePitch="360"/>
        </w:sectPr>
      </w:pPr>
    </w:p>
    <w:p w14:paraId="6C9B775A" w14:textId="5A9AC81C" w:rsidR="00074C70" w:rsidRDefault="0021720B" w:rsidP="004B42C7">
      <w:pPr>
        <w:pStyle w:val="Heading1Numbered"/>
      </w:pPr>
      <w:bookmarkStart w:id="16" w:name="_Toc210039660"/>
      <w:r>
        <w:t>What policy options were considered?</w:t>
      </w:r>
      <w:bookmarkEnd w:id="16"/>
    </w:p>
    <w:p w14:paraId="0D286A12" w14:textId="4C1E9D41" w:rsidR="008234C1" w:rsidRPr="006D426F" w:rsidRDefault="001A5307" w:rsidP="00C5191C">
      <w:r>
        <w:t>As outlined in the RIS</w:t>
      </w:r>
      <w:r w:rsidR="00D977F0">
        <w:t>,</w:t>
      </w:r>
      <w:r w:rsidR="00873B93" w:rsidRPr="00D977F0">
        <w:rPr>
          <w:rStyle w:val="FootnoteReference"/>
          <w:vertAlign w:val="superscript"/>
        </w:rPr>
        <w:footnoteReference w:id="5"/>
      </w:r>
      <w:r>
        <w:t xml:space="preserve"> </w:t>
      </w:r>
      <w:r w:rsidR="00D33D3C" w:rsidRPr="00D33D3C">
        <w:t>Treasury</w:t>
      </w:r>
      <w:r w:rsidR="00E80FA6">
        <w:t xml:space="preserve">, in consultation with its stakeholders, </w:t>
      </w:r>
      <w:r w:rsidR="00D33D3C" w:rsidRPr="00D33D3C">
        <w:t>considered three broad options to address the identified problems</w:t>
      </w:r>
      <w:r w:rsidR="00C600E2">
        <w:t xml:space="preserve"> at the time of the 2021 reform</w:t>
      </w:r>
      <w:r w:rsidR="009379D0">
        <w:t>s</w:t>
      </w:r>
      <w:r w:rsidR="00D33D3C" w:rsidRPr="00D33D3C">
        <w:t>:</w:t>
      </w:r>
    </w:p>
    <w:p w14:paraId="453BC011" w14:textId="58A35609" w:rsidR="003F3132" w:rsidRPr="00A26997" w:rsidDel="003F3132" w:rsidRDefault="00786ACC" w:rsidP="00C5191C">
      <w:pPr>
        <w:pStyle w:val="Bullet"/>
      </w:pPr>
      <w:r w:rsidRPr="006D426F">
        <w:rPr>
          <w:i/>
        </w:rPr>
        <w:t>Option 1</w:t>
      </w:r>
      <w:r>
        <w:t xml:space="preserve">: </w:t>
      </w:r>
      <w:r w:rsidR="00CA2AC0" w:rsidRPr="006C0920" w:rsidDel="00AC3B15">
        <w:t>M</w:t>
      </w:r>
      <w:r w:rsidR="00CA2AC0" w:rsidRPr="006C0920" w:rsidDel="0063719C">
        <w:t>aintain</w:t>
      </w:r>
      <w:r w:rsidR="00CA2AC0" w:rsidRPr="006C0920" w:rsidDel="00AC3B15">
        <w:t>ing</w:t>
      </w:r>
      <w:r w:rsidR="00CA2AC0" w:rsidRPr="006C0920">
        <w:t xml:space="preserve"> the existing arrangements without amendment.</w:t>
      </w:r>
    </w:p>
    <w:p w14:paraId="38AAC06C" w14:textId="34245B08" w:rsidR="00CA2AC0" w:rsidRPr="006C0920" w:rsidRDefault="00CA2AC0" w:rsidP="00C5191C">
      <w:pPr>
        <w:pStyle w:val="Bullet"/>
      </w:pPr>
      <w:r w:rsidRPr="008234C1">
        <w:rPr>
          <w:i/>
        </w:rPr>
        <w:t>Option 2</w:t>
      </w:r>
      <w:r w:rsidRPr="006C0920">
        <w:t xml:space="preserve">: A balanced option that provides for adequate protection of the national interest, particularly national security, while still facilitating and attracting foreign investment into Australia. </w:t>
      </w:r>
    </w:p>
    <w:p w14:paraId="2EF452F2" w14:textId="332EB14E" w:rsidR="00773B1C" w:rsidRPr="00773B1C" w:rsidRDefault="001A14CC" w:rsidP="00C5191C">
      <w:pPr>
        <w:pStyle w:val="Bullet"/>
        <w:rPr>
          <w:iCs/>
        </w:rPr>
      </w:pPr>
      <w:r w:rsidRPr="001A14CC">
        <w:rPr>
          <w:i/>
        </w:rPr>
        <w:t>Option 3</w:t>
      </w:r>
      <w:r w:rsidRPr="006D426F">
        <w:rPr>
          <w:i/>
        </w:rPr>
        <w:t>:</w:t>
      </w:r>
      <w:r w:rsidRPr="006D426F">
        <w:rPr>
          <w:b/>
        </w:rPr>
        <w:t xml:space="preserve"> </w:t>
      </w:r>
      <w:r w:rsidRPr="001A14CC">
        <w:t>An option that significantly increases (or decreases) the protection of Australia</w:t>
      </w:r>
      <w:r w:rsidR="004260B1">
        <w:t>’</w:t>
      </w:r>
      <w:r w:rsidRPr="001A14CC">
        <w:t>s assets, depending on the relevant policy objective</w:t>
      </w:r>
      <w:r w:rsidR="00B35548">
        <w:t xml:space="preserve">, such as </w:t>
      </w:r>
      <w:r w:rsidR="00520FDE">
        <w:t>changing screening requirements</w:t>
      </w:r>
      <w:r w:rsidR="004442D2">
        <w:t xml:space="preserve"> to </w:t>
      </w:r>
      <w:r w:rsidR="002F4866">
        <w:t xml:space="preserve">remove change of </w:t>
      </w:r>
      <w:r w:rsidR="002A168B">
        <w:t>control</w:t>
      </w:r>
      <w:r w:rsidR="002F4866">
        <w:t xml:space="preserve"> requirements</w:t>
      </w:r>
      <w:r w:rsidR="00245B10">
        <w:t xml:space="preserve"> to capture a wider range of investments that did not get screened </w:t>
      </w:r>
      <w:r w:rsidR="00451D3A">
        <w:t>prior to the reforms</w:t>
      </w:r>
      <w:r w:rsidRPr="001A14CC">
        <w:t>.</w:t>
      </w:r>
    </w:p>
    <w:p w14:paraId="0BA9F495" w14:textId="3D8A468A" w:rsidR="00A26A85" w:rsidRPr="00C62D71" w:rsidRDefault="001417B2" w:rsidP="00C5191C">
      <w:r>
        <w:rPr>
          <w:iCs/>
        </w:rPr>
        <w:t>T</w:t>
      </w:r>
      <w:r w:rsidR="00F278E0">
        <w:rPr>
          <w:iCs/>
        </w:rPr>
        <w:t>he</w:t>
      </w:r>
      <w:r w:rsidR="00EF2ECA">
        <w:rPr>
          <w:iCs/>
        </w:rPr>
        <w:t xml:space="preserve"> </w:t>
      </w:r>
      <w:r>
        <w:rPr>
          <w:iCs/>
        </w:rPr>
        <w:t>then</w:t>
      </w:r>
      <w:r w:rsidR="00EF2ECA">
        <w:rPr>
          <w:iCs/>
        </w:rPr>
        <w:t xml:space="preserve"> Government </w:t>
      </w:r>
      <w:r w:rsidR="00C600E2">
        <w:rPr>
          <w:iCs/>
        </w:rPr>
        <w:t xml:space="preserve">chose to </w:t>
      </w:r>
      <w:r w:rsidR="00EF2ECA">
        <w:rPr>
          <w:iCs/>
        </w:rPr>
        <w:t>implement</w:t>
      </w:r>
      <w:r w:rsidR="00C600E2">
        <w:rPr>
          <w:iCs/>
        </w:rPr>
        <w:t xml:space="preserve"> </w:t>
      </w:r>
      <w:r w:rsidR="00C600E2" w:rsidRPr="00EF7499">
        <w:rPr>
          <w:i/>
        </w:rPr>
        <w:t>O</w:t>
      </w:r>
      <w:r w:rsidR="00EF2ECA" w:rsidRPr="00685061">
        <w:rPr>
          <w:i/>
        </w:rPr>
        <w:t>ption 2</w:t>
      </w:r>
      <w:r w:rsidR="00DD0523">
        <w:rPr>
          <w:iCs/>
        </w:rPr>
        <w:t xml:space="preserve"> </w:t>
      </w:r>
      <w:r w:rsidR="001A5307">
        <w:rPr>
          <w:iCs/>
        </w:rPr>
        <w:t>for</w:t>
      </w:r>
      <w:r w:rsidR="00DD0523">
        <w:rPr>
          <w:iCs/>
        </w:rPr>
        <w:t xml:space="preserve"> each of the policy packages </w:t>
      </w:r>
      <w:r w:rsidR="009053DA" w:rsidRPr="00C62D71">
        <w:t xml:space="preserve">to address the </w:t>
      </w:r>
      <w:r w:rsidR="00ED6F97" w:rsidRPr="00C62D71">
        <w:t xml:space="preserve">identified problems outlined in </w:t>
      </w:r>
      <w:r w:rsidR="00765B4C">
        <w:t>S</w:t>
      </w:r>
      <w:r w:rsidR="00ED6F97" w:rsidRPr="00C62D71">
        <w:t>ection 3</w:t>
      </w:r>
      <w:r w:rsidR="00CD44CE">
        <w:t xml:space="preserve"> above</w:t>
      </w:r>
      <w:r w:rsidR="00ED6F97" w:rsidRPr="00C62D71">
        <w:t xml:space="preserve"> (see </w:t>
      </w:r>
      <w:r w:rsidR="00CB12FA">
        <w:t>T</w:t>
      </w:r>
      <w:r w:rsidR="00ED6F97" w:rsidRPr="00C62D71">
        <w:t>able</w:t>
      </w:r>
      <w:r w:rsidR="00CB12FA">
        <w:t xml:space="preserve"> </w:t>
      </w:r>
      <w:r w:rsidR="00FE1A92">
        <w:t>5.</w:t>
      </w:r>
      <w:r w:rsidR="00CB12FA">
        <w:t>1</w:t>
      </w:r>
      <w:r w:rsidR="00ED6F97" w:rsidRPr="00C62D71">
        <w:t>).</w:t>
      </w:r>
      <w:r w:rsidR="00D61D57" w:rsidRPr="00C62D71">
        <w:t xml:space="preserve"> </w:t>
      </w:r>
      <w:r w:rsidR="00A26A85" w:rsidRPr="00C62D71">
        <w:t xml:space="preserve">Sections 5.1 to 5.7 below provide details of </w:t>
      </w:r>
      <w:r w:rsidR="00A26A85" w:rsidRPr="00685061">
        <w:rPr>
          <w:i/>
        </w:rPr>
        <w:t>Option 2</w:t>
      </w:r>
      <w:r w:rsidR="00A26A85" w:rsidRPr="006D426F">
        <w:t xml:space="preserve"> </w:t>
      </w:r>
      <w:r w:rsidR="00A26A85" w:rsidRPr="00C62D71">
        <w:t>policies and high</w:t>
      </w:r>
      <w:r w:rsidR="004260B1">
        <w:noBreakHyphen/>
      </w:r>
      <w:r w:rsidR="00A26A85" w:rsidRPr="00C62D71">
        <w:t>level summar</w:t>
      </w:r>
      <w:r w:rsidR="00685061">
        <w:t>ies</w:t>
      </w:r>
      <w:r w:rsidR="00A26A85" w:rsidRPr="00C62D71">
        <w:t xml:space="preserve"> of </w:t>
      </w:r>
      <w:r w:rsidR="00A26A85" w:rsidRPr="00685061">
        <w:rPr>
          <w:i/>
        </w:rPr>
        <w:t>Option 1</w:t>
      </w:r>
      <w:r w:rsidR="00A26A85" w:rsidRPr="006D426F">
        <w:t xml:space="preserve"> </w:t>
      </w:r>
      <w:r w:rsidR="00A26A85" w:rsidRPr="00C62D71">
        <w:t>and</w:t>
      </w:r>
      <w:r w:rsidR="00A26A85" w:rsidRPr="006D426F">
        <w:t xml:space="preserve"> </w:t>
      </w:r>
      <w:r w:rsidR="00A26A85" w:rsidRPr="00685061">
        <w:rPr>
          <w:i/>
        </w:rPr>
        <w:t>Option 3</w:t>
      </w:r>
      <w:r w:rsidR="00512DEA">
        <w:rPr>
          <w:iCs/>
        </w:rPr>
        <w:t xml:space="preserve"> considered at the time</w:t>
      </w:r>
      <w:r w:rsidR="00A26A85" w:rsidRPr="00C62D71">
        <w:t>.</w:t>
      </w:r>
      <w:r w:rsidR="006C2E3E">
        <w:t xml:space="preserve"> </w:t>
      </w:r>
      <w:r w:rsidR="006C2E3E" w:rsidRPr="00C62D71">
        <w:t xml:space="preserve">Further information on </w:t>
      </w:r>
      <w:r w:rsidR="006C2E3E" w:rsidRPr="00685061">
        <w:rPr>
          <w:i/>
          <w:iCs/>
        </w:rPr>
        <w:t xml:space="preserve">Option </w:t>
      </w:r>
      <w:r w:rsidR="006C2E3E" w:rsidRPr="00685061">
        <w:rPr>
          <w:i/>
        </w:rPr>
        <w:t>1</w:t>
      </w:r>
      <w:r w:rsidR="006C2E3E" w:rsidRPr="006D426F">
        <w:t xml:space="preserve"> </w:t>
      </w:r>
      <w:r w:rsidR="006C2E3E" w:rsidRPr="00C62D71">
        <w:t xml:space="preserve">and </w:t>
      </w:r>
      <w:r w:rsidR="006C2E3E" w:rsidRPr="00685061">
        <w:rPr>
          <w:i/>
        </w:rPr>
        <w:t>Option 3</w:t>
      </w:r>
      <w:r w:rsidR="006C2E3E" w:rsidRPr="006D426F">
        <w:t xml:space="preserve"> </w:t>
      </w:r>
      <w:r w:rsidR="006C2E3E" w:rsidRPr="00C62D71">
        <w:t xml:space="preserve">can be found </w:t>
      </w:r>
      <w:r w:rsidR="006C2E3E">
        <w:t>in</w:t>
      </w:r>
      <w:r w:rsidR="006C2E3E" w:rsidRPr="00C62D71">
        <w:t xml:space="preserve"> </w:t>
      </w:r>
      <w:r w:rsidR="00C2371A">
        <w:t>S</w:t>
      </w:r>
      <w:r w:rsidR="006C2E3E" w:rsidRPr="00C62D71">
        <w:t>ection 3 of the RIS</w:t>
      </w:r>
      <w:r w:rsidR="004260B1">
        <w:t xml:space="preserve">. </w:t>
      </w:r>
      <w:r w:rsidR="00B771D3">
        <w:t>The</w:t>
      </w:r>
      <w:r w:rsidR="00512DEA">
        <w:t xml:space="preserve"> implementation of </w:t>
      </w:r>
      <w:r w:rsidR="00B771D3">
        <w:t>Option</w:t>
      </w:r>
      <w:r w:rsidR="00512DEA">
        <w:t xml:space="preserve"> 2 and its impacts </w:t>
      </w:r>
      <w:r w:rsidR="00B771D3">
        <w:t>are</w:t>
      </w:r>
      <w:r w:rsidR="00512DEA">
        <w:t xml:space="preserve"> discussed </w:t>
      </w:r>
      <w:r w:rsidR="00B771D3">
        <w:t xml:space="preserve">in detail </w:t>
      </w:r>
      <w:r w:rsidR="00512DEA">
        <w:t xml:space="preserve">from </w:t>
      </w:r>
      <w:r w:rsidR="001C1228">
        <w:t>S</w:t>
      </w:r>
      <w:r w:rsidR="00512DEA">
        <w:t>ection 6 onwards.</w:t>
      </w:r>
    </w:p>
    <w:p w14:paraId="0AC3460A" w14:textId="70A040F9" w:rsidR="00C600E2" w:rsidRDefault="00DA1FC4" w:rsidP="00C5191C">
      <w:r w:rsidRPr="00C62D71">
        <w:t xml:space="preserve">Option 2 was chosen </w:t>
      </w:r>
      <w:r w:rsidR="00B67B1D">
        <w:t>based on</w:t>
      </w:r>
      <w:r w:rsidR="00407017" w:rsidRPr="00C62D71">
        <w:t xml:space="preserve"> consideration </w:t>
      </w:r>
      <w:r w:rsidR="00AB19E5" w:rsidRPr="00C62D71">
        <w:t xml:space="preserve">of </w:t>
      </w:r>
      <w:r w:rsidR="00407017" w:rsidRPr="00C62D71">
        <w:t xml:space="preserve">the cost and benefit of each </w:t>
      </w:r>
      <w:r w:rsidR="00C62D71" w:rsidRPr="00C62D71">
        <w:t>option</w:t>
      </w:r>
      <w:r w:rsidR="00CB1A3F">
        <w:t xml:space="preserve"> </w:t>
      </w:r>
      <w:r w:rsidR="00407017" w:rsidRPr="00C62D71">
        <w:t xml:space="preserve">outlined in </w:t>
      </w:r>
      <w:r w:rsidR="00765B4C">
        <w:t>S</w:t>
      </w:r>
      <w:r w:rsidR="00407017" w:rsidRPr="00C62D71">
        <w:t>ection</w:t>
      </w:r>
      <w:r w:rsidR="0052261F">
        <w:t> </w:t>
      </w:r>
      <w:r w:rsidR="00407017" w:rsidRPr="00C62D71">
        <w:t xml:space="preserve">6 of the RIS. </w:t>
      </w:r>
      <w:r w:rsidR="00E836F2" w:rsidRPr="006D426F">
        <w:rPr>
          <w:i/>
        </w:rPr>
        <w:t>Option 2</w:t>
      </w:r>
      <w:r w:rsidR="00E836F2">
        <w:t xml:space="preserve"> provided a comprehensive </w:t>
      </w:r>
      <w:r w:rsidR="00BB4781" w:rsidRPr="00BB4781">
        <w:t xml:space="preserve">suite of reforms </w:t>
      </w:r>
      <w:r w:rsidR="009A5AA9">
        <w:t>aiming to</w:t>
      </w:r>
      <w:r w:rsidR="00BB4781" w:rsidRPr="00BB4781">
        <w:t xml:space="preserve"> strengthen the foreign investment framework to ensure that it </w:t>
      </w:r>
      <w:r w:rsidR="006C2E3E">
        <w:t>kept</w:t>
      </w:r>
      <w:r w:rsidR="00BB4781" w:rsidRPr="00BB4781">
        <w:t xml:space="preserve"> pace in a fast</w:t>
      </w:r>
      <w:r w:rsidR="004260B1">
        <w:noBreakHyphen/>
      </w:r>
      <w:r w:rsidR="00BB4781" w:rsidRPr="00BB4781">
        <w:t xml:space="preserve">changing </w:t>
      </w:r>
      <w:r w:rsidR="006C2E3E">
        <w:t>environment</w:t>
      </w:r>
      <w:r w:rsidR="00BB4781" w:rsidRPr="00BB4781">
        <w:t xml:space="preserve"> where national interest risks, especially national security risks, from foreign ownership</w:t>
      </w:r>
      <w:r w:rsidR="006C2E3E">
        <w:t xml:space="preserve"> ha</w:t>
      </w:r>
      <w:r w:rsidR="00CB1A6A">
        <w:t>ve</w:t>
      </w:r>
      <w:r w:rsidR="00BB4781" w:rsidRPr="00BB4781">
        <w:t xml:space="preserve"> increased.</w:t>
      </w:r>
      <w:r w:rsidR="00BB4781">
        <w:t xml:space="preserve"> </w:t>
      </w:r>
    </w:p>
    <w:p w14:paraId="37F40EA4" w14:textId="77777777" w:rsidR="0052261F" w:rsidRPr="00C15717" w:rsidRDefault="0052261F" w:rsidP="00C15717">
      <w:pPr>
        <w:pStyle w:val="SingleParagraph"/>
      </w:pPr>
    </w:p>
    <w:p w14:paraId="692BCAF3" w14:textId="072C6158" w:rsidR="00C5191C" w:rsidRPr="00C5191C" w:rsidRDefault="004F4A58" w:rsidP="00E84DA2">
      <w:pPr>
        <w:pStyle w:val="TableMainHeading"/>
      </w:pPr>
      <w:r>
        <w:t xml:space="preserve">Table </w:t>
      </w:r>
      <w:r w:rsidR="00FE1A92">
        <w:t>5.</w:t>
      </w:r>
      <w:r w:rsidR="00072BE5">
        <w:t>1</w:t>
      </w:r>
      <w:r w:rsidR="006056A2">
        <w:t xml:space="preserve">: Mapping of problems and policies implemented to address problem </w:t>
      </w:r>
    </w:p>
    <w:tbl>
      <w:tblPr>
        <w:tblStyle w:val="TableGrid"/>
        <w:tblW w:w="5000" w:type="pct"/>
        <w:tblCellMar>
          <w:top w:w="28" w:type="dxa"/>
          <w:bottom w:w="28" w:type="dxa"/>
        </w:tblCellMar>
        <w:tblLook w:val="04A0" w:firstRow="1" w:lastRow="0" w:firstColumn="1" w:lastColumn="0" w:noHBand="0" w:noVBand="1"/>
      </w:tblPr>
      <w:tblGrid>
        <w:gridCol w:w="4536"/>
        <w:gridCol w:w="4536"/>
      </w:tblGrid>
      <w:tr w:rsidR="004C06D7" w:rsidRPr="00C5191C" w14:paraId="083E2905" w14:textId="77777777" w:rsidTr="00E84DA2">
        <w:trPr>
          <w:cnfStyle w:val="100000000000" w:firstRow="1" w:lastRow="0" w:firstColumn="0" w:lastColumn="0" w:oddVBand="0" w:evenVBand="0" w:oddHBand="0" w:evenHBand="0" w:firstRowFirstColumn="0" w:firstRowLastColumn="0" w:lastRowFirstColumn="0" w:lastRowLastColumn="0"/>
        </w:trPr>
        <w:tc>
          <w:tcPr>
            <w:tcW w:w="4508" w:type="dxa"/>
          </w:tcPr>
          <w:p w14:paraId="2BD96929" w14:textId="77A87C32" w:rsidR="004F4A58" w:rsidRPr="00E84DA2" w:rsidRDefault="004F4A58" w:rsidP="00E84DA2">
            <w:pPr>
              <w:pStyle w:val="TableColumnHeadingLeft"/>
              <w:rPr>
                <w:b/>
                <w:bCs/>
              </w:rPr>
            </w:pPr>
            <w:r w:rsidRPr="00E84DA2">
              <w:rPr>
                <w:b/>
                <w:bCs/>
              </w:rPr>
              <w:t>Identified problems</w:t>
            </w:r>
            <w:r w:rsidR="008B6A9B" w:rsidRPr="00E84DA2">
              <w:rPr>
                <w:b/>
                <w:bCs/>
              </w:rPr>
              <w:t xml:space="preserve"> at the time of the 2020 reforms</w:t>
            </w:r>
          </w:p>
        </w:tc>
        <w:tc>
          <w:tcPr>
            <w:tcW w:w="4508" w:type="dxa"/>
          </w:tcPr>
          <w:p w14:paraId="4EA4181E" w14:textId="77777777" w:rsidR="004F4A58" w:rsidRPr="00E84DA2" w:rsidRDefault="004F4A58" w:rsidP="00E84DA2">
            <w:pPr>
              <w:pStyle w:val="TableColumnHeadingLeft"/>
              <w:rPr>
                <w:b/>
                <w:bCs/>
              </w:rPr>
            </w:pPr>
            <w:r w:rsidRPr="00E84DA2">
              <w:rPr>
                <w:b/>
                <w:bCs/>
              </w:rPr>
              <w:t xml:space="preserve">Policies implemented </w:t>
            </w:r>
          </w:p>
        </w:tc>
      </w:tr>
      <w:tr w:rsidR="004F4A58" w:rsidRPr="00C5191C" w14:paraId="50D3B8FD" w14:textId="77777777" w:rsidTr="00C15717">
        <w:tc>
          <w:tcPr>
            <w:tcW w:w="4508" w:type="dxa"/>
            <w:tcBorders>
              <w:bottom w:val="single" w:sz="4" w:space="0" w:color="2C384A" w:themeColor="accent1"/>
            </w:tcBorders>
            <w:tcMar>
              <w:top w:w="17" w:type="dxa"/>
              <w:bottom w:w="17" w:type="dxa"/>
            </w:tcMar>
          </w:tcPr>
          <w:p w14:paraId="53B84A6E" w14:textId="5008FCEC" w:rsidR="004F4A58" w:rsidRPr="00C5191C" w:rsidRDefault="00873B93" w:rsidP="00E84DA2">
            <w:pPr>
              <w:pStyle w:val="ListParagraph"/>
              <w:numPr>
                <w:ilvl w:val="0"/>
                <w:numId w:val="52"/>
              </w:numPr>
              <w:spacing w:before="0" w:after="0"/>
              <w:ind w:left="357" w:hanging="357"/>
              <w:rPr>
                <w:rFonts w:cs="Calibri Light"/>
                <w:szCs w:val="18"/>
              </w:rPr>
            </w:pPr>
            <w:r w:rsidRPr="00C5191C">
              <w:rPr>
                <w:rFonts w:cs="Calibri Light"/>
                <w:szCs w:val="18"/>
              </w:rPr>
              <w:t>Insufficiently equipped framework to manage increasing risk of foreign investment to Australia</w:t>
            </w:r>
            <w:r w:rsidR="004260B1">
              <w:rPr>
                <w:rFonts w:cs="Calibri Light"/>
                <w:szCs w:val="18"/>
              </w:rPr>
              <w:t>’</w:t>
            </w:r>
            <w:r w:rsidRPr="00C5191C">
              <w:rPr>
                <w:rFonts w:cs="Calibri Light"/>
                <w:szCs w:val="18"/>
              </w:rPr>
              <w:t>s national interest</w:t>
            </w:r>
          </w:p>
        </w:tc>
        <w:tc>
          <w:tcPr>
            <w:tcW w:w="4508" w:type="dxa"/>
            <w:tcBorders>
              <w:bottom w:val="single" w:sz="4" w:space="0" w:color="2C384A" w:themeColor="accent1"/>
            </w:tcBorders>
            <w:tcMar>
              <w:top w:w="17" w:type="dxa"/>
              <w:bottom w:w="17" w:type="dxa"/>
            </w:tcMar>
          </w:tcPr>
          <w:p w14:paraId="600C3ED7" w14:textId="2285BD95" w:rsidR="004F4A58" w:rsidRPr="00C5191C" w:rsidRDefault="004F4A58" w:rsidP="00AB467C">
            <w:pPr>
              <w:pStyle w:val="OutlineNumbered1"/>
              <w:spacing w:after="0"/>
              <w:ind w:left="357" w:hanging="357"/>
              <w:rPr>
                <w:rFonts w:cs="Calibri Light"/>
                <w:szCs w:val="18"/>
              </w:rPr>
            </w:pPr>
            <w:r w:rsidRPr="00C5191C">
              <w:rPr>
                <w:rFonts w:cs="Calibri Light"/>
                <w:szCs w:val="18"/>
              </w:rPr>
              <w:t>Protecting Australia</w:t>
            </w:r>
            <w:r w:rsidR="004260B1">
              <w:rPr>
                <w:rFonts w:cs="Calibri Light"/>
                <w:szCs w:val="18"/>
              </w:rPr>
              <w:t>’</w:t>
            </w:r>
            <w:r w:rsidRPr="00C5191C">
              <w:rPr>
                <w:rFonts w:cs="Calibri Light"/>
                <w:szCs w:val="18"/>
              </w:rPr>
              <w:t>s national security</w:t>
            </w:r>
          </w:p>
        </w:tc>
      </w:tr>
      <w:tr w:rsidR="004F4A58" w:rsidRPr="00C5191C" w14:paraId="7BF06CBE" w14:textId="77777777" w:rsidTr="00C15717">
        <w:tc>
          <w:tcPr>
            <w:tcW w:w="4508" w:type="dxa"/>
            <w:tcBorders>
              <w:top w:val="single" w:sz="4" w:space="0" w:color="2C384A" w:themeColor="accent1"/>
              <w:bottom w:val="single" w:sz="4" w:space="0" w:color="2C384A" w:themeColor="accent1"/>
            </w:tcBorders>
            <w:tcMar>
              <w:top w:w="17" w:type="dxa"/>
              <w:bottom w:w="17" w:type="dxa"/>
            </w:tcMar>
          </w:tcPr>
          <w:p w14:paraId="656C978D" w14:textId="33CCBEC6" w:rsidR="004F4A58" w:rsidRPr="00C5191C" w:rsidRDefault="00873B93" w:rsidP="00E84DA2">
            <w:pPr>
              <w:pStyle w:val="ListParagraph"/>
              <w:numPr>
                <w:ilvl w:val="0"/>
                <w:numId w:val="52"/>
              </w:numPr>
              <w:spacing w:before="0" w:after="0"/>
              <w:ind w:left="357" w:hanging="357"/>
              <w:rPr>
                <w:rFonts w:cs="Calibri Light"/>
                <w:szCs w:val="18"/>
              </w:rPr>
            </w:pPr>
            <w:r w:rsidRPr="00C5191C">
              <w:rPr>
                <w:rFonts w:cs="Calibri Light"/>
                <w:szCs w:val="18"/>
              </w:rPr>
              <w:t>Limitations which created investor uncertainty and administrative challenges</w:t>
            </w:r>
          </w:p>
        </w:tc>
        <w:tc>
          <w:tcPr>
            <w:tcW w:w="4508" w:type="dxa"/>
            <w:tcBorders>
              <w:top w:val="single" w:sz="4" w:space="0" w:color="2C384A" w:themeColor="accent1"/>
              <w:bottom w:val="single" w:sz="4" w:space="0" w:color="2C384A" w:themeColor="accent1"/>
            </w:tcBorders>
            <w:tcMar>
              <w:top w:w="17" w:type="dxa"/>
              <w:bottom w:w="17" w:type="dxa"/>
            </w:tcMar>
          </w:tcPr>
          <w:p w14:paraId="11FEEDAB" w14:textId="77777777" w:rsidR="004F4A58" w:rsidRPr="00C5191C" w:rsidRDefault="004F4A58" w:rsidP="00AB467C">
            <w:pPr>
              <w:pStyle w:val="OutlineNumbered1"/>
              <w:spacing w:after="0"/>
              <w:ind w:left="357" w:hanging="357"/>
              <w:rPr>
                <w:rFonts w:cs="Calibri Light"/>
                <w:szCs w:val="18"/>
              </w:rPr>
            </w:pPr>
            <w:r w:rsidRPr="00C5191C">
              <w:rPr>
                <w:rFonts w:cs="Calibri Light"/>
                <w:szCs w:val="18"/>
              </w:rPr>
              <w:t xml:space="preserve">Improving the integrity of the foreign investment review framework </w:t>
            </w:r>
          </w:p>
        </w:tc>
      </w:tr>
      <w:tr w:rsidR="004F4A58" w:rsidRPr="00C5191C" w14:paraId="4B6A82FE" w14:textId="77777777" w:rsidTr="00C15717">
        <w:tc>
          <w:tcPr>
            <w:tcW w:w="4508" w:type="dxa"/>
            <w:tcBorders>
              <w:top w:val="single" w:sz="4" w:space="0" w:color="2C384A" w:themeColor="accent1"/>
              <w:bottom w:val="single" w:sz="4" w:space="0" w:color="2C384A" w:themeColor="accent1"/>
            </w:tcBorders>
            <w:tcMar>
              <w:top w:w="17" w:type="dxa"/>
              <w:bottom w:w="17" w:type="dxa"/>
            </w:tcMar>
          </w:tcPr>
          <w:p w14:paraId="5188BAFF" w14:textId="50BF81F4" w:rsidR="004F4A58" w:rsidRPr="00C5191C" w:rsidRDefault="007F270A" w:rsidP="00E84DA2">
            <w:pPr>
              <w:pStyle w:val="ListParagraph"/>
              <w:numPr>
                <w:ilvl w:val="0"/>
                <w:numId w:val="52"/>
              </w:numPr>
              <w:spacing w:before="0" w:after="0"/>
              <w:ind w:left="357" w:hanging="357"/>
              <w:rPr>
                <w:rFonts w:cs="Calibri Light"/>
                <w:szCs w:val="18"/>
              </w:rPr>
            </w:pPr>
            <w:r w:rsidRPr="00C5191C">
              <w:rPr>
                <w:rFonts w:cs="Calibri Light"/>
                <w:szCs w:val="18"/>
              </w:rPr>
              <w:t xml:space="preserve">Limited compliance monitoring and enforcement tools </w:t>
            </w:r>
          </w:p>
        </w:tc>
        <w:tc>
          <w:tcPr>
            <w:tcW w:w="4508" w:type="dxa"/>
            <w:tcBorders>
              <w:top w:val="single" w:sz="4" w:space="0" w:color="2C384A" w:themeColor="accent1"/>
              <w:bottom w:val="single" w:sz="4" w:space="0" w:color="2C384A" w:themeColor="accent1"/>
            </w:tcBorders>
            <w:tcMar>
              <w:top w:w="17" w:type="dxa"/>
              <w:bottom w:w="17" w:type="dxa"/>
            </w:tcMar>
          </w:tcPr>
          <w:p w14:paraId="057A99CA" w14:textId="77777777" w:rsidR="004F4A58" w:rsidRPr="00C5191C" w:rsidRDefault="004F4A58" w:rsidP="00AB467C">
            <w:pPr>
              <w:pStyle w:val="OutlineNumbered1"/>
              <w:spacing w:after="0"/>
              <w:ind w:left="357" w:hanging="357"/>
              <w:rPr>
                <w:rFonts w:cs="Calibri Light"/>
                <w:szCs w:val="18"/>
              </w:rPr>
            </w:pPr>
            <w:r w:rsidRPr="00C5191C">
              <w:rPr>
                <w:rFonts w:cs="Calibri Light"/>
                <w:szCs w:val="18"/>
              </w:rPr>
              <w:t xml:space="preserve">Stronger compliance and enforcement powers </w:t>
            </w:r>
          </w:p>
        </w:tc>
      </w:tr>
      <w:tr w:rsidR="004F4A58" w:rsidRPr="00C5191C" w14:paraId="6C30737E" w14:textId="77777777" w:rsidTr="00C15717">
        <w:tc>
          <w:tcPr>
            <w:tcW w:w="4508" w:type="dxa"/>
            <w:tcBorders>
              <w:top w:val="single" w:sz="4" w:space="0" w:color="2C384A" w:themeColor="accent1"/>
              <w:bottom w:val="single" w:sz="4" w:space="0" w:color="2C384A" w:themeColor="accent1"/>
            </w:tcBorders>
            <w:tcMar>
              <w:top w:w="17" w:type="dxa"/>
              <w:bottom w:w="17" w:type="dxa"/>
            </w:tcMar>
          </w:tcPr>
          <w:p w14:paraId="50303558" w14:textId="2A3EE031" w:rsidR="004F4A58" w:rsidRPr="00C5191C" w:rsidRDefault="00DE301D" w:rsidP="00E84DA2">
            <w:pPr>
              <w:pStyle w:val="ListParagraph"/>
              <w:numPr>
                <w:ilvl w:val="0"/>
                <w:numId w:val="52"/>
              </w:numPr>
              <w:spacing w:before="0" w:after="0"/>
              <w:ind w:left="357" w:hanging="357"/>
              <w:rPr>
                <w:rFonts w:cs="Calibri Light"/>
                <w:szCs w:val="18"/>
              </w:rPr>
            </w:pPr>
            <w:r w:rsidRPr="00C5191C">
              <w:rPr>
                <w:rFonts w:cs="Calibri Light"/>
                <w:szCs w:val="18"/>
              </w:rPr>
              <w:t>C</w:t>
            </w:r>
            <w:r w:rsidR="004F4A58" w:rsidRPr="00C5191C">
              <w:rPr>
                <w:rFonts w:cs="Calibri Light"/>
                <w:szCs w:val="18"/>
              </w:rPr>
              <w:t xml:space="preserve">omplex and burdensome for </w:t>
            </w:r>
            <w:r w:rsidR="00F97C91" w:rsidRPr="00C5191C">
              <w:rPr>
                <w:rFonts w:cs="Calibri Light"/>
                <w:szCs w:val="18"/>
              </w:rPr>
              <w:t xml:space="preserve">less sensitive </w:t>
            </w:r>
            <w:r w:rsidR="004F4A58" w:rsidRPr="00C5191C">
              <w:rPr>
                <w:rFonts w:cs="Calibri Light"/>
                <w:szCs w:val="18"/>
              </w:rPr>
              <w:t>investments.</w:t>
            </w:r>
          </w:p>
        </w:tc>
        <w:tc>
          <w:tcPr>
            <w:tcW w:w="4508" w:type="dxa"/>
            <w:tcBorders>
              <w:top w:val="single" w:sz="4" w:space="0" w:color="2C384A" w:themeColor="accent1"/>
              <w:bottom w:val="single" w:sz="4" w:space="0" w:color="2C384A" w:themeColor="accent1"/>
            </w:tcBorders>
            <w:tcMar>
              <w:top w:w="17" w:type="dxa"/>
              <w:bottom w:w="17" w:type="dxa"/>
            </w:tcMar>
          </w:tcPr>
          <w:p w14:paraId="647B6076" w14:textId="0C70AC38" w:rsidR="004F4A58" w:rsidRPr="00C5191C" w:rsidRDefault="004F4A58" w:rsidP="00AB467C">
            <w:pPr>
              <w:pStyle w:val="OutlineNumbered1"/>
              <w:spacing w:after="0"/>
              <w:ind w:left="357" w:hanging="357"/>
              <w:rPr>
                <w:rFonts w:cs="Calibri Light"/>
                <w:szCs w:val="18"/>
              </w:rPr>
            </w:pPr>
            <w:r w:rsidRPr="00C5191C">
              <w:rPr>
                <w:rFonts w:cs="Calibri Light"/>
                <w:szCs w:val="18"/>
              </w:rPr>
              <w:t xml:space="preserve">Streamlining </w:t>
            </w:r>
            <w:proofErr w:type="gramStart"/>
            <w:r w:rsidRPr="00C5191C">
              <w:rPr>
                <w:rFonts w:cs="Calibri Light"/>
                <w:szCs w:val="18"/>
              </w:rPr>
              <w:t>less</w:t>
            </w:r>
            <w:proofErr w:type="gramEnd"/>
            <w:r w:rsidR="00BD09AE" w:rsidRPr="00C5191C">
              <w:rPr>
                <w:rFonts w:cs="Calibri Light"/>
                <w:szCs w:val="18"/>
              </w:rPr>
              <w:t xml:space="preserve"> </w:t>
            </w:r>
            <w:r w:rsidRPr="00C5191C">
              <w:rPr>
                <w:rFonts w:cs="Calibri Light"/>
                <w:szCs w:val="18"/>
              </w:rPr>
              <w:t>sensitive investments</w:t>
            </w:r>
          </w:p>
        </w:tc>
      </w:tr>
      <w:tr w:rsidR="004F4A58" w:rsidRPr="00C5191C" w14:paraId="690E8C13" w14:textId="77777777" w:rsidTr="00C15717">
        <w:trPr>
          <w:trHeight w:val="403"/>
        </w:trPr>
        <w:tc>
          <w:tcPr>
            <w:tcW w:w="4508" w:type="dxa"/>
            <w:tcBorders>
              <w:top w:val="single" w:sz="4" w:space="0" w:color="2C384A" w:themeColor="accent1"/>
              <w:bottom w:val="single" w:sz="4" w:space="0" w:color="2C384A" w:themeColor="accent1"/>
            </w:tcBorders>
            <w:tcMar>
              <w:top w:w="17" w:type="dxa"/>
              <w:bottom w:w="17" w:type="dxa"/>
            </w:tcMar>
          </w:tcPr>
          <w:p w14:paraId="19CBA6CE" w14:textId="5DE9472E" w:rsidR="004F4A58" w:rsidRPr="00C5191C" w:rsidRDefault="004F4A58" w:rsidP="00E84DA2">
            <w:pPr>
              <w:pStyle w:val="ListParagraph"/>
              <w:numPr>
                <w:ilvl w:val="0"/>
                <w:numId w:val="52"/>
              </w:numPr>
              <w:spacing w:before="0" w:after="0"/>
              <w:ind w:left="357" w:hanging="357"/>
              <w:rPr>
                <w:rFonts w:cs="Calibri Light"/>
                <w:szCs w:val="18"/>
              </w:rPr>
            </w:pPr>
            <w:r w:rsidRPr="00C5191C">
              <w:rPr>
                <w:rFonts w:cs="Calibri Light"/>
                <w:szCs w:val="18"/>
              </w:rPr>
              <w:t xml:space="preserve">Limited </w:t>
            </w:r>
            <w:r w:rsidR="0025141B" w:rsidRPr="00C5191C">
              <w:rPr>
                <w:rFonts w:cs="Calibri Light"/>
                <w:szCs w:val="18"/>
              </w:rPr>
              <w:t>data collected on actual foreign investments made into certain sectors of the economy</w:t>
            </w:r>
          </w:p>
        </w:tc>
        <w:tc>
          <w:tcPr>
            <w:tcW w:w="4508" w:type="dxa"/>
            <w:tcBorders>
              <w:top w:val="single" w:sz="4" w:space="0" w:color="2C384A" w:themeColor="accent1"/>
              <w:bottom w:val="single" w:sz="4" w:space="0" w:color="2C384A" w:themeColor="accent1"/>
            </w:tcBorders>
            <w:tcMar>
              <w:top w:w="17" w:type="dxa"/>
              <w:bottom w:w="17" w:type="dxa"/>
            </w:tcMar>
          </w:tcPr>
          <w:p w14:paraId="34CAF465" w14:textId="63BC0F84" w:rsidR="004F4A58" w:rsidRPr="00C5191C" w:rsidRDefault="004F4A58" w:rsidP="00AB467C">
            <w:pPr>
              <w:pStyle w:val="OutlineNumbered1"/>
              <w:spacing w:after="0"/>
              <w:ind w:left="357" w:hanging="357"/>
              <w:rPr>
                <w:rFonts w:cs="Calibri Light"/>
                <w:szCs w:val="18"/>
              </w:rPr>
            </w:pPr>
            <w:r w:rsidRPr="00C5191C">
              <w:rPr>
                <w:rFonts w:cs="Calibri Light"/>
                <w:szCs w:val="18"/>
              </w:rPr>
              <w:t>Register of Foreign Owned Australian Assets (</w:t>
            </w:r>
            <w:r w:rsidR="00F875CA" w:rsidRPr="00C5191C">
              <w:rPr>
                <w:rFonts w:cs="Calibri Light"/>
                <w:szCs w:val="18"/>
              </w:rPr>
              <w:t>the Register</w:t>
            </w:r>
            <w:r w:rsidRPr="00C5191C">
              <w:rPr>
                <w:rFonts w:cs="Calibri Light"/>
                <w:szCs w:val="18"/>
              </w:rPr>
              <w:t>)</w:t>
            </w:r>
          </w:p>
        </w:tc>
      </w:tr>
      <w:tr w:rsidR="004F4A58" w:rsidRPr="00C5191C" w14:paraId="7C9716E6" w14:textId="77777777" w:rsidTr="00C15717">
        <w:tc>
          <w:tcPr>
            <w:tcW w:w="4508" w:type="dxa"/>
            <w:tcBorders>
              <w:top w:val="single" w:sz="4" w:space="0" w:color="2C384A" w:themeColor="accent1"/>
              <w:bottom w:val="single" w:sz="4" w:space="0" w:color="2C384A" w:themeColor="accent1"/>
            </w:tcBorders>
            <w:tcMar>
              <w:top w:w="17" w:type="dxa"/>
              <w:bottom w:w="17" w:type="dxa"/>
            </w:tcMar>
          </w:tcPr>
          <w:p w14:paraId="6E209662" w14:textId="595C8BDF" w:rsidR="004F4A58" w:rsidRPr="00C5191C" w:rsidRDefault="004F4A58" w:rsidP="00E84DA2">
            <w:pPr>
              <w:pStyle w:val="ListParagraph"/>
              <w:numPr>
                <w:ilvl w:val="0"/>
                <w:numId w:val="52"/>
              </w:numPr>
              <w:spacing w:before="0" w:after="0"/>
              <w:ind w:left="357" w:hanging="357"/>
              <w:rPr>
                <w:rFonts w:cs="Calibri Light"/>
                <w:szCs w:val="18"/>
              </w:rPr>
            </w:pPr>
            <w:r w:rsidRPr="00C5191C">
              <w:rPr>
                <w:rFonts w:cs="Calibri Light"/>
                <w:szCs w:val="18"/>
              </w:rPr>
              <w:t>Complex fee framework</w:t>
            </w:r>
          </w:p>
        </w:tc>
        <w:tc>
          <w:tcPr>
            <w:tcW w:w="4508" w:type="dxa"/>
            <w:tcBorders>
              <w:top w:val="single" w:sz="4" w:space="0" w:color="2C384A" w:themeColor="accent1"/>
              <w:bottom w:val="single" w:sz="4" w:space="0" w:color="2C384A" w:themeColor="accent1"/>
            </w:tcBorders>
            <w:tcMar>
              <w:top w:w="17" w:type="dxa"/>
              <w:bottom w:w="17" w:type="dxa"/>
            </w:tcMar>
          </w:tcPr>
          <w:p w14:paraId="73361380" w14:textId="77777777" w:rsidR="004F4A58" w:rsidRPr="00C5191C" w:rsidRDefault="004F4A58" w:rsidP="00AB467C">
            <w:pPr>
              <w:pStyle w:val="OutlineNumbered1"/>
              <w:spacing w:after="0"/>
              <w:ind w:left="357" w:hanging="357"/>
              <w:rPr>
                <w:rFonts w:cs="Calibri Light"/>
                <w:szCs w:val="18"/>
              </w:rPr>
            </w:pPr>
            <w:r w:rsidRPr="00C5191C">
              <w:rPr>
                <w:rFonts w:cs="Calibri Light"/>
                <w:szCs w:val="18"/>
              </w:rPr>
              <w:t>A fairer and simpler framework for foreign investment fees</w:t>
            </w:r>
          </w:p>
        </w:tc>
      </w:tr>
      <w:tr w:rsidR="004F4A58" w:rsidRPr="00C5191C" w14:paraId="447F951F" w14:textId="77777777" w:rsidTr="00C15717">
        <w:trPr>
          <w:trHeight w:val="641"/>
        </w:trPr>
        <w:tc>
          <w:tcPr>
            <w:tcW w:w="4508" w:type="dxa"/>
            <w:tcBorders>
              <w:top w:val="single" w:sz="4" w:space="0" w:color="2C384A" w:themeColor="accent1"/>
              <w:bottom w:val="single" w:sz="4" w:space="0" w:color="2C384A" w:themeColor="accent1"/>
            </w:tcBorders>
            <w:tcMar>
              <w:top w:w="17" w:type="dxa"/>
              <w:bottom w:w="17" w:type="dxa"/>
            </w:tcMar>
          </w:tcPr>
          <w:p w14:paraId="4B566A11" w14:textId="4E6ED3E3" w:rsidR="004F4A58" w:rsidRPr="00C5191C" w:rsidRDefault="004F4A58" w:rsidP="00E84DA2">
            <w:pPr>
              <w:pStyle w:val="ListParagraph"/>
              <w:numPr>
                <w:ilvl w:val="0"/>
                <w:numId w:val="52"/>
              </w:numPr>
              <w:spacing w:before="0" w:after="0"/>
              <w:ind w:left="357" w:hanging="357"/>
              <w:rPr>
                <w:rFonts w:cs="Calibri Light"/>
                <w:szCs w:val="18"/>
              </w:rPr>
            </w:pPr>
            <w:r w:rsidRPr="00C5191C">
              <w:rPr>
                <w:rFonts w:cs="Calibri Light"/>
                <w:szCs w:val="18"/>
              </w:rPr>
              <w:t>Outdated system to keep up with evolving operational demands such as case management and reporting</w:t>
            </w:r>
          </w:p>
        </w:tc>
        <w:tc>
          <w:tcPr>
            <w:tcW w:w="4508" w:type="dxa"/>
            <w:tcBorders>
              <w:top w:val="single" w:sz="4" w:space="0" w:color="2C384A" w:themeColor="accent1"/>
              <w:bottom w:val="single" w:sz="4" w:space="0" w:color="2C384A" w:themeColor="accent1"/>
            </w:tcBorders>
            <w:tcMar>
              <w:top w:w="17" w:type="dxa"/>
              <w:bottom w:w="17" w:type="dxa"/>
            </w:tcMar>
          </w:tcPr>
          <w:p w14:paraId="4D2FF966" w14:textId="080CB278" w:rsidR="004F4A58" w:rsidRPr="00C5191C" w:rsidRDefault="004F4A58" w:rsidP="00AB467C">
            <w:pPr>
              <w:pStyle w:val="OutlineNumbered1"/>
              <w:spacing w:after="0"/>
              <w:ind w:left="357" w:hanging="357"/>
              <w:rPr>
                <w:rFonts w:cs="Calibri Light"/>
                <w:szCs w:val="18"/>
              </w:rPr>
            </w:pPr>
            <w:r w:rsidRPr="00C5191C">
              <w:rPr>
                <w:rFonts w:cs="Calibri Light"/>
                <w:szCs w:val="18"/>
              </w:rPr>
              <w:t>Modernising Australia</w:t>
            </w:r>
            <w:r w:rsidR="004260B1">
              <w:rPr>
                <w:rFonts w:cs="Calibri Light"/>
                <w:szCs w:val="18"/>
              </w:rPr>
              <w:t>’</w:t>
            </w:r>
            <w:r w:rsidRPr="00C5191C">
              <w:rPr>
                <w:rFonts w:cs="Calibri Light"/>
                <w:szCs w:val="18"/>
              </w:rPr>
              <w:t>s foreign investment ICT platform for better case management, compliance enforcement and data use</w:t>
            </w:r>
          </w:p>
        </w:tc>
      </w:tr>
    </w:tbl>
    <w:p w14:paraId="1980965C" w14:textId="6174E365" w:rsidR="0021720B" w:rsidRPr="0021720B" w:rsidRDefault="00C26145" w:rsidP="00AB467C">
      <w:pPr>
        <w:rPr>
          <w:iCs/>
        </w:rPr>
      </w:pPr>
      <w:bookmarkStart w:id="17" w:name="_Toc48485529"/>
      <w:bookmarkStart w:id="18" w:name="_Toc50473120"/>
      <w:bookmarkStart w:id="19" w:name="_Toc53045114"/>
      <w:bookmarkStart w:id="20" w:name="_Toc196389567"/>
      <w:r>
        <w:t xml:space="preserve">As outlined in the RIS, </w:t>
      </w:r>
      <w:r w:rsidR="007767EC">
        <w:t>c</w:t>
      </w:r>
      <w:r w:rsidR="0021720B" w:rsidRPr="00C62D71">
        <w:t>hoosing Option</w:t>
      </w:r>
      <w:r w:rsidR="0021720B">
        <w:t xml:space="preserve"> 1 would have </w:t>
      </w:r>
      <w:r w:rsidR="001A5307">
        <w:t xml:space="preserve">resulted in </w:t>
      </w:r>
      <w:r w:rsidR="0021720B">
        <w:t xml:space="preserve">the problems outlined in </w:t>
      </w:r>
      <w:r w:rsidR="008E2507">
        <w:t>Table</w:t>
      </w:r>
      <w:r w:rsidR="00AB467C">
        <w:t> </w:t>
      </w:r>
      <w:r w:rsidR="008E2507">
        <w:t>5.1</w:t>
      </w:r>
      <w:r w:rsidR="0021720B">
        <w:t xml:space="preserve"> above to persist and potentially grow over time. Option 3 would have introduced more uncertainty and regulatory burden on investors, required more resources, decreased regulatory oversight of actions that may be contrary to national interest, and potentially increase</w:t>
      </w:r>
      <w:r w:rsidR="0021720B" w:rsidDel="00FC1212">
        <w:t>d</w:t>
      </w:r>
      <w:r w:rsidR="001B7BA1">
        <w:t xml:space="preserve"> </w:t>
      </w:r>
      <w:r w:rsidR="008E3E8A">
        <w:t>inequities between fee tiers</w:t>
      </w:r>
      <w:r w:rsidR="0021720B">
        <w:t xml:space="preserve">. </w:t>
      </w:r>
    </w:p>
    <w:p w14:paraId="75E6F51E" w14:textId="057C3797" w:rsidR="000F2D0B" w:rsidRPr="006C0920" w:rsidRDefault="000F2D0B" w:rsidP="00C5191C">
      <w:pPr>
        <w:pStyle w:val="Heading2Numbered"/>
      </w:pPr>
      <w:bookmarkStart w:id="21" w:name="_Toc210039661"/>
      <w:r w:rsidRPr="006C0920">
        <w:t>Protecting Australia</w:t>
      </w:r>
      <w:r w:rsidR="004260B1">
        <w:t>’</w:t>
      </w:r>
      <w:r w:rsidRPr="006C0920">
        <w:t>s national security</w:t>
      </w:r>
      <w:bookmarkEnd w:id="17"/>
      <w:bookmarkEnd w:id="18"/>
      <w:bookmarkEnd w:id="19"/>
      <w:bookmarkEnd w:id="20"/>
      <w:bookmarkEnd w:id="21"/>
    </w:p>
    <w:p w14:paraId="38566846" w14:textId="22D5FE19" w:rsidR="000F2D0B" w:rsidRPr="006C0920" w:rsidRDefault="000F2D0B" w:rsidP="00C5191C">
      <w:r w:rsidRPr="006C0920">
        <w:t>As noted above, the risks from foreign investment to Australia</w:t>
      </w:r>
      <w:r w:rsidR="004260B1">
        <w:t>’</w:t>
      </w:r>
      <w:r w:rsidRPr="006C0920">
        <w:t>s national interest, particularly national security, have increased</w:t>
      </w:r>
      <w:r w:rsidRPr="006C0920" w:rsidDel="007E43E1">
        <w:t xml:space="preserve"> </w:t>
      </w:r>
      <w:proofErr w:type="gramStart"/>
      <w:r w:rsidRPr="006C0920">
        <w:t>as a result of</w:t>
      </w:r>
      <w:proofErr w:type="gramEnd"/>
      <w:r w:rsidRPr="006C0920">
        <w:t xml:space="preserve"> a confluence of developments, including rapid technological change and changes in the international security environment.</w:t>
      </w:r>
    </w:p>
    <w:p w14:paraId="50060860" w14:textId="48DB2C08" w:rsidR="007A0FAB" w:rsidRPr="00D46AED" w:rsidRDefault="007A0FAB" w:rsidP="00C5191C">
      <w:pPr>
        <w:pStyle w:val="Heading3"/>
      </w:pPr>
      <w:r w:rsidRPr="006D426F">
        <w:t>Option 1 – status quo</w:t>
      </w:r>
    </w:p>
    <w:p w14:paraId="519CE98D" w14:textId="2FC26D04" w:rsidR="00F74AD6" w:rsidRDefault="00211491" w:rsidP="00C5191C">
      <w:r w:rsidRPr="00211491">
        <w:t xml:space="preserve">Under this option, the Government </w:t>
      </w:r>
      <w:r>
        <w:t>would have</w:t>
      </w:r>
      <w:r w:rsidRPr="00211491">
        <w:t xml:space="preserve"> continue</w:t>
      </w:r>
      <w:r>
        <w:t>d</w:t>
      </w:r>
      <w:r w:rsidRPr="00211491">
        <w:t xml:space="preserve"> to screen only those foreign investments that meet certain criteria, such as monetary or percentage thresholds that are dependent on the nature of the investment, the target sector, and the country of the investor.</w:t>
      </w:r>
      <w:r w:rsidR="00E565D7">
        <w:t xml:space="preserve"> T</w:t>
      </w:r>
      <w:r w:rsidR="00E565D7" w:rsidRPr="00E565D7">
        <w:t xml:space="preserve">he Government </w:t>
      </w:r>
      <w:r w:rsidR="00E565D7">
        <w:t xml:space="preserve">would have </w:t>
      </w:r>
      <w:r w:rsidR="00E565D7" w:rsidRPr="00E565D7">
        <w:t>continue</w:t>
      </w:r>
      <w:r w:rsidR="00E565D7">
        <w:t>d</w:t>
      </w:r>
      <w:r w:rsidR="00E565D7" w:rsidRPr="00E565D7">
        <w:t xml:space="preserve"> to have limited ability to manage foreign involvement in sensitive sectors, including in situations where point</w:t>
      </w:r>
      <w:r w:rsidR="004260B1">
        <w:noBreakHyphen/>
      </w:r>
      <w:r w:rsidR="00E565D7" w:rsidRPr="00E565D7">
        <w:t>in</w:t>
      </w:r>
      <w:r w:rsidR="004260B1">
        <w:noBreakHyphen/>
      </w:r>
      <w:r w:rsidR="00E565D7" w:rsidRPr="00E565D7">
        <w:t xml:space="preserve">time approvals (including conditions to protect national security) are made redundant due to rapid technological change, or where the nature of the security risks change </w:t>
      </w:r>
      <w:proofErr w:type="gramStart"/>
      <w:r w:rsidR="00E565D7" w:rsidRPr="00E565D7">
        <w:t>subsequent to</w:t>
      </w:r>
      <w:proofErr w:type="gramEnd"/>
      <w:r w:rsidR="00E565D7" w:rsidRPr="00E565D7">
        <w:t xml:space="preserve"> approval.</w:t>
      </w:r>
    </w:p>
    <w:p w14:paraId="08D6E24E" w14:textId="4E2A8E2B" w:rsidR="00360F37" w:rsidRPr="00D46AED" w:rsidRDefault="00360F37" w:rsidP="00C5191C">
      <w:pPr>
        <w:pStyle w:val="Heading3"/>
      </w:pPr>
      <w:r w:rsidRPr="00D46AED">
        <w:t xml:space="preserve">Option 2 </w:t>
      </w:r>
      <w:r w:rsidR="00105345">
        <w:t>–</w:t>
      </w:r>
      <w:r w:rsidRPr="00D46AED">
        <w:t xml:space="preserve"> </w:t>
      </w:r>
      <w:r w:rsidR="0000452B" w:rsidRPr="006D426F">
        <w:t>a balanced approach</w:t>
      </w:r>
    </w:p>
    <w:p w14:paraId="1F2CA826" w14:textId="14D191D1" w:rsidR="000F2D0B" w:rsidRPr="006C0920" w:rsidRDefault="000F2D0B" w:rsidP="00C5191C">
      <w:r w:rsidRPr="006C0920">
        <w:t xml:space="preserve">Under </w:t>
      </w:r>
      <w:r w:rsidR="00553C8E">
        <w:t>th</w:t>
      </w:r>
      <w:r w:rsidR="00345AE4">
        <w:t xml:space="preserve">is chosen </w:t>
      </w:r>
      <w:r w:rsidRPr="006C0920">
        <w:t>opti</w:t>
      </w:r>
      <w:r w:rsidR="00345AE4">
        <w:t>on</w:t>
      </w:r>
      <w:r w:rsidRPr="006C0920">
        <w:t xml:space="preserve">, the Government </w:t>
      </w:r>
      <w:r w:rsidR="00DC1F68">
        <w:t>aimed to</w:t>
      </w:r>
      <w:r w:rsidRPr="006C0920">
        <w:t xml:space="preserve"> expand the foreign investment </w:t>
      </w:r>
      <w:r w:rsidR="003F7F27">
        <w:t>framework</w:t>
      </w:r>
      <w:r w:rsidR="003F7F27" w:rsidRPr="006C0920">
        <w:t xml:space="preserve"> </w:t>
      </w:r>
      <w:r w:rsidRPr="006C0920">
        <w:t>to enable the review of proposed actions categorised as notifiable national security actions or reviewable national security actions. In general, these actions f</w:t>
      </w:r>
      <w:r w:rsidR="00E4296D">
        <w:t>ell</w:t>
      </w:r>
      <w:r w:rsidRPr="006C0920">
        <w:t xml:space="preserve"> below the existing monetary or percentage screening thresholds</w:t>
      </w:r>
      <w:r w:rsidR="00E4296D">
        <w:t xml:space="preserve"> prior to the reforms</w:t>
      </w:r>
      <w:r w:rsidRPr="006C0920">
        <w:t xml:space="preserve">, but in some way </w:t>
      </w:r>
      <w:r w:rsidR="00C52768">
        <w:t>presented</w:t>
      </w:r>
      <w:r w:rsidRPr="006C0920">
        <w:t xml:space="preserve"> national security concerns</w:t>
      </w:r>
      <w:r w:rsidR="00D95E66">
        <w:t>.</w:t>
      </w:r>
      <w:r w:rsidRPr="006C0920">
        <w:t xml:space="preserve"> These actions </w:t>
      </w:r>
      <w:r w:rsidR="00DC1F68">
        <w:t>were to</w:t>
      </w:r>
      <w:r w:rsidRPr="006C0920">
        <w:t xml:space="preserve"> be assessed </w:t>
      </w:r>
      <w:r>
        <w:t>as to</w:t>
      </w:r>
      <w:r w:rsidRPr="006C0920">
        <w:t xml:space="preserve"> whether they are contrary to national security</w:t>
      </w:r>
      <w:r w:rsidR="004260B1">
        <w:t xml:space="preserve">. </w:t>
      </w:r>
    </w:p>
    <w:p w14:paraId="0F3B7DFE" w14:textId="168B8911" w:rsidR="000F2D0B" w:rsidRPr="006C0920" w:rsidRDefault="000F2D0B" w:rsidP="00C5191C">
      <w:r w:rsidRPr="006C0920">
        <w:t xml:space="preserve">Under this test, a foreign person acquiring a direct interest (generally at least 10 per cent, or a position of control) in a </w:t>
      </w:r>
      <w:r w:rsidR="004260B1">
        <w:t>‘</w:t>
      </w:r>
      <w:r w:rsidRPr="006C0920">
        <w:t>national security business</w:t>
      </w:r>
      <w:r w:rsidR="004260B1">
        <w:t>’</w:t>
      </w:r>
      <w:r w:rsidRPr="006C0920">
        <w:t xml:space="preserve">, starting to carry on the activities of such a business, or acquiring an interest in Australian land or a tenement that is </w:t>
      </w:r>
      <w:r w:rsidR="004260B1">
        <w:t>‘</w:t>
      </w:r>
      <w:r w:rsidRPr="006C0920">
        <w:t>national security land</w:t>
      </w:r>
      <w:r w:rsidR="004260B1">
        <w:t>’</w:t>
      </w:r>
      <w:r w:rsidRPr="006C0920">
        <w:t xml:space="preserve">, </w:t>
      </w:r>
      <w:r w:rsidR="00E91DF6">
        <w:t>would</w:t>
      </w:r>
      <w:r w:rsidRPr="006C0920">
        <w:t xml:space="preserve"> need to notify and obtain foreign investment approval prior to making the investment. This </w:t>
      </w:r>
      <w:r w:rsidR="00E91DF6">
        <w:t>aimed to</w:t>
      </w:r>
      <w:r w:rsidRPr="006C0920">
        <w:t xml:space="preserve"> ensure foreign investment that </w:t>
      </w:r>
      <w:r w:rsidR="000F1B12">
        <w:t>could raise</w:t>
      </w:r>
      <w:r w:rsidR="000F1B12" w:rsidRPr="006C0920">
        <w:t xml:space="preserve"> </w:t>
      </w:r>
      <w:r w:rsidRPr="006C0920">
        <w:t>national security concerns is screened irrespective of the value of the investment or whether the acquirer is a private investor or a</w:t>
      </w:r>
      <w:r>
        <w:t xml:space="preserve"> foreign government investor</w:t>
      </w:r>
      <w:r w:rsidRPr="006C0920">
        <w:t>.</w:t>
      </w:r>
    </w:p>
    <w:p w14:paraId="785D37FC" w14:textId="4C7FCB28" w:rsidR="000F2D0B" w:rsidRDefault="004260B1" w:rsidP="00C5191C">
      <w:r>
        <w:t>‘</w:t>
      </w:r>
      <w:r w:rsidR="000F2D0B">
        <w:t>National security land</w:t>
      </w:r>
      <w:r>
        <w:t>’</w:t>
      </w:r>
      <w:r w:rsidR="000F2D0B">
        <w:t xml:space="preserve"> is generally a defence premises or land that is of interest to an intelligence agency and that interest is publicly known or confirmable. </w:t>
      </w:r>
    </w:p>
    <w:p w14:paraId="2B39C006" w14:textId="7FB4B6FF" w:rsidR="000F2D0B" w:rsidRPr="006C0920" w:rsidRDefault="000F2D0B" w:rsidP="00C5191C">
      <w:r>
        <w:t xml:space="preserve">In brief, a </w:t>
      </w:r>
      <w:r w:rsidR="004260B1">
        <w:t>‘</w:t>
      </w:r>
      <w:r>
        <w:t>national security business</w:t>
      </w:r>
      <w:r w:rsidR="004260B1">
        <w:t>’</w:t>
      </w:r>
      <w:r>
        <w:t xml:space="preserve"> can be any of the following: </w:t>
      </w:r>
    </w:p>
    <w:p w14:paraId="61887B39" w14:textId="3FD94722" w:rsidR="000F2D0B" w:rsidRDefault="004260B1" w:rsidP="00C5191C">
      <w:pPr>
        <w:pStyle w:val="Bullet"/>
      </w:pPr>
      <w:r>
        <w:t>‘</w:t>
      </w:r>
      <w:r w:rsidR="000F2D0B">
        <w:t>Responsible entities</w:t>
      </w:r>
      <w:r>
        <w:t>’</w:t>
      </w:r>
      <w:r w:rsidR="000F2D0B">
        <w:t xml:space="preserve"> and </w:t>
      </w:r>
      <w:r>
        <w:t>‘</w:t>
      </w:r>
      <w:r w:rsidR="000F2D0B">
        <w:t>direct interest holders</w:t>
      </w:r>
      <w:r>
        <w:t>’</w:t>
      </w:r>
      <w:r w:rsidR="000F2D0B">
        <w:t xml:space="preserve"> of critical infrastructure assets, within the meaning of the </w:t>
      </w:r>
      <w:r w:rsidR="000F2D0B" w:rsidRPr="00020433">
        <w:rPr>
          <w:i/>
        </w:rPr>
        <w:t xml:space="preserve">Security of Critical Infrastructure Act </w:t>
      </w:r>
      <w:r w:rsidR="000F2D0B" w:rsidRPr="00D62DCD">
        <w:rPr>
          <w:i/>
        </w:rPr>
        <w:t>2018</w:t>
      </w:r>
      <w:r w:rsidR="000F2D0B">
        <w:t xml:space="preserve"> (SOCI), and </w:t>
      </w:r>
      <w:r>
        <w:t>‘</w:t>
      </w:r>
      <w:r w:rsidR="000F2D0B">
        <w:t>carriers</w:t>
      </w:r>
      <w:r>
        <w:t>’</w:t>
      </w:r>
      <w:r w:rsidR="000F2D0B">
        <w:t xml:space="preserve"> and </w:t>
      </w:r>
      <w:r>
        <w:t>‘</w:t>
      </w:r>
      <w:r w:rsidR="000F2D0B">
        <w:t>carriage service providers</w:t>
      </w:r>
      <w:r>
        <w:t>’</w:t>
      </w:r>
      <w:r w:rsidR="000F2D0B">
        <w:t xml:space="preserve"> to which the </w:t>
      </w:r>
      <w:r w:rsidR="000F2D0B" w:rsidRPr="00020433">
        <w:rPr>
          <w:i/>
        </w:rPr>
        <w:t xml:space="preserve">Telecommunications Act </w:t>
      </w:r>
      <w:r w:rsidR="000F2D0B" w:rsidRPr="00D62DCD">
        <w:rPr>
          <w:i/>
        </w:rPr>
        <w:t>1997</w:t>
      </w:r>
      <w:r w:rsidR="000F2D0B">
        <w:t xml:space="preserve"> applies</w:t>
      </w:r>
    </w:p>
    <w:p w14:paraId="4BEC19C4" w14:textId="2051DDE9" w:rsidR="000F2D0B" w:rsidRDefault="000F2D0B" w:rsidP="00C5191C">
      <w:pPr>
        <w:pStyle w:val="Bullet"/>
      </w:pPr>
      <w:r>
        <w:t>Businesses that develop, manufacture or supply critical goods, technologies or services that will be used (or are intended for use) by defence and intelligence personnel, or the defence force of another country, in activities that may affect Australia</w:t>
      </w:r>
      <w:r w:rsidR="004260B1">
        <w:t>’</w:t>
      </w:r>
      <w:r>
        <w:t>s national security</w:t>
      </w:r>
    </w:p>
    <w:p w14:paraId="3BA548CC" w14:textId="4991855D" w:rsidR="000F2D0B" w:rsidRPr="006C0920" w:rsidRDefault="000F2D0B" w:rsidP="00C5191C">
      <w:pPr>
        <w:pStyle w:val="Bullet"/>
      </w:pPr>
      <w:r>
        <w:t>Businesses that own, store, collect or maintain classified data, or personal data relating to Australia</w:t>
      </w:r>
      <w:r w:rsidR="004260B1">
        <w:t>’</w:t>
      </w:r>
      <w:r>
        <w:t>s defence and intelligence personnel that, if disclosed or accessed, could compromise Australia</w:t>
      </w:r>
      <w:r w:rsidR="004260B1">
        <w:t>’</w:t>
      </w:r>
      <w:r>
        <w:t>s national security.</w:t>
      </w:r>
    </w:p>
    <w:p w14:paraId="4EE696B8" w14:textId="7B27C89C" w:rsidR="000F2D0B" w:rsidRDefault="000F2D0B" w:rsidP="00C5191C">
      <w:r w:rsidRPr="006C0920">
        <w:t>The overwhelming majority of stakeholders during the exposure draft consultation</w:t>
      </w:r>
      <w:r>
        <w:t xml:space="preserve"> period</w:t>
      </w:r>
      <w:r w:rsidRPr="006C0920">
        <w:t>s were supportive of the Government</w:t>
      </w:r>
      <w:r w:rsidR="004260B1">
        <w:t>’</w:t>
      </w:r>
      <w:r w:rsidRPr="006C0920">
        <w:t xml:space="preserve">s proposed </w:t>
      </w:r>
      <w:r w:rsidR="004260B1">
        <w:t>‘</w:t>
      </w:r>
      <w:r w:rsidRPr="006C0920">
        <w:t>national security business</w:t>
      </w:r>
      <w:r w:rsidR="004260B1">
        <w:t>’</w:t>
      </w:r>
      <w:r w:rsidRPr="006C0920">
        <w:t xml:space="preserve"> definition and did not raise substantive issues. However, some stakeholders did express concerns that in the case of a hostile takeover (for example), the target may not provide the required information for the acquirer to be able to determine whether it falls within the definition. Similarly, the acquirer may not be able to ascertain such information, or more broadly, what constitutes </w:t>
      </w:r>
      <w:r w:rsidR="004260B1">
        <w:t>‘</w:t>
      </w:r>
      <w:r w:rsidRPr="006C0920">
        <w:t>defence land</w:t>
      </w:r>
      <w:r w:rsidR="004260B1">
        <w:t>’</w:t>
      </w:r>
      <w:r w:rsidRPr="006C0920">
        <w:t xml:space="preserve"> from public information. To address this concern, a reasonableness test </w:t>
      </w:r>
      <w:r w:rsidR="006B6A99">
        <w:t>was</w:t>
      </w:r>
      <w:r w:rsidRPr="006C0920">
        <w:t xml:space="preserve"> included in the proposed measure to </w:t>
      </w:r>
      <w:proofErr w:type="gramStart"/>
      <w:r w:rsidRPr="006C0920">
        <w:t>take into account</w:t>
      </w:r>
      <w:proofErr w:type="gramEnd"/>
      <w:r w:rsidRPr="006C0920">
        <w:t xml:space="preserve"> instances where investors may not have notified the Government </w:t>
      </w:r>
      <w:r>
        <w:t>because they (reasonably) did not know</w:t>
      </w:r>
      <w:r w:rsidRPr="006C0920">
        <w:t xml:space="preserve"> the target fell into the definition of a national security business.</w:t>
      </w:r>
    </w:p>
    <w:p w14:paraId="7F30FE29" w14:textId="2C117338" w:rsidR="000F2D0B" w:rsidRPr="006C0920" w:rsidRDefault="000F2D0B" w:rsidP="00C5191C">
      <w:r>
        <w:t xml:space="preserve">The Government </w:t>
      </w:r>
      <w:r w:rsidR="00D1288B" w:rsidRPr="004E10CC">
        <w:t>aimed</w:t>
      </w:r>
      <w:r>
        <w:t xml:space="preserve"> to provide guidance material on the definition of </w:t>
      </w:r>
      <w:r w:rsidR="004260B1">
        <w:t>‘</w:t>
      </w:r>
      <w:r>
        <w:t>national security business</w:t>
      </w:r>
      <w:r w:rsidR="004260B1">
        <w:t>’</w:t>
      </w:r>
      <w:r>
        <w:t xml:space="preserve"> and </w:t>
      </w:r>
      <w:r w:rsidR="004260B1">
        <w:t>‘</w:t>
      </w:r>
      <w:r>
        <w:t>national security land</w:t>
      </w:r>
      <w:r w:rsidR="004260B1">
        <w:t>’</w:t>
      </w:r>
      <w:r>
        <w:t xml:space="preserve"> </w:t>
      </w:r>
      <w:r w:rsidRPr="001F4039">
        <w:t>to clarify the application of the definition and to support investors in navigating the reforms more broadly</w:t>
      </w:r>
      <w:r>
        <w:t>.</w:t>
      </w:r>
      <w:r w:rsidR="003C40E2">
        <w:t xml:space="preserve"> See </w:t>
      </w:r>
      <w:r w:rsidR="007F17CB">
        <w:t>S</w:t>
      </w:r>
      <w:r w:rsidR="003C40E2">
        <w:t>ection 9 below for more detail on implementation of the reforms.</w:t>
      </w:r>
    </w:p>
    <w:p w14:paraId="15936BA0" w14:textId="14679A76" w:rsidR="000F2D0B" w:rsidRDefault="000F2D0B" w:rsidP="00C5191C">
      <w:r w:rsidRPr="006C0920">
        <w:t>In addition, certain investment</w:t>
      </w:r>
      <w:r w:rsidR="00A14888">
        <w:t>s</w:t>
      </w:r>
      <w:r w:rsidRPr="006C0920">
        <w:t xml:space="preserve"> not otherwise notified under the existing national interest or new national security mandatory pre</w:t>
      </w:r>
      <w:r w:rsidR="004260B1">
        <w:noBreakHyphen/>
      </w:r>
      <w:r w:rsidRPr="006C0920">
        <w:t xml:space="preserve">investment notification processes </w:t>
      </w:r>
      <w:r w:rsidR="00A826C3">
        <w:t>would</w:t>
      </w:r>
      <w:r w:rsidRPr="006C0920">
        <w:t xml:space="preserve"> be able to be </w:t>
      </w:r>
      <w:r w:rsidR="004260B1">
        <w:t>‘</w:t>
      </w:r>
      <w:r w:rsidRPr="006C0920">
        <w:t>called in</w:t>
      </w:r>
      <w:r w:rsidR="004260B1">
        <w:t>’</w:t>
      </w:r>
      <w:r w:rsidRPr="006C0920">
        <w:t xml:space="preserve"> before, during or after the investment, on a case</w:t>
      </w:r>
      <w:r w:rsidR="004260B1">
        <w:noBreakHyphen/>
      </w:r>
      <w:r w:rsidRPr="006C0920">
        <w:t>by</w:t>
      </w:r>
      <w:r w:rsidR="004260B1">
        <w:noBreakHyphen/>
      </w:r>
      <w:r w:rsidRPr="006C0920">
        <w:t xml:space="preserve">case basis if the Treasurer considers the investment </w:t>
      </w:r>
      <w:r w:rsidR="00A14888">
        <w:t>could raise</w:t>
      </w:r>
      <w:r w:rsidR="00A14888" w:rsidRPr="006C0920">
        <w:t xml:space="preserve"> </w:t>
      </w:r>
      <w:r w:rsidRPr="006C0920">
        <w:t xml:space="preserve">national security concerns. Once called in, an investment </w:t>
      </w:r>
      <w:r w:rsidR="00A826C3">
        <w:t>would</w:t>
      </w:r>
      <w:r w:rsidRPr="006C0920">
        <w:t xml:space="preserve"> be reviewed under the national security test to determine if it raises national security concerns, consistent with the same process as those inve</w:t>
      </w:r>
      <w:r>
        <w:t>stors who notify on a mandatory </w:t>
      </w:r>
      <w:r w:rsidRPr="006C0920">
        <w:t xml:space="preserve">basis. </w:t>
      </w:r>
    </w:p>
    <w:p w14:paraId="53948EFF" w14:textId="4B13C452" w:rsidR="000F2D0B" w:rsidRPr="006C0920" w:rsidRDefault="000F2D0B" w:rsidP="00C5191C">
      <w:r w:rsidRPr="006C0920">
        <w:t xml:space="preserve">The use of the </w:t>
      </w:r>
      <w:r w:rsidR="004260B1">
        <w:t>‘</w:t>
      </w:r>
      <w:r w:rsidRPr="006C0920">
        <w:t>call in</w:t>
      </w:r>
      <w:r w:rsidR="004260B1">
        <w:t>’</w:t>
      </w:r>
      <w:r w:rsidRPr="006C0920">
        <w:t xml:space="preserve"> power </w:t>
      </w:r>
      <w:r w:rsidR="00A826C3">
        <w:t>would</w:t>
      </w:r>
      <w:r w:rsidRPr="006C0920">
        <w:t xml:space="preserve"> be time</w:t>
      </w:r>
      <w:r w:rsidR="004260B1">
        <w:noBreakHyphen/>
      </w:r>
      <w:r w:rsidRPr="006C0920">
        <w:t xml:space="preserve">limited and public guidance </w:t>
      </w:r>
      <w:r w:rsidR="00A826C3">
        <w:t>would</w:t>
      </w:r>
      <w:r w:rsidRPr="006C0920">
        <w:t xml:space="preserve"> be </w:t>
      </w:r>
      <w:r>
        <w:t>provided</w:t>
      </w:r>
      <w:r w:rsidRPr="006C0920">
        <w:t xml:space="preserve"> on the type of investments where the </w:t>
      </w:r>
      <w:r w:rsidR="004260B1">
        <w:t>‘</w:t>
      </w:r>
      <w:r w:rsidRPr="006C0920">
        <w:t>call in</w:t>
      </w:r>
      <w:r w:rsidR="004260B1">
        <w:t>’</w:t>
      </w:r>
      <w:r w:rsidRPr="006C0920">
        <w:t xml:space="preserve"> power is most likely to be used. This </w:t>
      </w:r>
      <w:r w:rsidR="00A826C3">
        <w:t>was</w:t>
      </w:r>
      <w:r w:rsidRPr="006C0920">
        <w:t xml:space="preserve"> consistent with existing practice</w:t>
      </w:r>
      <w:r w:rsidR="00095AB3">
        <w:t xml:space="preserve"> prior to and since the reforms</w:t>
      </w:r>
      <w:r w:rsidRPr="006C0920">
        <w:t xml:space="preserve">, where guidance material is provided on the </w:t>
      </w:r>
      <w:r w:rsidR="00A826C3">
        <w:t>foreign investment</w:t>
      </w:r>
      <w:r w:rsidRPr="006C0920">
        <w:t xml:space="preserve"> website. </w:t>
      </w:r>
    </w:p>
    <w:p w14:paraId="683FDACE" w14:textId="79CC7F4B" w:rsidR="000F2D0B" w:rsidRPr="009332B3" w:rsidRDefault="000F2D0B" w:rsidP="00C5191C">
      <w:r w:rsidRPr="006C0920">
        <w:t>For greater regulatory certainty, investors w</w:t>
      </w:r>
      <w:r w:rsidR="00A826C3">
        <w:t>ould</w:t>
      </w:r>
      <w:r w:rsidRPr="006C0920">
        <w:t xml:space="preserve"> have the opportunity to voluntarily notify (on a per</w:t>
      </w:r>
      <w:r w:rsidR="004260B1">
        <w:noBreakHyphen/>
      </w:r>
      <w:r w:rsidRPr="006C0920">
        <w:t>investment basis), including pre</w:t>
      </w:r>
      <w:r w:rsidR="004260B1">
        <w:noBreakHyphen/>
      </w:r>
      <w:r w:rsidRPr="006C0920">
        <w:t>acquisition, to avoid the possibility of being called in for review on national security grounds at a later stage</w:t>
      </w:r>
      <w:r w:rsidRPr="009332B3">
        <w:t>.</w:t>
      </w:r>
    </w:p>
    <w:p w14:paraId="74B9FB15" w14:textId="0409993E" w:rsidR="000F2D0B" w:rsidRPr="006C0920" w:rsidRDefault="002B2D0B" w:rsidP="00C5191C">
      <w:r>
        <w:t>It was intended that i</w:t>
      </w:r>
      <w:r w:rsidR="000F2D0B" w:rsidRPr="006C0920">
        <w:t xml:space="preserve">nvestors </w:t>
      </w:r>
      <w:r w:rsidR="000F2D0B">
        <w:t>w</w:t>
      </w:r>
      <w:r w:rsidR="00A826C3">
        <w:t>ould</w:t>
      </w:r>
      <w:r w:rsidR="000F2D0B" w:rsidRPr="006C0920">
        <w:t xml:space="preserve"> also be able to apply for a time</w:t>
      </w:r>
      <w:r w:rsidR="004260B1">
        <w:noBreakHyphen/>
      </w:r>
      <w:r w:rsidR="000F2D0B" w:rsidRPr="006C0920">
        <w:t>limited</w:t>
      </w:r>
      <w:r w:rsidR="000F2D0B">
        <w:t>,</w:t>
      </w:r>
      <w:r w:rsidR="000F2D0B" w:rsidRPr="006C0920">
        <w:t xml:space="preserve"> investor</w:t>
      </w:r>
      <w:r w:rsidR="004260B1">
        <w:noBreakHyphen/>
      </w:r>
      <w:r w:rsidR="000F2D0B" w:rsidRPr="006C0920">
        <w:t xml:space="preserve">specific exemption certificate which </w:t>
      </w:r>
      <w:r w:rsidR="002372E9">
        <w:t>would have</w:t>
      </w:r>
      <w:r w:rsidR="000F2D0B" w:rsidRPr="006C0920">
        <w:t xml:space="preserve"> enable</w:t>
      </w:r>
      <w:r w:rsidR="002372E9">
        <w:t>d</w:t>
      </w:r>
      <w:r w:rsidR="000F2D0B" w:rsidRPr="006C0920">
        <w:t xml:space="preserve"> them to make eligible acquisitions without the need for case</w:t>
      </w:r>
      <w:r w:rsidR="004260B1">
        <w:noBreakHyphen/>
      </w:r>
      <w:r w:rsidR="000F2D0B" w:rsidRPr="006C0920">
        <w:t>by</w:t>
      </w:r>
      <w:r w:rsidR="004260B1">
        <w:noBreakHyphen/>
      </w:r>
      <w:r w:rsidR="000F2D0B" w:rsidRPr="006C0920">
        <w:t>case screening. This investor</w:t>
      </w:r>
      <w:r w:rsidR="004260B1">
        <w:noBreakHyphen/>
      </w:r>
      <w:r w:rsidR="000F2D0B" w:rsidRPr="006C0920">
        <w:t xml:space="preserve">specific exemption certificate </w:t>
      </w:r>
      <w:r w:rsidR="00EE133F">
        <w:t>was</w:t>
      </w:r>
      <w:r w:rsidR="001B4F66">
        <w:t xml:space="preserve"> intended to be</w:t>
      </w:r>
      <w:r w:rsidR="000F2D0B" w:rsidRPr="006C0920">
        <w:t xml:space="preserve"> additional to the existing exemption certificates available for acquisitions of businesses, land and land entities, and mining and exploration tenements. Exemption certificates may range in length and value, and </w:t>
      </w:r>
      <w:r w:rsidR="00DF2E3A">
        <w:t>would</w:t>
      </w:r>
      <w:r w:rsidR="000F2D0B" w:rsidRPr="006C0920">
        <w:t xml:space="preserve"> be subject to conditions, including reporting conditions where necessary.</w:t>
      </w:r>
      <w:r w:rsidR="00F93D1E">
        <w:t xml:space="preserve"> </w:t>
      </w:r>
    </w:p>
    <w:p w14:paraId="1DE24433" w14:textId="59DF1431" w:rsidR="000F2D0B" w:rsidRPr="006C0920" w:rsidRDefault="000F2D0B" w:rsidP="00C5191C">
      <w:r w:rsidRPr="006C0920">
        <w:t>Finally, under this option, the Government also</w:t>
      </w:r>
      <w:r w:rsidR="000872AD">
        <w:t xml:space="preserve"> aimed to</w:t>
      </w:r>
      <w:r w:rsidRPr="006C0920">
        <w:t xml:space="preserve"> introduce a national security last resort review power to reassess approved foreign investments where subsequent national security risks emerge. The last resort review power </w:t>
      </w:r>
      <w:r w:rsidR="00620EA2">
        <w:t xml:space="preserve">would </w:t>
      </w:r>
      <w:r w:rsidRPr="006C0920">
        <w:t xml:space="preserve">allow the Treasurer to impose conditions, vary existing conditions or, as a last resort, require the divestment of foreign interests in a business, entity or land. The last resort review power </w:t>
      </w:r>
      <w:r>
        <w:t>w</w:t>
      </w:r>
      <w:r w:rsidR="00651BD6">
        <w:t>ould</w:t>
      </w:r>
      <w:r w:rsidRPr="006C0920">
        <w:t xml:space="preserve"> not be retrospective and </w:t>
      </w:r>
      <w:r>
        <w:t>w</w:t>
      </w:r>
      <w:r w:rsidR="00651BD6">
        <w:t>ould</w:t>
      </w:r>
      <w:r w:rsidRPr="006C0920">
        <w:t xml:space="preserve"> only be applicable to any future foreign investment that is reviewed under the FATA. </w:t>
      </w:r>
    </w:p>
    <w:p w14:paraId="378728A3" w14:textId="5201EF34" w:rsidR="00E84DA2" w:rsidRDefault="000F2D0B" w:rsidP="00C5191C">
      <w:r w:rsidRPr="006C0920">
        <w:t xml:space="preserve">The purpose of the last resort review power </w:t>
      </w:r>
      <w:r w:rsidR="00D63BFE">
        <w:t>aimed</w:t>
      </w:r>
      <w:r w:rsidRPr="006C0920">
        <w:t xml:space="preserve"> to address a gap in Australia</w:t>
      </w:r>
      <w:r w:rsidR="004260B1">
        <w:t>’</w:t>
      </w:r>
      <w:r w:rsidRPr="006C0920">
        <w:t>s approach to managing foreign involvement in sensitive sectors</w:t>
      </w:r>
      <w:r w:rsidR="00620EA2">
        <w:t xml:space="preserve"> – </w:t>
      </w:r>
      <w:r w:rsidRPr="006C0920">
        <w:t>where point</w:t>
      </w:r>
      <w:r w:rsidR="004260B1">
        <w:noBreakHyphen/>
      </w:r>
      <w:r w:rsidRPr="006C0920">
        <w:t>in</w:t>
      </w:r>
      <w:r w:rsidR="004260B1">
        <w:noBreakHyphen/>
      </w:r>
      <w:r w:rsidRPr="006C0920">
        <w:t xml:space="preserve">time approvals, including conditions to protect national security, are made redundant due to rapid technological change, or where the nature of the security risks posed change </w:t>
      </w:r>
      <w:proofErr w:type="gramStart"/>
      <w:r w:rsidRPr="006C0920">
        <w:t>subsequent to</w:t>
      </w:r>
      <w:proofErr w:type="gramEnd"/>
      <w:r w:rsidRPr="006C0920">
        <w:t xml:space="preserve"> approval. </w:t>
      </w:r>
    </w:p>
    <w:p w14:paraId="2F426F57" w14:textId="77777777" w:rsidR="00E84DA2" w:rsidRDefault="00E84DA2">
      <w:pPr>
        <w:spacing w:before="0" w:after="160" w:line="259" w:lineRule="auto"/>
      </w:pPr>
      <w:r>
        <w:br w:type="page"/>
      </w:r>
    </w:p>
    <w:p w14:paraId="572ECFE1" w14:textId="03CAEC0E" w:rsidR="000F2D0B" w:rsidRPr="006C0920" w:rsidRDefault="000F2D0B" w:rsidP="00C5191C">
      <w:r w:rsidRPr="006C0920">
        <w:t>Recognising the significant implications for investors, and the need for transparency and investor certainty, this power</w:t>
      </w:r>
      <w:r w:rsidR="00F8701D">
        <w:t xml:space="preserve"> was intended to be</w:t>
      </w:r>
      <w:r w:rsidRPr="006C0920">
        <w:t xml:space="preserve"> subject to significant safeguards, including the availability of merits review, and requirements that the Treasurer be satisfied that:</w:t>
      </w:r>
    </w:p>
    <w:p w14:paraId="39E9BC56" w14:textId="0EDF934A" w:rsidR="000F2D0B" w:rsidRPr="006C0920" w:rsidRDefault="000F2D0B" w:rsidP="00C5191C">
      <w:pPr>
        <w:pStyle w:val="Bullet"/>
      </w:pPr>
      <w:r w:rsidRPr="006C0920">
        <w:t xml:space="preserve">reasonable steps have been taken to negotiate in good faith with the foreign investor to achieve an outcome of eliminating or reducing the risk without action under the </w:t>
      </w:r>
      <w:r w:rsidR="00BF6ABC" w:rsidRPr="00BF6ABC">
        <w:rPr>
          <w:i/>
          <w:iCs/>
        </w:rPr>
        <w:t>Foreign Acquisitions and Takeovers Act, 1975</w:t>
      </w:r>
      <w:r w:rsidR="00BF6ABC">
        <w:t xml:space="preserve"> (</w:t>
      </w:r>
      <w:r w:rsidRPr="006C0920">
        <w:t>FATA</w:t>
      </w:r>
      <w:r w:rsidR="00BF6ABC">
        <w:t>)</w:t>
      </w:r>
    </w:p>
    <w:p w14:paraId="56EB01AA" w14:textId="5EFD903F" w:rsidR="000F2D0B" w:rsidRPr="006C0920" w:rsidRDefault="000F2D0B" w:rsidP="00C5191C">
      <w:pPr>
        <w:pStyle w:val="Bullet"/>
      </w:pPr>
      <w:r w:rsidRPr="006C0920">
        <w:t>requiring the investor to comply with an order is reasonably necessary to eliminate or reduce the national security risk</w:t>
      </w:r>
    </w:p>
    <w:p w14:paraId="10ABA91B" w14:textId="1D5363F1" w:rsidR="000F2D0B" w:rsidRPr="006C0920" w:rsidRDefault="000F2D0B" w:rsidP="00C5191C">
      <w:pPr>
        <w:pStyle w:val="Bullet"/>
      </w:pPr>
      <w:r w:rsidRPr="006C0920">
        <w:t>there are no other regulatory mechanisms outside the FATA that can be used to adequately</w:t>
      </w:r>
      <w:r w:rsidR="0036647A">
        <w:t xml:space="preserve"> </w:t>
      </w:r>
      <w:r w:rsidRPr="006C0920">
        <w:t>address the identified risk.</w:t>
      </w:r>
    </w:p>
    <w:p w14:paraId="231090BE" w14:textId="585F1CA8" w:rsidR="006F603D" w:rsidRPr="006D426F" w:rsidRDefault="006F603D" w:rsidP="00C5191C">
      <w:pPr>
        <w:pStyle w:val="Heading3"/>
        <w:rPr>
          <w:i/>
          <w:sz w:val="26"/>
          <w:szCs w:val="22"/>
        </w:rPr>
      </w:pPr>
      <w:r w:rsidRPr="00823AD3">
        <w:t>Option 3 – significant increase in the protection of Australia</w:t>
      </w:r>
      <w:r w:rsidR="004260B1">
        <w:t>’</w:t>
      </w:r>
      <w:r w:rsidRPr="00823AD3">
        <w:t>s assets</w:t>
      </w:r>
    </w:p>
    <w:p w14:paraId="0C713C19" w14:textId="4BA234D9" w:rsidR="001903CB" w:rsidRDefault="001903CB" w:rsidP="00C5191C">
      <w:r>
        <w:t xml:space="preserve">This option would have involved </w:t>
      </w:r>
      <w:r w:rsidR="00C71F3F" w:rsidRPr="00C71F3F">
        <w:t xml:space="preserve">permanently lowering the monetary screening thresholds for all investments subject to the FATA to zero dollars, consistent with temporary arrangements that were introduced in March 2020 in response to the coronavirus outbreak. This option </w:t>
      </w:r>
      <w:r w:rsidR="0012108C">
        <w:t>would have</w:t>
      </w:r>
      <w:r w:rsidR="00C71F3F" w:rsidRPr="00C71F3F">
        <w:t xml:space="preserve"> significantly tighten</w:t>
      </w:r>
      <w:r w:rsidR="0012108C">
        <w:t>ed</w:t>
      </w:r>
      <w:r w:rsidR="00C71F3F" w:rsidRPr="00C71F3F">
        <w:t xml:space="preserve"> screening arrangements for private investors, and </w:t>
      </w:r>
      <w:r w:rsidR="00925BDA">
        <w:t xml:space="preserve">would have </w:t>
      </w:r>
      <w:r w:rsidR="00C71F3F" w:rsidRPr="00C71F3F">
        <w:t>require</w:t>
      </w:r>
      <w:r w:rsidR="00A14888">
        <w:t>d</w:t>
      </w:r>
      <w:r w:rsidR="00C71F3F" w:rsidRPr="00C71F3F">
        <w:t xml:space="preserve"> more investments (for example, low</w:t>
      </w:r>
      <w:r w:rsidR="004260B1">
        <w:noBreakHyphen/>
      </w:r>
      <w:r w:rsidR="00C71F3F" w:rsidRPr="00C71F3F">
        <w:t>value investments that are ordinarily out of scope of screening) to be notified to the Government for pre</w:t>
      </w:r>
      <w:r w:rsidR="004260B1">
        <w:noBreakHyphen/>
      </w:r>
      <w:r w:rsidR="00C71F3F" w:rsidRPr="00C71F3F">
        <w:t>acquisition screening.</w:t>
      </w:r>
    </w:p>
    <w:p w14:paraId="7B0AAC00" w14:textId="6D87E9FF" w:rsidR="000F2D0B" w:rsidRPr="006C0920" w:rsidRDefault="000F2D0B" w:rsidP="00C5191C">
      <w:pPr>
        <w:pStyle w:val="Heading2Numbered"/>
      </w:pPr>
      <w:bookmarkStart w:id="22" w:name="_Toc48485530"/>
      <w:bookmarkStart w:id="23" w:name="_Toc50473121"/>
      <w:bookmarkStart w:id="24" w:name="_Toc53045115"/>
      <w:bookmarkStart w:id="25" w:name="_Toc196389568"/>
      <w:bookmarkStart w:id="26" w:name="_Toc210039662"/>
      <w:r w:rsidRPr="006C0920">
        <w:t xml:space="preserve">Improving the integrity of the foreign investment review </w:t>
      </w:r>
      <w:r w:rsidR="00404D17">
        <w:tab/>
      </w:r>
      <w:r w:rsidRPr="006C0920">
        <w:t>framework</w:t>
      </w:r>
      <w:bookmarkEnd w:id="22"/>
      <w:bookmarkEnd w:id="23"/>
      <w:bookmarkEnd w:id="24"/>
      <w:bookmarkEnd w:id="25"/>
      <w:bookmarkEnd w:id="26"/>
      <w:r w:rsidRPr="006C0920">
        <w:t xml:space="preserve"> </w:t>
      </w:r>
    </w:p>
    <w:p w14:paraId="637587E4" w14:textId="1E4663A3" w:rsidR="000F2D0B" w:rsidRPr="006C0920" w:rsidRDefault="000F2D0B" w:rsidP="00C5191C">
      <w:r w:rsidRPr="006C0920">
        <w:t xml:space="preserve">As noted above, the foreign investment framework </w:t>
      </w:r>
      <w:r w:rsidR="00E96910">
        <w:t>had</w:t>
      </w:r>
      <w:r w:rsidRPr="006C0920">
        <w:t xml:space="preserve"> </w:t>
      </w:r>
      <w:proofErr w:type="gramStart"/>
      <w:r w:rsidRPr="006C0920">
        <w:t>a number of</w:t>
      </w:r>
      <w:proofErr w:type="gramEnd"/>
      <w:r w:rsidRPr="006C0920">
        <w:t xml:space="preserve"> shortcomings that detract</w:t>
      </w:r>
      <w:r w:rsidR="00A14888">
        <w:t>ed</w:t>
      </w:r>
      <w:r w:rsidRPr="006C0920">
        <w:t xml:space="preserve"> from the integrity of the framework. These shortcomings create</w:t>
      </w:r>
      <w:r w:rsidR="00E96910">
        <w:t>d</w:t>
      </w:r>
      <w:r w:rsidRPr="006C0920">
        <w:t xml:space="preserve"> investor uncertainty and inhibit</w:t>
      </w:r>
      <w:r w:rsidR="00E96910">
        <w:t>ed</w:t>
      </w:r>
      <w:r w:rsidRPr="006C0920">
        <w:t xml:space="preserve"> the Government</w:t>
      </w:r>
      <w:r w:rsidR="004260B1">
        <w:t>’</w:t>
      </w:r>
      <w:r w:rsidRPr="006C0920">
        <w:t xml:space="preserve">s ability to effectively administer the framework. </w:t>
      </w:r>
    </w:p>
    <w:p w14:paraId="2061EF53" w14:textId="77777777" w:rsidR="00C71F3F" w:rsidRPr="00A6584F" w:rsidRDefault="00C71F3F" w:rsidP="00C5191C">
      <w:pPr>
        <w:pStyle w:val="Heading3"/>
      </w:pPr>
      <w:r w:rsidRPr="00A6584F">
        <w:t>Option 1 – status quo</w:t>
      </w:r>
    </w:p>
    <w:p w14:paraId="4799631E" w14:textId="212A88D4" w:rsidR="00C71F3F" w:rsidRDefault="00FE61F0" w:rsidP="00C5191C">
      <w:r w:rsidRPr="00FE61F0">
        <w:t xml:space="preserve">Under this option, the framework </w:t>
      </w:r>
      <w:r>
        <w:t>would have</w:t>
      </w:r>
      <w:r w:rsidRPr="00FE61F0">
        <w:t xml:space="preserve"> continue</w:t>
      </w:r>
      <w:r>
        <w:t>d</w:t>
      </w:r>
      <w:r w:rsidRPr="00FE61F0">
        <w:t xml:space="preserve"> to have various shortcomings that detract from its integrity and raise uncertainties about its application in a range of situations. Investors </w:t>
      </w:r>
      <w:r w:rsidR="00A23993">
        <w:t>would</w:t>
      </w:r>
      <w:r w:rsidRPr="00FE61F0">
        <w:t xml:space="preserve"> continue to be able to exploit the gaps and loopholes in the legislation, should they choose, and the Government </w:t>
      </w:r>
      <w:r w:rsidR="00A23993">
        <w:t>would</w:t>
      </w:r>
      <w:r w:rsidRPr="00FE61F0">
        <w:t xml:space="preserve"> have limited ability to screen or prohibit these investments. Even where they sought to do the right thing, in certain circumstances investors </w:t>
      </w:r>
      <w:r w:rsidR="00A23993">
        <w:t>would</w:t>
      </w:r>
      <w:r w:rsidRPr="00FE61F0">
        <w:t xml:space="preserve"> continue to be unsure about their obligations.</w:t>
      </w:r>
    </w:p>
    <w:p w14:paraId="38A495EC" w14:textId="77777777" w:rsidR="00011114" w:rsidRPr="00A6584F" w:rsidRDefault="00011114" w:rsidP="00C5191C">
      <w:pPr>
        <w:pStyle w:val="Heading3"/>
      </w:pPr>
      <w:r w:rsidRPr="00A6584F">
        <w:t xml:space="preserve">Option 2 </w:t>
      </w:r>
      <w:r>
        <w:t>–</w:t>
      </w:r>
      <w:r w:rsidRPr="00A6584F">
        <w:t xml:space="preserve"> a balanced approach</w:t>
      </w:r>
    </w:p>
    <w:p w14:paraId="60512DCF" w14:textId="3F87F384" w:rsidR="000F2D0B" w:rsidRPr="006C0920" w:rsidRDefault="00345AE4" w:rsidP="00C5191C">
      <w:r w:rsidRPr="006C0920">
        <w:t xml:space="preserve">Under </w:t>
      </w:r>
      <w:r>
        <w:t xml:space="preserve">this chosen </w:t>
      </w:r>
      <w:r w:rsidRPr="006C0920">
        <w:t>opti</w:t>
      </w:r>
      <w:r>
        <w:t>on</w:t>
      </w:r>
      <w:r w:rsidRPr="006C0920">
        <w:t>,</w:t>
      </w:r>
      <w:r>
        <w:t xml:space="preserve"> </w:t>
      </w:r>
      <w:r w:rsidR="000F2D0B" w:rsidRPr="006C0920">
        <w:t xml:space="preserve">the Government </w:t>
      </w:r>
      <w:r w:rsidR="005B6484">
        <w:t>aimed to</w:t>
      </w:r>
      <w:r w:rsidR="000F2D0B" w:rsidRPr="006C0920">
        <w:t xml:space="preserve"> clarify that foreign persons may require further foreign investment approval for increases in actual or proportional holdings above what has been previously approved, including </w:t>
      </w:r>
      <w:proofErr w:type="gramStart"/>
      <w:r w:rsidR="000F2D0B" w:rsidRPr="006C0920">
        <w:t>as a result of</w:t>
      </w:r>
      <w:proofErr w:type="gramEnd"/>
      <w:r w:rsidR="000F2D0B" w:rsidRPr="006C0920">
        <w:t xml:space="preserve"> creep acquisitions and proportional increases through share buybacks and selective capital reductions.</w:t>
      </w:r>
    </w:p>
    <w:p w14:paraId="25574201" w14:textId="7BB918BA" w:rsidR="000F2D0B" w:rsidRPr="006C0920" w:rsidRDefault="00243FF4" w:rsidP="00C5191C">
      <w:r>
        <w:rPr>
          <w:rFonts w:eastAsia="Arial"/>
        </w:rPr>
        <w:t>Prior to the reforms</w:t>
      </w:r>
      <w:r w:rsidR="000F2D0B" w:rsidRPr="006C0920">
        <w:rPr>
          <w:rFonts w:eastAsia="Arial"/>
        </w:rPr>
        <w:t xml:space="preserve">, not all increases in shareholdings of an Australian business or entity </w:t>
      </w:r>
      <w:r>
        <w:rPr>
          <w:rFonts w:eastAsia="Arial"/>
        </w:rPr>
        <w:t>were</w:t>
      </w:r>
      <w:r w:rsidR="000F2D0B" w:rsidRPr="006C0920">
        <w:rPr>
          <w:rFonts w:eastAsia="Arial"/>
        </w:rPr>
        <w:t xml:space="preserve"> significant actions if the acquisition d</w:t>
      </w:r>
      <w:r>
        <w:rPr>
          <w:rFonts w:eastAsia="Arial"/>
        </w:rPr>
        <w:t>id</w:t>
      </w:r>
      <w:r w:rsidR="000F2D0B" w:rsidRPr="006C0920">
        <w:rPr>
          <w:rFonts w:eastAsia="Arial"/>
        </w:rPr>
        <w:t xml:space="preserve"> not result in a change of control as provided under section 54 of the FATA. This mean</w:t>
      </w:r>
      <w:r>
        <w:rPr>
          <w:rFonts w:eastAsia="Arial"/>
        </w:rPr>
        <w:t>t</w:t>
      </w:r>
      <w:r w:rsidR="000F2D0B" w:rsidRPr="006C0920">
        <w:rPr>
          <w:rFonts w:eastAsia="Arial"/>
        </w:rPr>
        <w:t xml:space="preserve"> that private investors </w:t>
      </w:r>
      <w:r>
        <w:rPr>
          <w:rFonts w:eastAsia="Arial"/>
        </w:rPr>
        <w:t>were</w:t>
      </w:r>
      <w:r w:rsidR="000F2D0B" w:rsidRPr="006C0920">
        <w:rPr>
          <w:rFonts w:eastAsia="Arial"/>
        </w:rPr>
        <w:t xml:space="preserve"> able to increase their holdings in a target Australian business or entity over time, and the Treasurer</w:t>
      </w:r>
      <w:r w:rsidR="004260B1">
        <w:rPr>
          <w:rFonts w:eastAsia="Arial"/>
        </w:rPr>
        <w:t>’</w:t>
      </w:r>
      <w:r w:rsidR="000F2D0B" w:rsidRPr="006C0920">
        <w:rPr>
          <w:rFonts w:eastAsia="Arial"/>
        </w:rPr>
        <w:t xml:space="preserve">s powers under the FATA </w:t>
      </w:r>
      <w:r w:rsidR="002957E8">
        <w:rPr>
          <w:rFonts w:eastAsia="Arial"/>
        </w:rPr>
        <w:t>were</w:t>
      </w:r>
      <w:r w:rsidR="000F2D0B" w:rsidRPr="006C0920">
        <w:rPr>
          <w:rFonts w:eastAsia="Arial"/>
        </w:rPr>
        <w:t xml:space="preserve"> not enlivened. </w:t>
      </w:r>
      <w:r w:rsidR="000F2D0B" w:rsidRPr="006C0920">
        <w:t xml:space="preserve">The amendments </w:t>
      </w:r>
      <w:r w:rsidR="002957E8">
        <w:t>aimed to</w:t>
      </w:r>
      <w:r w:rsidR="000F2D0B" w:rsidRPr="006C0920">
        <w:t xml:space="preserve"> provide that in some circumstances, the </w:t>
      </w:r>
      <w:r w:rsidR="004260B1">
        <w:t>‘</w:t>
      </w:r>
      <w:r w:rsidR="000F2D0B" w:rsidRPr="006C0920">
        <w:t>change of control</w:t>
      </w:r>
      <w:r w:rsidR="004260B1">
        <w:t>’</w:t>
      </w:r>
      <w:r w:rsidR="000F2D0B" w:rsidRPr="006C0920">
        <w:t xml:space="preserve"> test </w:t>
      </w:r>
      <w:r w:rsidR="002957E8">
        <w:t>would</w:t>
      </w:r>
      <w:r w:rsidR="000F2D0B" w:rsidRPr="006C0920">
        <w:t xml:space="preserve"> no longer be a factor in determining that an action is a significant action once a foreign person controls an entity or business – thereby clarifying a source of uncertainty under the law</w:t>
      </w:r>
      <w:r w:rsidR="008266B9">
        <w:t xml:space="preserve"> prior to the reforms</w:t>
      </w:r>
      <w:r w:rsidR="000F2D0B" w:rsidRPr="006C0920">
        <w:t>.</w:t>
      </w:r>
    </w:p>
    <w:p w14:paraId="1F8BF81B" w14:textId="12EF1B34" w:rsidR="000F2D0B" w:rsidRPr="006C0920" w:rsidRDefault="000F2D0B" w:rsidP="00C5191C">
      <w:r w:rsidRPr="006C0920">
        <w:t xml:space="preserve">In addition, the Government </w:t>
      </w:r>
      <w:r w:rsidR="00FD3529">
        <w:t xml:space="preserve">aimed to </w:t>
      </w:r>
      <w:r w:rsidRPr="006C0920">
        <w:t>narrow the scope of the moneylending exemption so that it does not apply where foreign money lenders are obtaining interests in a sensitive national security business or land under a moneylending agreement.</w:t>
      </w:r>
    </w:p>
    <w:p w14:paraId="57B9F22F" w14:textId="667E5CAC" w:rsidR="000F2D0B" w:rsidRPr="006C0920" w:rsidRDefault="000F2D0B" w:rsidP="00C5191C">
      <w:r w:rsidRPr="006C0920">
        <w:t xml:space="preserve">The types of government assets that </w:t>
      </w:r>
      <w:r>
        <w:t>w</w:t>
      </w:r>
      <w:r w:rsidR="00FD3529">
        <w:t>ould</w:t>
      </w:r>
      <w:r w:rsidRPr="006C0920">
        <w:t xml:space="preserve"> be subject to scrutiny under the FATA </w:t>
      </w:r>
      <w:r>
        <w:t>w</w:t>
      </w:r>
      <w:r w:rsidR="00FD3529">
        <w:t>ould</w:t>
      </w:r>
      <w:r w:rsidRPr="006C0920">
        <w:t xml:space="preserve"> also be expanded (from critical infrastructure asset sales) to include acquisitions of sensitive national security businesses or land, including where they involve the privatisation of government functions or services in those areas. This </w:t>
      </w:r>
      <w:r w:rsidR="00126077">
        <w:t xml:space="preserve">aimed to </w:t>
      </w:r>
      <w:r w:rsidRPr="006C0920">
        <w:t>ensure that national security factors are considered in the context of such sales, consistent with the</w:t>
      </w:r>
      <w:r w:rsidR="00126077">
        <w:t xml:space="preserve"> proposed</w:t>
      </w:r>
      <w:r w:rsidRPr="006C0920">
        <w:t xml:space="preserve"> new national security test under the FATA. </w:t>
      </w:r>
    </w:p>
    <w:p w14:paraId="138CCEC4" w14:textId="3D2958AD" w:rsidR="000F2D0B" w:rsidRPr="00DF396B" w:rsidRDefault="000F2D0B" w:rsidP="00C5191C">
      <w:pPr>
        <w:rPr>
          <w:rFonts w:eastAsia="Arial"/>
        </w:rPr>
      </w:pPr>
      <w:r w:rsidRPr="006C0920">
        <w:t xml:space="preserve">Further amendments </w:t>
      </w:r>
      <w:r w:rsidR="00126077">
        <w:t xml:space="preserve">aimed to </w:t>
      </w:r>
      <w:r w:rsidRPr="006C0920">
        <w:t xml:space="preserve">ensure that the tracing rules </w:t>
      </w:r>
      <w:r w:rsidR="00E30CFD">
        <w:t>could</w:t>
      </w:r>
      <w:r w:rsidRPr="006C0920">
        <w:t xml:space="preserve"> be applied to unincorporated limited partnerships, as they are to corporations and trusts, so that beneficial interests can be traced. </w:t>
      </w:r>
      <w:r w:rsidR="005D3F9C">
        <w:rPr>
          <w:szCs w:val="22"/>
        </w:rPr>
        <w:t>Prior to the reforms</w:t>
      </w:r>
      <w:r>
        <w:rPr>
          <w:szCs w:val="22"/>
        </w:rPr>
        <w:t>,</w:t>
      </w:r>
      <w:r w:rsidRPr="006C0920">
        <w:rPr>
          <w:szCs w:val="22"/>
        </w:rPr>
        <w:t xml:space="preserve"> under the </w:t>
      </w:r>
      <w:proofErr w:type="spellStart"/>
      <w:r w:rsidRPr="006C0920">
        <w:rPr>
          <w:szCs w:val="22"/>
        </w:rPr>
        <w:t>tracing</w:t>
      </w:r>
      <w:proofErr w:type="spellEnd"/>
      <w:r w:rsidRPr="006C0920">
        <w:rPr>
          <w:szCs w:val="22"/>
        </w:rPr>
        <w:t xml:space="preserve"> rules, a person </w:t>
      </w:r>
      <w:r w:rsidR="005D3F9C">
        <w:rPr>
          <w:szCs w:val="22"/>
        </w:rPr>
        <w:t xml:space="preserve">was </w:t>
      </w:r>
      <w:r w:rsidRPr="006C0920">
        <w:rPr>
          <w:szCs w:val="22"/>
        </w:rPr>
        <w:t>taken to hold interests in securities in companies or trusts which are lower in the corporate structure where certain requirements are met. These tracing rules c</w:t>
      </w:r>
      <w:r w:rsidR="005D3F9C">
        <w:rPr>
          <w:szCs w:val="22"/>
        </w:rPr>
        <w:t>ould not</w:t>
      </w:r>
      <w:r w:rsidRPr="006C0920">
        <w:rPr>
          <w:szCs w:val="22"/>
        </w:rPr>
        <w:t xml:space="preserve"> be applied to unincorporated limited partnerships, limiting the Government</w:t>
      </w:r>
      <w:r w:rsidR="004260B1">
        <w:rPr>
          <w:szCs w:val="22"/>
        </w:rPr>
        <w:t>’</w:t>
      </w:r>
      <w:r w:rsidRPr="006C0920">
        <w:rPr>
          <w:szCs w:val="22"/>
        </w:rPr>
        <w:t>s ability to impose conditions where an unincorporated limited partnership is used in a business structure.</w:t>
      </w:r>
      <w:r w:rsidRPr="006C0920">
        <w:t xml:space="preserve"> </w:t>
      </w:r>
      <w:r w:rsidRPr="006C0920">
        <w:rPr>
          <w:rFonts w:eastAsia="Arial"/>
        </w:rPr>
        <w:t xml:space="preserve">Extending the tracing rules to apply to unincorporated limited partnerships </w:t>
      </w:r>
      <w:r w:rsidR="008778D9">
        <w:rPr>
          <w:rFonts w:eastAsia="Arial"/>
        </w:rPr>
        <w:t xml:space="preserve">aimed to </w:t>
      </w:r>
      <w:r w:rsidRPr="006C0920">
        <w:rPr>
          <w:rFonts w:eastAsia="Arial"/>
        </w:rPr>
        <w:t>enable the Government to impose conditions on the higher entities in the organisational structure where required to manage national interest risks.</w:t>
      </w:r>
      <w:r>
        <w:rPr>
          <w:rFonts w:eastAsia="Arial"/>
        </w:rPr>
        <w:t xml:space="preserve"> Depending on the type of acquisitions and the risks being mitigated, conditions may vary from tax conditions, conditions relating to the proximity of an asset </w:t>
      </w:r>
      <w:r w:rsidR="00D53759">
        <w:rPr>
          <w:rFonts w:eastAsia="Arial"/>
        </w:rPr>
        <w:t xml:space="preserve">to </w:t>
      </w:r>
      <w:r>
        <w:rPr>
          <w:rFonts w:eastAsia="Arial"/>
        </w:rPr>
        <w:t>a Defence establishment, or conditions relating to the management of data.</w:t>
      </w:r>
    </w:p>
    <w:p w14:paraId="1BE4F8F1" w14:textId="16DA8EFA" w:rsidR="000F2D0B" w:rsidRPr="006C0920" w:rsidRDefault="000F2D0B" w:rsidP="00C5191C">
      <w:r w:rsidRPr="006C0920">
        <w:t xml:space="preserve">Furthermore, under this option, the FATA </w:t>
      </w:r>
      <w:r w:rsidR="00376E33">
        <w:t>was also</w:t>
      </w:r>
      <w:r w:rsidRPr="006C0920">
        <w:t xml:space="preserve"> amended to enable greater information sharing among government agencies in particular circumstances, as well as with foreign governments, for the purpose of enhancing compliance and better addressing national security risks.</w:t>
      </w:r>
    </w:p>
    <w:p w14:paraId="56AAFD67" w14:textId="6E094C5B" w:rsidR="00011114" w:rsidRPr="00A6584F" w:rsidRDefault="00011114" w:rsidP="00C5191C">
      <w:pPr>
        <w:pStyle w:val="Heading3"/>
      </w:pPr>
      <w:r w:rsidRPr="00A6584F">
        <w:t>Option 3 – significant increase in the protection of Australia</w:t>
      </w:r>
      <w:r w:rsidR="004260B1">
        <w:t>’</w:t>
      </w:r>
      <w:r w:rsidRPr="00A6584F">
        <w:t>s assets</w:t>
      </w:r>
    </w:p>
    <w:p w14:paraId="577C5ED7" w14:textId="595650A1" w:rsidR="00011114" w:rsidRPr="006C0920" w:rsidRDefault="00011114" w:rsidP="00C5191C">
      <w:r>
        <w:t>This option would have involved</w:t>
      </w:r>
      <w:r w:rsidR="00D6329D">
        <w:t xml:space="preserve"> </w:t>
      </w:r>
      <w:r w:rsidR="00D6329D" w:rsidRPr="00D6329D">
        <w:t xml:space="preserve">a more stringent approach to the screening of foreign investment proposals than under Option 2. For example, under this option, the </w:t>
      </w:r>
      <w:r w:rsidR="004260B1">
        <w:t>‘</w:t>
      </w:r>
      <w:r w:rsidR="00D6329D" w:rsidRPr="00D6329D">
        <w:t>change of control</w:t>
      </w:r>
      <w:r w:rsidR="004260B1">
        <w:t>’</w:t>
      </w:r>
      <w:r w:rsidR="00D6329D" w:rsidRPr="00D6329D">
        <w:t xml:space="preserve"> requirement within the FATA </w:t>
      </w:r>
      <w:r w:rsidR="009813B2">
        <w:t>would have been</w:t>
      </w:r>
      <w:r w:rsidR="00D6329D" w:rsidRPr="00D6329D">
        <w:t xml:space="preserve"> removed completely, which </w:t>
      </w:r>
      <w:r w:rsidR="00880FB4">
        <w:t>would</w:t>
      </w:r>
      <w:r w:rsidR="00C829AB">
        <w:t xml:space="preserve"> have</w:t>
      </w:r>
      <w:r w:rsidR="00D6329D" w:rsidRPr="00D6329D">
        <w:t xml:space="preserve"> be</w:t>
      </w:r>
      <w:r w:rsidR="00C829AB">
        <w:t>en</w:t>
      </w:r>
      <w:r w:rsidR="00D6329D" w:rsidRPr="00D6329D">
        <w:t xml:space="preserve"> likely to result in more foreign investment proposals being subject to the Treasurer</w:t>
      </w:r>
      <w:r w:rsidR="004260B1">
        <w:t>’</w:t>
      </w:r>
      <w:r w:rsidR="00D6329D" w:rsidRPr="00D6329D">
        <w:t xml:space="preserve">s powers. The information sharing provisions of the FATA </w:t>
      </w:r>
      <w:r w:rsidR="0012108C">
        <w:t>would have</w:t>
      </w:r>
      <w:r w:rsidR="00D6329D" w:rsidRPr="00D6329D">
        <w:t xml:space="preserve"> also be</w:t>
      </w:r>
      <w:r w:rsidR="0012108C">
        <w:t>en</w:t>
      </w:r>
      <w:r w:rsidR="00D6329D" w:rsidRPr="00D6329D">
        <w:t xml:space="preserve"> significantly expanded under this option, on a broad principles</w:t>
      </w:r>
      <w:r w:rsidR="004260B1">
        <w:noBreakHyphen/>
      </w:r>
      <w:r w:rsidR="00D6329D" w:rsidRPr="00D6329D">
        <w:t>based approach, to allow the regulator to share protected information with any government agencies where it is in the national interest to do so.</w:t>
      </w:r>
    </w:p>
    <w:p w14:paraId="7E19DCC9" w14:textId="71F82C8A" w:rsidR="000F2D0B" w:rsidRPr="006C0920" w:rsidRDefault="000F2D0B" w:rsidP="00C5191C">
      <w:pPr>
        <w:pStyle w:val="Heading2Numbered"/>
      </w:pPr>
      <w:bookmarkStart w:id="27" w:name="_Toc48485531"/>
      <w:bookmarkStart w:id="28" w:name="_Toc50473122"/>
      <w:bookmarkStart w:id="29" w:name="_Toc53045116"/>
      <w:bookmarkStart w:id="30" w:name="_Toc196389569"/>
      <w:bookmarkStart w:id="31" w:name="_Toc210039663"/>
      <w:r w:rsidRPr="006C0920">
        <w:t xml:space="preserve">Stronger compliance and enforcement </w:t>
      </w:r>
      <w:bookmarkEnd w:id="27"/>
      <w:bookmarkEnd w:id="28"/>
      <w:r>
        <w:t>powers</w:t>
      </w:r>
      <w:bookmarkEnd w:id="29"/>
      <w:bookmarkEnd w:id="30"/>
      <w:bookmarkEnd w:id="31"/>
    </w:p>
    <w:p w14:paraId="413802C1" w14:textId="6257B603" w:rsidR="000F2D0B" w:rsidRPr="006C0920" w:rsidRDefault="000F2D0B" w:rsidP="00C5191C">
      <w:r w:rsidRPr="006C0920">
        <w:t>Compliance activities are fundamental to the integrity of the foreign investment framework. They provide assurance that foreign persons are meeting their obligations while minimising the regulatory burden and ensuring a level playing field for all investors.</w:t>
      </w:r>
    </w:p>
    <w:p w14:paraId="1CCE8A25" w14:textId="06501DF6" w:rsidR="000F2D0B" w:rsidRPr="006C0920" w:rsidRDefault="000F2D0B" w:rsidP="00C5191C">
      <w:r w:rsidRPr="006C0920">
        <w:t xml:space="preserve">However, as noted above, there </w:t>
      </w:r>
      <w:r w:rsidR="00D72E79">
        <w:t>was</w:t>
      </w:r>
      <w:r w:rsidRPr="006C0920">
        <w:t xml:space="preserve"> a need to expand the Government</w:t>
      </w:r>
      <w:r w:rsidR="004260B1">
        <w:t>’</w:t>
      </w:r>
      <w:r w:rsidRPr="006C0920">
        <w:t xml:space="preserve">s compliance monitoring and enforcement powers, as </w:t>
      </w:r>
      <w:r w:rsidR="007D374E">
        <w:t>the available powers</w:t>
      </w:r>
      <w:r w:rsidRPr="006C0920">
        <w:t xml:space="preserve"> </w:t>
      </w:r>
      <w:r w:rsidR="00D72E79">
        <w:t>prior to the reforms was</w:t>
      </w:r>
      <w:r w:rsidRPr="006C0920">
        <w:t xml:space="preserve"> not an effective deterrent </w:t>
      </w:r>
      <w:r>
        <w:t>to</w:t>
      </w:r>
      <w:r w:rsidRPr="006C0920">
        <w:t xml:space="preserve"> non</w:t>
      </w:r>
      <w:r w:rsidR="004260B1">
        <w:noBreakHyphen/>
      </w:r>
      <w:r w:rsidRPr="006C0920">
        <w:t>compliance.</w:t>
      </w:r>
    </w:p>
    <w:p w14:paraId="293B005E" w14:textId="77777777" w:rsidR="00E21BB7" w:rsidRDefault="00E21BB7" w:rsidP="00C5191C">
      <w:pPr>
        <w:pStyle w:val="Heading3"/>
      </w:pPr>
      <w:r w:rsidRPr="006D426F">
        <w:t>Option 1 – status quo</w:t>
      </w:r>
    </w:p>
    <w:p w14:paraId="142CCAF2" w14:textId="164E3497" w:rsidR="000F1A66" w:rsidRPr="006D426F" w:rsidRDefault="007B7556" w:rsidP="00C5191C">
      <w:pPr>
        <w:rPr>
          <w:iCs/>
        </w:rPr>
      </w:pPr>
      <w:r>
        <w:t>Under this option, the Government</w:t>
      </w:r>
      <w:r w:rsidR="004260B1">
        <w:t>’</w:t>
      </w:r>
      <w:r>
        <w:t>s compliance and enforcement powers would have remained quite limited</w:t>
      </w:r>
      <w:r w:rsidR="00F75BF3">
        <w:t xml:space="preserve"> </w:t>
      </w:r>
      <w:r w:rsidR="00F75BF3" w:rsidRPr="00F75BF3">
        <w:t>for investments not administered by the Commissioner of Taxation</w:t>
      </w:r>
      <w:r>
        <w:t xml:space="preserve">. The FATA did not include monitoring </w:t>
      </w:r>
      <w:r w:rsidR="00E12727">
        <w:t>or</w:t>
      </w:r>
      <w:r>
        <w:t xml:space="preserve"> investigative powers </w:t>
      </w:r>
      <w:r w:rsidR="002164F3">
        <w:t>which</w:t>
      </w:r>
      <w:r w:rsidR="00E12727">
        <w:t xml:space="preserve"> </w:t>
      </w:r>
      <w:r w:rsidR="00DD7FCE">
        <w:t>were</w:t>
      </w:r>
      <w:r>
        <w:t xml:space="preserve"> limited to requests for information and documents under section 133</w:t>
      </w:r>
      <w:r w:rsidR="004A0989">
        <w:t xml:space="preserve"> of the FATA</w:t>
      </w:r>
      <w:r>
        <w:t xml:space="preserve">. </w:t>
      </w:r>
      <w:r w:rsidR="00787803" w:rsidRPr="00787803">
        <w:t xml:space="preserve">The </w:t>
      </w:r>
      <w:r w:rsidR="00787803" w:rsidRPr="00787803">
        <w:rPr>
          <w:i/>
          <w:iCs/>
        </w:rPr>
        <w:t>Tax Administration Act 1953</w:t>
      </w:r>
      <w:r w:rsidR="00787803" w:rsidRPr="00787803">
        <w:t xml:space="preserve"> (TAA) provides broad information gathering powers to the ATO which could be utilised in monitoring and enforcing compliance in relation to aspects of the foreign investment framework administered by the ATO (largely residential real estate investments). </w:t>
      </w:r>
      <w:r>
        <w:t xml:space="preserve">Monitoring compliance </w:t>
      </w:r>
      <w:r w:rsidR="0046164D" w:rsidRPr="0046164D">
        <w:t>of non</w:t>
      </w:r>
      <w:r w:rsidR="004260B1">
        <w:noBreakHyphen/>
      </w:r>
      <w:r w:rsidR="0046164D" w:rsidRPr="0046164D">
        <w:t>residential assets</w:t>
      </w:r>
      <w:r>
        <w:t xml:space="preserve"> would have continued to be facilitated through reporting requirements on conditions attached to approvals, while investigations w</w:t>
      </w:r>
      <w:r w:rsidR="00EF07FE">
        <w:t>ould have</w:t>
      </w:r>
      <w:r>
        <w:t xml:space="preserve"> remain</w:t>
      </w:r>
      <w:r w:rsidR="00EF07FE">
        <w:t>ed</w:t>
      </w:r>
      <w:r>
        <w:t xml:space="preserve"> largely desktop and paper</w:t>
      </w:r>
      <w:r w:rsidR="004260B1">
        <w:noBreakHyphen/>
      </w:r>
      <w:r>
        <w:t>based by searching existing government and public databases</w:t>
      </w:r>
      <w:r w:rsidR="007B2EEB">
        <w:t xml:space="preserve">, resulting in </w:t>
      </w:r>
      <w:r w:rsidR="001B63EA">
        <w:t>limited assurance of compliance</w:t>
      </w:r>
      <w:r>
        <w:t xml:space="preserve">. </w:t>
      </w:r>
      <w:r w:rsidR="006A1DE5">
        <w:t xml:space="preserve">The Government would have continued to </w:t>
      </w:r>
      <w:r>
        <w:t xml:space="preserve">have limited ability to respond </w:t>
      </w:r>
      <w:r w:rsidR="009A16A8">
        <w:t xml:space="preserve">proportionately </w:t>
      </w:r>
      <w:r>
        <w:t xml:space="preserve">to issues of </w:t>
      </w:r>
      <w:r w:rsidR="002519F9" w:rsidRPr="00C36199">
        <w:t>non</w:t>
      </w:r>
      <w:r w:rsidR="004260B1">
        <w:noBreakHyphen/>
      </w:r>
      <w:r w:rsidR="002519F9" w:rsidRPr="00C36199">
        <w:t>compliance</w:t>
      </w:r>
      <w:r>
        <w:t>, with no ability to use infringement notices for minor offences.</w:t>
      </w:r>
    </w:p>
    <w:p w14:paraId="25C2996A" w14:textId="0C9C406E" w:rsidR="00414B14" w:rsidRPr="006D426F" w:rsidRDefault="001C4FAB" w:rsidP="00C5191C">
      <w:pPr>
        <w:pStyle w:val="Heading3"/>
        <w:rPr>
          <w:i/>
          <w:sz w:val="26"/>
          <w:szCs w:val="22"/>
        </w:rPr>
      </w:pPr>
      <w:r w:rsidRPr="006D426F">
        <w:t>Option 2 – a balanced approach</w:t>
      </w:r>
    </w:p>
    <w:p w14:paraId="10BDDC15" w14:textId="229D244B" w:rsidR="000F2D0B" w:rsidRPr="006C0920" w:rsidRDefault="00345AE4" w:rsidP="00C5191C">
      <w:r w:rsidRPr="006C0920">
        <w:t xml:space="preserve">Under </w:t>
      </w:r>
      <w:r>
        <w:t xml:space="preserve">this chosen </w:t>
      </w:r>
      <w:r w:rsidRPr="006C0920">
        <w:t>opti</w:t>
      </w:r>
      <w:r>
        <w:t>on</w:t>
      </w:r>
      <w:r w:rsidRPr="006C0920">
        <w:t>,</w:t>
      </w:r>
      <w:r>
        <w:t xml:space="preserve"> </w:t>
      </w:r>
      <w:r w:rsidR="000F2D0B" w:rsidRPr="006C0920">
        <w:t xml:space="preserve">the Government </w:t>
      </w:r>
      <w:r w:rsidR="000F2D0B">
        <w:t>w</w:t>
      </w:r>
      <w:r w:rsidR="00A9139C">
        <w:t>ould</w:t>
      </w:r>
      <w:r w:rsidR="000F2D0B" w:rsidRPr="006C0920">
        <w:t xml:space="preserve"> have the resources, powers and penalties to effectively monitor, investigate and prosecute breaches of foreign investment laws. </w:t>
      </w:r>
    </w:p>
    <w:p w14:paraId="5EB0D5F6" w14:textId="429096C6" w:rsidR="000F2D0B" w:rsidRPr="006C0920" w:rsidRDefault="000F2D0B" w:rsidP="00C5191C">
      <w:r w:rsidRPr="006C0920">
        <w:t xml:space="preserve">The Government </w:t>
      </w:r>
      <w:r>
        <w:t>w</w:t>
      </w:r>
      <w:r w:rsidR="00A9139C">
        <w:t xml:space="preserve">ould </w:t>
      </w:r>
      <w:r w:rsidRPr="006C0920">
        <w:t xml:space="preserve">have standard monitoring and investigative powers (in line with those of other business regulators) by enlivening the relevant provisions in the </w:t>
      </w:r>
      <w:r w:rsidRPr="006C0920">
        <w:rPr>
          <w:i/>
        </w:rPr>
        <w:t>Regulatory Powers (Standard Provisions) Act 2014</w:t>
      </w:r>
      <w:r w:rsidRPr="006C0920">
        <w:t>. This w</w:t>
      </w:r>
      <w:r w:rsidR="00A9139C">
        <w:t xml:space="preserve">ould </w:t>
      </w:r>
      <w:r w:rsidRPr="006C0920">
        <w:t xml:space="preserve">enable authorised officers to access premises with consent or by warrant, gather documents, information or equipment, and interview people for relevant information. Investors </w:t>
      </w:r>
      <w:r>
        <w:t>w</w:t>
      </w:r>
      <w:r w:rsidR="00320E76">
        <w:t>ould</w:t>
      </w:r>
      <w:r w:rsidRPr="006C0920">
        <w:t xml:space="preserve"> also be required to notify the Government where certain events occur in relation to actions taken (e.g. where an asset is sold), consistent with the requirements of the </w:t>
      </w:r>
      <w:r w:rsidR="00320E76">
        <w:t xml:space="preserve">proposed </w:t>
      </w:r>
      <w:r w:rsidRPr="006C0920">
        <w:t xml:space="preserve">new foreign ownership register. This measure </w:t>
      </w:r>
      <w:r>
        <w:t>w</w:t>
      </w:r>
      <w:r w:rsidR="00320E76">
        <w:t xml:space="preserve">ould </w:t>
      </w:r>
      <w:r w:rsidRPr="006C0920">
        <w:t xml:space="preserve">improve </w:t>
      </w:r>
      <w:r w:rsidR="00C86CFD">
        <w:t xml:space="preserve">the </w:t>
      </w:r>
      <w:r w:rsidRPr="006C0920">
        <w:t>regulator</w:t>
      </w:r>
      <w:r w:rsidR="004260B1">
        <w:t>’</w:t>
      </w:r>
      <w:r w:rsidRPr="006C0920">
        <w:t>s capability to monitor investor compliance and/or investigate potential non</w:t>
      </w:r>
      <w:r w:rsidR="004260B1">
        <w:noBreakHyphen/>
      </w:r>
      <w:r w:rsidRPr="006C0920">
        <w:t xml:space="preserve">compliance. </w:t>
      </w:r>
    </w:p>
    <w:p w14:paraId="410D3162" w14:textId="720957C2" w:rsidR="000F2D0B" w:rsidRPr="006C0920" w:rsidRDefault="000F2D0B" w:rsidP="00C5191C">
      <w:r w:rsidRPr="006C0920">
        <w:t xml:space="preserve">The power to issue directions </w:t>
      </w:r>
      <w:r>
        <w:t>w</w:t>
      </w:r>
      <w:r w:rsidR="00F30561">
        <w:t>ould</w:t>
      </w:r>
      <w:r w:rsidRPr="006C0920">
        <w:t xml:space="preserve"> give the Government flexibility on how best to address actual or likely non</w:t>
      </w:r>
      <w:r w:rsidR="004260B1">
        <w:noBreakHyphen/>
      </w:r>
      <w:r w:rsidRPr="006C0920">
        <w:t xml:space="preserve">compliance. The directions power </w:t>
      </w:r>
      <w:r>
        <w:t>w</w:t>
      </w:r>
      <w:r w:rsidR="00F30561">
        <w:t>ould</w:t>
      </w:r>
      <w:r w:rsidRPr="006C0920">
        <w:t xml:space="preserve"> be triggered where the Government has a reason to suspect that an investor has, is, or will, engage in conduct that breaches a condition of their approval or breaches a foreign investment law. The requirement to have a </w:t>
      </w:r>
      <w:r w:rsidR="004260B1">
        <w:t>‘</w:t>
      </w:r>
      <w:r w:rsidRPr="006C0920">
        <w:t>reason to suspect</w:t>
      </w:r>
      <w:r w:rsidR="004260B1">
        <w:t>’</w:t>
      </w:r>
      <w:r w:rsidRPr="006C0920">
        <w:t xml:space="preserve"> is an objective test based on the facts and circumstances of each </w:t>
      </w:r>
      <w:r w:rsidR="00881873" w:rsidRPr="006C0920">
        <w:t>case and</w:t>
      </w:r>
      <w:r w:rsidRPr="006C0920">
        <w:t xml:space="preserve"> is consistent with the standard applied in other regulatory spheres such as in the</w:t>
      </w:r>
      <w:r>
        <w:t> </w:t>
      </w:r>
      <w:r w:rsidRPr="006C0920">
        <w:rPr>
          <w:i/>
        </w:rPr>
        <w:t>Australian Securities and Investment Commission Act</w:t>
      </w:r>
      <w:r w:rsidR="00404D17">
        <w:rPr>
          <w:i/>
        </w:rPr>
        <w:t> </w:t>
      </w:r>
      <w:r w:rsidRPr="006C0920">
        <w:rPr>
          <w:i/>
        </w:rPr>
        <w:t>2001</w:t>
      </w:r>
      <w:r w:rsidRPr="006C0920">
        <w:t xml:space="preserve"> and the </w:t>
      </w:r>
      <w:r w:rsidRPr="006C0920">
        <w:rPr>
          <w:i/>
        </w:rPr>
        <w:t>National Consumer Credit Protection Act 2009</w:t>
      </w:r>
      <w:r w:rsidRPr="006C0920">
        <w:t>.</w:t>
      </w:r>
    </w:p>
    <w:p w14:paraId="322C4F79" w14:textId="77777777" w:rsidR="000F2D0B" w:rsidRPr="006C0920" w:rsidRDefault="000F2D0B" w:rsidP="00C5191C">
      <w:r w:rsidRPr="006C0920">
        <w:t>Directions could be used to respond to a range of circumstances including to:</w:t>
      </w:r>
    </w:p>
    <w:p w14:paraId="68F1AABF" w14:textId="7E76AD31" w:rsidR="000F2D0B" w:rsidRPr="006C0920" w:rsidRDefault="000F2D0B" w:rsidP="00C5191C">
      <w:pPr>
        <w:pStyle w:val="Bullet"/>
      </w:pPr>
      <w:r w:rsidRPr="006C0920">
        <w:t>ensure compliance with the FATA or the associated regulations</w:t>
      </w:r>
    </w:p>
    <w:p w14:paraId="1A3060C4" w14:textId="77777777" w:rsidR="000F2D0B" w:rsidRPr="006C0920" w:rsidRDefault="000F2D0B" w:rsidP="00C5191C">
      <w:pPr>
        <w:pStyle w:val="Bullet"/>
      </w:pPr>
      <w:proofErr w:type="gramStart"/>
      <w:r w:rsidRPr="006C0920">
        <w:t>take action</w:t>
      </w:r>
      <w:proofErr w:type="gramEnd"/>
      <w:r w:rsidRPr="006C0920">
        <w:t xml:space="preserve"> or refrain from a particular action required to prevent further or ongoing harm to the national interest; and/or</w:t>
      </w:r>
    </w:p>
    <w:p w14:paraId="4CFD10F3" w14:textId="77777777" w:rsidR="000F2D0B" w:rsidRPr="006C0920" w:rsidRDefault="000F2D0B" w:rsidP="00C5191C">
      <w:pPr>
        <w:pStyle w:val="Bullet"/>
      </w:pPr>
      <w:proofErr w:type="gramStart"/>
      <w:r w:rsidRPr="006C0920">
        <w:t>take action</w:t>
      </w:r>
      <w:proofErr w:type="gramEnd"/>
      <w:r w:rsidRPr="006C0920">
        <w:t xml:space="preserve"> or refrain from a particular action to remedy any breaches of the terms of an exemption certificate or no objection certificate.</w:t>
      </w:r>
    </w:p>
    <w:p w14:paraId="23801AA3" w14:textId="338C143F" w:rsidR="000F2D0B" w:rsidRPr="006C0920" w:rsidRDefault="000F2D0B" w:rsidP="003448D8">
      <w:r w:rsidRPr="006C0920">
        <w:t>As such, directions w</w:t>
      </w:r>
      <w:r w:rsidR="002822E2">
        <w:t>ould</w:t>
      </w:r>
      <w:r w:rsidRPr="006C0920">
        <w:t xml:space="preserve"> vary depending on the circumstances, but may include removal of persons from corporate boards, providing audited financial statements to verify funding sources, or ceasing certain activities. The directions </w:t>
      </w:r>
      <w:r w:rsidR="00D84E70">
        <w:t xml:space="preserve">might have </w:t>
      </w:r>
      <w:r w:rsidRPr="006C0920">
        <w:t>require</w:t>
      </w:r>
      <w:r w:rsidR="00D84E70">
        <w:t>d</w:t>
      </w:r>
      <w:r w:rsidRPr="006C0920">
        <w:t xml:space="preserve"> the conduct to be completed within a set timeframe or until a specified condition is met. </w:t>
      </w:r>
    </w:p>
    <w:p w14:paraId="048AA953" w14:textId="1DC1ED54" w:rsidR="000F2D0B" w:rsidRPr="006C0920" w:rsidRDefault="000F2D0B" w:rsidP="003448D8">
      <w:r w:rsidRPr="006C0920">
        <w:t xml:space="preserve">An investor </w:t>
      </w:r>
      <w:r w:rsidR="002F1280">
        <w:t>would be required to</w:t>
      </w:r>
      <w:r w:rsidR="002F1280" w:rsidRPr="006C0920">
        <w:t xml:space="preserve"> </w:t>
      </w:r>
      <w:r w:rsidRPr="006C0920">
        <w:t xml:space="preserve">comply with a direction. Failure to comply with a direction </w:t>
      </w:r>
      <w:r w:rsidR="002F1280">
        <w:t xml:space="preserve">would </w:t>
      </w:r>
      <w:r w:rsidRPr="006C0920">
        <w:t>expose the person to enforcement mechanisms.</w:t>
      </w:r>
    </w:p>
    <w:p w14:paraId="568E7AEA" w14:textId="0400619D" w:rsidR="000F2D0B" w:rsidRPr="006C0920" w:rsidRDefault="000F2D0B" w:rsidP="003448D8">
      <w:r w:rsidRPr="006C0920">
        <w:t xml:space="preserve">Civil and criminal penalties under the FATA </w:t>
      </w:r>
      <w:r>
        <w:t>w</w:t>
      </w:r>
      <w:r w:rsidR="002822E2">
        <w:t>ould</w:t>
      </w:r>
      <w:r w:rsidRPr="006C0920">
        <w:t xml:space="preserve"> also be increased to ensure they act as an effective deterrent. These amounts </w:t>
      </w:r>
      <w:r>
        <w:t>w</w:t>
      </w:r>
      <w:r w:rsidR="009B503A">
        <w:t>ould</w:t>
      </w:r>
      <w:r w:rsidRPr="006C0920">
        <w:t xml:space="preserve"> be maximums to enable Treasury </w:t>
      </w:r>
      <w:r w:rsidR="0046164D">
        <w:t xml:space="preserve">and the ATO </w:t>
      </w:r>
      <w:r w:rsidRPr="006C0920">
        <w:t xml:space="preserve">to make submissions to the court to impose penalties appropriate to the circumstances of the contravention and relevant action. </w:t>
      </w:r>
    </w:p>
    <w:p w14:paraId="330E51D4" w14:textId="1E1A19BB" w:rsidR="000F2D0B" w:rsidRDefault="000F2D0B" w:rsidP="003448D8">
      <w:r w:rsidRPr="006C0920">
        <w:t>In general, civil penalties w</w:t>
      </w:r>
      <w:r w:rsidR="001C3CD9">
        <w:t xml:space="preserve">ould </w:t>
      </w:r>
      <w:r w:rsidRPr="006C0920">
        <w:t>be the g</w:t>
      </w:r>
      <w:r>
        <w:t>reater of the 5,000 units or 75 per cent</w:t>
      </w:r>
      <w:r w:rsidRPr="006C0920">
        <w:t xml:space="preserve"> of the value of the investment to a maximum monetary value of 250,000 penalty units. Criminal penalties w</w:t>
      </w:r>
      <w:r w:rsidR="001C3CD9">
        <w:t>ould</w:t>
      </w:r>
      <w:r w:rsidRPr="006C0920">
        <w:t xml:space="preserve"> increase</w:t>
      </w:r>
      <w:r>
        <w:t xml:space="preserve"> to</w:t>
      </w:r>
      <w:r w:rsidRPr="006C0920">
        <w:t xml:space="preserve"> 15,000 penalty units for individuals and 150,000 penalty units for corporations. A key exception is a failure to notify, where the civil and criminal penalty w</w:t>
      </w:r>
      <w:r w:rsidR="001C3CD9">
        <w:t>ould</w:t>
      </w:r>
      <w:r w:rsidRPr="006C0920">
        <w:t xml:space="preserve"> be capped at 250 penalty units. </w:t>
      </w:r>
    </w:p>
    <w:p w14:paraId="011FE4E5" w14:textId="1EE37000" w:rsidR="0042566D" w:rsidRPr="00A6584F" w:rsidRDefault="0042566D" w:rsidP="003448D8">
      <w:pPr>
        <w:pStyle w:val="Heading3"/>
      </w:pPr>
      <w:r w:rsidRPr="00A6584F">
        <w:t>Option 3 – significant increase in the protection of Australia</w:t>
      </w:r>
      <w:r w:rsidR="004260B1">
        <w:t>’</w:t>
      </w:r>
      <w:r w:rsidRPr="00A6584F">
        <w:t>s assets</w:t>
      </w:r>
    </w:p>
    <w:p w14:paraId="5CD65049" w14:textId="53E9629F" w:rsidR="001C4FAB" w:rsidRDefault="0042566D" w:rsidP="003448D8">
      <w:r>
        <w:t xml:space="preserve">This option would have involved </w:t>
      </w:r>
      <w:r w:rsidR="00345AE4" w:rsidRPr="00345AE4">
        <w:t xml:space="preserve">a more stringent penalty regime, with fewer (and less scalable) enforcement mechanisms available. Matters could only be enforced with court proceedings, which </w:t>
      </w:r>
      <w:r w:rsidR="00400386">
        <w:t>could have been</w:t>
      </w:r>
      <w:r w:rsidR="00345AE4" w:rsidRPr="00345AE4">
        <w:t xml:space="preserve"> resource and cost intensive approach for both Treasury and investor</w:t>
      </w:r>
      <w:r w:rsidR="004D3401">
        <w:t>s</w:t>
      </w:r>
      <w:r w:rsidR="00345AE4" w:rsidRPr="00345AE4">
        <w:t>.</w:t>
      </w:r>
    </w:p>
    <w:p w14:paraId="611674AF" w14:textId="59D24FF6" w:rsidR="000F2D0B" w:rsidRPr="006C0920" w:rsidRDefault="000F2D0B" w:rsidP="003448D8">
      <w:pPr>
        <w:pStyle w:val="Heading2Numbered"/>
      </w:pPr>
      <w:bookmarkStart w:id="32" w:name="_Toc48485532"/>
      <w:bookmarkStart w:id="33" w:name="_Toc50473123"/>
      <w:bookmarkStart w:id="34" w:name="_Toc53045117"/>
      <w:bookmarkStart w:id="35" w:name="_Toc196389570"/>
      <w:bookmarkStart w:id="36" w:name="_Toc210039664"/>
      <w:r w:rsidRPr="006C0920">
        <w:t xml:space="preserve">Streamlining </w:t>
      </w:r>
      <w:proofErr w:type="gramStart"/>
      <w:r w:rsidRPr="006C0920">
        <w:t>less</w:t>
      </w:r>
      <w:proofErr w:type="gramEnd"/>
      <w:r w:rsidRPr="006C0920">
        <w:t xml:space="preserve"> sensitive investments</w:t>
      </w:r>
      <w:bookmarkEnd w:id="32"/>
      <w:bookmarkEnd w:id="33"/>
      <w:bookmarkEnd w:id="34"/>
      <w:bookmarkEnd w:id="35"/>
      <w:bookmarkEnd w:id="36"/>
      <w:r w:rsidRPr="006C0920">
        <w:t xml:space="preserve"> </w:t>
      </w:r>
    </w:p>
    <w:p w14:paraId="358744AD" w14:textId="5413A8AF" w:rsidR="000F2D0B" w:rsidRPr="006C0920" w:rsidRDefault="000F2D0B" w:rsidP="003448D8">
      <w:r>
        <w:t xml:space="preserve">As noted above, some stakeholders </w:t>
      </w:r>
      <w:r w:rsidR="44DBAB27">
        <w:t xml:space="preserve">had </w:t>
      </w:r>
      <w:r>
        <w:t xml:space="preserve">stated that the foreign investment framework can be complex and burdensome in some situations. This is particularly relevant for privately controlled and managed institutional investors that are regularly screened under the foreign government investor screening rules due to large investments by foreign government investors in their funds. </w:t>
      </w:r>
    </w:p>
    <w:p w14:paraId="6A9C175B" w14:textId="77777777" w:rsidR="00345AE4" w:rsidRPr="00A6584F" w:rsidRDefault="00345AE4" w:rsidP="003448D8">
      <w:pPr>
        <w:pStyle w:val="Heading3"/>
      </w:pPr>
      <w:r w:rsidRPr="00A6584F">
        <w:t>Option 1 – status quo</w:t>
      </w:r>
    </w:p>
    <w:p w14:paraId="54C5D55F" w14:textId="528D4C3B" w:rsidR="00345AE4" w:rsidRDefault="00345AE4" w:rsidP="003448D8">
      <w:r w:rsidRPr="00211491">
        <w:t>Under this option,</w:t>
      </w:r>
      <w:r w:rsidR="004A4A3F">
        <w:t xml:space="preserve"> </w:t>
      </w:r>
      <w:r w:rsidR="002B06FB" w:rsidRPr="00324000">
        <w:t>investment funds in which a foreign government investor holds at least a 20</w:t>
      </w:r>
      <w:r w:rsidR="00404D17">
        <w:t> </w:t>
      </w:r>
      <w:r w:rsidR="002B06FB" w:rsidRPr="00324000">
        <w:t>per</w:t>
      </w:r>
      <w:r w:rsidR="00404D17">
        <w:t> </w:t>
      </w:r>
      <w:r w:rsidR="002B06FB" w:rsidRPr="00324000">
        <w:t>cent interest, or where multiple foreign government investors hold at least a 40</w:t>
      </w:r>
      <w:r w:rsidR="00404D17">
        <w:t> </w:t>
      </w:r>
      <w:r w:rsidR="002B06FB" w:rsidRPr="00324000">
        <w:t>per</w:t>
      </w:r>
      <w:r w:rsidR="00404D17">
        <w:t> </w:t>
      </w:r>
      <w:r w:rsidR="002B06FB" w:rsidRPr="00324000">
        <w:t xml:space="preserve">cent interest, </w:t>
      </w:r>
      <w:r w:rsidR="002B06FB">
        <w:t>would have</w:t>
      </w:r>
      <w:r w:rsidR="002B06FB" w:rsidRPr="00324000">
        <w:t xml:space="preserve"> continue</w:t>
      </w:r>
      <w:r w:rsidR="002B06FB">
        <w:t>d</w:t>
      </w:r>
      <w:r w:rsidR="002B06FB" w:rsidRPr="00324000">
        <w:t xml:space="preserve"> to be classified as a foreign government investor themselves.</w:t>
      </w:r>
    </w:p>
    <w:p w14:paraId="15D6FF3C" w14:textId="77777777" w:rsidR="00345AE4" w:rsidRPr="00A6584F" w:rsidRDefault="00345AE4" w:rsidP="006D426F">
      <w:pPr>
        <w:pStyle w:val="Heading3"/>
      </w:pPr>
      <w:r w:rsidRPr="00A6584F">
        <w:t>Option 2 – a balanced approach</w:t>
      </w:r>
    </w:p>
    <w:p w14:paraId="5AFC5C93" w14:textId="0D9B1B0C" w:rsidR="000F2D0B" w:rsidRPr="006C0920" w:rsidRDefault="00345AE4" w:rsidP="003448D8">
      <w:r w:rsidRPr="006C0920">
        <w:t xml:space="preserve">Under </w:t>
      </w:r>
      <w:r>
        <w:t xml:space="preserve">this chosen </w:t>
      </w:r>
      <w:r w:rsidRPr="006C0920">
        <w:t>opti</w:t>
      </w:r>
      <w:r>
        <w:t>on</w:t>
      </w:r>
      <w:r w:rsidRPr="006C0920">
        <w:t>,</w:t>
      </w:r>
      <w:r>
        <w:t xml:space="preserve"> </w:t>
      </w:r>
      <w:r w:rsidR="000F2D0B" w:rsidRPr="006C0920">
        <w:t xml:space="preserve">the Government </w:t>
      </w:r>
      <w:r w:rsidR="000F2D0B">
        <w:t>w</w:t>
      </w:r>
      <w:r w:rsidR="00D26708">
        <w:t>ould</w:t>
      </w:r>
      <w:r w:rsidR="000F2D0B" w:rsidRPr="006C0920">
        <w:t xml:space="preserve"> no longer treat certain entities (that is, some investment funds) as </w:t>
      </w:r>
      <w:r w:rsidR="000F2D0B">
        <w:t>foreign government investor</w:t>
      </w:r>
      <w:r w:rsidR="000F2D0B" w:rsidRPr="006C0920">
        <w:t xml:space="preserve">s under the broader national interest test where their </w:t>
      </w:r>
      <w:r w:rsidR="000F2D0B">
        <w:t xml:space="preserve">foreign government </w:t>
      </w:r>
      <w:r w:rsidR="000F2D0B" w:rsidRPr="006C0920">
        <w:t xml:space="preserve">investors are passive – meaning they </w:t>
      </w:r>
      <w:r w:rsidR="00862F09">
        <w:t>would have</w:t>
      </w:r>
      <w:r w:rsidR="000F2D0B" w:rsidRPr="006C0920">
        <w:t xml:space="preserve"> no influence or control over the investment or operational decisions of the entity or any of its underlying assets. This measure </w:t>
      </w:r>
      <w:r w:rsidR="000F2D0B">
        <w:t>w</w:t>
      </w:r>
      <w:r w:rsidR="00D26708">
        <w:t>ould</w:t>
      </w:r>
      <w:r w:rsidR="000F2D0B" w:rsidRPr="006C0920">
        <w:t xml:space="preserve"> be given effect in two ways: </w:t>
      </w:r>
    </w:p>
    <w:p w14:paraId="1E786CF0" w14:textId="3884AA9E" w:rsidR="000F2D0B" w:rsidRPr="006C0920" w:rsidRDefault="000F2D0B" w:rsidP="003448D8">
      <w:pPr>
        <w:pStyle w:val="Bullet"/>
      </w:pPr>
      <w:r w:rsidRPr="006C0920">
        <w:t xml:space="preserve">Entities which have more than 40 per cent foreign government ownership in aggregate (without influence or control) but less than 20 per cent from any single foreign government </w:t>
      </w:r>
      <w:r>
        <w:t>w</w:t>
      </w:r>
      <w:r w:rsidR="0035005A">
        <w:t>ould</w:t>
      </w:r>
      <w:r w:rsidRPr="006C0920">
        <w:t xml:space="preserve"> no longer be deemed </w:t>
      </w:r>
      <w:r>
        <w:t>foreign government investor</w:t>
      </w:r>
      <w:r w:rsidRPr="006C0920">
        <w:t>s.</w:t>
      </w:r>
    </w:p>
    <w:p w14:paraId="0CF7FE7E" w14:textId="44371045" w:rsidR="000F2D0B" w:rsidRPr="006C0920" w:rsidRDefault="000F2D0B" w:rsidP="003448D8">
      <w:pPr>
        <w:pStyle w:val="Bullet"/>
      </w:pPr>
      <w:r w:rsidRPr="006C0920">
        <w:t xml:space="preserve">Entities which have a single foreign government investor with at least 20 per cent ownership (without influence or control) </w:t>
      </w:r>
      <w:r w:rsidR="006464F9">
        <w:t>would</w:t>
      </w:r>
      <w:r w:rsidRPr="006C0920">
        <w:t xml:space="preserve"> still be deemed </w:t>
      </w:r>
      <w:r>
        <w:t>foreign government investor</w:t>
      </w:r>
      <w:r w:rsidRPr="006C0920">
        <w:t xml:space="preserve">s, however they </w:t>
      </w:r>
      <w:r>
        <w:t>w</w:t>
      </w:r>
      <w:r w:rsidR="00FB25ED">
        <w:t>ould</w:t>
      </w:r>
      <w:r w:rsidRPr="006C0920">
        <w:t xml:space="preserve"> be able to apply for a broad exemption certificate on a case</w:t>
      </w:r>
      <w:r w:rsidR="004260B1">
        <w:noBreakHyphen/>
      </w:r>
      <w:r w:rsidRPr="006C0920">
        <w:t>by</w:t>
      </w:r>
      <w:r w:rsidR="004260B1">
        <w:noBreakHyphen/>
      </w:r>
      <w:r w:rsidRPr="006C0920">
        <w:t>case basis that could exempt non</w:t>
      </w:r>
      <w:r w:rsidR="004260B1">
        <w:noBreakHyphen/>
      </w:r>
      <w:r w:rsidRPr="006C0920">
        <w:t xml:space="preserve">sensitive acquisitions below the private investor thresholds. </w:t>
      </w:r>
    </w:p>
    <w:p w14:paraId="20EAF04E" w14:textId="77777777" w:rsidR="000F2D0B" w:rsidRPr="006C0920" w:rsidRDefault="000F2D0B" w:rsidP="003448D8">
      <w:pPr>
        <w:pStyle w:val="Dash"/>
      </w:pPr>
      <w:r w:rsidRPr="006C0920">
        <w:t xml:space="preserve">These exemption certificates </w:t>
      </w:r>
      <w:r>
        <w:t>may</w:t>
      </w:r>
      <w:r w:rsidRPr="006C0920">
        <w:t xml:space="preserve"> be granted for a specified </w:t>
      </w:r>
      <w:proofErr w:type="gramStart"/>
      <w:r w:rsidRPr="006C0920">
        <w:t>time period</w:t>
      </w:r>
      <w:proofErr w:type="gramEnd"/>
      <w:r w:rsidRPr="006C0920">
        <w:t xml:space="preserve"> (such as five or ten years, or up to the life of the entity), and </w:t>
      </w:r>
      <w:r>
        <w:t>may</w:t>
      </w:r>
      <w:r w:rsidRPr="006C0920">
        <w:t xml:space="preserve"> include conditions, such as conditions regarding the passivity and control of foreign governments over the investment fund and target entities.</w:t>
      </w:r>
    </w:p>
    <w:p w14:paraId="7011B394" w14:textId="47B8EA3B" w:rsidR="000F2D0B" w:rsidRPr="006C0920" w:rsidRDefault="000F2D0B" w:rsidP="003448D8">
      <w:pPr>
        <w:pStyle w:val="Dash"/>
      </w:pPr>
      <w:r w:rsidRPr="006C0920">
        <w:t xml:space="preserve">If granted, the investor </w:t>
      </w:r>
      <w:r>
        <w:t>w</w:t>
      </w:r>
      <w:r w:rsidR="006D30B9">
        <w:t>ould</w:t>
      </w:r>
      <w:r w:rsidRPr="006C0920">
        <w:t xml:space="preserve"> effectively be in the same position as if the foreign government investor met the amended definition of aggregate substantial interest, in addition to being exempted from the notification requirements relating to an acquisition of a substantial interest on its own.</w:t>
      </w:r>
    </w:p>
    <w:p w14:paraId="72232D66" w14:textId="55B13757" w:rsidR="000F2D0B" w:rsidRPr="006C0920" w:rsidRDefault="000F2D0B" w:rsidP="003448D8">
      <w:r w:rsidRPr="006C0920">
        <w:t xml:space="preserve">These entities </w:t>
      </w:r>
      <w:r>
        <w:t>w</w:t>
      </w:r>
      <w:r w:rsidR="006D30B9">
        <w:t>ould</w:t>
      </w:r>
      <w:r w:rsidRPr="006C0920">
        <w:t xml:space="preserve"> still be considered as </w:t>
      </w:r>
      <w:r w:rsidR="004260B1">
        <w:t>‘</w:t>
      </w:r>
      <w:r w:rsidRPr="006C0920">
        <w:t>foreign persons</w:t>
      </w:r>
      <w:r w:rsidR="004260B1">
        <w:t>’</w:t>
      </w:r>
      <w:r w:rsidRPr="006C0920">
        <w:t xml:space="preserve"> for the purpose of foreign investment </w:t>
      </w:r>
      <w:r w:rsidR="00881873" w:rsidRPr="006C0920">
        <w:t>screening and</w:t>
      </w:r>
      <w:r w:rsidRPr="006C0920">
        <w:t xml:space="preserve"> </w:t>
      </w:r>
      <w:r>
        <w:t>w</w:t>
      </w:r>
      <w:r w:rsidR="00860A7E">
        <w:t>ould</w:t>
      </w:r>
      <w:r w:rsidRPr="006C0920">
        <w:t xml:space="preserve"> be subject to the usual screening </w:t>
      </w:r>
      <w:r>
        <w:t xml:space="preserve">thresholds for private </w:t>
      </w:r>
      <w:r w:rsidRPr="00B46B8B">
        <w:t>foreign</w:t>
      </w:r>
      <w:r>
        <w:t xml:space="preserve"> </w:t>
      </w:r>
      <w:r w:rsidRPr="00B46B8B">
        <w:t>investors</w:t>
      </w:r>
      <w:r w:rsidRPr="006C0920">
        <w:t xml:space="preserve">. </w:t>
      </w:r>
    </w:p>
    <w:p w14:paraId="4A918CFA" w14:textId="620DC8F1" w:rsidR="000F2D0B" w:rsidRPr="006C0920" w:rsidRDefault="000F2D0B" w:rsidP="003448D8">
      <w:r w:rsidRPr="006C0920">
        <w:t xml:space="preserve">In the case where a limited partnership investment fund may seek an exemption certificate, the entity </w:t>
      </w:r>
      <w:r>
        <w:t>w</w:t>
      </w:r>
      <w:r w:rsidR="00860A7E">
        <w:t>ould</w:t>
      </w:r>
      <w:r w:rsidRPr="006C0920">
        <w:t xml:space="preserve"> need to demonstrate the absence of </w:t>
      </w:r>
      <w:r>
        <w:t>foreign government investor</w:t>
      </w:r>
      <w:r w:rsidRPr="006C0920">
        <w:t xml:space="preserve"> influence or control. As part of the exemption certificate application, the fund </w:t>
      </w:r>
      <w:r>
        <w:t>w</w:t>
      </w:r>
      <w:r w:rsidR="0043070A">
        <w:t>ould</w:t>
      </w:r>
      <w:r w:rsidRPr="006C0920">
        <w:t xml:space="preserve"> be required to show that their </w:t>
      </w:r>
      <w:r>
        <w:t>foreign government investor</w:t>
      </w:r>
      <w:r w:rsidRPr="006C0920">
        <w:t xml:space="preserve">s: </w:t>
      </w:r>
    </w:p>
    <w:p w14:paraId="4CDA3474" w14:textId="6992E78A" w:rsidR="000F2D0B" w:rsidRPr="006C0920" w:rsidRDefault="000F2D0B" w:rsidP="003448D8">
      <w:pPr>
        <w:pStyle w:val="Bullet"/>
      </w:pPr>
      <w:r w:rsidRPr="006C0920">
        <w:t xml:space="preserve">do not have management rights in the investment </w:t>
      </w:r>
    </w:p>
    <w:p w14:paraId="6A1B139D" w14:textId="75A9D15F" w:rsidR="000F2D0B" w:rsidRPr="006C0920" w:rsidRDefault="000F2D0B" w:rsidP="003448D8">
      <w:pPr>
        <w:pStyle w:val="Bullet"/>
      </w:pPr>
      <w:proofErr w:type="gramStart"/>
      <w:r w:rsidRPr="006C0920">
        <w:t>typically</w:t>
      </w:r>
      <w:proofErr w:type="gramEnd"/>
      <w:r w:rsidRPr="006C0920">
        <w:t xml:space="preserve"> do not know which and when </w:t>
      </w:r>
      <w:proofErr w:type="gramStart"/>
      <w:r w:rsidRPr="006C0920">
        <w:t>particular investments</w:t>
      </w:r>
      <w:proofErr w:type="gramEnd"/>
      <w:r w:rsidRPr="006C0920">
        <w:t xml:space="preserve"> will be made (but may know the broad nature of the investment strategy) </w:t>
      </w:r>
    </w:p>
    <w:p w14:paraId="2BCC6732" w14:textId="77777777" w:rsidR="000F2D0B" w:rsidRPr="006C0920" w:rsidRDefault="000F2D0B" w:rsidP="003448D8">
      <w:pPr>
        <w:pStyle w:val="Bullet"/>
      </w:pPr>
      <w:r w:rsidRPr="006C0920">
        <w:t xml:space="preserve">do not have influence or control, directly or indirectly, and could not be perceived to have any influence or control, over the investment entity or strategy (including decisions to increase holdings or divest holdings in a sector or industry) of the investment fund. </w:t>
      </w:r>
    </w:p>
    <w:p w14:paraId="5B9FB7FD" w14:textId="77777777" w:rsidR="000F2D0B" w:rsidRPr="006C0920" w:rsidRDefault="000F2D0B" w:rsidP="003448D8">
      <w:r w:rsidRPr="006C0920">
        <w:t xml:space="preserve">The fund may also need to commit to the passivity of foreign government control </w:t>
      </w:r>
      <w:proofErr w:type="gramStart"/>
      <w:r w:rsidRPr="006C0920">
        <w:t>through the use of</w:t>
      </w:r>
      <w:proofErr w:type="gramEnd"/>
      <w:r w:rsidRPr="006C0920">
        <w:t xml:space="preserve"> conditions on the exemption certificate.</w:t>
      </w:r>
    </w:p>
    <w:p w14:paraId="2216FC39" w14:textId="75FB9EC9" w:rsidR="00345AE4" w:rsidRPr="00A6584F" w:rsidRDefault="00345AE4" w:rsidP="003448D8">
      <w:pPr>
        <w:pStyle w:val="Heading3"/>
      </w:pPr>
      <w:r w:rsidRPr="00A6584F">
        <w:t xml:space="preserve">Option 3 – significant </w:t>
      </w:r>
      <w:r w:rsidR="00547912">
        <w:t>de</w:t>
      </w:r>
      <w:r w:rsidRPr="00A6584F">
        <w:t>crease in the protection of Australia</w:t>
      </w:r>
      <w:r w:rsidR="004260B1">
        <w:t>’</w:t>
      </w:r>
      <w:r w:rsidRPr="00A6584F">
        <w:t>s assets</w:t>
      </w:r>
    </w:p>
    <w:p w14:paraId="74C74CE0" w14:textId="07521247" w:rsidR="00345AE4" w:rsidRPr="006C0920" w:rsidRDefault="00345AE4" w:rsidP="003448D8">
      <w:r>
        <w:t>This option would have involved</w:t>
      </w:r>
      <w:r w:rsidR="004712D5">
        <w:t xml:space="preserve"> </w:t>
      </w:r>
      <w:r w:rsidR="004712D5" w:rsidRPr="004712D5">
        <w:t xml:space="preserve">removing the </w:t>
      </w:r>
      <w:r w:rsidR="00881873" w:rsidRPr="004712D5">
        <w:t>zero</w:t>
      </w:r>
      <w:r w:rsidR="004260B1">
        <w:noBreakHyphen/>
      </w:r>
      <w:r w:rsidR="00881873" w:rsidRPr="004712D5">
        <w:t>dollar</w:t>
      </w:r>
      <w:r w:rsidR="004712D5" w:rsidRPr="004712D5">
        <w:t xml:space="preserve"> screening threshold that applies to all foreign government investor investments under the FATA. Investments made by foreign government investors into Australia </w:t>
      </w:r>
      <w:r w:rsidR="00312B55">
        <w:t>wo</w:t>
      </w:r>
      <w:r w:rsidR="008C2139">
        <w:t>uld have</w:t>
      </w:r>
      <w:r w:rsidR="004712D5" w:rsidRPr="004712D5">
        <w:t xml:space="preserve"> be</w:t>
      </w:r>
      <w:r w:rsidR="008C2139">
        <w:t>en</w:t>
      </w:r>
      <w:r w:rsidR="004712D5" w:rsidRPr="004712D5">
        <w:t xml:space="preserve"> subject to the same monetary screening thresholds as private investors.</w:t>
      </w:r>
    </w:p>
    <w:p w14:paraId="3C6DCDAF" w14:textId="2BF85B1D" w:rsidR="000F2D0B" w:rsidRPr="006C0920" w:rsidRDefault="000F2D0B" w:rsidP="003448D8">
      <w:pPr>
        <w:pStyle w:val="Heading2Numbered"/>
      </w:pPr>
      <w:bookmarkStart w:id="37" w:name="_Toc48485533"/>
      <w:bookmarkStart w:id="38" w:name="_Toc50473124"/>
      <w:bookmarkStart w:id="39" w:name="_Toc53045118"/>
      <w:bookmarkStart w:id="40" w:name="_Toc196389571"/>
      <w:bookmarkStart w:id="41" w:name="_Toc210039665"/>
      <w:r w:rsidRPr="006C0920">
        <w:t>Register of foreign ownership of Australian assets</w:t>
      </w:r>
      <w:bookmarkEnd w:id="37"/>
      <w:bookmarkEnd w:id="38"/>
      <w:bookmarkEnd w:id="39"/>
      <w:bookmarkEnd w:id="40"/>
      <w:bookmarkEnd w:id="41"/>
    </w:p>
    <w:p w14:paraId="5B788CA3" w14:textId="25DCCC7E" w:rsidR="000F2D0B" w:rsidRPr="006C0920" w:rsidRDefault="000F2D0B" w:rsidP="003448D8">
      <w:r w:rsidRPr="006C0920">
        <w:t>As noted above, the Government d</w:t>
      </w:r>
      <w:r w:rsidR="00A54FB0">
        <w:t>id</w:t>
      </w:r>
      <w:r w:rsidRPr="006C0920">
        <w:t xml:space="preserve"> not collect data on </w:t>
      </w:r>
      <w:r w:rsidR="00AE6349">
        <w:t xml:space="preserve">the levels of </w:t>
      </w:r>
      <w:r w:rsidRPr="006C0920">
        <w:t xml:space="preserve">foreign </w:t>
      </w:r>
      <w:r w:rsidR="00CF14D9">
        <w:t xml:space="preserve">ownerships </w:t>
      </w:r>
      <w:r w:rsidR="00965366">
        <w:t>in Australian assets</w:t>
      </w:r>
      <w:r w:rsidRPr="006C0920">
        <w:t>. This limit</w:t>
      </w:r>
      <w:r w:rsidR="00A54FB0">
        <w:t>ed</w:t>
      </w:r>
      <w:r w:rsidRPr="006C0920">
        <w:t xml:space="preserve"> the Government</w:t>
      </w:r>
      <w:r w:rsidR="004260B1">
        <w:t>’</w:t>
      </w:r>
      <w:r w:rsidRPr="006C0920">
        <w:t>s ability to assess cases, monitor compliance with conditions imposed on investments, and draw on a robust data set to inform policy development.</w:t>
      </w:r>
    </w:p>
    <w:p w14:paraId="59DBABB4" w14:textId="77777777" w:rsidR="004712D5" w:rsidRPr="00A6584F" w:rsidRDefault="004712D5" w:rsidP="006D426F">
      <w:pPr>
        <w:pStyle w:val="Heading3"/>
      </w:pPr>
      <w:r w:rsidRPr="00A6584F">
        <w:t>Option 1 – status quo</w:t>
      </w:r>
    </w:p>
    <w:p w14:paraId="5B56F454" w14:textId="3129E3BA" w:rsidR="004712D5" w:rsidRDefault="004712D5" w:rsidP="004712D5">
      <w:r w:rsidRPr="00211491">
        <w:t>Under this option,</w:t>
      </w:r>
      <w:r w:rsidR="004E6990">
        <w:t xml:space="preserve"> </w:t>
      </w:r>
      <w:r w:rsidR="005B2010" w:rsidRPr="00812081">
        <w:t xml:space="preserve">the Government </w:t>
      </w:r>
      <w:r w:rsidR="005B2010">
        <w:t>would have</w:t>
      </w:r>
      <w:r w:rsidR="005B2010" w:rsidRPr="00812081">
        <w:t xml:space="preserve"> continue</w:t>
      </w:r>
      <w:r w:rsidR="005B2010">
        <w:t>d</w:t>
      </w:r>
      <w:r w:rsidR="005B2010" w:rsidRPr="00812081">
        <w:t xml:space="preserve"> to collect only that foreign investment data that </w:t>
      </w:r>
      <w:r w:rsidR="009A0C3A">
        <w:t>was</w:t>
      </w:r>
      <w:r w:rsidR="009A0C3A" w:rsidRPr="00812081">
        <w:t xml:space="preserve"> </w:t>
      </w:r>
      <w:r w:rsidR="005B2010" w:rsidRPr="00812081">
        <w:t xml:space="preserve">captured on the small number of existing </w:t>
      </w:r>
      <w:proofErr w:type="gramStart"/>
      <w:r w:rsidR="005B2010" w:rsidRPr="00812081">
        <w:t>sector</w:t>
      </w:r>
      <w:proofErr w:type="gramEnd"/>
      <w:r w:rsidR="004260B1">
        <w:noBreakHyphen/>
      </w:r>
      <w:r w:rsidR="005B2010" w:rsidRPr="00812081">
        <w:t>specific registers. These five existing registers only collect</w:t>
      </w:r>
      <w:r w:rsidR="009A0C3A">
        <w:t>ed</w:t>
      </w:r>
      <w:r w:rsidR="005B2010" w:rsidRPr="00812081">
        <w:t xml:space="preserve"> information about realised foreign investments made into certain sectors of the economy</w:t>
      </w:r>
      <w:r w:rsidR="005B2010">
        <w:t xml:space="preserve"> </w:t>
      </w:r>
      <w:r w:rsidR="00976E2D">
        <w:t>–</w:t>
      </w:r>
      <w:r w:rsidR="005B2010" w:rsidRPr="00CB160D">
        <w:t xml:space="preserve"> being residential land, agricultural land, water interests, media businesses</w:t>
      </w:r>
      <w:r w:rsidR="002F130E" w:rsidRPr="00F85B1F">
        <w:rPr>
          <w:rStyle w:val="FootnoteReference"/>
          <w:vertAlign w:val="superscript"/>
        </w:rPr>
        <w:footnoteReference w:id="6"/>
      </w:r>
      <w:r w:rsidR="005B2010" w:rsidRPr="00F85B1F">
        <w:rPr>
          <w:vertAlign w:val="superscript"/>
        </w:rPr>
        <w:t xml:space="preserve"> </w:t>
      </w:r>
      <w:r w:rsidR="005B2010" w:rsidRPr="00CB160D">
        <w:t>and critical infrastructure</w:t>
      </w:r>
      <w:r w:rsidR="00204D24">
        <w:t>.</w:t>
      </w:r>
      <w:r w:rsidR="00872476" w:rsidRPr="00D977F0">
        <w:rPr>
          <w:rStyle w:val="FootnoteReference"/>
          <w:vertAlign w:val="superscript"/>
        </w:rPr>
        <w:footnoteReference w:id="7"/>
      </w:r>
    </w:p>
    <w:p w14:paraId="366C4FEC" w14:textId="77777777" w:rsidR="00777C16" w:rsidRPr="00A6584F" w:rsidRDefault="00777C16" w:rsidP="003448D8">
      <w:pPr>
        <w:pStyle w:val="Heading3"/>
      </w:pPr>
      <w:r w:rsidRPr="00A6584F">
        <w:t>Option 2 – a balanced approach</w:t>
      </w:r>
    </w:p>
    <w:p w14:paraId="465293DB" w14:textId="1C1D96F1" w:rsidR="000F2D0B" w:rsidRPr="006C0920" w:rsidRDefault="00777C16" w:rsidP="003448D8">
      <w:r w:rsidRPr="006C0920">
        <w:t xml:space="preserve">Under </w:t>
      </w:r>
      <w:r>
        <w:t xml:space="preserve">this chosen </w:t>
      </w:r>
      <w:r w:rsidRPr="006C0920">
        <w:t>opti</w:t>
      </w:r>
      <w:r>
        <w:t>on</w:t>
      </w:r>
      <w:r w:rsidRPr="006C0920">
        <w:t>,</w:t>
      </w:r>
      <w:r>
        <w:t xml:space="preserve"> </w:t>
      </w:r>
      <w:r w:rsidR="000F2D0B" w:rsidRPr="006C0920">
        <w:t>a new Register of Foreign Ownership of Australian Assets</w:t>
      </w:r>
      <w:r w:rsidR="00E226C2">
        <w:t xml:space="preserve"> (Register)</w:t>
      </w:r>
      <w:r w:rsidR="000F2D0B" w:rsidRPr="006C0920">
        <w:t xml:space="preserve"> </w:t>
      </w:r>
      <w:r w:rsidR="000F2D0B">
        <w:t>w</w:t>
      </w:r>
      <w:r w:rsidR="008E163B">
        <w:t>ould</w:t>
      </w:r>
      <w:r w:rsidR="000F2D0B" w:rsidRPr="006C0920">
        <w:t xml:space="preserve"> be established to provide greater visibility of foreign </w:t>
      </w:r>
      <w:r w:rsidR="007355D0">
        <w:t>ownership</w:t>
      </w:r>
      <w:r w:rsidR="007355D0" w:rsidRPr="006C0920">
        <w:t xml:space="preserve"> </w:t>
      </w:r>
      <w:r w:rsidR="000F2D0B" w:rsidRPr="006C0920">
        <w:t xml:space="preserve">in Australia. Investors </w:t>
      </w:r>
      <w:r w:rsidR="000F2D0B">
        <w:t>w</w:t>
      </w:r>
      <w:r w:rsidR="008E163B">
        <w:t>ould</w:t>
      </w:r>
      <w:r w:rsidR="000F2D0B" w:rsidRPr="006C0920">
        <w:t xml:space="preserve"> be required to record on this register all acquisitions they make of Australian land, and all significant actions they take following the receipt of a no objection notification or exemption certificate. Investors </w:t>
      </w:r>
      <w:r w:rsidR="000F2D0B">
        <w:t>w</w:t>
      </w:r>
      <w:r w:rsidR="008E163B">
        <w:t>ould</w:t>
      </w:r>
      <w:r w:rsidR="000F2D0B" w:rsidRPr="006C0920">
        <w:t xml:space="preserve"> be required to record their level of interest in the asset (e</w:t>
      </w:r>
      <w:r w:rsidR="000F2D0B">
        <w:t>.</w:t>
      </w:r>
      <w:r w:rsidR="000F2D0B" w:rsidRPr="006C0920">
        <w:t>g</w:t>
      </w:r>
      <w:r w:rsidR="000F2D0B">
        <w:t>.</w:t>
      </w:r>
      <w:r w:rsidR="000F2D0B" w:rsidRPr="006C0920">
        <w:t xml:space="preserve"> their percentage of ownership), </w:t>
      </w:r>
      <w:proofErr w:type="gramStart"/>
      <w:r w:rsidR="000F2D0B" w:rsidRPr="006C0920">
        <w:t>the means by which</w:t>
      </w:r>
      <w:proofErr w:type="gramEnd"/>
      <w:r w:rsidR="000F2D0B" w:rsidRPr="006C0920">
        <w:t xml:space="preserve"> they acquired the asset (e</w:t>
      </w:r>
      <w:r w:rsidR="000F2D0B">
        <w:t>.</w:t>
      </w:r>
      <w:r w:rsidR="000F2D0B" w:rsidRPr="006C0920">
        <w:t>g</w:t>
      </w:r>
      <w:r w:rsidR="000F2D0B">
        <w:t>. </w:t>
      </w:r>
      <w:r w:rsidR="000F2D0B" w:rsidRPr="006C0920">
        <w:t>freehold or leasehold interests in land), and their</w:t>
      </w:r>
      <w:r w:rsidR="00164560">
        <w:t xml:space="preserve"> (or their agent</w:t>
      </w:r>
      <w:r w:rsidR="004260B1">
        <w:t>’</w:t>
      </w:r>
      <w:r w:rsidR="00164560">
        <w:t>s)</w:t>
      </w:r>
      <w:r w:rsidR="000F2D0B" w:rsidRPr="006C0920">
        <w:t xml:space="preserve"> contact details and nationality</w:t>
      </w:r>
      <w:r w:rsidR="00715492">
        <w:t xml:space="preserve"> or source country</w:t>
      </w:r>
      <w:r w:rsidR="000F2D0B" w:rsidRPr="006C0920">
        <w:t xml:space="preserve">. Investors </w:t>
      </w:r>
      <w:r w:rsidR="000F2D0B">
        <w:t>w</w:t>
      </w:r>
      <w:r w:rsidR="00937E88">
        <w:t>ould</w:t>
      </w:r>
      <w:r w:rsidR="000F2D0B" w:rsidRPr="006C0920">
        <w:t xml:space="preserve"> be required to register their investments and provide this information within 30 days following the action.</w:t>
      </w:r>
    </w:p>
    <w:p w14:paraId="68FF1F0F" w14:textId="6656CF25" w:rsidR="000F2D0B" w:rsidRPr="00937E88" w:rsidRDefault="000F2D0B" w:rsidP="003448D8">
      <w:pPr>
        <w:rPr>
          <w:szCs w:val="22"/>
        </w:rPr>
      </w:pPr>
      <w:r w:rsidRPr="00937E88">
        <w:rPr>
          <w:szCs w:val="22"/>
        </w:rPr>
        <w:t xml:space="preserve">The new Register </w:t>
      </w:r>
      <w:r w:rsidR="00937E88" w:rsidRPr="00937E88">
        <w:rPr>
          <w:szCs w:val="22"/>
        </w:rPr>
        <w:t>aimed to</w:t>
      </w:r>
      <w:r w:rsidRPr="00937E88">
        <w:rPr>
          <w:szCs w:val="22"/>
        </w:rPr>
        <w:t xml:space="preserve"> amalgamate the existing agricultural</w:t>
      </w:r>
      <w:r w:rsidR="00715492">
        <w:rPr>
          <w:szCs w:val="22"/>
        </w:rPr>
        <w:t xml:space="preserve"> land</w:t>
      </w:r>
      <w:r w:rsidRPr="00937E88">
        <w:rPr>
          <w:szCs w:val="22"/>
        </w:rPr>
        <w:t xml:space="preserve">, residential </w:t>
      </w:r>
      <w:r w:rsidR="00715492">
        <w:rPr>
          <w:szCs w:val="22"/>
        </w:rPr>
        <w:t xml:space="preserve">land </w:t>
      </w:r>
      <w:r w:rsidRPr="00937E88">
        <w:rPr>
          <w:szCs w:val="22"/>
        </w:rPr>
        <w:t xml:space="preserve">and water </w:t>
      </w:r>
      <w:r w:rsidR="00715492">
        <w:rPr>
          <w:szCs w:val="22"/>
        </w:rPr>
        <w:t xml:space="preserve">entitlements </w:t>
      </w:r>
      <w:r w:rsidRPr="00937E88">
        <w:rPr>
          <w:szCs w:val="22"/>
        </w:rPr>
        <w:t>registers, to provide a streamlined user experience. This proposal w</w:t>
      </w:r>
      <w:r w:rsidR="00937E88" w:rsidRPr="00937E88">
        <w:rPr>
          <w:szCs w:val="22"/>
        </w:rPr>
        <w:t>ould</w:t>
      </w:r>
      <w:r w:rsidRPr="00937E88">
        <w:rPr>
          <w:szCs w:val="22"/>
        </w:rPr>
        <w:t xml:space="preserve"> not amalgamate or affect the existing critical infrastructure or </w:t>
      </w:r>
      <w:r w:rsidR="002263AE">
        <w:rPr>
          <w:szCs w:val="22"/>
        </w:rPr>
        <w:t>media</w:t>
      </w:r>
      <w:r w:rsidR="002263AE" w:rsidRPr="00937E88">
        <w:rPr>
          <w:szCs w:val="22"/>
        </w:rPr>
        <w:t xml:space="preserve"> </w:t>
      </w:r>
      <w:r w:rsidR="00AA698C">
        <w:rPr>
          <w:szCs w:val="22"/>
        </w:rPr>
        <w:t>businesses</w:t>
      </w:r>
      <w:r w:rsidRPr="00937E88">
        <w:rPr>
          <w:szCs w:val="22"/>
        </w:rPr>
        <w:t xml:space="preserve"> registers, as the characteristics of those registers d</w:t>
      </w:r>
      <w:r w:rsidR="00937E88" w:rsidRPr="00937E88">
        <w:rPr>
          <w:szCs w:val="22"/>
        </w:rPr>
        <w:t>id</w:t>
      </w:r>
      <w:r w:rsidRPr="00937E88">
        <w:rPr>
          <w:szCs w:val="22"/>
        </w:rPr>
        <w:t xml:space="preserve"> not easily align with the design of th</w:t>
      </w:r>
      <w:r w:rsidR="00937E88" w:rsidRPr="00937E88">
        <w:rPr>
          <w:szCs w:val="22"/>
        </w:rPr>
        <w:t>e</w:t>
      </w:r>
      <w:r w:rsidRPr="00937E88">
        <w:rPr>
          <w:szCs w:val="22"/>
        </w:rPr>
        <w:t xml:space="preserve"> new register. For example, while the data on the media register is publicly available, this new register w</w:t>
      </w:r>
      <w:r w:rsidR="00937E88" w:rsidRPr="00937E88">
        <w:rPr>
          <w:szCs w:val="22"/>
        </w:rPr>
        <w:t>ould</w:t>
      </w:r>
      <w:r w:rsidRPr="00937E88">
        <w:rPr>
          <w:szCs w:val="22"/>
        </w:rPr>
        <w:t xml:space="preserve"> not be searchable by the public due to commercial sensitivities and privacy considerations. However, to provide a degree of public transparency on foreign investment in Australia, an annual report of aggregate de</w:t>
      </w:r>
      <w:r w:rsidR="004260B1">
        <w:rPr>
          <w:szCs w:val="22"/>
        </w:rPr>
        <w:noBreakHyphen/>
      </w:r>
      <w:r w:rsidRPr="00937E88">
        <w:rPr>
          <w:szCs w:val="22"/>
        </w:rPr>
        <w:t>identified data from the Register w</w:t>
      </w:r>
      <w:r w:rsidR="00937E88">
        <w:rPr>
          <w:szCs w:val="22"/>
        </w:rPr>
        <w:t>ould</w:t>
      </w:r>
      <w:r w:rsidRPr="00937E88">
        <w:rPr>
          <w:szCs w:val="22"/>
        </w:rPr>
        <w:t xml:space="preserve"> be made available each year.</w:t>
      </w:r>
    </w:p>
    <w:p w14:paraId="1E576EDF" w14:textId="2B8D54B1" w:rsidR="000F2D0B" w:rsidRPr="006C0920" w:rsidRDefault="000F2D0B" w:rsidP="003448D8">
      <w:r>
        <w:t xml:space="preserve">Stakeholder feedback during the consultation processes led to the refinement of certain elements of this proposal (for both </w:t>
      </w:r>
      <w:r w:rsidRPr="00EF6AE1">
        <w:rPr>
          <w:i/>
        </w:rPr>
        <w:t xml:space="preserve">Options 2 </w:t>
      </w:r>
      <w:r w:rsidRPr="00F70B09">
        <w:t>and</w:t>
      </w:r>
      <w:r w:rsidRPr="00EF6AE1">
        <w:rPr>
          <w:i/>
        </w:rPr>
        <w:t xml:space="preserve"> 3</w:t>
      </w:r>
      <w:r>
        <w:t xml:space="preserve">). Most notably, following feedback that the draft definition of </w:t>
      </w:r>
      <w:r w:rsidR="004260B1">
        <w:t>‘</w:t>
      </w:r>
      <w:r>
        <w:t>registrable land</w:t>
      </w:r>
      <w:r w:rsidR="004260B1">
        <w:t>’</w:t>
      </w:r>
      <w:r>
        <w:t xml:space="preserve"> was too broad, that definition was narrowed to be more consistent with the existing definitions already contained in the FATA. </w:t>
      </w:r>
    </w:p>
    <w:p w14:paraId="6657F32C" w14:textId="05646D36" w:rsidR="00777C16" w:rsidRPr="00A6584F" w:rsidRDefault="00777C16" w:rsidP="003448D8">
      <w:pPr>
        <w:pStyle w:val="Heading3"/>
      </w:pPr>
      <w:r w:rsidRPr="00A6584F">
        <w:t>Option 3 – significant increase in the protection of Australia</w:t>
      </w:r>
      <w:r w:rsidR="004260B1">
        <w:t>’</w:t>
      </w:r>
      <w:r w:rsidRPr="00A6584F">
        <w:t>s assets</w:t>
      </w:r>
    </w:p>
    <w:p w14:paraId="00B4431E" w14:textId="33AE9977" w:rsidR="00777C16" w:rsidRPr="006C0920" w:rsidRDefault="00777C16" w:rsidP="003448D8">
      <w:r>
        <w:t>This option would have involved</w:t>
      </w:r>
      <w:r w:rsidR="004C63FA">
        <w:t xml:space="preserve"> </w:t>
      </w:r>
      <w:r w:rsidR="004C63FA" w:rsidRPr="004C63FA">
        <w:t xml:space="preserve">establishing a new Register of Foreign Ownership to provide the Government with greater visibility of foreign </w:t>
      </w:r>
      <w:r w:rsidR="00965366">
        <w:t>ownerships</w:t>
      </w:r>
      <w:r w:rsidR="00965366" w:rsidRPr="004C63FA">
        <w:t xml:space="preserve"> </w:t>
      </w:r>
      <w:r w:rsidR="004C63FA" w:rsidRPr="004C63FA">
        <w:t xml:space="preserve">being made in Australia, </w:t>
      </w:r>
      <w:proofErr w:type="gramStart"/>
      <w:r w:rsidR="004C63FA" w:rsidRPr="004C63FA">
        <w:t>similar to</w:t>
      </w:r>
      <w:proofErr w:type="gramEnd"/>
      <w:r w:rsidR="004C63FA" w:rsidRPr="004C63FA">
        <w:t xml:space="preserve"> Option</w:t>
      </w:r>
      <w:r w:rsidR="00404D17">
        <w:t> </w:t>
      </w:r>
      <w:r w:rsidR="004C63FA" w:rsidRPr="004C63FA">
        <w:t>2. However, investors w</w:t>
      </w:r>
      <w:r w:rsidR="001255E5">
        <w:t>ould have</w:t>
      </w:r>
      <w:r w:rsidR="004C63FA" w:rsidRPr="004C63FA">
        <w:t xml:space="preserve"> be</w:t>
      </w:r>
      <w:r w:rsidR="001255E5">
        <w:t>en</w:t>
      </w:r>
      <w:r w:rsidR="004C63FA" w:rsidRPr="004C63FA">
        <w:t xml:space="preserve"> required to record on this register a broader range of actions than under Option 2, including: all acquisitions of Australian land; all non</w:t>
      </w:r>
      <w:r w:rsidR="004260B1">
        <w:noBreakHyphen/>
      </w:r>
      <w:r w:rsidR="004C63FA" w:rsidRPr="004C63FA">
        <w:t xml:space="preserve">land acquisitions that would be significant actions, irrespective of their monetary value (i.e. assuming a zero dollar threshold applies); and all instances where an investor may hold a no objection notification or exemption certificate but not </w:t>
      </w:r>
      <w:r w:rsidR="001255E5">
        <w:t xml:space="preserve">yet </w:t>
      </w:r>
      <w:r w:rsidR="004C63FA" w:rsidRPr="004C63FA">
        <w:t>take</w:t>
      </w:r>
      <w:r w:rsidR="001255E5">
        <w:t>n</w:t>
      </w:r>
      <w:r w:rsidR="004C63FA" w:rsidRPr="004C63FA">
        <w:t xml:space="preserve"> any action. Investors w</w:t>
      </w:r>
      <w:r w:rsidR="00E36F9E">
        <w:t>ould</w:t>
      </w:r>
      <w:r w:rsidR="004C63FA" w:rsidRPr="004C63FA">
        <w:t xml:space="preserve"> </w:t>
      </w:r>
      <w:r w:rsidR="00E36F9E">
        <w:t xml:space="preserve">have </w:t>
      </w:r>
      <w:r w:rsidR="004C63FA" w:rsidRPr="004C63FA">
        <w:t>be</w:t>
      </w:r>
      <w:r w:rsidR="00E36F9E">
        <w:t>en</w:t>
      </w:r>
      <w:r w:rsidR="004C63FA" w:rsidRPr="004C63FA">
        <w:t xml:space="preserve"> required to record their level of interest in the asset (e.g. their percentage of ownership), </w:t>
      </w:r>
      <w:proofErr w:type="gramStart"/>
      <w:r w:rsidR="004C63FA" w:rsidRPr="004C63FA">
        <w:t>the means by which</w:t>
      </w:r>
      <w:proofErr w:type="gramEnd"/>
      <w:r w:rsidR="004C63FA" w:rsidRPr="004C63FA">
        <w:t xml:space="preserve"> they acquired the asset (e.g. freehold or leasehold interests in land), and their</w:t>
      </w:r>
      <w:r w:rsidR="00D15414">
        <w:t xml:space="preserve"> (or their agent</w:t>
      </w:r>
      <w:r w:rsidR="004260B1">
        <w:t>’</w:t>
      </w:r>
      <w:r w:rsidR="00D15414">
        <w:t>s)</w:t>
      </w:r>
      <w:r w:rsidR="004C63FA" w:rsidRPr="004C63FA">
        <w:t xml:space="preserve"> contact details and nationality.</w:t>
      </w:r>
    </w:p>
    <w:p w14:paraId="435F8E4F" w14:textId="77AE52B6" w:rsidR="000F2D0B" w:rsidRPr="006C0920" w:rsidRDefault="000F2D0B" w:rsidP="003448D8">
      <w:pPr>
        <w:pStyle w:val="Heading2Numbered"/>
      </w:pPr>
      <w:bookmarkStart w:id="42" w:name="_Toc48485534"/>
      <w:bookmarkStart w:id="43" w:name="_Toc50473125"/>
      <w:bookmarkStart w:id="44" w:name="_Toc53045119"/>
      <w:bookmarkStart w:id="45" w:name="_Toc196389572"/>
      <w:bookmarkStart w:id="46" w:name="_Toc210039666"/>
      <w:r w:rsidRPr="006C0920">
        <w:t xml:space="preserve">A fairer and simpler framework for foreign investment </w:t>
      </w:r>
      <w:r w:rsidR="00404D17">
        <w:tab/>
      </w:r>
      <w:r w:rsidRPr="006C0920">
        <w:t>fees</w:t>
      </w:r>
      <w:bookmarkEnd w:id="42"/>
      <w:bookmarkEnd w:id="43"/>
      <w:bookmarkEnd w:id="44"/>
      <w:bookmarkEnd w:id="45"/>
      <w:bookmarkEnd w:id="46"/>
    </w:p>
    <w:p w14:paraId="67DB2A1F" w14:textId="415B82FB" w:rsidR="008A41D6" w:rsidRDefault="000F2D0B" w:rsidP="003448D8">
      <w:r w:rsidRPr="006C0920">
        <w:t>It is the Government</w:t>
      </w:r>
      <w:r w:rsidR="004260B1">
        <w:t>’</w:t>
      </w:r>
      <w:r w:rsidRPr="006C0920">
        <w:t xml:space="preserve">s policy that the cost of administering the foreign investment review framework be borne by foreign investors, not Australian taxpayers. However, some stakeholders still expressed concern that the structure of the fee framework is overly complex and costly to navigate. </w:t>
      </w:r>
    </w:p>
    <w:p w14:paraId="02C51A69" w14:textId="3A312DC4" w:rsidR="000F2D0B" w:rsidRPr="006C0920" w:rsidRDefault="008A41D6" w:rsidP="003448D8">
      <w:r>
        <w:t>Updates to the fee framework w</w:t>
      </w:r>
      <w:r w:rsidR="00106F2E">
        <w:t>ere</w:t>
      </w:r>
      <w:r>
        <w:t xml:space="preserve"> required to address these concerns as well as</w:t>
      </w:r>
      <w:r w:rsidR="007D32CA" w:rsidRPr="007D32CA">
        <w:t xml:space="preserve"> reflect the expanded functions of the Government under the foreign investment framework—particularly the introduction of a new national security test and enhanced compliance powers—to ensure the </w:t>
      </w:r>
      <w:r w:rsidR="00AD6C1F">
        <w:t xml:space="preserve">fees </w:t>
      </w:r>
      <w:r w:rsidR="007D32CA" w:rsidRPr="007D32CA">
        <w:t xml:space="preserve">framework continues to cover the cost of administering the </w:t>
      </w:r>
      <w:r w:rsidRPr="007D32CA">
        <w:t>system</w:t>
      </w:r>
      <w:r w:rsidR="000F2D0B" w:rsidRPr="006C0920">
        <w:t xml:space="preserve">. </w:t>
      </w:r>
    </w:p>
    <w:p w14:paraId="2663858C" w14:textId="77777777" w:rsidR="004C63FA" w:rsidRPr="00A6584F" w:rsidRDefault="004C63FA" w:rsidP="003448D8">
      <w:pPr>
        <w:pStyle w:val="Heading3"/>
      </w:pPr>
      <w:r w:rsidRPr="00A6584F">
        <w:t>Option 1 – status quo</w:t>
      </w:r>
    </w:p>
    <w:p w14:paraId="53070BEC" w14:textId="5B9D2E29" w:rsidR="004C63FA" w:rsidRDefault="004C63FA" w:rsidP="003448D8">
      <w:r w:rsidRPr="00211491">
        <w:t>Under this option,</w:t>
      </w:r>
      <w:r w:rsidR="00567CC0" w:rsidRPr="00567CC0">
        <w:t xml:space="preserve"> </w:t>
      </w:r>
      <w:r w:rsidR="00567CC0" w:rsidRPr="00ED207D">
        <w:t>the fee framework</w:t>
      </w:r>
      <w:r w:rsidR="00567CC0">
        <w:t xml:space="preserve"> would have</w:t>
      </w:r>
      <w:r w:rsidR="00567CC0" w:rsidRPr="00ED207D">
        <w:t xml:space="preserve"> remain</w:t>
      </w:r>
      <w:r w:rsidR="00567CC0">
        <w:t>ed</w:t>
      </w:r>
      <w:r w:rsidR="00567CC0" w:rsidRPr="00ED207D">
        <w:t xml:space="preserve"> relatively complex. This </w:t>
      </w:r>
      <w:r w:rsidR="00567CC0">
        <w:t>would have</w:t>
      </w:r>
      <w:r w:rsidR="00567CC0" w:rsidRPr="00ED207D">
        <w:t xml:space="preserve"> continue</w:t>
      </w:r>
      <w:r w:rsidR="00567CC0">
        <w:t>d</w:t>
      </w:r>
      <w:r w:rsidR="00567CC0" w:rsidRPr="00ED207D">
        <w:t xml:space="preserve"> to impose a degree of uncertainty on investors which involves an expenditure of their time and resources to navigate.</w:t>
      </w:r>
    </w:p>
    <w:p w14:paraId="50614230" w14:textId="77777777" w:rsidR="004C63FA" w:rsidRPr="00A6584F" w:rsidRDefault="004C63FA" w:rsidP="003448D8">
      <w:pPr>
        <w:pStyle w:val="Heading3"/>
      </w:pPr>
      <w:r w:rsidRPr="00A6584F">
        <w:t>Option 2 – a balanced approach</w:t>
      </w:r>
    </w:p>
    <w:p w14:paraId="70A09F52" w14:textId="47E9D525" w:rsidR="000F2D0B" w:rsidRPr="006C0920" w:rsidRDefault="004C63FA" w:rsidP="003448D8">
      <w:r w:rsidRPr="006C0920">
        <w:t xml:space="preserve">Under </w:t>
      </w:r>
      <w:r>
        <w:t xml:space="preserve">this chosen </w:t>
      </w:r>
      <w:r w:rsidRPr="006C0920">
        <w:t>opti</w:t>
      </w:r>
      <w:r>
        <w:t>on</w:t>
      </w:r>
      <w:r w:rsidRPr="006C0920">
        <w:t>,</w:t>
      </w:r>
      <w:r>
        <w:t xml:space="preserve"> </w:t>
      </w:r>
      <w:r w:rsidR="000F2D0B" w:rsidRPr="006C0920">
        <w:t xml:space="preserve">the fee schedule </w:t>
      </w:r>
      <w:r w:rsidR="000F2D0B">
        <w:t>w</w:t>
      </w:r>
      <w:r w:rsidR="00BF440C">
        <w:t>ould</w:t>
      </w:r>
      <w:r w:rsidR="000F2D0B" w:rsidRPr="006C0920">
        <w:t xml:space="preserve"> be updated to reflect the enlarged roles and responsibilities of foreign investment activities across government, including aspects related to national security</w:t>
      </w:r>
      <w:r w:rsidR="000F2D0B">
        <w:t xml:space="preserve"> and compliance measures</w:t>
      </w:r>
      <w:r w:rsidR="000F2D0B" w:rsidRPr="006C0920">
        <w:t xml:space="preserve">. It </w:t>
      </w:r>
      <w:r w:rsidR="000F2D0B">
        <w:t>w</w:t>
      </w:r>
      <w:r w:rsidR="00B87574">
        <w:t>ould</w:t>
      </w:r>
      <w:r w:rsidR="000F2D0B" w:rsidRPr="006C0920">
        <w:t xml:space="preserve"> also </w:t>
      </w:r>
      <w:proofErr w:type="gramStart"/>
      <w:r w:rsidR="000F2D0B" w:rsidRPr="006C0920">
        <w:t>take into account</w:t>
      </w:r>
      <w:proofErr w:type="gramEnd"/>
      <w:r w:rsidR="000F2D0B" w:rsidRPr="006C0920">
        <w:t xml:space="preserve"> the growing complexity of cases, as well as the administrative cost of the review process over recent years.</w:t>
      </w:r>
      <w:r w:rsidR="000F2D0B">
        <w:t xml:space="preserve"> </w:t>
      </w:r>
      <w:r w:rsidR="000F2D0B" w:rsidRPr="006C0920">
        <w:t xml:space="preserve">The updated fee schedule </w:t>
      </w:r>
      <w:r w:rsidR="00B87574">
        <w:t>would</w:t>
      </w:r>
      <w:r w:rsidR="000F2D0B" w:rsidRPr="006C0920">
        <w:t xml:space="preserve"> focus on delivering a structure that is fairer and simpler. </w:t>
      </w:r>
      <w:proofErr w:type="gramStart"/>
      <w:r w:rsidR="000F2D0B" w:rsidRPr="006C0920">
        <w:t>In particular, it</w:t>
      </w:r>
      <w:proofErr w:type="gramEnd"/>
      <w:r w:rsidR="000F2D0B" w:rsidRPr="006C0920">
        <w:t xml:space="preserve"> </w:t>
      </w:r>
      <w:r w:rsidR="000F2D0B">
        <w:t>w</w:t>
      </w:r>
      <w:r w:rsidR="004D0639">
        <w:t>ould</w:t>
      </w:r>
      <w:r w:rsidR="000F2D0B" w:rsidRPr="006C0920">
        <w:t xml:space="preserve"> reduce the complexity of the framework to minimise the compliance and administrative costs for investors in establishing and paying the correct fee.</w:t>
      </w:r>
      <w:r w:rsidR="000F2D0B">
        <w:t xml:space="preserve"> </w:t>
      </w:r>
    </w:p>
    <w:p w14:paraId="5D0D0D71" w14:textId="5B444663" w:rsidR="000F2D0B" w:rsidRPr="006C0920" w:rsidRDefault="000F2D0B" w:rsidP="003448D8">
      <w:r w:rsidRPr="006C0920">
        <w:t xml:space="preserve">It </w:t>
      </w:r>
      <w:r>
        <w:t>w</w:t>
      </w:r>
      <w:r w:rsidR="00B87574">
        <w:t>ould</w:t>
      </w:r>
      <w:r w:rsidRPr="006C0920">
        <w:t xml:space="preserve"> also remove the size of the gaps between thresholds </w:t>
      </w:r>
      <w:r>
        <w:t xml:space="preserve">for </w:t>
      </w:r>
      <w:r w:rsidRPr="006C0920">
        <w:t>consideration value</w:t>
      </w:r>
      <w:r w:rsidR="00261957">
        <w:t xml:space="preserve"> </w:t>
      </w:r>
      <w:r w:rsidRPr="006C0920">
        <w:t>which</w:t>
      </w:r>
      <w:r w:rsidR="00261957">
        <w:t>, prior to the reforms,</w:t>
      </w:r>
      <w:r w:rsidRPr="006C0920">
        <w:t xml:space="preserve"> </w:t>
      </w:r>
      <w:r w:rsidR="002E3464">
        <w:t>may</w:t>
      </w:r>
      <w:r w:rsidRPr="006C0920">
        <w:t xml:space="preserve"> have</w:t>
      </w:r>
      <w:r w:rsidR="002E3464">
        <w:t xml:space="preserve"> had</w:t>
      </w:r>
      <w:r w:rsidRPr="006C0920">
        <w:t xml:space="preserve"> a distortionary impact on investment decisions. For example, fees for </w:t>
      </w:r>
      <w:proofErr w:type="spellStart"/>
      <w:r w:rsidRPr="006C0920">
        <w:t>non</w:t>
      </w:r>
      <w:proofErr w:type="spellEnd"/>
      <w:r w:rsidR="00404D17">
        <w:t>‍-‍</w:t>
      </w:r>
      <w:r w:rsidRPr="006C0920">
        <w:t xml:space="preserve">residential land </w:t>
      </w:r>
      <w:r w:rsidR="005755D3">
        <w:t>prior to the reforms had</w:t>
      </w:r>
      <w:r w:rsidRPr="006C0920">
        <w:t xml:space="preserve"> three thresholds, which means fees </w:t>
      </w:r>
      <w:r w:rsidR="002372E9">
        <w:t>rose</w:t>
      </w:r>
      <w:r w:rsidRPr="006C0920">
        <w:t xml:space="preserve"> by </w:t>
      </w:r>
      <w:r>
        <w:t>around 1,200 </w:t>
      </w:r>
      <w:r w:rsidRPr="006C0920">
        <w:t>per</w:t>
      </w:r>
      <w:r w:rsidR="00404D17">
        <w:t> </w:t>
      </w:r>
      <w:r w:rsidRPr="006C0920">
        <w:t xml:space="preserve">cent between the first and second tier, and by more than 300 per cent between the second and third tier. A smoother, more graduated scale of fees </w:t>
      </w:r>
      <w:r>
        <w:t>w</w:t>
      </w:r>
      <w:r w:rsidR="005755D3">
        <w:t>ould</w:t>
      </w:r>
      <w:r w:rsidRPr="006C0920">
        <w:t xml:space="preserve"> ensure investors are not incentivised at the margin to restructure transactions around fee tiers, and more generally w</w:t>
      </w:r>
      <w:r w:rsidR="007131C3">
        <w:t>ould</w:t>
      </w:r>
      <w:r w:rsidRPr="006C0920">
        <w:t xml:space="preserve"> lead to more equal treatment of investors across consideration values.</w:t>
      </w:r>
      <w:r>
        <w:t xml:space="preserve"> </w:t>
      </w:r>
    </w:p>
    <w:p w14:paraId="58C97D3E" w14:textId="54848485" w:rsidR="000F2D0B" w:rsidRDefault="000F2D0B" w:rsidP="003448D8">
      <w:r>
        <w:t>On this basis, i</w:t>
      </w:r>
      <w:r w:rsidRPr="004568D2">
        <w:t>ndividual fees w</w:t>
      </w:r>
      <w:r w:rsidR="007131C3">
        <w:t>ould</w:t>
      </w:r>
      <w:r w:rsidRPr="004568D2">
        <w:t xml:space="preserve"> continue to vary according to the type</w:t>
      </w:r>
      <w:r>
        <w:t xml:space="preserve"> </w:t>
      </w:r>
      <w:r w:rsidRPr="004568D2">
        <w:t>and value of the investment, with residential land applications continuing to pay the highest</w:t>
      </w:r>
      <w:r>
        <w:t xml:space="preserve"> </w:t>
      </w:r>
      <w:r w:rsidRPr="004568D2">
        <w:t>fees as a proportion of consideration, followed by agricultural land. Comme</w:t>
      </w:r>
      <w:r>
        <w:t>r</w:t>
      </w:r>
      <w:r w:rsidRPr="004568D2">
        <w:t>cial land and</w:t>
      </w:r>
      <w:r>
        <w:t xml:space="preserve"> </w:t>
      </w:r>
      <w:r w:rsidRPr="004568D2">
        <w:t>business acquisitions w</w:t>
      </w:r>
      <w:r w:rsidR="007131C3">
        <w:t>ould</w:t>
      </w:r>
      <w:r w:rsidRPr="004568D2">
        <w:t xml:space="preserve"> pay the least as</w:t>
      </w:r>
      <w:r w:rsidRPr="00D86B4F">
        <w:t xml:space="preserve"> a proportion of consideration</w:t>
      </w:r>
      <w:r>
        <w:t>. Depending on the consideration value, fees for residential land, agricultural land and commercial land and business acquisitions w</w:t>
      </w:r>
      <w:r w:rsidR="007131C3">
        <w:t>ould</w:t>
      </w:r>
      <w:r>
        <w:t xml:space="preserve"> generally range from $6,600</w:t>
      </w:r>
      <w:r w:rsidR="00712081">
        <w:t> </w:t>
      </w:r>
      <w:proofErr w:type="gramStart"/>
      <w:r>
        <w:t>to</w:t>
      </w:r>
      <w:r w:rsidR="00712081">
        <w:t> </w:t>
      </w:r>
      <w:r>
        <w:t xml:space="preserve"> $</w:t>
      </w:r>
      <w:proofErr w:type="gramEnd"/>
      <w:r>
        <w:t xml:space="preserve">500,000. </w:t>
      </w:r>
    </w:p>
    <w:p w14:paraId="44D6A185" w14:textId="7796DCBF" w:rsidR="000F2D0B" w:rsidRDefault="000F2D0B" w:rsidP="003448D8">
      <w:r>
        <w:t>T</w:t>
      </w:r>
      <w:r w:rsidRPr="004568D2">
        <w:t>here w</w:t>
      </w:r>
      <w:r w:rsidR="007131C3">
        <w:t>ould</w:t>
      </w:r>
      <w:r>
        <w:t xml:space="preserve"> </w:t>
      </w:r>
      <w:r w:rsidRPr="004568D2">
        <w:t>be</w:t>
      </w:r>
      <w:r>
        <w:t xml:space="preserve"> </w:t>
      </w:r>
      <w:r w:rsidRPr="004568D2">
        <w:t>concessional fees available for exemption certificates and for actions which are reviewable,</w:t>
      </w:r>
      <w:r>
        <w:t xml:space="preserve"> </w:t>
      </w:r>
      <w:r w:rsidRPr="004568D2">
        <w:t>but not mandatorily notifiable, under the new national security test.</w:t>
      </w:r>
      <w:r w:rsidRPr="00D86B4F">
        <w:t xml:space="preserve"> </w:t>
      </w:r>
      <w:r>
        <w:t xml:space="preserve">Lower fees for </w:t>
      </w:r>
      <w:r w:rsidRPr="005A4607">
        <w:t>called</w:t>
      </w:r>
      <w:r w:rsidR="004260B1">
        <w:noBreakHyphen/>
      </w:r>
      <w:r w:rsidRPr="005A4607">
        <w:t xml:space="preserve">in applications and voluntary notifications </w:t>
      </w:r>
      <w:r>
        <w:t>w</w:t>
      </w:r>
      <w:r w:rsidR="007131C3">
        <w:t>ould</w:t>
      </w:r>
      <w:r>
        <w:t xml:space="preserve"> help </w:t>
      </w:r>
      <w:r w:rsidRPr="009D76E2">
        <w:t xml:space="preserve">mitigate some of the additional regulatory impost </w:t>
      </w:r>
      <w:proofErr w:type="gramStart"/>
      <w:r w:rsidRPr="009D76E2">
        <w:t>and also</w:t>
      </w:r>
      <w:proofErr w:type="gramEnd"/>
      <w:r w:rsidRPr="009D76E2">
        <w:t xml:space="preserve"> encourage voluntary notifications where there may be doubt as to whether an application may present national security concerns.</w:t>
      </w:r>
    </w:p>
    <w:p w14:paraId="78FF37AA" w14:textId="0EAA14F1" w:rsidR="000F2D0B" w:rsidRPr="004568D2" w:rsidRDefault="000F2D0B" w:rsidP="003448D8">
      <w:r w:rsidRPr="004568D2">
        <w:t>While fees w</w:t>
      </w:r>
      <w:r w:rsidR="00622B9D">
        <w:t xml:space="preserve">ould </w:t>
      </w:r>
      <w:r w:rsidRPr="004568D2">
        <w:t>increase, they w</w:t>
      </w:r>
      <w:r w:rsidR="00622B9D">
        <w:t>ould</w:t>
      </w:r>
      <w:r w:rsidRPr="004568D2">
        <w:t xml:space="preserve"> still represent a relatively small proportion of overall consideration for all application types. </w:t>
      </w:r>
      <w:r>
        <w:t>In addition, previous c</w:t>
      </w:r>
      <w:r w:rsidRPr="004568D2">
        <w:t xml:space="preserve">onsultations </w:t>
      </w:r>
      <w:r>
        <w:t>indicated that</w:t>
      </w:r>
      <w:r w:rsidRPr="004568D2">
        <w:t xml:space="preserve"> investors </w:t>
      </w:r>
      <w:r w:rsidR="002372E9">
        <w:t>were found to be</w:t>
      </w:r>
      <w:r w:rsidRPr="004568D2">
        <w:t xml:space="preserve"> more concerned about timeliness of </w:t>
      </w:r>
      <w:r w:rsidR="00622B9D">
        <w:t>foreign investment</w:t>
      </w:r>
      <w:r w:rsidRPr="004568D2">
        <w:t xml:space="preserve"> decision</w:t>
      </w:r>
      <w:r w:rsidR="004260B1">
        <w:noBreakHyphen/>
      </w:r>
      <w:r w:rsidRPr="004568D2">
        <w:t>m</w:t>
      </w:r>
      <w:r>
        <w:t>aking than the level of </w:t>
      </w:r>
      <w:r w:rsidRPr="004568D2">
        <w:t xml:space="preserve">fees. </w:t>
      </w:r>
    </w:p>
    <w:p w14:paraId="7207787B" w14:textId="5FF2F7CF" w:rsidR="000F2D0B" w:rsidRDefault="008E5212" w:rsidP="003448D8">
      <w:r>
        <w:t>It was anticipated that i</w:t>
      </w:r>
      <w:r w:rsidR="000F2D0B" w:rsidRPr="004568D2">
        <w:t>nvestors acquiring businesses between $10 million and $150 million w</w:t>
      </w:r>
      <w:r w:rsidR="00622B9D">
        <w:t>ould</w:t>
      </w:r>
      <w:r w:rsidR="000F2D0B" w:rsidRPr="004568D2">
        <w:t xml:space="preserve"> benefit from this</w:t>
      </w:r>
      <w:r w:rsidR="000F2D0B">
        <w:t xml:space="preserve"> </w:t>
      </w:r>
      <w:r w:rsidR="000F2D0B" w:rsidRPr="004568D2">
        <w:t xml:space="preserve">new model, as </w:t>
      </w:r>
      <w:r w:rsidR="00034A89">
        <w:t>would</w:t>
      </w:r>
      <w:r w:rsidR="00034A89" w:rsidRPr="004568D2">
        <w:t xml:space="preserve"> </w:t>
      </w:r>
      <w:r w:rsidR="000F2D0B" w:rsidRPr="004568D2">
        <w:t>investors acquiring agricultural land between $2 million and $6</w:t>
      </w:r>
      <w:r w:rsidR="00404D17">
        <w:t> </w:t>
      </w:r>
      <w:r w:rsidR="000F2D0B" w:rsidRPr="004568D2">
        <w:t>million.</w:t>
      </w:r>
      <w:r w:rsidR="000F2D0B">
        <w:t xml:space="preserve"> </w:t>
      </w:r>
      <w:r w:rsidR="000F2D0B" w:rsidRPr="004568D2">
        <w:t>The maximum fee for a commercial transaction over $150 million w</w:t>
      </w:r>
      <w:r w:rsidR="00622B9D">
        <w:t>ould</w:t>
      </w:r>
      <w:r w:rsidR="000F2D0B" w:rsidRPr="004568D2">
        <w:t xml:space="preserve"> not be higher than</w:t>
      </w:r>
      <w:r w:rsidR="000F2D0B">
        <w:t> </w:t>
      </w:r>
      <w:r w:rsidR="000F2D0B" w:rsidRPr="004568D2">
        <w:t xml:space="preserve">0.03 per cent of the consideration, or 0.66 per cent </w:t>
      </w:r>
      <w:r w:rsidR="000F2D0B">
        <w:t>for agricultural land (above $6 </w:t>
      </w:r>
      <w:r w:rsidR="000F2D0B" w:rsidRPr="004568D2">
        <w:t>million).</w:t>
      </w:r>
      <w:r w:rsidR="000F2D0B">
        <w:t xml:space="preserve"> </w:t>
      </w:r>
      <w:r w:rsidR="000F2D0B" w:rsidRPr="004568D2">
        <w:t xml:space="preserve">Some fees for small acquisitions </w:t>
      </w:r>
      <w:r>
        <w:t>were anticipated to be</w:t>
      </w:r>
      <w:r w:rsidR="000F2D0B" w:rsidRPr="004568D2">
        <w:t xml:space="preserve"> higher under the new framework; </w:t>
      </w:r>
      <w:r w:rsidR="006A1E37" w:rsidRPr="004568D2">
        <w:t>however,</w:t>
      </w:r>
      <w:r w:rsidR="000F2D0B" w:rsidRPr="004568D2">
        <w:t xml:space="preserve"> the</w:t>
      </w:r>
      <w:r w:rsidR="000F2D0B">
        <w:t xml:space="preserve"> </w:t>
      </w:r>
      <w:r w:rsidR="000F2D0B" w:rsidRPr="004568D2">
        <w:t xml:space="preserve">arrangements enabling fee relief </w:t>
      </w:r>
      <w:r w:rsidR="00622B9D">
        <w:t xml:space="preserve">prior to the reforms </w:t>
      </w:r>
      <w:r w:rsidR="000F2D0B" w:rsidRPr="004568D2">
        <w:t>on a case</w:t>
      </w:r>
      <w:r w:rsidR="004260B1">
        <w:noBreakHyphen/>
      </w:r>
      <w:r w:rsidR="000F2D0B" w:rsidRPr="004568D2">
        <w:t>by</w:t>
      </w:r>
      <w:r w:rsidR="004260B1">
        <w:noBreakHyphen/>
      </w:r>
      <w:r w:rsidR="000F2D0B" w:rsidRPr="004568D2">
        <w:t xml:space="preserve">case basis </w:t>
      </w:r>
      <w:r w:rsidR="006A1E37" w:rsidRPr="004568D2">
        <w:t>c</w:t>
      </w:r>
      <w:r w:rsidR="006A1E37">
        <w:t>ould</w:t>
      </w:r>
      <w:r w:rsidR="000F2D0B" w:rsidRPr="004568D2">
        <w:t xml:space="preserve"> be applied to ensure</w:t>
      </w:r>
      <w:r w:rsidR="000F2D0B">
        <w:t xml:space="preserve"> </w:t>
      </w:r>
      <w:r w:rsidR="000F2D0B" w:rsidRPr="004568D2">
        <w:t>fees paid are appropriate for the nature of the transaction.</w:t>
      </w:r>
    </w:p>
    <w:p w14:paraId="23A5ED1D" w14:textId="673E6768" w:rsidR="000F2D0B" w:rsidRPr="006C0920" w:rsidRDefault="000F2D0B" w:rsidP="003448D8">
      <w:r w:rsidRPr="006C0920">
        <w:t>Recognising the importance of non</w:t>
      </w:r>
      <w:r w:rsidR="004260B1">
        <w:noBreakHyphen/>
      </w:r>
      <w:r w:rsidRPr="006C0920">
        <w:t xml:space="preserve">sensitive foreign direct investment to the Australian economy, investors </w:t>
      </w:r>
      <w:r>
        <w:t>w</w:t>
      </w:r>
      <w:r w:rsidR="006A1E37">
        <w:t>ould</w:t>
      </w:r>
      <w:r w:rsidRPr="006C0920">
        <w:t xml:space="preserve"> continue to be able to apply for exemption certificates for up</w:t>
      </w:r>
      <w:r w:rsidR="004260B1">
        <w:noBreakHyphen/>
      </w:r>
      <w:r w:rsidRPr="006C0920">
        <w:t>front approval of a program of acquisitions. Rather than the flat fee</w:t>
      </w:r>
      <w:r w:rsidR="006A1E37">
        <w:t xml:space="preserve"> prior to the reforms</w:t>
      </w:r>
      <w:r w:rsidRPr="006C0920">
        <w:t xml:space="preserve">, the fee structure for exemption certificates </w:t>
      </w:r>
      <w:r>
        <w:t>w</w:t>
      </w:r>
      <w:r w:rsidR="006A1E37">
        <w:t>ould</w:t>
      </w:r>
      <w:r w:rsidRPr="006C0920">
        <w:t xml:space="preserve"> generally depend on the t</w:t>
      </w:r>
      <w:r>
        <w:t>ype of target investments (e.g. </w:t>
      </w:r>
      <w:r w:rsidRPr="006C0920">
        <w:t xml:space="preserve">businesses, agricultural land or commercial land), and the proposed value of the investments. The fees for these exemption certificates </w:t>
      </w:r>
      <w:r>
        <w:t>w</w:t>
      </w:r>
      <w:r w:rsidR="006A1E37">
        <w:t>ould</w:t>
      </w:r>
      <w:r w:rsidRPr="006C0920">
        <w:t xml:space="preserve"> be 75 per cent of the applicable fee for a single transaction of the same value.</w:t>
      </w:r>
    </w:p>
    <w:p w14:paraId="2CD066E1" w14:textId="58BA7B06" w:rsidR="004C63FA" w:rsidRPr="00A6584F" w:rsidRDefault="004C63FA" w:rsidP="003448D8">
      <w:pPr>
        <w:pStyle w:val="Heading3"/>
      </w:pPr>
      <w:r w:rsidRPr="00A6584F">
        <w:t>Option 3 – significant increase in the protection of Australia</w:t>
      </w:r>
      <w:r w:rsidR="004260B1">
        <w:t>’</w:t>
      </w:r>
      <w:r w:rsidRPr="00A6584F">
        <w:t>s assets</w:t>
      </w:r>
    </w:p>
    <w:p w14:paraId="65C330BF" w14:textId="2A7DDA98" w:rsidR="004C63FA" w:rsidRDefault="004C63FA" w:rsidP="003448D8">
      <w:r>
        <w:t>This option would have involved</w:t>
      </w:r>
      <w:r w:rsidR="002B0F50">
        <w:t xml:space="preserve"> </w:t>
      </w:r>
      <w:r w:rsidR="00516819">
        <w:t>an unchanged and relatively complex fee framework. However, under this option, the size of each of the individual fees w</w:t>
      </w:r>
      <w:r w:rsidR="00AD413E">
        <w:t>ould have</w:t>
      </w:r>
      <w:r w:rsidR="00516819">
        <w:t xml:space="preserve"> be</w:t>
      </w:r>
      <w:r w:rsidR="00AD413E">
        <w:t>en</w:t>
      </w:r>
      <w:r w:rsidR="00516819">
        <w:t xml:space="preserve"> increased to ensure that they cover the additional expected costs of the new post</w:t>
      </w:r>
      <w:r w:rsidR="004260B1">
        <w:noBreakHyphen/>
      </w:r>
      <w:r w:rsidR="00516819">
        <w:t>reform system.</w:t>
      </w:r>
    </w:p>
    <w:p w14:paraId="38B02C4B" w14:textId="7E3BC2D2" w:rsidR="000F2D0B" w:rsidRPr="006C0920" w:rsidRDefault="000F2D0B" w:rsidP="003448D8">
      <w:pPr>
        <w:pStyle w:val="Heading2Numbered"/>
      </w:pPr>
      <w:bookmarkStart w:id="47" w:name="_Toc48485535"/>
      <w:bookmarkStart w:id="48" w:name="_Toc50473126"/>
      <w:bookmarkStart w:id="49" w:name="_Toc53045120"/>
      <w:bookmarkStart w:id="50" w:name="_Toc196389573"/>
      <w:bookmarkStart w:id="51" w:name="_Toc210039667"/>
      <w:r>
        <w:t>Modernising Australia</w:t>
      </w:r>
      <w:r w:rsidR="004260B1">
        <w:t>’</w:t>
      </w:r>
      <w:r>
        <w:t>s foreign investment ICT platform</w:t>
      </w:r>
      <w:r w:rsidRPr="006C0920">
        <w:t xml:space="preserve"> </w:t>
      </w:r>
      <w:r w:rsidR="00722228">
        <w:tab/>
      </w:r>
      <w:r>
        <w:t xml:space="preserve">for better case management, compliance enforcement </w:t>
      </w:r>
      <w:r w:rsidR="00722228">
        <w:tab/>
      </w:r>
      <w:r>
        <w:t>and data use</w:t>
      </w:r>
      <w:bookmarkEnd w:id="47"/>
      <w:bookmarkEnd w:id="48"/>
      <w:bookmarkEnd w:id="49"/>
      <w:bookmarkEnd w:id="50"/>
      <w:bookmarkEnd w:id="51"/>
    </w:p>
    <w:p w14:paraId="599FF8B6" w14:textId="6F10DF21" w:rsidR="000F2D0B" w:rsidRPr="00722228" w:rsidRDefault="000F2D0B" w:rsidP="00722228">
      <w:r w:rsidRPr="006C0920">
        <w:t>As noted above, the Government</w:t>
      </w:r>
      <w:r w:rsidR="004260B1">
        <w:t>’</w:t>
      </w:r>
      <w:r w:rsidRPr="006C0920">
        <w:t xml:space="preserve">s ability to identify and assess national interest and national security risks in foreign investment hinges on </w:t>
      </w:r>
      <w:r>
        <w:t>a fit</w:t>
      </w:r>
      <w:r w:rsidR="004260B1">
        <w:noBreakHyphen/>
      </w:r>
      <w:r>
        <w:t>for</w:t>
      </w:r>
      <w:r w:rsidR="004260B1">
        <w:noBreakHyphen/>
      </w:r>
      <w:r>
        <w:t xml:space="preserve">purpose case and compliance management system, and </w:t>
      </w:r>
      <w:r w:rsidRPr="006C0920">
        <w:t xml:space="preserve">the quality, accuracy and currency of data. </w:t>
      </w:r>
      <w:r>
        <w:t>Treasury</w:t>
      </w:r>
      <w:r w:rsidR="004260B1">
        <w:t>’</w:t>
      </w:r>
      <w:r>
        <w:t>s IT system</w:t>
      </w:r>
      <w:r w:rsidR="006B41E3">
        <w:t xml:space="preserve"> prior the reforms</w:t>
      </w:r>
      <w:r>
        <w:t xml:space="preserve"> ha</w:t>
      </w:r>
      <w:r w:rsidR="008A0F65">
        <w:t>d</w:t>
      </w:r>
      <w:r>
        <w:t xml:space="preserve"> not kept pace with evolving operational demands and </w:t>
      </w:r>
      <w:r w:rsidR="00213995">
        <w:t xml:space="preserve">was </w:t>
      </w:r>
      <w:r>
        <w:t xml:space="preserve">not a functional case management system, nor </w:t>
      </w:r>
      <w:r w:rsidR="00213995">
        <w:t xml:space="preserve">did </w:t>
      </w:r>
      <w:r>
        <w:t>it effectively support compliance activity. T</w:t>
      </w:r>
      <w:r w:rsidRPr="006C0920">
        <w:t xml:space="preserve">he accessibility and useability of data </w:t>
      </w:r>
      <w:r w:rsidR="00213995">
        <w:t>could</w:t>
      </w:r>
      <w:r w:rsidRPr="006C0920">
        <w:t xml:space="preserve"> at times be limited.</w:t>
      </w:r>
    </w:p>
    <w:p w14:paraId="10AA464B" w14:textId="77777777" w:rsidR="00516819" w:rsidRPr="00A6584F" w:rsidRDefault="00516819" w:rsidP="003448D8">
      <w:pPr>
        <w:pStyle w:val="Heading3"/>
      </w:pPr>
      <w:r w:rsidRPr="00A6584F">
        <w:t>Option 1 – status quo</w:t>
      </w:r>
    </w:p>
    <w:p w14:paraId="6F575B33" w14:textId="1F619AC3" w:rsidR="00516819" w:rsidRDefault="00516819" w:rsidP="003448D8">
      <w:r w:rsidRPr="00211491">
        <w:t>Under this option,</w:t>
      </w:r>
      <w:r w:rsidR="001A0650" w:rsidRPr="001A0650">
        <w:t xml:space="preserve"> </w:t>
      </w:r>
      <w:r w:rsidR="001A0650" w:rsidRPr="00FD757F">
        <w:t xml:space="preserve">Treasury </w:t>
      </w:r>
      <w:r w:rsidR="001A0650">
        <w:t>would have</w:t>
      </w:r>
      <w:r w:rsidR="001A0650" w:rsidRPr="00FD757F">
        <w:t xml:space="preserve"> continue</w:t>
      </w:r>
      <w:r w:rsidR="001A0650">
        <w:t>d</w:t>
      </w:r>
      <w:r w:rsidR="001A0650" w:rsidRPr="00FD757F">
        <w:t xml:space="preserve"> to use its current IT case management system (known as FIMS3) to administer the foreign investment framework. This system, however, </w:t>
      </w:r>
      <w:r w:rsidR="00AD413E">
        <w:t>was considered</w:t>
      </w:r>
      <w:r w:rsidR="001A0650" w:rsidRPr="00FD757F">
        <w:t xml:space="preserve"> no longer fit for purpose</w:t>
      </w:r>
      <w:r w:rsidR="00AD413E">
        <w:t xml:space="preserve"> at the time</w:t>
      </w:r>
      <w:r w:rsidR="001A0650" w:rsidRPr="00FD757F">
        <w:t xml:space="preserve">, or </w:t>
      </w:r>
      <w:r w:rsidR="00BB3A6D">
        <w:t xml:space="preserve">for </w:t>
      </w:r>
      <w:r w:rsidR="001A0650" w:rsidRPr="00FD757F">
        <w:t>expected future purposes.</w:t>
      </w:r>
    </w:p>
    <w:p w14:paraId="055296F6" w14:textId="77777777" w:rsidR="00516819" w:rsidRPr="00A6584F" w:rsidRDefault="00516819" w:rsidP="003448D8">
      <w:pPr>
        <w:pStyle w:val="Heading3"/>
      </w:pPr>
      <w:r w:rsidRPr="00A6584F">
        <w:t>Option 2 – a balanced approach</w:t>
      </w:r>
    </w:p>
    <w:p w14:paraId="31DC8F07" w14:textId="2386F4A3" w:rsidR="000F2D0B" w:rsidRPr="006C0920" w:rsidRDefault="00516819" w:rsidP="003448D8">
      <w:r w:rsidRPr="006C0920">
        <w:t xml:space="preserve">Under </w:t>
      </w:r>
      <w:r>
        <w:t xml:space="preserve">this chosen </w:t>
      </w:r>
      <w:r w:rsidRPr="006C0920">
        <w:t>opti</w:t>
      </w:r>
      <w:r>
        <w:t>on</w:t>
      </w:r>
      <w:r w:rsidRPr="006C0920">
        <w:t>,</w:t>
      </w:r>
      <w:r>
        <w:t xml:space="preserve"> </w:t>
      </w:r>
      <w:r w:rsidR="000F2D0B" w:rsidRPr="006C0920">
        <w:t xml:space="preserve">a new case management system </w:t>
      </w:r>
      <w:r w:rsidR="000F2D0B">
        <w:t>w</w:t>
      </w:r>
      <w:r w:rsidR="000C5D60">
        <w:t>ould</w:t>
      </w:r>
      <w:r w:rsidR="000F2D0B" w:rsidRPr="006C0920">
        <w:t xml:space="preserve"> be implemented to enable end</w:t>
      </w:r>
      <w:r w:rsidR="004260B1">
        <w:noBreakHyphen/>
      </w:r>
      <w:r w:rsidR="000F2D0B" w:rsidRPr="006C0920">
        <w:t>to</w:t>
      </w:r>
      <w:r w:rsidR="004260B1">
        <w:noBreakHyphen/>
      </w:r>
      <w:r w:rsidR="000F2D0B" w:rsidRPr="006C0920">
        <w:t xml:space="preserve">end case management, including compliance monitoring, and some process automation. It </w:t>
      </w:r>
      <w:r w:rsidR="000F2D0B">
        <w:t>w</w:t>
      </w:r>
      <w:r w:rsidR="007C10F5">
        <w:t>ould</w:t>
      </w:r>
      <w:r w:rsidR="000F2D0B" w:rsidRPr="006C0920">
        <w:t xml:space="preserve"> enable all of Treasury</w:t>
      </w:r>
      <w:r w:rsidR="004260B1">
        <w:t>’</w:t>
      </w:r>
      <w:r w:rsidR="000F2D0B" w:rsidRPr="006C0920">
        <w:t xml:space="preserve">s work to administer the FATA (including </w:t>
      </w:r>
      <w:r w:rsidR="007C10F5">
        <w:t>proposal</w:t>
      </w:r>
      <w:r w:rsidR="000F2D0B" w:rsidRPr="006C0920">
        <w:t xml:space="preserve"> assessments and compliance monitoring) to be </w:t>
      </w:r>
      <w:r w:rsidR="000F2D0B">
        <w:t>completed</w:t>
      </w:r>
      <w:r w:rsidR="000F2D0B" w:rsidRPr="006C0920">
        <w:t xml:space="preserve"> in the one system. </w:t>
      </w:r>
    </w:p>
    <w:p w14:paraId="7567C346" w14:textId="592EDF15" w:rsidR="000F2D0B" w:rsidRPr="006C0920" w:rsidRDefault="000F2D0B" w:rsidP="003448D8">
      <w:r w:rsidRPr="006C0920">
        <w:t xml:space="preserve">The system </w:t>
      </w:r>
      <w:r>
        <w:t>w</w:t>
      </w:r>
      <w:r w:rsidR="007C10F5">
        <w:t>ould</w:t>
      </w:r>
      <w:r w:rsidRPr="006C0920">
        <w:t xml:space="preserve"> include a single public front door to channel investors to either the ATO online services portal (for residential and non</w:t>
      </w:r>
      <w:r w:rsidR="004260B1">
        <w:noBreakHyphen/>
      </w:r>
      <w:r w:rsidRPr="006C0920">
        <w:t xml:space="preserve">sensitive commercial applications) or the Treasury service delivery point (for all other applications), leveraging </w:t>
      </w:r>
      <w:proofErr w:type="spellStart"/>
      <w:r w:rsidRPr="006C0920">
        <w:t>MyGovID</w:t>
      </w:r>
      <w:proofErr w:type="spellEnd"/>
      <w:r w:rsidRPr="006C0920">
        <w:t xml:space="preserve"> for authentication. This </w:t>
      </w:r>
      <w:r>
        <w:t>w</w:t>
      </w:r>
      <w:r w:rsidR="00540178">
        <w:t>ould</w:t>
      </w:r>
      <w:r w:rsidRPr="006C0920">
        <w:t xml:space="preserve"> make it easier for investors to interact with government services. </w:t>
      </w:r>
    </w:p>
    <w:p w14:paraId="28BB5C6D" w14:textId="105C868C" w:rsidR="000F2D0B" w:rsidRPr="006C0920" w:rsidRDefault="000F2D0B" w:rsidP="003448D8">
      <w:r w:rsidRPr="006C0920">
        <w:t xml:space="preserve">This option </w:t>
      </w:r>
      <w:r>
        <w:t>w</w:t>
      </w:r>
      <w:r w:rsidR="006F4E3A">
        <w:t>ould</w:t>
      </w:r>
      <w:r w:rsidRPr="006C0920">
        <w:t xml:space="preserve"> also include advanced analytics including machine learning, natural language processing, and entity relationship mapping. These technologies </w:t>
      </w:r>
      <w:r>
        <w:t>w</w:t>
      </w:r>
      <w:r w:rsidR="006F4E3A">
        <w:t>ould</w:t>
      </w:r>
      <w:r w:rsidRPr="006C0920">
        <w:t xml:space="preserve"> assist case management and compliance officers by identifying potential areas of risk through the accumulation and searching of multifaceted market data sources. </w:t>
      </w:r>
    </w:p>
    <w:p w14:paraId="36D58F26" w14:textId="68F8103E" w:rsidR="000F2D0B" w:rsidRPr="006C0920" w:rsidRDefault="009D0DB9" w:rsidP="003448D8">
      <w:r>
        <w:t>It was intended that t</w:t>
      </w:r>
      <w:r w:rsidR="000F2D0B" w:rsidRPr="006C0920">
        <w:t xml:space="preserve">he new system </w:t>
      </w:r>
      <w:r w:rsidR="000F2D0B">
        <w:t>w</w:t>
      </w:r>
      <w:r w:rsidR="006F4E3A">
        <w:t>ould</w:t>
      </w:r>
      <w:r w:rsidR="000F2D0B" w:rsidRPr="006C0920">
        <w:t xml:space="preserve"> also be linked to the new Register of Foreign Ownership of Australian Assets to provide case off</w:t>
      </w:r>
      <w:r w:rsidR="006F4E3A">
        <w:t>icers</w:t>
      </w:r>
      <w:r w:rsidR="000F2D0B" w:rsidRPr="006C0920">
        <w:t xml:space="preserve"> with more timely and accurate information on what investors already own in Australia when assessing a case. </w:t>
      </w:r>
    </w:p>
    <w:p w14:paraId="39E17E92" w14:textId="10A82782" w:rsidR="000F2D0B" w:rsidRPr="006C0920" w:rsidRDefault="000F2D0B" w:rsidP="003448D8">
      <w:r w:rsidRPr="006C0920">
        <w:t xml:space="preserve">This proposed IT system </w:t>
      </w:r>
      <w:r>
        <w:t>w</w:t>
      </w:r>
      <w:r w:rsidR="009E0684">
        <w:t>ould</w:t>
      </w:r>
      <w:r w:rsidRPr="006C0920">
        <w:t xml:space="preserve"> deliver improved government services through an improved investor portal with enhanced validation to minimise the likelihood that investors w</w:t>
      </w:r>
      <w:r w:rsidR="00397BEF">
        <w:t>ould</w:t>
      </w:r>
      <w:r w:rsidRPr="006C0920">
        <w:t xml:space="preserve"> be required to provide additional information after the initial submission. </w:t>
      </w:r>
      <w:proofErr w:type="gramStart"/>
      <w:r w:rsidRPr="006C0920">
        <w:t>In particular, this</w:t>
      </w:r>
      <w:proofErr w:type="gramEnd"/>
      <w:r w:rsidRPr="006C0920">
        <w:t xml:space="preserve"> option </w:t>
      </w:r>
      <w:r w:rsidR="00907B1E">
        <w:t xml:space="preserve">would have </w:t>
      </w:r>
      <w:r w:rsidRPr="006C0920">
        <w:t>the greatest impact on improving Treasury</w:t>
      </w:r>
      <w:r w:rsidR="004260B1">
        <w:t>’</w:t>
      </w:r>
      <w:r w:rsidRPr="006C0920">
        <w:t xml:space="preserve">s ability to perform its regulatory </w:t>
      </w:r>
      <w:r w:rsidR="00881873" w:rsidRPr="006C0920">
        <w:t>role and</w:t>
      </w:r>
      <w:r w:rsidRPr="006C0920">
        <w:t xml:space="preserve"> </w:t>
      </w:r>
      <w:r w:rsidR="009A43B1">
        <w:t xml:space="preserve">aimed to </w:t>
      </w:r>
      <w:r w:rsidRPr="006C0920">
        <w:t xml:space="preserve">increase productivity in administering the foreign investment framework with reduced processing times and costs for government and investors. </w:t>
      </w:r>
    </w:p>
    <w:p w14:paraId="1C1EE6AB" w14:textId="512A27E9" w:rsidR="00B95F03" w:rsidRPr="006C0920" w:rsidRDefault="00B95F03" w:rsidP="003448D8">
      <w:r w:rsidRPr="00B95F03">
        <w:t>The ATO online services portal w</w:t>
      </w:r>
      <w:r w:rsidR="003F2222">
        <w:t>ould</w:t>
      </w:r>
      <w:r w:rsidRPr="00B95F03">
        <w:t xml:space="preserve"> provide investors with a secure, self</w:t>
      </w:r>
      <w:r w:rsidR="004260B1">
        <w:noBreakHyphen/>
      </w:r>
      <w:r w:rsidRPr="00B95F03">
        <w:t xml:space="preserve">service system allowing management of foreign investment obligations including residential real estate applications, asset registration, vacancy fee returns and change of details. </w:t>
      </w:r>
    </w:p>
    <w:p w14:paraId="11AD0779" w14:textId="0CBDB43E" w:rsidR="00516819" w:rsidRPr="00A6584F" w:rsidRDefault="00516819" w:rsidP="006D426F">
      <w:pPr>
        <w:pStyle w:val="Heading3"/>
      </w:pPr>
      <w:r w:rsidRPr="00A6584F">
        <w:t>Option 3 – significant increase in the protection of Australia</w:t>
      </w:r>
      <w:r w:rsidR="004260B1">
        <w:t>’</w:t>
      </w:r>
      <w:r w:rsidRPr="00A6584F">
        <w:t>s assets</w:t>
      </w:r>
    </w:p>
    <w:p w14:paraId="13E9A79C" w14:textId="077D56CE" w:rsidR="00CA2AC0" w:rsidRPr="00CA2AC0" w:rsidRDefault="00516819" w:rsidP="003448D8">
      <w:pPr>
        <w:sectPr w:rsidR="00CA2AC0" w:rsidRPr="00CA2AC0" w:rsidSect="00955913">
          <w:pgSz w:w="11906" w:h="16838" w:code="9"/>
          <w:pgMar w:top="1843" w:right="1417" w:bottom="1417" w:left="1417" w:header="709" w:footer="709" w:gutter="0"/>
          <w:cols w:space="708"/>
          <w:docGrid w:linePitch="360"/>
        </w:sectPr>
      </w:pPr>
      <w:r>
        <w:t>This option would have involved</w:t>
      </w:r>
      <w:r w:rsidR="007F2059">
        <w:t xml:space="preserve"> a new case management system</w:t>
      </w:r>
      <w:r w:rsidR="00205ABD">
        <w:t>,</w:t>
      </w:r>
      <w:r w:rsidR="007F2059">
        <w:t xml:space="preserve"> implemented consistent with Option 2. However, </w:t>
      </w:r>
      <w:r w:rsidR="00D67CF1">
        <w:t xml:space="preserve">at the time </w:t>
      </w:r>
      <w:r w:rsidR="00D82E45">
        <w:t>the RIS was drafted</w:t>
      </w:r>
      <w:r w:rsidR="00D67CF1">
        <w:t xml:space="preserve">, </w:t>
      </w:r>
      <w:r w:rsidR="007F2059">
        <w:t xml:space="preserve">it </w:t>
      </w:r>
      <w:r w:rsidR="00015153">
        <w:t>would</w:t>
      </w:r>
      <w:r w:rsidR="007F2059">
        <w:t xml:space="preserve"> </w:t>
      </w:r>
      <w:r w:rsidR="004955E3">
        <w:t xml:space="preserve">have </w:t>
      </w:r>
      <w:r w:rsidR="007F2059">
        <w:t>not incorporate</w:t>
      </w:r>
      <w:r w:rsidR="004955E3">
        <w:t>d</w:t>
      </w:r>
      <w:r w:rsidR="007F2059">
        <w:t xml:space="preserve"> the further advanced data analytics across large public and non</w:t>
      </w:r>
      <w:r w:rsidR="004260B1">
        <w:noBreakHyphen/>
      </w:r>
      <w:r w:rsidR="007F2059">
        <w:t xml:space="preserve">public data sets of Option 2. This option </w:t>
      </w:r>
      <w:r w:rsidR="003648DB">
        <w:t>would</w:t>
      </w:r>
      <w:r w:rsidR="007F2059">
        <w:t xml:space="preserve"> not </w:t>
      </w:r>
      <w:r w:rsidR="003648DB">
        <w:t xml:space="preserve">have </w:t>
      </w:r>
      <w:r w:rsidR="007F2059">
        <w:t>assist</w:t>
      </w:r>
      <w:r w:rsidR="003648DB">
        <w:t>ed</w:t>
      </w:r>
      <w:r w:rsidR="007F2059">
        <w:t xml:space="preserve"> </w:t>
      </w:r>
      <w:r w:rsidR="002238E6">
        <w:t xml:space="preserve">Treasury </w:t>
      </w:r>
      <w:r w:rsidR="007F2059">
        <w:t>case management and compliance officers in identifying potential areas of risk in the same manner as in Option 2.</w:t>
      </w:r>
    </w:p>
    <w:p w14:paraId="3DE856AC" w14:textId="789AD36C" w:rsidR="008C3A96" w:rsidRDefault="0008157A" w:rsidP="003448D8">
      <w:pPr>
        <w:pStyle w:val="Heading1Numbered"/>
      </w:pPr>
      <w:bookmarkStart w:id="52" w:name="_Toc210039668"/>
      <w:r>
        <w:t>What were the impacts of the policy?</w:t>
      </w:r>
      <w:bookmarkEnd w:id="52"/>
    </w:p>
    <w:p w14:paraId="11064940" w14:textId="2608C2A1" w:rsidR="00820038" w:rsidRDefault="005B48B5" w:rsidP="00903D02">
      <w:r>
        <w:t xml:space="preserve">Following an initial </w:t>
      </w:r>
      <w:r w:rsidR="00295447">
        <w:t>e</w:t>
      </w:r>
      <w:r>
        <w:t>valuation of the 202</w:t>
      </w:r>
      <w:r w:rsidR="004664C8">
        <w:t>1</w:t>
      </w:r>
      <w:r>
        <w:t xml:space="preserve"> </w:t>
      </w:r>
      <w:r w:rsidR="001A2996">
        <w:t>R</w:t>
      </w:r>
      <w:r>
        <w:t>eforms conducted in 2021 (</w:t>
      </w:r>
      <w:r w:rsidR="0002325C">
        <w:t xml:space="preserve">the </w:t>
      </w:r>
      <w:r w:rsidR="00672DF4">
        <w:t>2021 Evaluation</w:t>
      </w:r>
      <w:r w:rsidR="00EF1A22">
        <w:t xml:space="preserve">, </w:t>
      </w:r>
      <w:r>
        <w:t xml:space="preserve">discussed further in </w:t>
      </w:r>
      <w:r w:rsidR="00AB29AB">
        <w:t>S</w:t>
      </w:r>
      <w:r>
        <w:t>ection 9)</w:t>
      </w:r>
      <w:r w:rsidR="0082589F">
        <w:t xml:space="preserve">, the Government has made </w:t>
      </w:r>
      <w:r w:rsidR="00826549">
        <w:t>severa</w:t>
      </w:r>
      <w:r w:rsidR="00F83F72">
        <w:t>l</w:t>
      </w:r>
      <w:r w:rsidR="00546E52">
        <w:t xml:space="preserve"> </w:t>
      </w:r>
      <w:r w:rsidR="0082589F">
        <w:t xml:space="preserve">further changes to the Framework </w:t>
      </w:r>
      <w:r w:rsidR="000179ED">
        <w:t>in 2022,</w:t>
      </w:r>
      <w:r w:rsidR="000852C0">
        <w:t> </w:t>
      </w:r>
      <w:r w:rsidR="000179ED">
        <w:t>2023 and 2024</w:t>
      </w:r>
      <w:r w:rsidR="00BF1B95">
        <w:t>, including</w:t>
      </w:r>
      <w:r w:rsidR="00FD4745">
        <w:t>, but not limited to</w:t>
      </w:r>
      <w:r w:rsidR="00820038">
        <w:t>:</w:t>
      </w:r>
    </w:p>
    <w:p w14:paraId="123CFD93" w14:textId="0F1EBC7D" w:rsidR="00820038" w:rsidRPr="00355782" w:rsidRDefault="008A69DE" w:rsidP="00903D02">
      <w:pPr>
        <w:pStyle w:val="Bullet"/>
      </w:pPr>
      <w:r>
        <w:t>further regulatory amendments in 2022</w:t>
      </w:r>
      <w:r w:rsidR="00355782">
        <w:t xml:space="preserve"> </w:t>
      </w:r>
      <w:r w:rsidR="00CA7A53" w:rsidRPr="004B6E0B">
        <w:t>to</w:t>
      </w:r>
      <w:r w:rsidR="00233065" w:rsidRPr="00EF7499">
        <w:t xml:space="preserve"> support </w:t>
      </w:r>
      <w:r w:rsidR="00233065" w:rsidRPr="00355782">
        <w:t>the improved administra</w:t>
      </w:r>
      <w:r w:rsidR="00B9003D" w:rsidRPr="00355782">
        <w:t>tion of Australia</w:t>
      </w:r>
      <w:r w:rsidR="004260B1">
        <w:t>’</w:t>
      </w:r>
      <w:r w:rsidR="00B9003D" w:rsidRPr="00355782">
        <w:t>s foreign investmen</w:t>
      </w:r>
      <w:r w:rsidR="00D46486" w:rsidRPr="00355782">
        <w:t xml:space="preserve">t framework by clarifying certain aspects within the </w:t>
      </w:r>
      <w:r w:rsidR="00D46486" w:rsidRPr="00355782">
        <w:rPr>
          <w:i/>
          <w:iCs/>
        </w:rPr>
        <w:t>Foreign Acquisitions and Takeovers Regulation 2015</w:t>
      </w:r>
      <w:r w:rsidR="00D46486" w:rsidRPr="00F85B1F">
        <w:rPr>
          <w:rStyle w:val="FootnoteReference"/>
          <w:vertAlign w:val="superscript"/>
        </w:rPr>
        <w:footnoteReference w:id="8"/>
      </w:r>
    </w:p>
    <w:p w14:paraId="4EF87B38" w14:textId="5E3F15C5" w:rsidR="00575CF9" w:rsidRDefault="005F5DEC" w:rsidP="00903D02">
      <w:pPr>
        <w:pStyle w:val="Bullet"/>
      </w:pPr>
      <w:r w:rsidRPr="00355782">
        <w:t xml:space="preserve">doubling of </w:t>
      </w:r>
      <w:r w:rsidR="00C657CC" w:rsidRPr="00355782">
        <w:t>foreign investment fees</w:t>
      </w:r>
      <w:r w:rsidR="00011A44" w:rsidRPr="00355782">
        <w:t xml:space="preserve"> </w:t>
      </w:r>
      <w:r w:rsidR="00166094">
        <w:t>in July 2022</w:t>
      </w:r>
      <w:r w:rsidR="00166094" w:rsidRPr="00903D02">
        <w:t xml:space="preserve"> </w:t>
      </w:r>
      <w:r w:rsidR="00011A44" w:rsidRPr="00355782">
        <w:t xml:space="preserve">and penalties </w:t>
      </w:r>
      <w:r w:rsidR="00C657CC" w:rsidRPr="00355782">
        <w:t xml:space="preserve">in </w:t>
      </w:r>
      <w:r w:rsidR="009E67F3">
        <w:t>January 2023</w:t>
      </w:r>
      <w:r w:rsidR="00422B68" w:rsidRPr="00F85B1F">
        <w:rPr>
          <w:rStyle w:val="FootnoteReference"/>
          <w:vertAlign w:val="superscript"/>
        </w:rPr>
        <w:footnoteReference w:id="9"/>
      </w:r>
    </w:p>
    <w:p w14:paraId="2B403A7F" w14:textId="086E3941" w:rsidR="008A35E5" w:rsidRDefault="00EC18C1" w:rsidP="00903D02">
      <w:pPr>
        <w:pStyle w:val="Bullet"/>
      </w:pPr>
      <w:r>
        <w:t xml:space="preserve">implementation of an exemption for </w:t>
      </w:r>
      <w:proofErr w:type="spellStart"/>
      <w:r>
        <w:t>interfunding</w:t>
      </w:r>
      <w:proofErr w:type="spellEnd"/>
      <w:r>
        <w:t xml:space="preserve"> transactions from mandatory notification under the FATA</w:t>
      </w:r>
      <w:r w:rsidR="00686CB2">
        <w:t xml:space="preserve"> in 2024</w:t>
      </w:r>
      <w:r w:rsidR="008A35E5">
        <w:t xml:space="preserve"> </w:t>
      </w:r>
    </w:p>
    <w:p w14:paraId="09D43682" w14:textId="05685FC6" w:rsidR="00820038" w:rsidRDefault="00F855EE" w:rsidP="00903D02">
      <w:pPr>
        <w:pStyle w:val="Bullet"/>
      </w:pPr>
      <w:r>
        <w:t>reforms to policy and practice announced in</w:t>
      </w:r>
      <w:r w:rsidR="005D4CA1">
        <w:t xml:space="preserve"> May 2024 to apply </w:t>
      </w:r>
      <w:r>
        <w:t xml:space="preserve">stronger </w:t>
      </w:r>
      <w:r w:rsidR="005D4CA1">
        <w:t>scrutiny for high</w:t>
      </w:r>
      <w:r w:rsidR="004260B1">
        <w:noBreakHyphen/>
      </w:r>
      <w:r w:rsidR="005D4CA1">
        <w:t>risk proposals</w:t>
      </w:r>
      <w:r>
        <w:t>,</w:t>
      </w:r>
      <w:r w:rsidR="005D4CA1">
        <w:t xml:space="preserve"> streamlin</w:t>
      </w:r>
      <w:r>
        <w:t>e</w:t>
      </w:r>
      <w:r w:rsidR="005D4CA1">
        <w:t xml:space="preserve"> assessments for </w:t>
      </w:r>
      <w:r w:rsidR="00A76D89">
        <w:t>less sensitive</w:t>
      </w:r>
      <w:r w:rsidR="005D4CA1">
        <w:t xml:space="preserve"> investment proposals</w:t>
      </w:r>
      <w:r>
        <w:t>, and improve transparency</w:t>
      </w:r>
      <w:r w:rsidR="005D4CA1">
        <w:t>.</w:t>
      </w:r>
    </w:p>
    <w:p w14:paraId="3535FC6D" w14:textId="66909C7F" w:rsidR="00032B9C" w:rsidRDefault="00A322DD" w:rsidP="00903D02">
      <w:r>
        <w:t xml:space="preserve">These changes </w:t>
      </w:r>
      <w:r w:rsidR="00AA6E4F">
        <w:t>built on and supported the objectives of the</w:t>
      </w:r>
      <w:r>
        <w:t xml:space="preserve"> 202</w:t>
      </w:r>
      <w:r w:rsidR="00967F35">
        <w:t>1</w:t>
      </w:r>
      <w:r>
        <w:t xml:space="preserve"> reforms. </w:t>
      </w:r>
      <w:r w:rsidR="00AA6E4F">
        <w:t>T</w:t>
      </w:r>
      <w:r w:rsidR="00377271">
        <w:t>he frequency of policy changes</w:t>
      </w:r>
      <w:r w:rsidR="0079739E">
        <w:t xml:space="preserve"> to the Framework</w:t>
      </w:r>
      <w:r w:rsidR="00AC7652">
        <w:t xml:space="preserve"> since the 202</w:t>
      </w:r>
      <w:r w:rsidR="00967F35">
        <w:t>1</w:t>
      </w:r>
      <w:r w:rsidR="00AC7652">
        <w:t xml:space="preserve"> reforms were introduced </w:t>
      </w:r>
      <w:r w:rsidR="00AE0C91">
        <w:t>complicates</w:t>
      </w:r>
      <w:r w:rsidR="00377271">
        <w:t xml:space="preserve"> the ability </w:t>
      </w:r>
      <w:r w:rsidR="00835A9D">
        <w:t>to isolate</w:t>
      </w:r>
      <w:r w:rsidR="00A31B79">
        <w:t xml:space="preserve"> the impact of </w:t>
      </w:r>
      <w:r w:rsidR="00835A9D">
        <w:t>any one specific change, including the 202</w:t>
      </w:r>
      <w:r w:rsidR="00967F35">
        <w:t>1</w:t>
      </w:r>
      <w:r w:rsidR="00835A9D">
        <w:t xml:space="preserve"> reforms,</w:t>
      </w:r>
      <w:r w:rsidR="003924B8">
        <w:t xml:space="preserve"> on investment flows and stakeholders.</w:t>
      </w:r>
      <w:r w:rsidR="006A0EC5">
        <w:t xml:space="preserve"> It does, however, demonstrate </w:t>
      </w:r>
      <w:r w:rsidR="00BB55AA">
        <w:t>continued efforts</w:t>
      </w:r>
      <w:r w:rsidR="00CC04D9">
        <w:t xml:space="preserve"> to </w:t>
      </w:r>
      <w:r w:rsidR="00AE0C91">
        <w:t>adjust</w:t>
      </w:r>
      <w:r w:rsidR="00CC04D9">
        <w:t xml:space="preserve"> the Framework to balance the benefits of foreign investment whilst </w:t>
      </w:r>
      <w:r w:rsidR="00D53F78">
        <w:t>ensuring that</w:t>
      </w:r>
      <w:r w:rsidR="00074D41">
        <w:t xml:space="preserve"> it is not contrary to the national interest</w:t>
      </w:r>
      <w:r w:rsidR="00CC04D9">
        <w:t>.</w:t>
      </w:r>
      <w:r w:rsidR="006A0EC5">
        <w:t xml:space="preserve"> </w:t>
      </w:r>
    </w:p>
    <w:p w14:paraId="5D8A1CE0" w14:textId="73966B3D" w:rsidR="0056066C" w:rsidRDefault="0056066C" w:rsidP="00903D02">
      <w:r>
        <w:t xml:space="preserve">Chart </w:t>
      </w:r>
      <w:r w:rsidR="00D33F81">
        <w:t>6.</w:t>
      </w:r>
      <w:r>
        <w:t>1 shows Australia</w:t>
      </w:r>
      <w:r w:rsidR="004260B1">
        <w:t>’</w:t>
      </w:r>
      <w:r>
        <w:t>s foreign direct investment (FDI) inflows from 2020 to 2024.</w:t>
      </w:r>
      <w:r w:rsidRPr="00F85B1F">
        <w:rPr>
          <w:rStyle w:val="FootnoteReference"/>
          <w:vertAlign w:val="superscript"/>
        </w:rPr>
        <w:footnoteReference w:id="10"/>
      </w:r>
      <w:r w:rsidRPr="00F85B1F">
        <w:rPr>
          <w:vertAlign w:val="superscript"/>
        </w:rPr>
        <w:t xml:space="preserve"> </w:t>
      </w:r>
      <w:r>
        <w:t xml:space="preserve">The fluctuation in FDI inflows reinforces previous commentary in the 2021 </w:t>
      </w:r>
      <w:r w:rsidR="006C3663">
        <w:t>E</w:t>
      </w:r>
      <w:r>
        <w:t xml:space="preserve">valuation that FDI inflows can be volatile. FDI inflows can vary considerably from quarter to quarter and year to year depending on the timing of a small number of large transactions. </w:t>
      </w:r>
      <w:r w:rsidRPr="007F089F">
        <w:t>FDI inflows is a net figure, meaning it captures – but does not disaggregate – FDI coming into Australia and divestments of existing FDI. As such, it is not possible to identify whether a change in inflows is driven by a reduction in the former or an increase in the latter. While foreign investment screening may affect some incoming FDI, it is unlikely to have any effect on FDI divestments.</w:t>
      </w:r>
    </w:p>
    <w:p w14:paraId="5B4B974B" w14:textId="00B1FCCD" w:rsidR="002E00CC" w:rsidRDefault="002E00CC" w:rsidP="006D4589">
      <w:pPr>
        <w:pStyle w:val="ChartMainHeading"/>
      </w:pPr>
      <w:r w:rsidRPr="00EF7499">
        <w:t xml:space="preserve">Chart </w:t>
      </w:r>
      <w:r w:rsidR="00D33F81">
        <w:t>6.</w:t>
      </w:r>
      <w:r w:rsidR="007714E0">
        <w:t>1</w:t>
      </w:r>
      <w:r w:rsidR="00652DB9" w:rsidRPr="00EF7499">
        <w:t xml:space="preserve">: </w:t>
      </w:r>
      <w:r w:rsidR="007A30A1" w:rsidRPr="00EF7499">
        <w:t>Foreign investment in Australia, Direct investment transactions</w:t>
      </w:r>
    </w:p>
    <w:p w14:paraId="1A65ED53" w14:textId="20C4F879" w:rsidR="002E00CC" w:rsidRDefault="007D7347" w:rsidP="0052261F">
      <w:pPr>
        <w:pStyle w:val="ChartGraphic"/>
      </w:pPr>
      <w:r>
        <w:rPr>
          <w:noProof/>
        </w:rPr>
        <w:drawing>
          <wp:inline distT="0" distB="0" distL="0" distR="0" wp14:anchorId="5FC27BE8" wp14:editId="7D397831">
            <wp:extent cx="5578475" cy="2517775"/>
            <wp:effectExtent l="0" t="0" r="0" b="0"/>
            <wp:docPr id="123739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8475" cy="2517775"/>
                    </a:xfrm>
                    <a:prstGeom prst="rect">
                      <a:avLst/>
                    </a:prstGeom>
                    <a:noFill/>
                  </pic:spPr>
                </pic:pic>
              </a:graphicData>
            </a:graphic>
          </wp:inline>
        </w:drawing>
      </w:r>
    </w:p>
    <w:p w14:paraId="2D0F2566" w14:textId="77777777" w:rsidR="007A30A1" w:rsidRPr="006D4589" w:rsidRDefault="007A30A1" w:rsidP="006D4589">
      <w:pPr>
        <w:pStyle w:val="ChartorTableNote"/>
      </w:pPr>
      <w:r w:rsidRPr="006D4589">
        <w:t>Source: ABS</w:t>
      </w:r>
    </w:p>
    <w:p w14:paraId="74B04F86" w14:textId="5C18B53E" w:rsidR="000C298E" w:rsidRDefault="000C298E" w:rsidP="00F876BB">
      <w:r w:rsidRPr="000C298E">
        <w:t>Treasury</w:t>
      </w:r>
      <w:r w:rsidR="004260B1">
        <w:t>’</w:t>
      </w:r>
      <w:r w:rsidRPr="000C298E">
        <w:t xml:space="preserve">s foreign investment </w:t>
      </w:r>
      <w:r w:rsidR="00715FF0">
        <w:t>proposal</w:t>
      </w:r>
      <w:r w:rsidR="00AE4EE3">
        <w:t>s</w:t>
      </w:r>
      <w:r w:rsidR="00715FF0" w:rsidRPr="000C298E">
        <w:t xml:space="preserve"> </w:t>
      </w:r>
      <w:r w:rsidRPr="000C298E">
        <w:t>data</w:t>
      </w:r>
      <w:r w:rsidR="00C370C7">
        <w:t xml:space="preserve"> </w:t>
      </w:r>
      <w:r w:rsidR="00B60D0A">
        <w:t xml:space="preserve">provides </w:t>
      </w:r>
      <w:r w:rsidR="006A63CF">
        <w:t xml:space="preserve">insights </w:t>
      </w:r>
      <w:r w:rsidR="00E23252">
        <w:t xml:space="preserve">into </w:t>
      </w:r>
      <w:r w:rsidR="00214961">
        <w:t xml:space="preserve">potential </w:t>
      </w:r>
      <w:r w:rsidR="00857C0D">
        <w:t>foreign investment</w:t>
      </w:r>
      <w:r w:rsidR="00E23252">
        <w:t xml:space="preserve"> flows in</w:t>
      </w:r>
      <w:r w:rsidR="00214961">
        <w:t>to Australia</w:t>
      </w:r>
      <w:r w:rsidR="006A63CF">
        <w:t xml:space="preserve">. </w:t>
      </w:r>
      <w:r w:rsidR="00246FC6">
        <w:t>The proposal</w:t>
      </w:r>
      <w:r w:rsidR="00107566">
        <w:t>s</w:t>
      </w:r>
      <w:r w:rsidR="00334E9F" w:rsidRPr="000C298E">
        <w:t xml:space="preserve"> data</w:t>
      </w:r>
      <w:r w:rsidR="008D6543" w:rsidRPr="000C298E">
        <w:t xml:space="preserve"> measure</w:t>
      </w:r>
      <w:r w:rsidR="008D6543">
        <w:t>s</w:t>
      </w:r>
      <w:r w:rsidR="008D6543" w:rsidRPr="000C298E">
        <w:t xml:space="preserve"> intended </w:t>
      </w:r>
      <w:r w:rsidR="00B127C7">
        <w:t xml:space="preserve">investment </w:t>
      </w:r>
      <w:r w:rsidR="008D6543" w:rsidRPr="000C298E">
        <w:t>rather than actual investment</w:t>
      </w:r>
      <w:r w:rsidR="008D6543">
        <w:t xml:space="preserve"> </w:t>
      </w:r>
      <w:r w:rsidR="00736C28">
        <w:t>and</w:t>
      </w:r>
      <w:r w:rsidR="004A1C23">
        <w:t xml:space="preserve"> </w:t>
      </w:r>
      <w:r w:rsidR="00880756">
        <w:t>is a useful indicator of</w:t>
      </w:r>
      <w:r w:rsidRPr="000C298E">
        <w:t xml:space="preserve"> FDI</w:t>
      </w:r>
      <w:r w:rsidR="000829A8">
        <w:t xml:space="preserve"> into Australia</w:t>
      </w:r>
      <w:r w:rsidR="000B2AA7">
        <w:t xml:space="preserve"> when combined with ABS data</w:t>
      </w:r>
      <w:r w:rsidR="00E44927">
        <w:t>.</w:t>
      </w:r>
      <w:r w:rsidR="000829A8">
        <w:t xml:space="preserve"> It does not capture FDI divestments. </w:t>
      </w:r>
      <w:r w:rsidR="00246A5A">
        <w:t>As such</w:t>
      </w:r>
      <w:r w:rsidR="00C521A6">
        <w:t>,</w:t>
      </w:r>
      <w:r w:rsidR="008D6543">
        <w:t xml:space="preserve"> it</w:t>
      </w:r>
      <w:r w:rsidRPr="000C298E">
        <w:t xml:space="preserve"> does not face the problems discussed above in relation to net inflows data.</w:t>
      </w:r>
      <w:r w:rsidR="002E45E2">
        <w:t xml:space="preserve"> However,</w:t>
      </w:r>
      <w:r w:rsidR="00B04BA1">
        <w:t xml:space="preserve"> </w:t>
      </w:r>
      <w:r w:rsidR="00E6154D">
        <w:t xml:space="preserve">it is </w:t>
      </w:r>
      <w:r w:rsidR="00827248">
        <w:t xml:space="preserve">also </w:t>
      </w:r>
      <w:r w:rsidR="00E6154D">
        <w:t>difficult to</w:t>
      </w:r>
      <w:r w:rsidR="00E16702">
        <w:t xml:space="preserve"> </w:t>
      </w:r>
      <w:r w:rsidR="00E6154D">
        <w:t xml:space="preserve">directly attribute </w:t>
      </w:r>
      <w:r w:rsidR="00C521A6">
        <w:t xml:space="preserve">changes in </w:t>
      </w:r>
      <w:r w:rsidR="00E6154D">
        <w:t xml:space="preserve">the data to the </w:t>
      </w:r>
      <w:r w:rsidR="00121C2B">
        <w:t>2021 reforms</w:t>
      </w:r>
      <w:r w:rsidR="00C521A6">
        <w:t>,</w:t>
      </w:r>
      <w:r w:rsidR="00121C2B">
        <w:t xml:space="preserve"> as </w:t>
      </w:r>
      <w:r w:rsidR="00C521A6">
        <w:t xml:space="preserve">investment </w:t>
      </w:r>
      <w:r w:rsidR="00121C2B">
        <w:t>proposal</w:t>
      </w:r>
      <w:r w:rsidR="00B70AE1">
        <w:t xml:space="preserve"> can be volatil</w:t>
      </w:r>
      <w:r w:rsidR="00E80F36">
        <w:t>e</w:t>
      </w:r>
      <w:r w:rsidR="00BD1A8B">
        <w:t xml:space="preserve"> over time</w:t>
      </w:r>
      <w:r w:rsidR="00E80F36">
        <w:t xml:space="preserve"> </w:t>
      </w:r>
      <w:r w:rsidR="0078472D">
        <w:t>due to the high relative value of some investment proposals relative to others and due to seasonal factors</w:t>
      </w:r>
      <w:r w:rsidR="004F2ED1">
        <w:t xml:space="preserve">. </w:t>
      </w:r>
      <w:r w:rsidR="003931FD" w:rsidRPr="00EF7499">
        <w:t>Despite these limitations</w:t>
      </w:r>
      <w:r w:rsidR="003931FD">
        <w:t xml:space="preserve">, </w:t>
      </w:r>
      <w:r w:rsidR="00827248">
        <w:t>proposal</w:t>
      </w:r>
      <w:r w:rsidR="00C521A6">
        <w:t>s</w:t>
      </w:r>
      <w:r w:rsidR="003931FD">
        <w:t xml:space="preserve"> </w:t>
      </w:r>
      <w:r w:rsidR="003931FD" w:rsidRPr="00EF7499">
        <w:t xml:space="preserve">data remains a </w:t>
      </w:r>
      <w:r w:rsidR="00F53A0B">
        <w:t xml:space="preserve">useful indicator to </w:t>
      </w:r>
      <w:r w:rsidR="003931FD" w:rsidRPr="00EF7499">
        <w:t>observ</w:t>
      </w:r>
      <w:r w:rsidR="00F53A0B">
        <w:t xml:space="preserve">e </w:t>
      </w:r>
      <w:r w:rsidR="003931FD" w:rsidRPr="00EF7499">
        <w:t xml:space="preserve">changes and trends in investment </w:t>
      </w:r>
      <w:r w:rsidR="00C521A6">
        <w:t xml:space="preserve">interest and </w:t>
      </w:r>
      <w:r w:rsidR="003931FD" w:rsidRPr="00EF7499">
        <w:t>behaviour over tim</w:t>
      </w:r>
      <w:r w:rsidR="003931FD">
        <w:t>e.</w:t>
      </w:r>
    </w:p>
    <w:p w14:paraId="19D35D9A" w14:textId="6DEC2F05" w:rsidR="00DE539B" w:rsidRDefault="00DE539B" w:rsidP="00F876BB">
      <w:r>
        <w:t xml:space="preserve">Treasury data for the number of </w:t>
      </w:r>
      <w:r w:rsidRPr="0096319C">
        <w:t>approved proposed commercial</w:t>
      </w:r>
      <w:r w:rsidRPr="00223061">
        <w:rPr>
          <w:rStyle w:val="FootnoteReference"/>
          <w:vertAlign w:val="superscript"/>
        </w:rPr>
        <w:t xml:space="preserve"> </w:t>
      </w:r>
      <w:r w:rsidRPr="0096319C">
        <w:t xml:space="preserve">foreign investment applications </w:t>
      </w:r>
      <w:r w:rsidR="002C02AE" w:rsidRPr="0096319C">
        <w:t>show</w:t>
      </w:r>
      <w:r w:rsidRPr="0096319C">
        <w:t xml:space="preserve"> a decline in </w:t>
      </w:r>
      <w:r>
        <w:t xml:space="preserve">total </w:t>
      </w:r>
      <w:r w:rsidRPr="0096319C">
        <w:t>application approvals since a high of 2020</w:t>
      </w:r>
      <w:r w:rsidR="0052261F" w:rsidRPr="0052261F">
        <w:t>–</w:t>
      </w:r>
      <w:r w:rsidRPr="0096319C">
        <w:t>21</w:t>
      </w:r>
      <w:r>
        <w:t xml:space="preserve"> (see Chart </w:t>
      </w:r>
      <w:r w:rsidR="00D33F81">
        <w:t>6.</w:t>
      </w:r>
      <w:r>
        <w:t>2)</w:t>
      </w:r>
      <w:r w:rsidRPr="0096319C">
        <w:t>.</w:t>
      </w:r>
      <w:r w:rsidRPr="00F85B1F">
        <w:rPr>
          <w:rStyle w:val="FootnoteReference"/>
          <w:vertAlign w:val="superscript"/>
        </w:rPr>
        <w:footnoteReference w:id="11"/>
      </w:r>
      <w:r w:rsidRPr="00F85B1F">
        <w:rPr>
          <w:vertAlign w:val="superscript"/>
        </w:rPr>
        <w:t xml:space="preserve"> </w:t>
      </w:r>
      <w:r>
        <w:t>Application numbers for 2020 also reflect the zero</w:t>
      </w:r>
      <w:r w:rsidR="004260B1">
        <w:noBreakHyphen/>
      </w:r>
      <w:r>
        <w:t>dollar threshold in place during the COVID period where the Government sought to screen all proposed investment regardless of value or country of investor. Data in the four years from 2021</w:t>
      </w:r>
      <w:r w:rsidR="0052261F" w:rsidRPr="0052261F">
        <w:t>–</w:t>
      </w:r>
      <w:r>
        <w:t>22 onwards, however, shows annual approved commercial application numbers are higher on average than the four years from 2016</w:t>
      </w:r>
      <w:r w:rsidR="0052261F" w:rsidRPr="0052261F">
        <w:t>–</w:t>
      </w:r>
      <w:r>
        <w:t xml:space="preserve">2019 prior to the 2020 reforms. The average annual value of </w:t>
      </w:r>
      <w:r w:rsidR="00C521A6">
        <w:t xml:space="preserve">proposals </w:t>
      </w:r>
      <w:r>
        <w:t>in the four years since 2020</w:t>
      </w:r>
      <w:r w:rsidR="0052261F" w:rsidRPr="0052261F">
        <w:t>–</w:t>
      </w:r>
      <w:r>
        <w:t xml:space="preserve">21 has been $234.7 billion, compared to $178.2 billion in the four years prior to the 2020 reforms. </w:t>
      </w:r>
      <w:r w:rsidR="00C521A6">
        <w:t>While noting the limitations of this data described above, this</w:t>
      </w:r>
      <w:r>
        <w:t xml:space="preserve"> suggests that investor sentiment has remained robust following the commencement and implementation of the reforms.</w:t>
      </w:r>
    </w:p>
    <w:p w14:paraId="5267EC62" w14:textId="1FF429E2" w:rsidR="0031212F" w:rsidRDefault="0028423B" w:rsidP="006D4589">
      <w:pPr>
        <w:pStyle w:val="ChartMainHeading"/>
      </w:pPr>
      <w:r w:rsidRPr="001B389D">
        <w:t>Chart</w:t>
      </w:r>
      <w:r w:rsidR="0096319C" w:rsidRPr="001B389D">
        <w:t xml:space="preserve"> </w:t>
      </w:r>
      <w:r w:rsidR="00D33F81" w:rsidRPr="001B389D">
        <w:t>6.</w:t>
      </w:r>
      <w:r w:rsidR="00B26195" w:rsidRPr="001B389D">
        <w:t>2</w:t>
      </w:r>
      <w:r w:rsidR="0096319C" w:rsidRPr="001B389D">
        <w:t xml:space="preserve">: </w:t>
      </w:r>
      <w:r w:rsidR="00A24D08" w:rsidRPr="001B389D">
        <w:t>Proposed commercial approvals 2014</w:t>
      </w:r>
      <w:r w:rsidR="0052261F" w:rsidRPr="0052261F">
        <w:t>–</w:t>
      </w:r>
      <w:r w:rsidR="00A24D08" w:rsidRPr="001B389D">
        <w:t>202</w:t>
      </w:r>
      <w:r w:rsidR="001B389D" w:rsidRPr="001B389D">
        <w:t>4</w:t>
      </w:r>
    </w:p>
    <w:p w14:paraId="35877BC2" w14:textId="48B50786" w:rsidR="00095CC5" w:rsidRDefault="007D7347" w:rsidP="0052261F">
      <w:pPr>
        <w:pStyle w:val="ChartGraphic"/>
        <w:rPr>
          <w:sz w:val="18"/>
          <w:szCs w:val="18"/>
        </w:rPr>
      </w:pPr>
      <w:r>
        <w:rPr>
          <w:noProof/>
          <w:sz w:val="18"/>
          <w:szCs w:val="18"/>
        </w:rPr>
        <w:drawing>
          <wp:inline distT="0" distB="0" distL="0" distR="0" wp14:anchorId="7EEB571D" wp14:editId="0FAF073A">
            <wp:extent cx="5730875" cy="2767965"/>
            <wp:effectExtent l="0" t="0" r="3175" b="0"/>
            <wp:docPr id="679345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2767965"/>
                    </a:xfrm>
                    <a:prstGeom prst="rect">
                      <a:avLst/>
                    </a:prstGeom>
                    <a:noFill/>
                  </pic:spPr>
                </pic:pic>
              </a:graphicData>
            </a:graphic>
          </wp:inline>
        </w:drawing>
      </w:r>
    </w:p>
    <w:p w14:paraId="3B5C00A4" w14:textId="468C9C03" w:rsidR="000C5903" w:rsidRPr="00EF7499" w:rsidRDefault="000C5903" w:rsidP="006D4589">
      <w:pPr>
        <w:pStyle w:val="ChartorTableNote"/>
      </w:pPr>
      <w:r w:rsidRPr="00EF7499">
        <w:t>So</w:t>
      </w:r>
      <w:r w:rsidR="0088166E" w:rsidRPr="00EF7499">
        <w:t xml:space="preserve">urce: </w:t>
      </w:r>
      <w:r w:rsidR="006D4589">
        <w:tab/>
      </w:r>
      <w:r w:rsidR="0088166E" w:rsidRPr="00EF7499">
        <w:t>Treasury</w:t>
      </w:r>
    </w:p>
    <w:p w14:paraId="7E134884" w14:textId="53A1B12A" w:rsidR="003B0FCD" w:rsidRDefault="003B0FCD" w:rsidP="00F876BB">
      <w:pPr>
        <w:pStyle w:val="Heading2Numbered"/>
      </w:pPr>
      <w:bookmarkStart w:id="53" w:name="_Toc210039669"/>
      <w:r>
        <w:t>Protecting Australia</w:t>
      </w:r>
      <w:r w:rsidR="004260B1">
        <w:t>’</w:t>
      </w:r>
      <w:r>
        <w:t>s national security</w:t>
      </w:r>
      <w:bookmarkEnd w:id="53"/>
    </w:p>
    <w:p w14:paraId="2867A5F6" w14:textId="2747F1B6" w:rsidR="0055799D" w:rsidRDefault="0055799D" w:rsidP="00F876BB">
      <w:r w:rsidRPr="0055799D">
        <w:t xml:space="preserve">The national security reforms were introduced to ensure the framework kept pace with evolving geopolitical risks, emerging technologies and growing foreign investment into sensitive sectors </w:t>
      </w:r>
      <w:r w:rsidR="00154A16">
        <w:t>such as</w:t>
      </w:r>
      <w:r w:rsidR="00154A16" w:rsidRPr="0055799D">
        <w:t xml:space="preserve"> </w:t>
      </w:r>
      <w:r w:rsidRPr="0055799D">
        <w:t xml:space="preserve">electricity, transport and defence providers, which </w:t>
      </w:r>
      <w:r w:rsidR="00C851E6">
        <w:t>was</w:t>
      </w:r>
      <w:r w:rsidR="00C851E6" w:rsidRPr="0055799D">
        <w:t xml:space="preserve"> </w:t>
      </w:r>
      <w:r w:rsidR="00497EC2">
        <w:t xml:space="preserve">seen to be </w:t>
      </w:r>
      <w:r w:rsidRPr="0055799D">
        <w:t>posing an increasing risk to Australians and the resilience of the Australian economy.</w:t>
      </w:r>
    </w:p>
    <w:p w14:paraId="5003E8A9" w14:textId="7D6BFBEF" w:rsidR="00A011CC" w:rsidRDefault="00C851E6" w:rsidP="00F876BB">
      <w:r>
        <w:t>At the time of the 2021 reforms, i</w:t>
      </w:r>
      <w:r w:rsidR="00A011CC">
        <w:t xml:space="preserve">t was estimated that an additional 161 applications would be made </w:t>
      </w:r>
      <w:r w:rsidR="00A424C9">
        <w:t>by investors each year</w:t>
      </w:r>
      <w:r w:rsidR="000D7040">
        <w:t>.</w:t>
      </w:r>
      <w:r w:rsidR="000D7040" w:rsidRPr="00F85B1F">
        <w:rPr>
          <w:rStyle w:val="FootnoteReference"/>
          <w:vertAlign w:val="superscript"/>
        </w:rPr>
        <w:footnoteReference w:id="12"/>
      </w:r>
      <w:r w:rsidR="00E87DD0" w:rsidRPr="00F85B1F">
        <w:rPr>
          <w:vertAlign w:val="superscript"/>
        </w:rPr>
        <w:t xml:space="preserve"> </w:t>
      </w:r>
      <w:r w:rsidR="00E87DD0">
        <w:t xml:space="preserve">On average, </w:t>
      </w:r>
      <w:r w:rsidR="00483568">
        <w:t>8</w:t>
      </w:r>
      <w:r w:rsidR="00590C99">
        <w:t>5</w:t>
      </w:r>
      <w:r w:rsidR="006E3211">
        <w:t> </w:t>
      </w:r>
      <w:r w:rsidR="00EA7956">
        <w:t xml:space="preserve">approved </w:t>
      </w:r>
      <w:r w:rsidR="00671C21" w:rsidRPr="0056139A">
        <w:t>applications have</w:t>
      </w:r>
      <w:r w:rsidR="00671C21">
        <w:t xml:space="preserve"> been lodged annual</w:t>
      </w:r>
      <w:r w:rsidR="00D51190">
        <w:t>ly</w:t>
      </w:r>
      <w:r w:rsidR="00671C21">
        <w:t xml:space="preserve"> that the </w:t>
      </w:r>
      <w:r w:rsidR="00603E9E">
        <w:t>G</w:t>
      </w:r>
      <w:r w:rsidR="00671C21">
        <w:t xml:space="preserve">overnment </w:t>
      </w:r>
      <w:r w:rsidR="00D51190">
        <w:t>would not otherwise have had scrutiny over without the reforms</w:t>
      </w:r>
      <w:r w:rsidR="00331931">
        <w:t xml:space="preserve"> (see Table </w:t>
      </w:r>
      <w:r w:rsidR="007759A1">
        <w:t>6.1</w:t>
      </w:r>
      <w:r w:rsidR="00331931">
        <w:t>)</w:t>
      </w:r>
      <w:r w:rsidR="00D51190">
        <w:t>.</w:t>
      </w:r>
      <w:r w:rsidR="00A424C9">
        <w:t xml:space="preserve"> </w:t>
      </w:r>
      <w:r w:rsidR="007170E8">
        <w:t xml:space="preserve">Of those, an </w:t>
      </w:r>
      <w:r w:rsidR="00C446AA">
        <w:t xml:space="preserve">annual </w:t>
      </w:r>
      <w:r w:rsidR="007170E8">
        <w:t xml:space="preserve">average of </w:t>
      </w:r>
      <w:r w:rsidR="0019408D">
        <w:t>2</w:t>
      </w:r>
      <w:r w:rsidR="001B57FE">
        <w:t>5</w:t>
      </w:r>
      <w:r w:rsidR="006E3211">
        <w:t> </w:t>
      </w:r>
      <w:r w:rsidR="00517284">
        <w:t xml:space="preserve">applications </w:t>
      </w:r>
      <w:r w:rsidR="002C02AE">
        <w:t>has</w:t>
      </w:r>
      <w:r w:rsidR="00517284">
        <w:t xml:space="preserve"> been voluntarily notified.</w:t>
      </w:r>
      <w:r w:rsidR="00694785">
        <w:t xml:space="preserve"> This demonstrates investors have actively sought to voluntarily notify some acquisitions that would have not otherwise been screen</w:t>
      </w:r>
      <w:r w:rsidR="00A9328E">
        <w:t>ed</w:t>
      </w:r>
      <w:r w:rsidR="00694785">
        <w:t xml:space="preserve"> under the framework</w:t>
      </w:r>
      <w:r w:rsidR="0011749C">
        <w:t xml:space="preserve"> (see Table </w:t>
      </w:r>
      <w:r w:rsidR="007759A1">
        <w:t>6.2</w:t>
      </w:r>
      <w:r w:rsidR="0011749C">
        <w:t>)</w:t>
      </w:r>
      <w:r w:rsidR="00694785">
        <w:t>.</w:t>
      </w:r>
    </w:p>
    <w:p w14:paraId="16A225DD" w14:textId="4BDFFDFE" w:rsidR="00B506DA" w:rsidRDefault="006824BA" w:rsidP="006D4589">
      <w:pPr>
        <w:pStyle w:val="TableMainHeading"/>
      </w:pPr>
      <w:r>
        <w:t xml:space="preserve">Table </w:t>
      </w:r>
      <w:r w:rsidR="00FE1A92">
        <w:t>6.1</w:t>
      </w:r>
      <w:r w:rsidRPr="001A2E47">
        <w:t>:</w:t>
      </w:r>
      <w:r>
        <w:t xml:space="preserve"> </w:t>
      </w:r>
      <w:r w:rsidR="00DD6C69">
        <w:t>Annual n</w:t>
      </w:r>
      <w:r>
        <w:t>umber of approv</w:t>
      </w:r>
      <w:r w:rsidR="0073268A">
        <w:t>ed</w:t>
      </w:r>
      <w:r>
        <w:t xml:space="preserve"> national security investment proposals</w:t>
      </w:r>
      <w:r w:rsidR="005A6816">
        <w:t xml:space="preserve"> </w:t>
      </w:r>
    </w:p>
    <w:tbl>
      <w:tblPr>
        <w:tblW w:w="4999" w:type="pct"/>
        <w:tblCellMar>
          <w:left w:w="0" w:type="dxa"/>
          <w:right w:w="28" w:type="dxa"/>
        </w:tblCellMar>
        <w:tblLook w:val="01E0" w:firstRow="1" w:lastRow="1" w:firstColumn="1" w:lastColumn="1" w:noHBand="0" w:noVBand="0"/>
      </w:tblPr>
      <w:tblGrid>
        <w:gridCol w:w="1817"/>
        <w:gridCol w:w="1817"/>
        <w:gridCol w:w="1812"/>
        <w:gridCol w:w="1812"/>
        <w:gridCol w:w="1810"/>
      </w:tblGrid>
      <w:tr w:rsidR="003E04D9" w:rsidRPr="00F876BB" w14:paraId="143FC093" w14:textId="3EBAC4AA" w:rsidTr="00712081">
        <w:trPr>
          <w:trHeight w:val="270"/>
          <w:tblHeader/>
        </w:trPr>
        <w:tc>
          <w:tcPr>
            <w:tcW w:w="1002" w:type="pct"/>
            <w:shd w:val="clear" w:color="auto" w:fill="E5E5E5"/>
          </w:tcPr>
          <w:p w14:paraId="358E972D" w14:textId="13038B47" w:rsidR="003E04D9" w:rsidRPr="00A850E8" w:rsidRDefault="003E04D9" w:rsidP="00A850E8">
            <w:pPr>
              <w:pStyle w:val="TableColumnHeadingRight"/>
            </w:pPr>
            <w:r w:rsidRPr="00A850E8">
              <w:t>2024</w:t>
            </w:r>
            <w:r w:rsidR="0052261F" w:rsidRPr="00A850E8">
              <w:t>–</w:t>
            </w:r>
            <w:r w:rsidRPr="00A850E8">
              <w:t xml:space="preserve">25 </w:t>
            </w:r>
            <w:r w:rsidR="001B389D" w:rsidRPr="00A850E8">
              <w:t>YTD*</w:t>
            </w:r>
          </w:p>
        </w:tc>
        <w:tc>
          <w:tcPr>
            <w:tcW w:w="1002" w:type="pct"/>
            <w:shd w:val="clear" w:color="auto" w:fill="E5E5E5"/>
          </w:tcPr>
          <w:p w14:paraId="3A4A65ED" w14:textId="520570CA" w:rsidR="003E04D9" w:rsidRPr="00A850E8" w:rsidRDefault="003E04D9" w:rsidP="00A850E8">
            <w:pPr>
              <w:pStyle w:val="TableColumnHeadingRight"/>
            </w:pPr>
            <w:r w:rsidRPr="00A850E8">
              <w:t>2023</w:t>
            </w:r>
            <w:r w:rsidR="0052261F" w:rsidRPr="00A850E8">
              <w:t>–</w:t>
            </w:r>
            <w:r w:rsidRPr="00A850E8">
              <w:t xml:space="preserve">24 </w:t>
            </w:r>
          </w:p>
        </w:tc>
        <w:tc>
          <w:tcPr>
            <w:tcW w:w="999" w:type="pct"/>
            <w:shd w:val="clear" w:color="auto" w:fill="E5E5E5"/>
          </w:tcPr>
          <w:p w14:paraId="53350100" w14:textId="7A03C9D8" w:rsidR="003E04D9" w:rsidRPr="00A850E8" w:rsidRDefault="003E04D9" w:rsidP="00A850E8">
            <w:pPr>
              <w:pStyle w:val="TableColumnHeadingRight"/>
            </w:pPr>
            <w:r w:rsidRPr="00A850E8">
              <w:t>2022</w:t>
            </w:r>
            <w:r w:rsidR="0052261F" w:rsidRPr="00A850E8">
              <w:t>–</w:t>
            </w:r>
            <w:r w:rsidRPr="00A850E8">
              <w:t>23</w:t>
            </w:r>
          </w:p>
        </w:tc>
        <w:tc>
          <w:tcPr>
            <w:tcW w:w="999" w:type="pct"/>
            <w:shd w:val="clear" w:color="auto" w:fill="E5E5E5"/>
          </w:tcPr>
          <w:p w14:paraId="337436EA" w14:textId="468779CE" w:rsidR="003E04D9" w:rsidRPr="00A850E8" w:rsidRDefault="003E04D9" w:rsidP="00A850E8">
            <w:pPr>
              <w:pStyle w:val="TableColumnHeadingRight"/>
            </w:pPr>
            <w:r w:rsidRPr="00A850E8">
              <w:t>2021</w:t>
            </w:r>
            <w:r w:rsidR="0052261F" w:rsidRPr="00A850E8">
              <w:t>–</w:t>
            </w:r>
            <w:r w:rsidRPr="00A850E8">
              <w:t>22</w:t>
            </w:r>
          </w:p>
        </w:tc>
        <w:tc>
          <w:tcPr>
            <w:tcW w:w="999" w:type="pct"/>
            <w:shd w:val="clear" w:color="auto" w:fill="E5E5E5"/>
          </w:tcPr>
          <w:p w14:paraId="0C6B87A7" w14:textId="0FFA711D" w:rsidR="003E04D9" w:rsidRPr="00A850E8" w:rsidRDefault="003E04D9" w:rsidP="00A850E8">
            <w:pPr>
              <w:pStyle w:val="TableColumnHeadingRight"/>
            </w:pPr>
            <w:r w:rsidRPr="00A850E8">
              <w:t>2020</w:t>
            </w:r>
            <w:r w:rsidR="0052261F" w:rsidRPr="00A850E8">
              <w:t>–</w:t>
            </w:r>
            <w:r w:rsidRPr="00A850E8">
              <w:t>2021</w:t>
            </w:r>
          </w:p>
        </w:tc>
      </w:tr>
      <w:tr w:rsidR="003E04D9" w:rsidRPr="00F876BB" w14:paraId="0A884F42" w14:textId="77777777" w:rsidTr="00712081">
        <w:trPr>
          <w:trHeight w:val="270"/>
        </w:trPr>
        <w:tc>
          <w:tcPr>
            <w:tcW w:w="1002" w:type="pct"/>
            <w:tcBorders>
              <w:bottom w:val="single" w:sz="4" w:space="0" w:color="5F5F5F" w:themeColor="text2"/>
            </w:tcBorders>
          </w:tcPr>
          <w:p w14:paraId="6CCB9600" w14:textId="37576BC2" w:rsidR="003E04D9" w:rsidRPr="00F876BB" w:rsidRDefault="001B389D" w:rsidP="00706F7E">
            <w:pPr>
              <w:pStyle w:val="TableTextRight"/>
              <w:rPr>
                <w:szCs w:val="18"/>
              </w:rPr>
            </w:pPr>
            <w:r w:rsidRPr="00F876BB">
              <w:rPr>
                <w:szCs w:val="18"/>
              </w:rPr>
              <w:t>58</w:t>
            </w:r>
          </w:p>
        </w:tc>
        <w:tc>
          <w:tcPr>
            <w:tcW w:w="1002" w:type="pct"/>
            <w:tcBorders>
              <w:bottom w:val="single" w:sz="4" w:space="0" w:color="5F5F5F" w:themeColor="text2"/>
            </w:tcBorders>
          </w:tcPr>
          <w:p w14:paraId="59466C98" w14:textId="0264D26B" w:rsidR="003E04D9" w:rsidRPr="00F876BB" w:rsidRDefault="00DC26BB" w:rsidP="00706F7E">
            <w:pPr>
              <w:pStyle w:val="TableTextRight"/>
              <w:rPr>
                <w:szCs w:val="18"/>
              </w:rPr>
            </w:pPr>
            <w:r w:rsidRPr="00F876BB">
              <w:rPr>
                <w:szCs w:val="18"/>
              </w:rPr>
              <w:t>7</w:t>
            </w:r>
            <w:r w:rsidR="001B389D" w:rsidRPr="00F876BB">
              <w:rPr>
                <w:szCs w:val="18"/>
              </w:rPr>
              <w:t>8</w:t>
            </w:r>
          </w:p>
        </w:tc>
        <w:tc>
          <w:tcPr>
            <w:tcW w:w="999" w:type="pct"/>
            <w:tcBorders>
              <w:bottom w:val="single" w:sz="4" w:space="0" w:color="5F5F5F" w:themeColor="text2"/>
            </w:tcBorders>
          </w:tcPr>
          <w:p w14:paraId="7DC0E0F3" w14:textId="59A9DEED" w:rsidR="003E04D9" w:rsidRPr="00F876BB" w:rsidRDefault="00DC26BB" w:rsidP="00706F7E">
            <w:pPr>
              <w:pStyle w:val="TableTextRight"/>
              <w:rPr>
                <w:szCs w:val="18"/>
              </w:rPr>
            </w:pPr>
            <w:r w:rsidRPr="00F876BB">
              <w:rPr>
                <w:szCs w:val="18"/>
              </w:rPr>
              <w:t>115</w:t>
            </w:r>
          </w:p>
        </w:tc>
        <w:tc>
          <w:tcPr>
            <w:tcW w:w="999" w:type="pct"/>
            <w:tcBorders>
              <w:bottom w:val="single" w:sz="4" w:space="0" w:color="5F5F5F" w:themeColor="text2"/>
            </w:tcBorders>
          </w:tcPr>
          <w:p w14:paraId="6B82D365" w14:textId="28C1BD22" w:rsidR="003E04D9" w:rsidRPr="00F876BB" w:rsidRDefault="00DC26BB" w:rsidP="00706F7E">
            <w:pPr>
              <w:pStyle w:val="TableTextRight"/>
              <w:rPr>
                <w:szCs w:val="18"/>
              </w:rPr>
            </w:pPr>
            <w:r w:rsidRPr="00F876BB">
              <w:rPr>
                <w:szCs w:val="18"/>
              </w:rPr>
              <w:t>93</w:t>
            </w:r>
          </w:p>
        </w:tc>
        <w:tc>
          <w:tcPr>
            <w:tcW w:w="999" w:type="pct"/>
            <w:tcBorders>
              <w:bottom w:val="single" w:sz="4" w:space="0" w:color="5F5F5F" w:themeColor="text2"/>
            </w:tcBorders>
          </w:tcPr>
          <w:p w14:paraId="14F4B31E" w14:textId="776AB8F3" w:rsidR="003E04D9" w:rsidRPr="00F876BB" w:rsidRDefault="00DC26BB" w:rsidP="00706F7E">
            <w:pPr>
              <w:pStyle w:val="TableTextRight"/>
              <w:rPr>
                <w:szCs w:val="18"/>
              </w:rPr>
            </w:pPr>
            <w:r w:rsidRPr="00F876BB">
              <w:rPr>
                <w:szCs w:val="18"/>
              </w:rPr>
              <w:t>30</w:t>
            </w:r>
          </w:p>
        </w:tc>
      </w:tr>
    </w:tbl>
    <w:p w14:paraId="0A608692" w14:textId="72D87DFE" w:rsidR="00F142C2" w:rsidRDefault="00F142C2" w:rsidP="006D4589">
      <w:pPr>
        <w:pStyle w:val="ChartorTableNote"/>
      </w:pPr>
      <w:bookmarkStart w:id="54" w:name="_Toc152327785"/>
      <w:bookmarkStart w:id="55" w:name="_Toc152334171"/>
      <w:bookmarkStart w:id="56" w:name="_Toc176949499"/>
      <w:bookmarkStart w:id="57" w:name="_Toc177024896"/>
      <w:bookmarkStart w:id="58" w:name="_Toc177026839"/>
      <w:r>
        <w:t>* Quarter 1 and 2 of 2024</w:t>
      </w:r>
      <w:r w:rsidR="0052261F" w:rsidRPr="0052261F">
        <w:t>–</w:t>
      </w:r>
      <w:r>
        <w:t>25</w:t>
      </w:r>
    </w:p>
    <w:p w14:paraId="2967CA74" w14:textId="7B15B227" w:rsidR="00B3695A" w:rsidRDefault="00667C7F" w:rsidP="006D4589">
      <w:pPr>
        <w:pStyle w:val="ChartorTableNote"/>
      </w:pPr>
      <w:r w:rsidRPr="00EF7499">
        <w:t xml:space="preserve">Note: </w:t>
      </w:r>
      <w:r w:rsidR="00585754" w:rsidRPr="00EF7499">
        <w:tab/>
      </w:r>
      <w:r w:rsidR="00783355" w:rsidRPr="00EF7499">
        <w:t>Variations from previously published statistics are due to the reconciliation process</w:t>
      </w:r>
      <w:r w:rsidR="00585754" w:rsidRPr="00EF7499">
        <w:t>.</w:t>
      </w:r>
    </w:p>
    <w:p w14:paraId="47498839" w14:textId="77777777" w:rsidR="001F7D93" w:rsidRDefault="001F7D93">
      <w:pPr>
        <w:spacing w:before="0" w:after="160" w:line="259" w:lineRule="auto"/>
        <w:rPr>
          <w:rFonts w:ascii="Calibri" w:hAnsi="Calibri" w:cs="Arial"/>
          <w:color w:val="4D7861" w:themeColor="accent2"/>
          <w:kern w:val="32"/>
          <w:sz w:val="26"/>
          <w:szCs w:val="26"/>
        </w:rPr>
      </w:pPr>
      <w:r>
        <w:br w:type="page"/>
      </w:r>
    </w:p>
    <w:p w14:paraId="709FFC72" w14:textId="51EE8AA4" w:rsidR="00F821A5" w:rsidRPr="00F821A5" w:rsidRDefault="00F821A5" w:rsidP="006D4589">
      <w:pPr>
        <w:pStyle w:val="TableMainHeading"/>
      </w:pPr>
      <w:r w:rsidRPr="00F821A5">
        <w:t xml:space="preserve">Table </w:t>
      </w:r>
      <w:r w:rsidR="00FE1A92">
        <w:t>6.2</w:t>
      </w:r>
      <w:r w:rsidRPr="00F821A5">
        <w:t>: Number of approved national security investment proposals</w:t>
      </w:r>
      <w:bookmarkEnd w:id="54"/>
      <w:bookmarkEnd w:id="55"/>
      <w:bookmarkEnd w:id="56"/>
      <w:bookmarkEnd w:id="57"/>
      <w:bookmarkEnd w:id="58"/>
      <w:r w:rsidRPr="00F821A5">
        <w:t xml:space="preserve"> </w:t>
      </w:r>
    </w:p>
    <w:tbl>
      <w:tblPr>
        <w:tblStyle w:val="TableGrid1"/>
        <w:tblW w:w="5000" w:type="pct"/>
        <w:tblLayout w:type="fixed"/>
        <w:tblLook w:val="01E0" w:firstRow="1" w:lastRow="1" w:firstColumn="1" w:lastColumn="1" w:noHBand="0" w:noVBand="0"/>
      </w:tblPr>
      <w:tblGrid>
        <w:gridCol w:w="1133"/>
        <w:gridCol w:w="2409"/>
        <w:gridCol w:w="1418"/>
        <w:gridCol w:w="1027"/>
        <w:gridCol w:w="1028"/>
        <w:gridCol w:w="1027"/>
        <w:gridCol w:w="1028"/>
      </w:tblGrid>
      <w:tr w:rsidR="00396339" w:rsidRPr="00F876BB" w14:paraId="68CB1283" w14:textId="346B4C34" w:rsidTr="0052261F">
        <w:trPr>
          <w:cnfStyle w:val="100000000000" w:firstRow="1" w:lastRow="0" w:firstColumn="0" w:lastColumn="0" w:oddVBand="0" w:evenVBand="0" w:oddHBand="0" w:evenHBand="0" w:firstRowFirstColumn="0" w:firstRowLastColumn="0" w:lastRowFirstColumn="0" w:lastRowLastColumn="0"/>
        </w:trPr>
        <w:tc>
          <w:tcPr>
            <w:tcW w:w="1134" w:type="dxa"/>
          </w:tcPr>
          <w:p w14:paraId="44A49AA6" w14:textId="77777777" w:rsidR="006D3ABD" w:rsidRPr="006D4589" w:rsidRDefault="006D3ABD" w:rsidP="006D4589">
            <w:pPr>
              <w:pStyle w:val="TableColumnHeadingRight"/>
              <w:rPr>
                <w:b/>
                <w:bCs/>
              </w:rPr>
            </w:pPr>
          </w:p>
        </w:tc>
        <w:tc>
          <w:tcPr>
            <w:tcW w:w="2410" w:type="dxa"/>
          </w:tcPr>
          <w:p w14:paraId="79CDA83F" w14:textId="77777777" w:rsidR="006D3ABD" w:rsidRPr="006D4589" w:rsidRDefault="006D3ABD" w:rsidP="006D4589">
            <w:pPr>
              <w:pStyle w:val="TableColumnHeadingRight"/>
              <w:rPr>
                <w:b/>
                <w:bCs/>
              </w:rPr>
            </w:pPr>
          </w:p>
        </w:tc>
        <w:tc>
          <w:tcPr>
            <w:tcW w:w="1418" w:type="dxa"/>
          </w:tcPr>
          <w:p w14:paraId="58B2F585" w14:textId="6853827E" w:rsidR="006D3ABD" w:rsidRPr="006D4589" w:rsidRDefault="006D3ABD" w:rsidP="006D4589">
            <w:pPr>
              <w:pStyle w:val="TableColumnHeadingRight"/>
              <w:rPr>
                <w:b/>
                <w:bCs/>
              </w:rPr>
            </w:pPr>
            <w:r w:rsidRPr="006D4589">
              <w:rPr>
                <w:b/>
                <w:bCs/>
              </w:rPr>
              <w:t>2024</w:t>
            </w:r>
            <w:r w:rsidR="0052261F" w:rsidRPr="0052261F">
              <w:rPr>
                <w:b/>
                <w:bCs/>
              </w:rPr>
              <w:t>–</w:t>
            </w:r>
            <w:r w:rsidRPr="006D4589">
              <w:rPr>
                <w:b/>
                <w:bCs/>
              </w:rPr>
              <w:t>25</w:t>
            </w:r>
            <w:r w:rsidR="00F142C2" w:rsidRPr="006D4589">
              <w:rPr>
                <w:b/>
                <w:bCs/>
              </w:rPr>
              <w:t xml:space="preserve"> YTD</w:t>
            </w:r>
            <w:r w:rsidR="001B389D" w:rsidRPr="006D4589">
              <w:rPr>
                <w:b/>
                <w:bCs/>
              </w:rPr>
              <w:t>*</w:t>
            </w:r>
            <w:r w:rsidRPr="006D4589">
              <w:rPr>
                <w:b/>
                <w:bCs/>
              </w:rPr>
              <w:t xml:space="preserve">  </w:t>
            </w:r>
          </w:p>
        </w:tc>
        <w:tc>
          <w:tcPr>
            <w:tcW w:w="1027" w:type="dxa"/>
          </w:tcPr>
          <w:p w14:paraId="63288887" w14:textId="4342431B" w:rsidR="006D3ABD" w:rsidRPr="006D4589" w:rsidRDefault="006D3ABD" w:rsidP="0052261F">
            <w:pPr>
              <w:pStyle w:val="TableColumnHeadingRight"/>
              <w:rPr>
                <w:b/>
                <w:bCs/>
              </w:rPr>
            </w:pPr>
            <w:r w:rsidRPr="006D4589">
              <w:rPr>
                <w:b/>
                <w:bCs/>
              </w:rPr>
              <w:t>2023</w:t>
            </w:r>
            <w:r w:rsidR="0052261F" w:rsidRPr="0052261F">
              <w:rPr>
                <w:b/>
                <w:bCs/>
              </w:rPr>
              <w:t>–</w:t>
            </w:r>
            <w:r w:rsidRPr="006D4589">
              <w:rPr>
                <w:b/>
                <w:bCs/>
              </w:rPr>
              <w:t>24</w:t>
            </w:r>
          </w:p>
        </w:tc>
        <w:tc>
          <w:tcPr>
            <w:tcW w:w="1028" w:type="dxa"/>
          </w:tcPr>
          <w:p w14:paraId="210C1D41" w14:textId="1698ABF2" w:rsidR="006D3ABD" w:rsidRPr="006D4589" w:rsidRDefault="006D3ABD" w:rsidP="0052261F">
            <w:pPr>
              <w:pStyle w:val="TableColumnHeadingRight"/>
              <w:rPr>
                <w:b/>
                <w:bCs/>
              </w:rPr>
            </w:pPr>
            <w:r w:rsidRPr="006D4589">
              <w:rPr>
                <w:b/>
                <w:bCs/>
              </w:rPr>
              <w:t>2022</w:t>
            </w:r>
            <w:r w:rsidR="0052261F" w:rsidRPr="0052261F">
              <w:rPr>
                <w:b/>
                <w:bCs/>
              </w:rPr>
              <w:t>–</w:t>
            </w:r>
            <w:r w:rsidRPr="006D4589">
              <w:rPr>
                <w:b/>
                <w:bCs/>
              </w:rPr>
              <w:t>23</w:t>
            </w:r>
          </w:p>
        </w:tc>
        <w:tc>
          <w:tcPr>
            <w:tcW w:w="1027" w:type="dxa"/>
          </w:tcPr>
          <w:p w14:paraId="53E245AD" w14:textId="49DE7D18" w:rsidR="006D3ABD" w:rsidRPr="006D4589" w:rsidRDefault="005A3CCA" w:rsidP="006D4589">
            <w:pPr>
              <w:pStyle w:val="TableColumnHeadingRight"/>
              <w:rPr>
                <w:b/>
                <w:bCs/>
              </w:rPr>
            </w:pPr>
            <w:r w:rsidRPr="006D4589">
              <w:rPr>
                <w:b/>
                <w:bCs/>
              </w:rPr>
              <w:t>2021</w:t>
            </w:r>
            <w:r w:rsidR="0052261F" w:rsidRPr="0052261F">
              <w:rPr>
                <w:b/>
                <w:bCs/>
              </w:rPr>
              <w:t>–</w:t>
            </w:r>
            <w:r w:rsidRPr="006D4589">
              <w:rPr>
                <w:b/>
                <w:bCs/>
              </w:rPr>
              <w:t>22</w:t>
            </w:r>
          </w:p>
        </w:tc>
        <w:tc>
          <w:tcPr>
            <w:tcW w:w="1028" w:type="dxa"/>
          </w:tcPr>
          <w:p w14:paraId="1357357E" w14:textId="1C3E4F1A" w:rsidR="006D3ABD" w:rsidRPr="006D4589" w:rsidRDefault="005A3CCA" w:rsidP="006D4589">
            <w:pPr>
              <w:pStyle w:val="TableColumnHeadingRight"/>
              <w:rPr>
                <w:b/>
                <w:bCs/>
              </w:rPr>
            </w:pPr>
            <w:r w:rsidRPr="006D4589">
              <w:rPr>
                <w:b/>
                <w:bCs/>
              </w:rPr>
              <w:t>2020</w:t>
            </w:r>
            <w:r w:rsidR="0052261F" w:rsidRPr="0052261F">
              <w:rPr>
                <w:b/>
                <w:bCs/>
              </w:rPr>
              <w:t>–</w:t>
            </w:r>
            <w:r w:rsidRPr="006D4589">
              <w:rPr>
                <w:b/>
                <w:bCs/>
              </w:rPr>
              <w:t>21</w:t>
            </w:r>
          </w:p>
        </w:tc>
      </w:tr>
      <w:tr w:rsidR="006D3ABD" w:rsidRPr="00F876BB" w14:paraId="6745A596" w14:textId="10DD98D7" w:rsidTr="0052261F">
        <w:trPr>
          <w:trHeight w:val="270"/>
        </w:trPr>
        <w:tc>
          <w:tcPr>
            <w:tcW w:w="1134" w:type="dxa"/>
          </w:tcPr>
          <w:p w14:paraId="51922BDE" w14:textId="77777777" w:rsidR="006D3ABD" w:rsidRPr="0052261F" w:rsidRDefault="006D3ABD" w:rsidP="0052261F">
            <w:pPr>
              <w:pStyle w:val="TableTextLeft"/>
              <w:rPr>
                <w:b/>
                <w:bCs/>
              </w:rPr>
            </w:pPr>
            <w:r w:rsidRPr="0052261F">
              <w:rPr>
                <w:b/>
                <w:bCs/>
              </w:rPr>
              <w:t xml:space="preserve">Mandatory </w:t>
            </w:r>
          </w:p>
        </w:tc>
        <w:tc>
          <w:tcPr>
            <w:tcW w:w="2410" w:type="dxa"/>
          </w:tcPr>
          <w:p w14:paraId="6FA9BC49" w14:textId="77777777" w:rsidR="006D3ABD" w:rsidRPr="00F876BB" w:rsidRDefault="006D3ABD" w:rsidP="0052261F">
            <w:pPr>
              <w:pStyle w:val="TableTextLeft"/>
            </w:pPr>
            <w:r w:rsidRPr="00F876BB">
              <w:t>Approved with conditions</w:t>
            </w:r>
          </w:p>
        </w:tc>
        <w:tc>
          <w:tcPr>
            <w:tcW w:w="1418" w:type="dxa"/>
          </w:tcPr>
          <w:p w14:paraId="75CF5389" w14:textId="15C1AE81" w:rsidR="006D3ABD" w:rsidRPr="00F876BB" w:rsidRDefault="001B389D" w:rsidP="0052261F">
            <w:pPr>
              <w:pStyle w:val="TableTextRight"/>
            </w:pPr>
            <w:r w:rsidRPr="00F876BB">
              <w:t>5</w:t>
            </w:r>
          </w:p>
        </w:tc>
        <w:tc>
          <w:tcPr>
            <w:tcW w:w="1027" w:type="dxa"/>
          </w:tcPr>
          <w:p w14:paraId="2DC4AAA1" w14:textId="77777777" w:rsidR="006D3ABD" w:rsidRPr="00F876BB" w:rsidRDefault="006D3ABD" w:rsidP="0052261F">
            <w:pPr>
              <w:pStyle w:val="TableTextRight"/>
              <w:rPr>
                <w:highlight w:val="yellow"/>
              </w:rPr>
            </w:pPr>
            <w:r w:rsidRPr="00F876BB">
              <w:t>11</w:t>
            </w:r>
          </w:p>
        </w:tc>
        <w:tc>
          <w:tcPr>
            <w:tcW w:w="1028" w:type="dxa"/>
          </w:tcPr>
          <w:p w14:paraId="6CD29FB4" w14:textId="77777777" w:rsidR="006D3ABD" w:rsidRPr="00F876BB" w:rsidRDefault="006D3ABD" w:rsidP="0052261F">
            <w:pPr>
              <w:pStyle w:val="TableTextRight"/>
            </w:pPr>
            <w:r w:rsidRPr="00F876BB">
              <w:t>15</w:t>
            </w:r>
          </w:p>
        </w:tc>
        <w:tc>
          <w:tcPr>
            <w:tcW w:w="1027" w:type="dxa"/>
          </w:tcPr>
          <w:p w14:paraId="59BA3AEC" w14:textId="4695C461" w:rsidR="006D3ABD" w:rsidRPr="00F876BB" w:rsidRDefault="000A0285" w:rsidP="0052261F">
            <w:pPr>
              <w:pStyle w:val="TableTextRight"/>
            </w:pPr>
            <w:r w:rsidRPr="00F876BB">
              <w:t>15</w:t>
            </w:r>
          </w:p>
        </w:tc>
        <w:tc>
          <w:tcPr>
            <w:tcW w:w="1028" w:type="dxa"/>
          </w:tcPr>
          <w:p w14:paraId="203D3305" w14:textId="06B5C235" w:rsidR="006D3ABD" w:rsidRPr="00F876BB" w:rsidRDefault="000A0285" w:rsidP="0052261F">
            <w:pPr>
              <w:pStyle w:val="TableTextRight"/>
            </w:pPr>
            <w:r w:rsidRPr="00F876BB">
              <w:t>1</w:t>
            </w:r>
          </w:p>
        </w:tc>
      </w:tr>
      <w:tr w:rsidR="006D3ABD" w:rsidRPr="00F876BB" w14:paraId="10DC3DEC" w14:textId="3262DF48" w:rsidTr="0052261F">
        <w:trPr>
          <w:trHeight w:val="270"/>
        </w:trPr>
        <w:tc>
          <w:tcPr>
            <w:tcW w:w="1134" w:type="dxa"/>
          </w:tcPr>
          <w:p w14:paraId="75EE6C97" w14:textId="77777777" w:rsidR="006D3ABD" w:rsidRPr="0052261F" w:rsidRDefault="006D3ABD" w:rsidP="0052261F">
            <w:pPr>
              <w:pStyle w:val="TableTextLeft"/>
              <w:rPr>
                <w:b/>
                <w:bCs/>
              </w:rPr>
            </w:pPr>
          </w:p>
        </w:tc>
        <w:tc>
          <w:tcPr>
            <w:tcW w:w="2410" w:type="dxa"/>
          </w:tcPr>
          <w:p w14:paraId="56C8DBC8" w14:textId="77777777" w:rsidR="006D3ABD" w:rsidRPr="00F876BB" w:rsidRDefault="006D3ABD" w:rsidP="0052261F">
            <w:pPr>
              <w:pStyle w:val="TableTextLeft"/>
            </w:pPr>
            <w:r w:rsidRPr="00F876BB">
              <w:t>Approved without conditions</w:t>
            </w:r>
          </w:p>
        </w:tc>
        <w:tc>
          <w:tcPr>
            <w:tcW w:w="1418" w:type="dxa"/>
          </w:tcPr>
          <w:p w14:paraId="00A5C562" w14:textId="605CFF25" w:rsidR="006D3ABD" w:rsidRPr="00F876BB" w:rsidRDefault="001B389D" w:rsidP="0052261F">
            <w:pPr>
              <w:pStyle w:val="TableTextRight"/>
            </w:pPr>
            <w:r w:rsidRPr="00F876BB">
              <w:t>39</w:t>
            </w:r>
          </w:p>
        </w:tc>
        <w:tc>
          <w:tcPr>
            <w:tcW w:w="1027" w:type="dxa"/>
          </w:tcPr>
          <w:p w14:paraId="7291E3D1" w14:textId="4D5E64DD" w:rsidR="006D3ABD" w:rsidRPr="00F876BB" w:rsidRDefault="006D3ABD" w:rsidP="0052261F">
            <w:pPr>
              <w:pStyle w:val="TableTextRight"/>
            </w:pPr>
            <w:r w:rsidRPr="00F876BB">
              <w:t>4</w:t>
            </w:r>
            <w:r w:rsidR="00C13083" w:rsidRPr="00F876BB">
              <w:t>2</w:t>
            </w:r>
          </w:p>
        </w:tc>
        <w:tc>
          <w:tcPr>
            <w:tcW w:w="1028" w:type="dxa"/>
          </w:tcPr>
          <w:p w14:paraId="61DDB100" w14:textId="77777777" w:rsidR="006D3ABD" w:rsidRPr="00F876BB" w:rsidRDefault="006D3ABD" w:rsidP="0052261F">
            <w:pPr>
              <w:pStyle w:val="TableTextRight"/>
            </w:pPr>
            <w:r w:rsidRPr="00F876BB">
              <w:t>69</w:t>
            </w:r>
          </w:p>
        </w:tc>
        <w:tc>
          <w:tcPr>
            <w:tcW w:w="1027" w:type="dxa"/>
          </w:tcPr>
          <w:p w14:paraId="4EF92D9C" w14:textId="3C6E51BD" w:rsidR="006D3ABD" w:rsidRPr="00F876BB" w:rsidRDefault="00455B80" w:rsidP="0052261F">
            <w:pPr>
              <w:pStyle w:val="TableTextRight"/>
            </w:pPr>
            <w:r w:rsidRPr="00F876BB">
              <w:t>44</w:t>
            </w:r>
          </w:p>
        </w:tc>
        <w:tc>
          <w:tcPr>
            <w:tcW w:w="1028" w:type="dxa"/>
          </w:tcPr>
          <w:p w14:paraId="161C9C82" w14:textId="4181FDB8" w:rsidR="006D3ABD" w:rsidRPr="00F876BB" w:rsidRDefault="00455B80" w:rsidP="0052261F">
            <w:pPr>
              <w:pStyle w:val="TableTextRight"/>
            </w:pPr>
            <w:r w:rsidRPr="00F876BB">
              <w:t>14</w:t>
            </w:r>
          </w:p>
        </w:tc>
      </w:tr>
      <w:tr w:rsidR="006D3ABD" w:rsidRPr="00F876BB" w14:paraId="71CF2DA5" w14:textId="71A4DA31" w:rsidTr="0052261F">
        <w:trPr>
          <w:trHeight w:val="270"/>
        </w:trPr>
        <w:tc>
          <w:tcPr>
            <w:tcW w:w="1134" w:type="dxa"/>
            <w:tcBorders>
              <w:bottom w:val="single" w:sz="4" w:space="0" w:color="2C384A" w:themeColor="accent1"/>
            </w:tcBorders>
          </w:tcPr>
          <w:p w14:paraId="6C402FF1" w14:textId="77777777" w:rsidR="006D3ABD" w:rsidRPr="0052261F" w:rsidRDefault="006D3ABD" w:rsidP="0052261F">
            <w:pPr>
              <w:pStyle w:val="TableTextLeft"/>
              <w:rPr>
                <w:b/>
                <w:bCs/>
              </w:rPr>
            </w:pPr>
          </w:p>
        </w:tc>
        <w:tc>
          <w:tcPr>
            <w:tcW w:w="2410" w:type="dxa"/>
            <w:tcBorders>
              <w:bottom w:val="single" w:sz="4" w:space="0" w:color="2C384A" w:themeColor="accent1"/>
            </w:tcBorders>
          </w:tcPr>
          <w:p w14:paraId="757C2D01" w14:textId="77777777" w:rsidR="006D3ABD" w:rsidRPr="00F876BB" w:rsidRDefault="006D3ABD" w:rsidP="0052261F">
            <w:pPr>
              <w:pStyle w:val="TableTextLeft"/>
              <w:rPr>
                <w:b/>
              </w:rPr>
            </w:pPr>
            <w:r w:rsidRPr="00F876BB">
              <w:rPr>
                <w:b/>
              </w:rPr>
              <w:t>Total</w:t>
            </w:r>
          </w:p>
        </w:tc>
        <w:tc>
          <w:tcPr>
            <w:tcW w:w="1418" w:type="dxa"/>
            <w:tcBorders>
              <w:bottom w:val="single" w:sz="4" w:space="0" w:color="2C384A" w:themeColor="accent1"/>
            </w:tcBorders>
          </w:tcPr>
          <w:p w14:paraId="2C2596FF" w14:textId="5D118DD9" w:rsidR="006D3ABD" w:rsidRPr="0052261F" w:rsidRDefault="001B389D" w:rsidP="0052261F">
            <w:pPr>
              <w:pStyle w:val="TableTextRight"/>
              <w:rPr>
                <w:b/>
                <w:bCs/>
              </w:rPr>
            </w:pPr>
            <w:r w:rsidRPr="0052261F">
              <w:rPr>
                <w:b/>
                <w:bCs/>
              </w:rPr>
              <w:t>44</w:t>
            </w:r>
          </w:p>
        </w:tc>
        <w:tc>
          <w:tcPr>
            <w:tcW w:w="1027" w:type="dxa"/>
            <w:tcBorders>
              <w:bottom w:val="single" w:sz="4" w:space="0" w:color="2C384A" w:themeColor="accent1"/>
            </w:tcBorders>
          </w:tcPr>
          <w:p w14:paraId="391E6CE9" w14:textId="57EA0048" w:rsidR="006D3ABD" w:rsidRPr="0052261F" w:rsidRDefault="006D3ABD" w:rsidP="0052261F">
            <w:pPr>
              <w:pStyle w:val="TableTextRight"/>
              <w:rPr>
                <w:b/>
                <w:bCs/>
              </w:rPr>
            </w:pPr>
            <w:r w:rsidRPr="0052261F">
              <w:rPr>
                <w:b/>
                <w:bCs/>
              </w:rPr>
              <w:t>5</w:t>
            </w:r>
            <w:r w:rsidR="00C13083" w:rsidRPr="0052261F">
              <w:rPr>
                <w:b/>
                <w:bCs/>
              </w:rPr>
              <w:t>3</w:t>
            </w:r>
          </w:p>
        </w:tc>
        <w:tc>
          <w:tcPr>
            <w:tcW w:w="1028" w:type="dxa"/>
            <w:tcBorders>
              <w:bottom w:val="single" w:sz="4" w:space="0" w:color="2C384A" w:themeColor="accent1"/>
            </w:tcBorders>
          </w:tcPr>
          <w:p w14:paraId="5F44E9EE" w14:textId="77777777" w:rsidR="006D3ABD" w:rsidRPr="0052261F" w:rsidRDefault="006D3ABD" w:rsidP="0052261F">
            <w:pPr>
              <w:pStyle w:val="TableTextRight"/>
              <w:rPr>
                <w:b/>
                <w:bCs/>
              </w:rPr>
            </w:pPr>
            <w:r w:rsidRPr="0052261F">
              <w:rPr>
                <w:b/>
                <w:bCs/>
              </w:rPr>
              <w:t>84</w:t>
            </w:r>
          </w:p>
        </w:tc>
        <w:tc>
          <w:tcPr>
            <w:tcW w:w="1027" w:type="dxa"/>
            <w:tcBorders>
              <w:bottom w:val="single" w:sz="4" w:space="0" w:color="2C384A" w:themeColor="accent1"/>
            </w:tcBorders>
          </w:tcPr>
          <w:p w14:paraId="2CA9599F" w14:textId="0B249006" w:rsidR="006D3ABD" w:rsidRPr="0052261F" w:rsidRDefault="00455B80" w:rsidP="0052261F">
            <w:pPr>
              <w:pStyle w:val="TableTextRight"/>
              <w:rPr>
                <w:b/>
                <w:bCs/>
              </w:rPr>
            </w:pPr>
            <w:r w:rsidRPr="0052261F">
              <w:rPr>
                <w:b/>
                <w:bCs/>
              </w:rPr>
              <w:t>59</w:t>
            </w:r>
          </w:p>
        </w:tc>
        <w:tc>
          <w:tcPr>
            <w:tcW w:w="1028" w:type="dxa"/>
            <w:tcBorders>
              <w:bottom w:val="single" w:sz="4" w:space="0" w:color="2C384A" w:themeColor="accent1"/>
            </w:tcBorders>
          </w:tcPr>
          <w:p w14:paraId="5C537638" w14:textId="56763930" w:rsidR="006D3ABD" w:rsidRPr="0052261F" w:rsidRDefault="00455B80" w:rsidP="0052261F">
            <w:pPr>
              <w:pStyle w:val="TableTextRight"/>
              <w:rPr>
                <w:b/>
                <w:bCs/>
              </w:rPr>
            </w:pPr>
            <w:r w:rsidRPr="0052261F">
              <w:rPr>
                <w:b/>
                <w:bCs/>
              </w:rPr>
              <w:t>15</w:t>
            </w:r>
          </w:p>
        </w:tc>
      </w:tr>
      <w:tr w:rsidR="006D3ABD" w:rsidRPr="00F876BB" w14:paraId="69CC48A4" w14:textId="3A0669FB" w:rsidTr="0052261F">
        <w:trPr>
          <w:trHeight w:val="270"/>
        </w:trPr>
        <w:tc>
          <w:tcPr>
            <w:tcW w:w="1134" w:type="dxa"/>
            <w:tcBorders>
              <w:top w:val="single" w:sz="4" w:space="0" w:color="2C384A" w:themeColor="accent1"/>
            </w:tcBorders>
          </w:tcPr>
          <w:p w14:paraId="3416F925" w14:textId="77777777" w:rsidR="006D3ABD" w:rsidRPr="0052261F" w:rsidRDefault="006D3ABD" w:rsidP="0052261F">
            <w:pPr>
              <w:pStyle w:val="TableTextLeft"/>
              <w:rPr>
                <w:b/>
                <w:bCs/>
              </w:rPr>
            </w:pPr>
            <w:r w:rsidRPr="0052261F">
              <w:rPr>
                <w:b/>
                <w:bCs/>
              </w:rPr>
              <w:t>Voluntary</w:t>
            </w:r>
          </w:p>
        </w:tc>
        <w:tc>
          <w:tcPr>
            <w:tcW w:w="2410" w:type="dxa"/>
            <w:tcBorders>
              <w:top w:val="single" w:sz="4" w:space="0" w:color="2C384A" w:themeColor="accent1"/>
            </w:tcBorders>
          </w:tcPr>
          <w:p w14:paraId="7060D0FD" w14:textId="77777777" w:rsidR="006D3ABD" w:rsidRPr="00F876BB" w:rsidRDefault="006D3ABD" w:rsidP="0052261F">
            <w:pPr>
              <w:pStyle w:val="TableTextLeft"/>
            </w:pPr>
            <w:r w:rsidRPr="00F876BB">
              <w:t>Approved with conditions</w:t>
            </w:r>
          </w:p>
        </w:tc>
        <w:tc>
          <w:tcPr>
            <w:tcW w:w="1418" w:type="dxa"/>
            <w:tcBorders>
              <w:top w:val="single" w:sz="4" w:space="0" w:color="2C384A" w:themeColor="accent1"/>
            </w:tcBorders>
          </w:tcPr>
          <w:p w14:paraId="6300A59A" w14:textId="71BFF97F" w:rsidR="006D3ABD" w:rsidRPr="00F876BB" w:rsidRDefault="001B389D" w:rsidP="0052261F">
            <w:pPr>
              <w:pStyle w:val="TableTextRight"/>
            </w:pPr>
            <w:r w:rsidRPr="00F876BB">
              <w:t>1</w:t>
            </w:r>
          </w:p>
        </w:tc>
        <w:tc>
          <w:tcPr>
            <w:tcW w:w="1027" w:type="dxa"/>
            <w:tcBorders>
              <w:top w:val="single" w:sz="4" w:space="0" w:color="2C384A" w:themeColor="accent1"/>
            </w:tcBorders>
          </w:tcPr>
          <w:p w14:paraId="2ADDFDA8" w14:textId="77777777" w:rsidR="006D3ABD" w:rsidRPr="00F876BB" w:rsidRDefault="006D3ABD" w:rsidP="0052261F">
            <w:pPr>
              <w:pStyle w:val="TableTextRight"/>
              <w:rPr>
                <w:highlight w:val="yellow"/>
              </w:rPr>
            </w:pPr>
            <w:r w:rsidRPr="00F876BB">
              <w:t>1</w:t>
            </w:r>
          </w:p>
        </w:tc>
        <w:tc>
          <w:tcPr>
            <w:tcW w:w="1028" w:type="dxa"/>
            <w:tcBorders>
              <w:top w:val="single" w:sz="4" w:space="0" w:color="2C384A" w:themeColor="accent1"/>
            </w:tcBorders>
          </w:tcPr>
          <w:p w14:paraId="2158E169" w14:textId="77777777" w:rsidR="006D3ABD" w:rsidRPr="00F876BB" w:rsidRDefault="006D3ABD" w:rsidP="0052261F">
            <w:pPr>
              <w:pStyle w:val="TableTextRight"/>
            </w:pPr>
            <w:r w:rsidRPr="00F876BB">
              <w:t>4</w:t>
            </w:r>
          </w:p>
        </w:tc>
        <w:tc>
          <w:tcPr>
            <w:tcW w:w="1027" w:type="dxa"/>
            <w:tcBorders>
              <w:top w:val="single" w:sz="4" w:space="0" w:color="2C384A" w:themeColor="accent1"/>
            </w:tcBorders>
          </w:tcPr>
          <w:p w14:paraId="7F7D9075" w14:textId="752E76FB" w:rsidR="006D3ABD" w:rsidRPr="00F876BB" w:rsidRDefault="00815484" w:rsidP="0052261F">
            <w:pPr>
              <w:pStyle w:val="TableTextRight"/>
            </w:pPr>
            <w:r w:rsidRPr="00F876BB">
              <w:t>19</w:t>
            </w:r>
          </w:p>
        </w:tc>
        <w:tc>
          <w:tcPr>
            <w:tcW w:w="1028" w:type="dxa"/>
            <w:tcBorders>
              <w:top w:val="single" w:sz="4" w:space="0" w:color="2C384A" w:themeColor="accent1"/>
            </w:tcBorders>
          </w:tcPr>
          <w:p w14:paraId="231C974E" w14:textId="16E78DD8" w:rsidR="006D3ABD" w:rsidRPr="00F876BB" w:rsidRDefault="00815484" w:rsidP="0052261F">
            <w:pPr>
              <w:pStyle w:val="TableTextRight"/>
            </w:pPr>
            <w:r w:rsidRPr="00F876BB">
              <w:t>3</w:t>
            </w:r>
          </w:p>
        </w:tc>
      </w:tr>
      <w:tr w:rsidR="006D3ABD" w:rsidRPr="00F876BB" w14:paraId="1C640503" w14:textId="70CB3AF1" w:rsidTr="0052261F">
        <w:trPr>
          <w:trHeight w:val="270"/>
        </w:trPr>
        <w:tc>
          <w:tcPr>
            <w:tcW w:w="1134" w:type="dxa"/>
          </w:tcPr>
          <w:p w14:paraId="5D0BB110" w14:textId="77777777" w:rsidR="006D3ABD" w:rsidRPr="0052261F" w:rsidRDefault="006D3ABD" w:rsidP="0052261F">
            <w:pPr>
              <w:pStyle w:val="TableTextLeft"/>
              <w:rPr>
                <w:b/>
                <w:bCs/>
              </w:rPr>
            </w:pPr>
          </w:p>
        </w:tc>
        <w:tc>
          <w:tcPr>
            <w:tcW w:w="2410" w:type="dxa"/>
          </w:tcPr>
          <w:p w14:paraId="2494ABD3" w14:textId="77777777" w:rsidR="006D3ABD" w:rsidRPr="00F876BB" w:rsidRDefault="006D3ABD" w:rsidP="0052261F">
            <w:pPr>
              <w:pStyle w:val="TableTextLeft"/>
            </w:pPr>
            <w:r w:rsidRPr="00F876BB">
              <w:t>Approved without conditions</w:t>
            </w:r>
          </w:p>
        </w:tc>
        <w:tc>
          <w:tcPr>
            <w:tcW w:w="1418" w:type="dxa"/>
          </w:tcPr>
          <w:p w14:paraId="389DC74A" w14:textId="047F2C56" w:rsidR="006D3ABD" w:rsidRPr="00F876BB" w:rsidRDefault="001B389D" w:rsidP="0052261F">
            <w:pPr>
              <w:pStyle w:val="TableTextRight"/>
            </w:pPr>
            <w:r w:rsidRPr="00F876BB">
              <w:t>13</w:t>
            </w:r>
          </w:p>
        </w:tc>
        <w:tc>
          <w:tcPr>
            <w:tcW w:w="1027" w:type="dxa"/>
          </w:tcPr>
          <w:p w14:paraId="17F32D6A" w14:textId="6795E6E5" w:rsidR="006D3ABD" w:rsidRPr="00F876BB" w:rsidRDefault="006D3ABD" w:rsidP="0052261F">
            <w:pPr>
              <w:pStyle w:val="TableTextRight"/>
            </w:pPr>
            <w:r w:rsidRPr="00F876BB">
              <w:t>2</w:t>
            </w:r>
            <w:r w:rsidR="0056060E" w:rsidRPr="00F876BB">
              <w:t>4</w:t>
            </w:r>
          </w:p>
        </w:tc>
        <w:tc>
          <w:tcPr>
            <w:tcW w:w="1028" w:type="dxa"/>
          </w:tcPr>
          <w:p w14:paraId="6721F294" w14:textId="77777777" w:rsidR="006D3ABD" w:rsidRPr="00F876BB" w:rsidRDefault="006D3ABD" w:rsidP="0052261F">
            <w:pPr>
              <w:pStyle w:val="TableTextRight"/>
            </w:pPr>
            <w:r w:rsidRPr="00F876BB">
              <w:t>27</w:t>
            </w:r>
          </w:p>
        </w:tc>
        <w:tc>
          <w:tcPr>
            <w:tcW w:w="1027" w:type="dxa"/>
          </w:tcPr>
          <w:p w14:paraId="2DDD3590" w14:textId="20E3F234" w:rsidR="006D3ABD" w:rsidRPr="00F876BB" w:rsidRDefault="00815484" w:rsidP="0052261F">
            <w:pPr>
              <w:pStyle w:val="TableTextRight"/>
            </w:pPr>
            <w:r w:rsidRPr="00F876BB">
              <w:t>15</w:t>
            </w:r>
          </w:p>
        </w:tc>
        <w:tc>
          <w:tcPr>
            <w:tcW w:w="1028" w:type="dxa"/>
          </w:tcPr>
          <w:p w14:paraId="3FA1195A" w14:textId="4061F110" w:rsidR="006D3ABD" w:rsidRPr="00F876BB" w:rsidRDefault="00815484" w:rsidP="0052261F">
            <w:pPr>
              <w:pStyle w:val="TableTextRight"/>
            </w:pPr>
            <w:r w:rsidRPr="00F876BB">
              <w:t>12</w:t>
            </w:r>
          </w:p>
        </w:tc>
      </w:tr>
      <w:tr w:rsidR="006D3ABD" w:rsidRPr="00F876BB" w14:paraId="069FFC8C" w14:textId="0F9345BF" w:rsidTr="0052261F">
        <w:trPr>
          <w:trHeight w:val="270"/>
        </w:trPr>
        <w:tc>
          <w:tcPr>
            <w:tcW w:w="1134" w:type="dxa"/>
            <w:tcBorders>
              <w:bottom w:val="single" w:sz="4" w:space="0" w:color="2C384A" w:themeColor="accent1"/>
            </w:tcBorders>
          </w:tcPr>
          <w:p w14:paraId="4421177C" w14:textId="77777777" w:rsidR="006D3ABD" w:rsidRPr="0052261F" w:rsidRDefault="006D3ABD" w:rsidP="0052261F">
            <w:pPr>
              <w:pStyle w:val="TableTextLeft"/>
              <w:rPr>
                <w:b/>
                <w:bCs/>
              </w:rPr>
            </w:pPr>
          </w:p>
        </w:tc>
        <w:tc>
          <w:tcPr>
            <w:tcW w:w="2410" w:type="dxa"/>
            <w:tcBorders>
              <w:bottom w:val="single" w:sz="4" w:space="0" w:color="2C384A" w:themeColor="accent1"/>
            </w:tcBorders>
          </w:tcPr>
          <w:p w14:paraId="448ED041" w14:textId="77777777" w:rsidR="006D3ABD" w:rsidRPr="00F876BB" w:rsidRDefault="006D3ABD" w:rsidP="0052261F">
            <w:pPr>
              <w:pStyle w:val="TableTextLeft"/>
              <w:rPr>
                <w:b/>
              </w:rPr>
            </w:pPr>
            <w:r w:rsidRPr="00F876BB">
              <w:rPr>
                <w:b/>
              </w:rPr>
              <w:t>Total</w:t>
            </w:r>
          </w:p>
        </w:tc>
        <w:tc>
          <w:tcPr>
            <w:tcW w:w="1418" w:type="dxa"/>
            <w:tcBorders>
              <w:bottom w:val="single" w:sz="4" w:space="0" w:color="2C384A" w:themeColor="accent1"/>
            </w:tcBorders>
          </w:tcPr>
          <w:p w14:paraId="5D202644" w14:textId="748670CB" w:rsidR="006D3ABD" w:rsidRPr="0052261F" w:rsidRDefault="001B389D" w:rsidP="0052261F">
            <w:pPr>
              <w:pStyle w:val="TableTextRight"/>
              <w:rPr>
                <w:b/>
                <w:bCs/>
              </w:rPr>
            </w:pPr>
            <w:r w:rsidRPr="0052261F">
              <w:rPr>
                <w:b/>
                <w:bCs/>
              </w:rPr>
              <w:t>14</w:t>
            </w:r>
          </w:p>
        </w:tc>
        <w:tc>
          <w:tcPr>
            <w:tcW w:w="1027" w:type="dxa"/>
            <w:tcBorders>
              <w:bottom w:val="single" w:sz="4" w:space="0" w:color="2C384A" w:themeColor="accent1"/>
            </w:tcBorders>
          </w:tcPr>
          <w:p w14:paraId="3568F863" w14:textId="18C3EF08" w:rsidR="006D3ABD" w:rsidRPr="0052261F" w:rsidRDefault="006D3ABD" w:rsidP="0052261F">
            <w:pPr>
              <w:pStyle w:val="TableTextRight"/>
              <w:rPr>
                <w:b/>
                <w:bCs/>
              </w:rPr>
            </w:pPr>
            <w:r w:rsidRPr="0052261F">
              <w:rPr>
                <w:b/>
                <w:bCs/>
              </w:rPr>
              <w:t>2</w:t>
            </w:r>
            <w:r w:rsidR="0056060E" w:rsidRPr="0052261F">
              <w:rPr>
                <w:b/>
                <w:bCs/>
              </w:rPr>
              <w:t>5</w:t>
            </w:r>
          </w:p>
        </w:tc>
        <w:tc>
          <w:tcPr>
            <w:tcW w:w="1028" w:type="dxa"/>
            <w:tcBorders>
              <w:bottom w:val="single" w:sz="4" w:space="0" w:color="2C384A" w:themeColor="accent1"/>
            </w:tcBorders>
          </w:tcPr>
          <w:p w14:paraId="170DC735" w14:textId="77777777" w:rsidR="006D3ABD" w:rsidRPr="0052261F" w:rsidRDefault="006D3ABD" w:rsidP="0052261F">
            <w:pPr>
              <w:pStyle w:val="TableTextRight"/>
              <w:rPr>
                <w:b/>
                <w:bCs/>
              </w:rPr>
            </w:pPr>
            <w:r w:rsidRPr="0052261F">
              <w:rPr>
                <w:b/>
                <w:bCs/>
              </w:rPr>
              <w:t>31</w:t>
            </w:r>
          </w:p>
        </w:tc>
        <w:tc>
          <w:tcPr>
            <w:tcW w:w="1027" w:type="dxa"/>
            <w:tcBorders>
              <w:bottom w:val="single" w:sz="4" w:space="0" w:color="2C384A" w:themeColor="accent1"/>
            </w:tcBorders>
          </w:tcPr>
          <w:p w14:paraId="5BCCB6F0" w14:textId="70BE8838" w:rsidR="006D3ABD" w:rsidRPr="0052261F" w:rsidRDefault="00397D83" w:rsidP="0052261F">
            <w:pPr>
              <w:pStyle w:val="TableTextRight"/>
              <w:rPr>
                <w:b/>
                <w:bCs/>
              </w:rPr>
            </w:pPr>
            <w:r w:rsidRPr="0052261F">
              <w:rPr>
                <w:b/>
                <w:bCs/>
              </w:rPr>
              <w:t>34</w:t>
            </w:r>
          </w:p>
        </w:tc>
        <w:tc>
          <w:tcPr>
            <w:tcW w:w="1028" w:type="dxa"/>
            <w:tcBorders>
              <w:bottom w:val="single" w:sz="4" w:space="0" w:color="2C384A" w:themeColor="accent1"/>
            </w:tcBorders>
          </w:tcPr>
          <w:p w14:paraId="1FE766F0" w14:textId="1D27C6E1" w:rsidR="006D3ABD" w:rsidRPr="0052261F" w:rsidRDefault="00397D83" w:rsidP="0052261F">
            <w:pPr>
              <w:pStyle w:val="TableTextRight"/>
              <w:rPr>
                <w:b/>
                <w:bCs/>
              </w:rPr>
            </w:pPr>
            <w:r w:rsidRPr="0052261F">
              <w:rPr>
                <w:b/>
                <w:bCs/>
              </w:rPr>
              <w:t>15</w:t>
            </w:r>
          </w:p>
        </w:tc>
      </w:tr>
      <w:tr w:rsidR="00397D83" w:rsidRPr="00F876BB" w14:paraId="70E31B55" w14:textId="77777777" w:rsidTr="0052261F">
        <w:trPr>
          <w:trHeight w:val="270"/>
        </w:trPr>
        <w:tc>
          <w:tcPr>
            <w:tcW w:w="1134" w:type="dxa"/>
            <w:tcBorders>
              <w:top w:val="single" w:sz="4" w:space="0" w:color="2C384A" w:themeColor="accent1"/>
            </w:tcBorders>
          </w:tcPr>
          <w:p w14:paraId="06392CA3" w14:textId="09A03635" w:rsidR="00397D83" w:rsidRPr="0052261F" w:rsidRDefault="00397D83" w:rsidP="0052261F">
            <w:pPr>
              <w:pStyle w:val="TableTextLeft"/>
              <w:rPr>
                <w:b/>
                <w:bCs/>
              </w:rPr>
            </w:pPr>
            <w:r w:rsidRPr="0052261F">
              <w:rPr>
                <w:b/>
                <w:bCs/>
              </w:rPr>
              <w:t>Both</w:t>
            </w:r>
          </w:p>
        </w:tc>
        <w:tc>
          <w:tcPr>
            <w:tcW w:w="2410" w:type="dxa"/>
            <w:tcBorders>
              <w:top w:val="single" w:sz="4" w:space="0" w:color="2C384A" w:themeColor="accent1"/>
            </w:tcBorders>
          </w:tcPr>
          <w:p w14:paraId="5A7217BE" w14:textId="7C12FB2C" w:rsidR="00397D83" w:rsidRPr="00F876BB" w:rsidRDefault="00397D83" w:rsidP="0052261F">
            <w:pPr>
              <w:pStyle w:val="TableTextLeft"/>
              <w:rPr>
                <w:b/>
              </w:rPr>
            </w:pPr>
            <w:r w:rsidRPr="00F876BB">
              <w:t>Approved with conditions</w:t>
            </w:r>
          </w:p>
        </w:tc>
        <w:tc>
          <w:tcPr>
            <w:tcW w:w="1418" w:type="dxa"/>
            <w:tcBorders>
              <w:top w:val="single" w:sz="4" w:space="0" w:color="2C384A" w:themeColor="accent1"/>
            </w:tcBorders>
          </w:tcPr>
          <w:p w14:paraId="6605CC82" w14:textId="77777777" w:rsidR="00397D83" w:rsidRPr="0052261F" w:rsidRDefault="00397D83" w:rsidP="0052261F">
            <w:pPr>
              <w:pStyle w:val="TableTextRight"/>
              <w:rPr>
                <w:b/>
                <w:bCs/>
              </w:rPr>
            </w:pPr>
          </w:p>
        </w:tc>
        <w:tc>
          <w:tcPr>
            <w:tcW w:w="1027" w:type="dxa"/>
            <w:tcBorders>
              <w:top w:val="single" w:sz="4" w:space="0" w:color="2C384A" w:themeColor="accent1"/>
            </w:tcBorders>
          </w:tcPr>
          <w:p w14:paraId="07837411" w14:textId="77777777" w:rsidR="00397D83" w:rsidRPr="0052261F" w:rsidRDefault="00397D83" w:rsidP="0052261F">
            <w:pPr>
              <w:pStyle w:val="TableTextRight"/>
              <w:rPr>
                <w:b/>
                <w:bCs/>
              </w:rPr>
            </w:pPr>
          </w:p>
        </w:tc>
        <w:tc>
          <w:tcPr>
            <w:tcW w:w="1028" w:type="dxa"/>
            <w:tcBorders>
              <w:top w:val="single" w:sz="4" w:space="0" w:color="2C384A" w:themeColor="accent1"/>
            </w:tcBorders>
          </w:tcPr>
          <w:p w14:paraId="590865AC" w14:textId="77777777" w:rsidR="00397D83" w:rsidRPr="0052261F" w:rsidRDefault="00397D83" w:rsidP="0052261F">
            <w:pPr>
              <w:pStyle w:val="TableTextRight"/>
              <w:rPr>
                <w:b/>
                <w:bCs/>
              </w:rPr>
            </w:pPr>
          </w:p>
        </w:tc>
        <w:tc>
          <w:tcPr>
            <w:tcW w:w="1027" w:type="dxa"/>
            <w:tcBorders>
              <w:top w:val="single" w:sz="4" w:space="0" w:color="2C384A" w:themeColor="accent1"/>
            </w:tcBorders>
          </w:tcPr>
          <w:p w14:paraId="32316BD9" w14:textId="16462936" w:rsidR="00397D83" w:rsidRPr="0052261F" w:rsidRDefault="008A6E7A" w:rsidP="0052261F">
            <w:pPr>
              <w:pStyle w:val="TableTextRight"/>
              <w:rPr>
                <w:b/>
                <w:bCs/>
              </w:rPr>
            </w:pPr>
            <w:r w:rsidRPr="0052261F">
              <w:rPr>
                <w:b/>
                <w:bCs/>
              </w:rPr>
              <w:t>5</w:t>
            </w:r>
          </w:p>
        </w:tc>
        <w:tc>
          <w:tcPr>
            <w:tcW w:w="1028" w:type="dxa"/>
            <w:tcBorders>
              <w:top w:val="single" w:sz="4" w:space="0" w:color="2C384A" w:themeColor="accent1"/>
            </w:tcBorders>
          </w:tcPr>
          <w:p w14:paraId="2D03410B" w14:textId="2C65CDC3" w:rsidR="00397D83" w:rsidRPr="0052261F" w:rsidRDefault="008A6E7A" w:rsidP="0052261F">
            <w:pPr>
              <w:pStyle w:val="TableTextRight"/>
              <w:rPr>
                <w:b/>
                <w:bCs/>
              </w:rPr>
            </w:pPr>
            <w:r w:rsidRPr="0052261F">
              <w:rPr>
                <w:b/>
                <w:bCs/>
              </w:rPr>
              <w:t>0</w:t>
            </w:r>
          </w:p>
        </w:tc>
      </w:tr>
      <w:tr w:rsidR="00397D83" w:rsidRPr="00F876BB" w14:paraId="0C84E33D" w14:textId="77777777" w:rsidTr="0052261F">
        <w:trPr>
          <w:trHeight w:val="270"/>
        </w:trPr>
        <w:tc>
          <w:tcPr>
            <w:tcW w:w="1134" w:type="dxa"/>
          </w:tcPr>
          <w:p w14:paraId="539C9200" w14:textId="77777777" w:rsidR="00397D83" w:rsidRPr="0052261F" w:rsidRDefault="00397D83" w:rsidP="0052261F">
            <w:pPr>
              <w:pStyle w:val="TableTextLeft"/>
              <w:rPr>
                <w:b/>
                <w:bCs/>
              </w:rPr>
            </w:pPr>
          </w:p>
        </w:tc>
        <w:tc>
          <w:tcPr>
            <w:tcW w:w="2410" w:type="dxa"/>
          </w:tcPr>
          <w:p w14:paraId="3899E93C" w14:textId="7E4CDE69" w:rsidR="00397D83" w:rsidRPr="00F876BB" w:rsidRDefault="00397D83" w:rsidP="0052261F">
            <w:pPr>
              <w:pStyle w:val="TableTextLeft"/>
              <w:rPr>
                <w:b/>
              </w:rPr>
            </w:pPr>
            <w:r w:rsidRPr="00F876BB">
              <w:t>Approved without conditions</w:t>
            </w:r>
          </w:p>
        </w:tc>
        <w:tc>
          <w:tcPr>
            <w:tcW w:w="1418" w:type="dxa"/>
          </w:tcPr>
          <w:p w14:paraId="03957778" w14:textId="77777777" w:rsidR="00397D83" w:rsidRPr="0052261F" w:rsidRDefault="00397D83" w:rsidP="0052261F">
            <w:pPr>
              <w:pStyle w:val="TableTextRight"/>
              <w:rPr>
                <w:b/>
                <w:bCs/>
              </w:rPr>
            </w:pPr>
          </w:p>
        </w:tc>
        <w:tc>
          <w:tcPr>
            <w:tcW w:w="1027" w:type="dxa"/>
          </w:tcPr>
          <w:p w14:paraId="1814F3D0" w14:textId="77777777" w:rsidR="00397D83" w:rsidRPr="0052261F" w:rsidRDefault="00397D83" w:rsidP="0052261F">
            <w:pPr>
              <w:pStyle w:val="TableTextRight"/>
              <w:rPr>
                <w:b/>
                <w:bCs/>
              </w:rPr>
            </w:pPr>
          </w:p>
        </w:tc>
        <w:tc>
          <w:tcPr>
            <w:tcW w:w="1028" w:type="dxa"/>
          </w:tcPr>
          <w:p w14:paraId="76DA3565" w14:textId="77777777" w:rsidR="00397D83" w:rsidRPr="0052261F" w:rsidRDefault="00397D83" w:rsidP="0052261F">
            <w:pPr>
              <w:pStyle w:val="TableTextRight"/>
              <w:rPr>
                <w:b/>
                <w:bCs/>
              </w:rPr>
            </w:pPr>
          </w:p>
        </w:tc>
        <w:tc>
          <w:tcPr>
            <w:tcW w:w="1027" w:type="dxa"/>
          </w:tcPr>
          <w:p w14:paraId="2C3F64CB" w14:textId="120E86D2" w:rsidR="00397D83" w:rsidRPr="0052261F" w:rsidRDefault="008A6E7A" w:rsidP="0052261F">
            <w:pPr>
              <w:pStyle w:val="TableTextRight"/>
              <w:rPr>
                <w:b/>
                <w:bCs/>
              </w:rPr>
            </w:pPr>
            <w:r w:rsidRPr="0052261F">
              <w:rPr>
                <w:b/>
                <w:bCs/>
              </w:rPr>
              <w:t>8</w:t>
            </w:r>
          </w:p>
        </w:tc>
        <w:tc>
          <w:tcPr>
            <w:tcW w:w="1028" w:type="dxa"/>
          </w:tcPr>
          <w:p w14:paraId="170A9864" w14:textId="06139F0B" w:rsidR="00397D83" w:rsidRPr="0052261F" w:rsidRDefault="008A6E7A" w:rsidP="0052261F">
            <w:pPr>
              <w:pStyle w:val="TableTextRight"/>
              <w:rPr>
                <w:b/>
                <w:bCs/>
              </w:rPr>
            </w:pPr>
            <w:r w:rsidRPr="0052261F">
              <w:rPr>
                <w:b/>
                <w:bCs/>
              </w:rPr>
              <w:t>2</w:t>
            </w:r>
          </w:p>
        </w:tc>
      </w:tr>
      <w:tr w:rsidR="00397D83" w:rsidRPr="00F876BB" w14:paraId="525AF36B" w14:textId="77777777" w:rsidTr="0052261F">
        <w:trPr>
          <w:trHeight w:val="270"/>
        </w:trPr>
        <w:tc>
          <w:tcPr>
            <w:tcW w:w="1134" w:type="dxa"/>
            <w:tcBorders>
              <w:bottom w:val="single" w:sz="4" w:space="0" w:color="2C384A" w:themeColor="accent1"/>
            </w:tcBorders>
          </w:tcPr>
          <w:p w14:paraId="097B9EFF" w14:textId="77777777" w:rsidR="00397D83" w:rsidRPr="0052261F" w:rsidRDefault="00397D83" w:rsidP="0052261F">
            <w:pPr>
              <w:pStyle w:val="TableTextLeft"/>
              <w:rPr>
                <w:b/>
                <w:bCs/>
              </w:rPr>
            </w:pPr>
          </w:p>
        </w:tc>
        <w:tc>
          <w:tcPr>
            <w:tcW w:w="2410" w:type="dxa"/>
            <w:tcBorders>
              <w:bottom w:val="single" w:sz="4" w:space="0" w:color="2C384A" w:themeColor="accent1"/>
            </w:tcBorders>
          </w:tcPr>
          <w:p w14:paraId="668F5428" w14:textId="6012C4CB" w:rsidR="00397D83" w:rsidRPr="00F876BB" w:rsidRDefault="00397D83" w:rsidP="0052261F">
            <w:pPr>
              <w:pStyle w:val="TableTextLeft"/>
              <w:rPr>
                <w:b/>
              </w:rPr>
            </w:pPr>
            <w:r w:rsidRPr="00F876BB">
              <w:rPr>
                <w:b/>
              </w:rPr>
              <w:t>Total</w:t>
            </w:r>
          </w:p>
        </w:tc>
        <w:tc>
          <w:tcPr>
            <w:tcW w:w="1418" w:type="dxa"/>
            <w:tcBorders>
              <w:bottom w:val="single" w:sz="4" w:space="0" w:color="2C384A" w:themeColor="accent1"/>
            </w:tcBorders>
          </w:tcPr>
          <w:p w14:paraId="239C733A" w14:textId="77777777" w:rsidR="00397D83" w:rsidRPr="0052261F" w:rsidRDefault="00397D83" w:rsidP="0052261F">
            <w:pPr>
              <w:pStyle w:val="TableTextRight"/>
              <w:rPr>
                <w:b/>
                <w:bCs/>
              </w:rPr>
            </w:pPr>
          </w:p>
        </w:tc>
        <w:tc>
          <w:tcPr>
            <w:tcW w:w="1027" w:type="dxa"/>
            <w:tcBorders>
              <w:bottom w:val="single" w:sz="4" w:space="0" w:color="2C384A" w:themeColor="accent1"/>
            </w:tcBorders>
          </w:tcPr>
          <w:p w14:paraId="43FD32BD" w14:textId="77777777" w:rsidR="00397D83" w:rsidRPr="0052261F" w:rsidRDefault="00397D83" w:rsidP="0052261F">
            <w:pPr>
              <w:pStyle w:val="TableTextRight"/>
              <w:rPr>
                <w:b/>
                <w:bCs/>
              </w:rPr>
            </w:pPr>
          </w:p>
        </w:tc>
        <w:tc>
          <w:tcPr>
            <w:tcW w:w="1028" w:type="dxa"/>
            <w:tcBorders>
              <w:bottom w:val="single" w:sz="4" w:space="0" w:color="2C384A" w:themeColor="accent1"/>
            </w:tcBorders>
          </w:tcPr>
          <w:p w14:paraId="63905F1D" w14:textId="77777777" w:rsidR="00397D83" w:rsidRPr="0052261F" w:rsidRDefault="00397D83" w:rsidP="0052261F">
            <w:pPr>
              <w:pStyle w:val="TableTextRight"/>
              <w:rPr>
                <w:b/>
                <w:bCs/>
              </w:rPr>
            </w:pPr>
          </w:p>
        </w:tc>
        <w:tc>
          <w:tcPr>
            <w:tcW w:w="1027" w:type="dxa"/>
            <w:tcBorders>
              <w:bottom w:val="single" w:sz="4" w:space="0" w:color="2C384A" w:themeColor="accent1"/>
            </w:tcBorders>
          </w:tcPr>
          <w:p w14:paraId="349DCF4D" w14:textId="72413E2E" w:rsidR="00397D83" w:rsidRPr="0052261F" w:rsidRDefault="008A6E7A" w:rsidP="0052261F">
            <w:pPr>
              <w:pStyle w:val="TableTextRight"/>
              <w:rPr>
                <w:b/>
                <w:bCs/>
              </w:rPr>
            </w:pPr>
            <w:r w:rsidRPr="0052261F">
              <w:rPr>
                <w:b/>
                <w:bCs/>
              </w:rPr>
              <w:t>13</w:t>
            </w:r>
          </w:p>
        </w:tc>
        <w:tc>
          <w:tcPr>
            <w:tcW w:w="1028" w:type="dxa"/>
            <w:tcBorders>
              <w:bottom w:val="single" w:sz="4" w:space="0" w:color="2C384A" w:themeColor="accent1"/>
            </w:tcBorders>
          </w:tcPr>
          <w:p w14:paraId="252688CD" w14:textId="78B5BF26" w:rsidR="00397D83" w:rsidRPr="0052261F" w:rsidRDefault="008A6E7A" w:rsidP="0052261F">
            <w:pPr>
              <w:pStyle w:val="TableTextRight"/>
              <w:rPr>
                <w:b/>
                <w:bCs/>
              </w:rPr>
            </w:pPr>
            <w:r w:rsidRPr="0052261F">
              <w:rPr>
                <w:b/>
                <w:bCs/>
              </w:rPr>
              <w:t>2</w:t>
            </w:r>
          </w:p>
        </w:tc>
      </w:tr>
    </w:tbl>
    <w:p w14:paraId="4CEDC963" w14:textId="0FBDE0D8" w:rsidR="00F142C2" w:rsidRDefault="00F142C2" w:rsidP="000852C0">
      <w:pPr>
        <w:pStyle w:val="ChartorTableNote"/>
      </w:pPr>
      <w:r>
        <w:t>*</w:t>
      </w:r>
      <w:r w:rsidR="00D81B3D">
        <w:tab/>
      </w:r>
      <w:r>
        <w:t>Quarter 1 and 2 of 2024</w:t>
      </w:r>
      <w:r w:rsidR="0052261F" w:rsidRPr="0052261F">
        <w:t>–</w:t>
      </w:r>
      <w:r>
        <w:t>25</w:t>
      </w:r>
    </w:p>
    <w:p w14:paraId="42A8347E" w14:textId="19869053" w:rsidR="00F821A5" w:rsidRPr="000852C0" w:rsidRDefault="00F821A5" w:rsidP="000852C0">
      <w:pPr>
        <w:pStyle w:val="ChartorTableNote"/>
      </w:pPr>
      <w:r w:rsidRPr="000852C0">
        <w:t xml:space="preserve">Note: </w:t>
      </w:r>
      <w:r w:rsidRPr="000852C0">
        <w:tab/>
        <w:t xml:space="preserve">Proposals involving multiple actions that include both mandatory and voluntary notifications are counted against </w:t>
      </w:r>
      <w:r w:rsidR="006D4589" w:rsidRPr="000852C0">
        <w:tab/>
      </w:r>
      <w:r w:rsidRPr="000852C0">
        <w:t>each national security category</w:t>
      </w:r>
      <w:r w:rsidR="004A3AEC" w:rsidRPr="000852C0">
        <w:t xml:space="preserve"> for the 2022</w:t>
      </w:r>
      <w:r w:rsidR="0052261F" w:rsidRPr="0052261F">
        <w:t>–</w:t>
      </w:r>
      <w:r w:rsidR="004A3AEC" w:rsidRPr="000852C0">
        <w:t>23 data onwards</w:t>
      </w:r>
      <w:r w:rsidRPr="000852C0">
        <w:t xml:space="preserve">. </w:t>
      </w:r>
      <w:r w:rsidR="00EF3FC6" w:rsidRPr="000852C0">
        <w:t>For 2021</w:t>
      </w:r>
      <w:r w:rsidR="0052261F" w:rsidRPr="0052261F">
        <w:t>–</w:t>
      </w:r>
      <w:r w:rsidR="00EF3FC6" w:rsidRPr="000852C0">
        <w:t xml:space="preserve">22 data and earlier, proposals were </w:t>
      </w:r>
      <w:r w:rsidR="006D4589" w:rsidRPr="000852C0">
        <w:tab/>
      </w:r>
      <w:r w:rsidR="00EF3FC6" w:rsidRPr="000852C0">
        <w:t xml:space="preserve">categorised </w:t>
      </w:r>
      <w:r w:rsidR="000A227A" w:rsidRPr="000852C0">
        <w:t xml:space="preserve">as either mandatory, voluntary </w:t>
      </w:r>
      <w:r w:rsidR="009F40F0" w:rsidRPr="000852C0">
        <w:t xml:space="preserve">or both where there are multiple actions within one proposal that </w:t>
      </w:r>
      <w:r w:rsidR="006D4589" w:rsidRPr="000852C0">
        <w:tab/>
      </w:r>
      <w:r w:rsidR="009F40F0" w:rsidRPr="000852C0">
        <w:t xml:space="preserve">include mandatory and voluntary </w:t>
      </w:r>
      <w:r w:rsidR="00060F3B" w:rsidRPr="000852C0">
        <w:t xml:space="preserve">notifications. </w:t>
      </w:r>
      <w:r w:rsidRPr="000852C0">
        <w:t xml:space="preserve">Variations from previously reported statistics are due to this </w:t>
      </w:r>
      <w:r w:rsidR="000852C0">
        <w:tab/>
      </w:r>
      <w:r w:rsidRPr="000852C0">
        <w:t xml:space="preserve">change. </w:t>
      </w:r>
    </w:p>
    <w:p w14:paraId="70D29A95" w14:textId="6F42E7E8" w:rsidR="001B389D" w:rsidRPr="00712081" w:rsidRDefault="001B389D" w:rsidP="00712081">
      <w:pPr>
        <w:pStyle w:val="SingleParagraph"/>
      </w:pPr>
    </w:p>
    <w:p w14:paraId="301EF9C8" w14:textId="04AC368C" w:rsidR="00F14FB1" w:rsidRDefault="00043022" w:rsidP="00F876BB">
      <w:r>
        <w:t xml:space="preserve">At the introduction of the </w:t>
      </w:r>
      <w:r w:rsidR="00782D1B">
        <w:t>reforms,</w:t>
      </w:r>
      <w:r>
        <w:t xml:space="preserve"> </w:t>
      </w:r>
      <w:r w:rsidR="00782D1B">
        <w:t>m</w:t>
      </w:r>
      <w:r w:rsidR="00673D73">
        <w:t>any stakeholders</w:t>
      </w:r>
      <w:r w:rsidR="00CC68E4">
        <w:t xml:space="preserve"> ha</w:t>
      </w:r>
      <w:r w:rsidR="00782D1B">
        <w:t>d</w:t>
      </w:r>
      <w:r w:rsidR="00CC68E4">
        <w:t xml:space="preserve"> indicated uncertainty about which investments should be mandatorily notified under the </w:t>
      </w:r>
      <w:r w:rsidR="00F62D8B">
        <w:t xml:space="preserve">new </w:t>
      </w:r>
      <w:r w:rsidR="00CC68E4">
        <w:t xml:space="preserve">national </w:t>
      </w:r>
      <w:r w:rsidR="00050519">
        <w:t xml:space="preserve">security </w:t>
      </w:r>
      <w:r w:rsidR="00F62D8B">
        <w:t>measures</w:t>
      </w:r>
      <w:r w:rsidR="008A353A">
        <w:t>,</w:t>
      </w:r>
      <w:r w:rsidR="008D1BD2" w:rsidRPr="00F85B1F">
        <w:rPr>
          <w:rStyle w:val="FootnoteReference"/>
          <w:vertAlign w:val="superscript"/>
        </w:rPr>
        <w:footnoteReference w:id="13"/>
      </w:r>
      <w:r w:rsidR="008A353A" w:rsidRPr="00F876BB">
        <w:t xml:space="preserve"> </w:t>
      </w:r>
      <w:r w:rsidR="008A353A">
        <w:t>the us</w:t>
      </w:r>
      <w:r w:rsidR="00AE0C91">
        <w:t>e</w:t>
      </w:r>
      <w:r w:rsidR="008A353A">
        <w:t xml:space="preserve"> of the call</w:t>
      </w:r>
      <w:r w:rsidR="004260B1">
        <w:noBreakHyphen/>
      </w:r>
      <w:r w:rsidR="008A353A">
        <w:t>in power</w:t>
      </w:r>
      <w:r w:rsidR="004F6A89">
        <w:t xml:space="preserve"> and how investors could be certain about proximity to national security land</w:t>
      </w:r>
      <w:r w:rsidR="00B15E8F">
        <w:t xml:space="preserve"> when this may not or could not be known by an investor when making reasonable enquiries</w:t>
      </w:r>
      <w:r w:rsidR="00B524C4">
        <w:t>.</w:t>
      </w:r>
      <w:r w:rsidR="00B15E8F" w:rsidRPr="00F85B1F">
        <w:rPr>
          <w:rStyle w:val="FootnoteReference"/>
          <w:vertAlign w:val="superscript"/>
        </w:rPr>
        <w:footnoteReference w:id="14"/>
      </w:r>
      <w:r w:rsidR="00BC3060" w:rsidRPr="00F85B1F">
        <w:rPr>
          <w:vertAlign w:val="superscript"/>
        </w:rPr>
        <w:t xml:space="preserve"> </w:t>
      </w:r>
      <w:r w:rsidR="00EC0929">
        <w:t>Treasury has since</w:t>
      </w:r>
      <w:r w:rsidR="006B1057">
        <w:t xml:space="preserve"> updated Guidance Note 8: </w:t>
      </w:r>
      <w:r w:rsidR="006B1057">
        <w:rPr>
          <w:i/>
          <w:iCs/>
        </w:rPr>
        <w:t>National Security</w:t>
      </w:r>
      <w:r w:rsidR="006B1057">
        <w:t xml:space="preserve"> to clarify </w:t>
      </w:r>
      <w:r w:rsidR="00793CE8">
        <w:t>these uncertainties.</w:t>
      </w:r>
      <w:r w:rsidR="00FA3933">
        <w:t xml:space="preserve"> </w:t>
      </w:r>
    </w:p>
    <w:p w14:paraId="2C372D0A" w14:textId="0AE771FE" w:rsidR="00673D73" w:rsidRDefault="00F14FB1" w:rsidP="00F876BB">
      <w:r>
        <w:t>D</w:t>
      </w:r>
      <w:r w:rsidR="00BC3060">
        <w:t>espite more regular quarterly reporting by Treasury on foreign investment applications</w:t>
      </w:r>
      <w:r w:rsidR="00D546A4">
        <w:t xml:space="preserve">, there </w:t>
      </w:r>
      <w:r w:rsidR="001C419C">
        <w:t xml:space="preserve">remains </w:t>
      </w:r>
      <w:r w:rsidR="00D546A4">
        <w:t xml:space="preserve">a desire </w:t>
      </w:r>
      <w:r w:rsidR="00F20EE9">
        <w:t xml:space="preserve">from investors </w:t>
      </w:r>
      <w:r w:rsidR="00D546A4">
        <w:t>for more detailed information on some aspects of this reporting</w:t>
      </w:r>
      <w:r w:rsidR="0035171C">
        <w:t>, including whether</w:t>
      </w:r>
      <w:r w:rsidR="009242C3">
        <w:t xml:space="preserve"> withdrawn applications</w:t>
      </w:r>
      <w:r w:rsidR="0035381A">
        <w:t xml:space="preserve"> may have been </w:t>
      </w:r>
      <w:proofErr w:type="gramStart"/>
      <w:r w:rsidR="0035381A">
        <w:t>a</w:t>
      </w:r>
      <w:r w:rsidR="001C4608">
        <w:t>s a</w:t>
      </w:r>
      <w:r w:rsidR="0035381A">
        <w:t xml:space="preserve"> result of</w:t>
      </w:r>
      <w:proofErr w:type="gramEnd"/>
      <w:r w:rsidR="00B86FD1">
        <w:t xml:space="preserve"> possibly being rejected</w:t>
      </w:r>
      <w:r w:rsidR="00B524C4">
        <w:t>.</w:t>
      </w:r>
      <w:r w:rsidR="00B86FD1" w:rsidRPr="00F85B1F">
        <w:rPr>
          <w:rStyle w:val="FootnoteReference"/>
          <w:vertAlign w:val="superscript"/>
        </w:rPr>
        <w:footnoteReference w:id="15"/>
      </w:r>
      <w:r w:rsidR="00782D1B" w:rsidRPr="00F85B1F">
        <w:rPr>
          <w:vertAlign w:val="superscript"/>
        </w:rPr>
        <w:t xml:space="preserve"> </w:t>
      </w:r>
    </w:p>
    <w:p w14:paraId="7A8545B5" w14:textId="5370CC5E" w:rsidR="00E87550" w:rsidRDefault="003D1CE5" w:rsidP="00F876BB">
      <w:r>
        <w:t>The Treasurer issued 6 call</w:t>
      </w:r>
      <w:r w:rsidR="004260B1">
        <w:noBreakHyphen/>
      </w:r>
      <w:r>
        <w:t>in notices in 2023</w:t>
      </w:r>
      <w:r w:rsidR="0052261F" w:rsidRPr="0052261F">
        <w:t>–</w:t>
      </w:r>
      <w:r>
        <w:t>24</w:t>
      </w:r>
      <w:r w:rsidR="00380EB7">
        <w:t>.</w:t>
      </w:r>
      <w:r w:rsidR="00E56E07" w:rsidRPr="00F85B1F">
        <w:rPr>
          <w:rStyle w:val="FootnoteReference"/>
          <w:vertAlign w:val="superscript"/>
        </w:rPr>
        <w:footnoteReference w:id="16"/>
      </w:r>
      <w:r w:rsidR="009A457E" w:rsidRPr="00F85B1F">
        <w:rPr>
          <w:rStyle w:val="CommentReference"/>
          <w:rFonts w:ascii="Calibri" w:hAnsi="Calibri"/>
          <w:vertAlign w:val="superscript"/>
        </w:rPr>
        <w:t xml:space="preserve"> </w:t>
      </w:r>
      <w:r w:rsidR="003A10F6">
        <w:t>There were no call</w:t>
      </w:r>
      <w:r w:rsidR="004260B1">
        <w:noBreakHyphen/>
      </w:r>
      <w:r w:rsidR="003A10F6">
        <w:t>in notices prior</w:t>
      </w:r>
      <w:r w:rsidR="00A414B0">
        <w:t xml:space="preserve"> to this</w:t>
      </w:r>
      <w:r w:rsidR="009A457E">
        <w:t xml:space="preserve"> </w:t>
      </w:r>
      <w:r w:rsidR="00CA2B18">
        <w:t>since its introduction. T</w:t>
      </w:r>
      <w:r w:rsidR="009A457E">
        <w:t>h</w:t>
      </w:r>
      <w:r w:rsidR="00CD2CED">
        <w:t>e call</w:t>
      </w:r>
      <w:r w:rsidR="004260B1">
        <w:noBreakHyphen/>
      </w:r>
      <w:r w:rsidR="00CD2CED">
        <w:t xml:space="preserve">in power was designed to enable the Treasurer to </w:t>
      </w:r>
      <w:r w:rsidR="004260B1">
        <w:t>‘</w:t>
      </w:r>
      <w:r w:rsidR="00CD2CED">
        <w:t>call</w:t>
      </w:r>
      <w:r w:rsidR="004260B1">
        <w:noBreakHyphen/>
      </w:r>
      <w:r w:rsidR="00CD2CED">
        <w:t>in</w:t>
      </w:r>
      <w:r w:rsidR="004260B1">
        <w:t>’</w:t>
      </w:r>
      <w:r w:rsidR="00CD2CED">
        <w:t xml:space="preserve"> for review reviewable national security actions which are not otherwise notified, if the Treasurer considers that the action may pose national security concerns. Once called in, an investment </w:t>
      </w:r>
      <w:r w:rsidR="00F6409A">
        <w:t>is</w:t>
      </w:r>
      <w:r w:rsidR="00CD2CED">
        <w:t xml:space="preserve"> reviewed to determine if it raises national security concerns. For investments called in, the Treasurer may issue a no objection notification, including with conditions, or prohibit the action, or require the divestment of foreign interests in a business, entity or land. The use of this power by the Treasurer signals the Government</w:t>
      </w:r>
      <w:r w:rsidR="004260B1">
        <w:t>’</w:t>
      </w:r>
      <w:r w:rsidR="00CD2CED">
        <w:t xml:space="preserve">s intent to take action to protect the national interest and national security. </w:t>
      </w:r>
    </w:p>
    <w:p w14:paraId="482BC5A9" w14:textId="4EBF7A07" w:rsidR="00CD2CED" w:rsidRDefault="00E87550" w:rsidP="00F876BB">
      <w:r>
        <w:t>I</w:t>
      </w:r>
      <w:r w:rsidR="00CD2CED">
        <w:t xml:space="preserve">t has </w:t>
      </w:r>
      <w:r w:rsidR="00A66D96">
        <w:t>been</w:t>
      </w:r>
      <w:r w:rsidR="00CD2CED">
        <w:t xml:space="preserve"> publicly reported, and by way of a legislative instrument under the FATA, that the Treasurer has ordered 5 investors to divest their shareholding in an Australian entity (a disposal order), following use of the call</w:t>
      </w:r>
      <w:r w:rsidR="004260B1">
        <w:noBreakHyphen/>
      </w:r>
      <w:r w:rsidR="00CD2CED">
        <w:t>in power.</w:t>
      </w:r>
      <w:r w:rsidR="00C53D25">
        <w:t xml:space="preserve"> </w:t>
      </w:r>
      <w:r w:rsidR="00CD2CED">
        <w:t xml:space="preserve">The Government has also, for the first time, taken court action for civil penalty proceedings against </w:t>
      </w:r>
      <w:r w:rsidR="003B5421">
        <w:t xml:space="preserve">one of </w:t>
      </w:r>
      <w:r w:rsidR="00CD2CED">
        <w:t>the investor</w:t>
      </w:r>
      <w:r w:rsidR="003B5421">
        <w:t>s</w:t>
      </w:r>
      <w:r w:rsidR="00CD2CED">
        <w:t xml:space="preserve"> </w:t>
      </w:r>
      <w:r w:rsidR="003B5421">
        <w:t>ordered to divest their shareholding</w:t>
      </w:r>
      <w:r w:rsidR="00CD2CED">
        <w:t xml:space="preserve">. </w:t>
      </w:r>
      <w:r w:rsidR="00237D65">
        <w:t>T</w:t>
      </w:r>
      <w:r w:rsidR="00CD2CED">
        <w:t>his example of the call</w:t>
      </w:r>
      <w:r w:rsidR="004260B1">
        <w:noBreakHyphen/>
      </w:r>
      <w:r w:rsidR="00CD2CED">
        <w:t xml:space="preserve">in power and </w:t>
      </w:r>
      <w:r w:rsidR="001E0B75">
        <w:t>the</w:t>
      </w:r>
      <w:r w:rsidR="00CD2CED">
        <w:t xml:space="preserve"> subsequent disposal order demonstrates that the impact of the use of the new powers has been limited and targeted as intended</w:t>
      </w:r>
      <w:r w:rsidR="00882253">
        <w:t xml:space="preserve"> </w:t>
      </w:r>
      <w:r w:rsidR="003A32E4">
        <w:t xml:space="preserve">in relation to </w:t>
      </w:r>
      <w:r w:rsidR="00CD2CED">
        <w:t xml:space="preserve">the number of </w:t>
      </w:r>
      <w:r w:rsidR="00C56123">
        <w:t>overall</w:t>
      </w:r>
      <w:r w:rsidR="00CD2CED">
        <w:t xml:space="preserve"> foreign investment applications.</w:t>
      </w:r>
    </w:p>
    <w:p w14:paraId="02570F8F" w14:textId="39374BD6" w:rsidR="004E4948" w:rsidRPr="004E4948" w:rsidRDefault="004E4948" w:rsidP="00F876BB">
      <w:pPr>
        <w:pStyle w:val="Heading2Numbered"/>
      </w:pPr>
      <w:bookmarkStart w:id="59" w:name="_Toc210039670"/>
      <w:r w:rsidRPr="004E4948">
        <w:t xml:space="preserve">Improving the integrity of </w:t>
      </w:r>
      <w:r w:rsidR="00511898">
        <w:t>foreign investment framework</w:t>
      </w:r>
      <w:bookmarkEnd w:id="59"/>
    </w:p>
    <w:p w14:paraId="3BD42CA8" w14:textId="326A4BCA" w:rsidR="00E6683D" w:rsidRDefault="009D1034" w:rsidP="00F876BB">
      <w:r>
        <w:t xml:space="preserve">In the 2021 </w:t>
      </w:r>
      <w:r w:rsidR="009539FA">
        <w:t>e</w:t>
      </w:r>
      <w:r w:rsidR="005F6CF8">
        <w:t>valuation</w:t>
      </w:r>
      <w:r>
        <w:t xml:space="preserve">, Treasury received </w:t>
      </w:r>
      <w:r w:rsidR="00444202">
        <w:t>several</w:t>
      </w:r>
      <w:r>
        <w:t xml:space="preserve"> submissions</w:t>
      </w:r>
      <w:r w:rsidR="004F11BF">
        <w:t xml:space="preserve"> from stakeholders regarding a range of issues</w:t>
      </w:r>
      <w:r w:rsidR="00033987">
        <w:t xml:space="preserve"> on the framework and its administration.</w:t>
      </w:r>
      <w:r w:rsidR="005469F3">
        <w:t xml:space="preserve"> As discussed</w:t>
      </w:r>
      <w:r w:rsidR="00A15AA0">
        <w:t xml:space="preserve"> below</w:t>
      </w:r>
      <w:r w:rsidR="005469F3">
        <w:t xml:space="preserve"> in </w:t>
      </w:r>
      <w:r w:rsidR="000E7054">
        <w:t>S</w:t>
      </w:r>
      <w:r w:rsidR="005469F3">
        <w:t xml:space="preserve">ection 7, Treasury has continued to receive feedback from a range of sources </w:t>
      </w:r>
      <w:r w:rsidR="00071570">
        <w:t>and through a range of channels on the operation of the framework.</w:t>
      </w:r>
    </w:p>
    <w:p w14:paraId="0F5BA92B" w14:textId="6DF7B930" w:rsidR="0082134C" w:rsidRDefault="00DD48A9" w:rsidP="00F876BB">
      <w:r w:rsidRPr="00DD48A9">
        <w:t>Stakeholder feedback indicates that</w:t>
      </w:r>
      <w:r w:rsidR="00DC2842">
        <w:t xml:space="preserve"> whilst appreciating </w:t>
      </w:r>
      <w:r w:rsidR="00AF5F63">
        <w:t xml:space="preserve">ongoing engagement and transparency in discussions on the framework with Treasury, </w:t>
      </w:r>
      <w:r w:rsidR="003D3592">
        <w:t xml:space="preserve">stakeholders </w:t>
      </w:r>
      <w:r w:rsidR="00AF5F63">
        <w:t xml:space="preserve">would </w:t>
      </w:r>
      <w:r w:rsidR="003D3592">
        <w:t>prefer</w:t>
      </w:r>
      <w:r w:rsidR="00AF5F63">
        <w:t xml:space="preserve"> more consistency in </w:t>
      </w:r>
      <w:r w:rsidR="00D2228F">
        <w:t>how enquiries are dealt with.</w:t>
      </w:r>
      <w:r w:rsidR="007B164A">
        <w:t xml:space="preserve"> Updates to the </w:t>
      </w:r>
      <w:r w:rsidR="00F00513">
        <w:t xml:space="preserve">published guidance notes and website, discussed in </w:t>
      </w:r>
      <w:r w:rsidR="000E7054">
        <w:t>S</w:t>
      </w:r>
      <w:r w:rsidR="00F00513">
        <w:t>ection</w:t>
      </w:r>
      <w:r w:rsidR="000852C0">
        <w:t> </w:t>
      </w:r>
      <w:r w:rsidR="00F00513">
        <w:t>7</w:t>
      </w:r>
      <w:r w:rsidR="00F876BB">
        <w:t xml:space="preserve"> below</w:t>
      </w:r>
      <w:r w:rsidR="00F00513">
        <w:t>, aimed to address these issues.</w:t>
      </w:r>
    </w:p>
    <w:p w14:paraId="4A839C08" w14:textId="262653B7" w:rsidR="00F0039D" w:rsidRDefault="000608A2" w:rsidP="00F876BB">
      <w:r w:rsidRPr="00020775">
        <w:t>Part of improving the integrity of the framework included g</w:t>
      </w:r>
      <w:r w:rsidR="00F0039D" w:rsidRPr="00020775">
        <w:t>reater sharing of protected information</w:t>
      </w:r>
      <w:r w:rsidR="00F05C92" w:rsidRPr="00020775">
        <w:t xml:space="preserve"> provided by investors</w:t>
      </w:r>
      <w:r w:rsidR="00F0039D" w:rsidRPr="00020775">
        <w:t xml:space="preserve"> under the FATA both domestically and internationally</w:t>
      </w:r>
      <w:r w:rsidR="00443093" w:rsidRPr="00020775">
        <w:t xml:space="preserve">, subject to </w:t>
      </w:r>
      <w:r w:rsidR="00B40FC6" w:rsidRPr="00020775">
        <w:t>appropriate safeguards</w:t>
      </w:r>
      <w:r w:rsidR="00F05C92" w:rsidRPr="00020775">
        <w:t>,</w:t>
      </w:r>
      <w:r w:rsidR="002345C1" w:rsidRPr="00020775">
        <w:t xml:space="preserve"> designed to </w:t>
      </w:r>
      <w:r w:rsidR="00EA05AC" w:rsidRPr="00020775">
        <w:t>support compliance activities</w:t>
      </w:r>
      <w:r w:rsidR="00F05C92" w:rsidRPr="00020775">
        <w:t xml:space="preserve"> and</w:t>
      </w:r>
      <w:r w:rsidR="0081167A" w:rsidRPr="00020775">
        <w:t xml:space="preserve"> increase</w:t>
      </w:r>
      <w:r w:rsidR="00674E25" w:rsidRPr="00020775">
        <w:t xml:space="preserve"> the efficiency of administering the framework</w:t>
      </w:r>
      <w:r w:rsidR="00EA05AC" w:rsidRPr="00020775">
        <w:t>.</w:t>
      </w:r>
      <w:r w:rsidR="00B020A3">
        <w:t xml:space="preserve"> </w:t>
      </w:r>
    </w:p>
    <w:p w14:paraId="10CDF271" w14:textId="07C8CE98" w:rsidR="00C301FC" w:rsidRDefault="00D82421" w:rsidP="00F876BB">
      <w:pPr>
        <w:pStyle w:val="Heading2Numbered"/>
      </w:pPr>
      <w:bookmarkStart w:id="60" w:name="_Toc210039671"/>
      <w:r>
        <w:t>Stronger compliance and enforcement powers</w:t>
      </w:r>
      <w:bookmarkEnd w:id="60"/>
    </w:p>
    <w:p w14:paraId="3AD64BF0" w14:textId="36B4E4BD" w:rsidR="00CD5F42" w:rsidRDefault="00CD5F42" w:rsidP="00F876BB">
      <w:r w:rsidRPr="00CD5F42">
        <w:t xml:space="preserve">Treasury </w:t>
      </w:r>
      <w:r w:rsidR="006A7B84">
        <w:t xml:space="preserve">and the ATO </w:t>
      </w:r>
      <w:r w:rsidRPr="00CD5F42">
        <w:t xml:space="preserve">established new processes and procedures to support the enhanced compliance and enforcement powers provided for in the reforms. </w:t>
      </w:r>
      <w:r w:rsidR="00041129">
        <w:t xml:space="preserve">In the 2021 </w:t>
      </w:r>
      <w:r w:rsidR="009539FA">
        <w:t>e</w:t>
      </w:r>
      <w:r w:rsidR="00041129">
        <w:t xml:space="preserve">valuation, </w:t>
      </w:r>
      <w:r w:rsidR="001302C5">
        <w:t xml:space="preserve">stakeholders commented that in most cases, investors do their best to comply with the Framework </w:t>
      </w:r>
      <w:r w:rsidR="004E1395">
        <w:t>–</w:t>
      </w:r>
      <w:r w:rsidR="00A4707E">
        <w:t xml:space="preserve"> with most cases of non</w:t>
      </w:r>
      <w:r w:rsidR="004260B1">
        <w:noBreakHyphen/>
      </w:r>
      <w:r w:rsidR="00A4707E">
        <w:t>compliance being inadvertent</w:t>
      </w:r>
      <w:r w:rsidR="007D7543">
        <w:t xml:space="preserve"> </w:t>
      </w:r>
      <w:r w:rsidR="004E1395">
        <w:t>–</w:t>
      </w:r>
      <w:r w:rsidR="007D7543">
        <w:t xml:space="preserve"> and that the obligations in the public guidance material were clear and sufficient.</w:t>
      </w:r>
    </w:p>
    <w:p w14:paraId="59C32065" w14:textId="2B33D5D2" w:rsidR="008F0894" w:rsidRDefault="008F0894" w:rsidP="00F876BB">
      <w:r w:rsidRPr="008F0894">
        <w:t xml:space="preserve">The reforms </w:t>
      </w:r>
      <w:r>
        <w:t xml:space="preserve">aimed to </w:t>
      </w:r>
      <w:r w:rsidRPr="008F0894">
        <w:t>ensure that the Treasurer and Commissioner</w:t>
      </w:r>
      <w:r>
        <w:t xml:space="preserve"> </w:t>
      </w:r>
      <w:r w:rsidR="008B4A9D">
        <w:t>of</w:t>
      </w:r>
      <w:r>
        <w:t xml:space="preserve"> Taxation</w:t>
      </w:r>
      <w:r w:rsidRPr="008F0894">
        <w:t xml:space="preserve"> have enforcement, monitoring and investigative powers in line with those of other regulators, including access to premises with consent or as permitted by warrant to gather information. This </w:t>
      </w:r>
      <w:r w:rsidR="00B702BC">
        <w:t>aimed to</w:t>
      </w:r>
      <w:r w:rsidRPr="008F0894">
        <w:t xml:space="preserve"> improve the regulators</w:t>
      </w:r>
      <w:r w:rsidR="004260B1">
        <w:t>’</w:t>
      </w:r>
      <w:r w:rsidRPr="008F0894">
        <w:t xml:space="preserve"> capabilities to monitor investor compliance and investigate potential non</w:t>
      </w:r>
      <w:r w:rsidR="004260B1">
        <w:noBreakHyphen/>
      </w:r>
      <w:r w:rsidRPr="008F0894">
        <w:t>compliance.</w:t>
      </w:r>
      <w:r w:rsidR="00CB04F8">
        <w:t xml:space="preserve"> </w:t>
      </w:r>
      <w:r w:rsidR="00CB04F8" w:rsidRPr="00CB04F8">
        <w:t xml:space="preserve">Under the </w:t>
      </w:r>
      <w:r w:rsidR="00CB04F8" w:rsidRPr="00CB04F8">
        <w:rPr>
          <w:i/>
          <w:iCs/>
        </w:rPr>
        <w:t>Regulatory Powers (Standard Provisions) Act 2014</w:t>
      </w:r>
      <w:r w:rsidR="00CB04F8" w:rsidRPr="00CB04F8">
        <w:t>, Treasury now has monitoring powers to enter premises to verify investor compliance, investigation powers to enter premises to gather information about potential breaches, and the power to issue infringement notices for a range of civil penalty provisions – not just for breaches in the residential real estate sector, as was the case prior to the reforms.</w:t>
      </w:r>
      <w:r w:rsidR="00437AC0">
        <w:t xml:space="preserve"> </w:t>
      </w:r>
      <w:r w:rsidR="00437AC0" w:rsidRPr="00437AC0">
        <w:t>The reforms also introduced</w:t>
      </w:r>
      <w:r w:rsidR="00DA146D">
        <w:t xml:space="preserve"> a</w:t>
      </w:r>
      <w:r w:rsidR="00437AC0" w:rsidRPr="00437AC0">
        <w:t xml:space="preserve"> new tier 3 infringement notice, increasing the infringement penalty units by 5 </w:t>
      </w:r>
      <w:r w:rsidR="00293D19">
        <w:t>multiples</w:t>
      </w:r>
      <w:r w:rsidR="00437AC0" w:rsidRPr="00437AC0">
        <w:t>, reflecting a more proportionate penalty for acquiring interests in high value transactions.</w:t>
      </w:r>
    </w:p>
    <w:p w14:paraId="394C5C3D" w14:textId="645B5C9E" w:rsidR="00A72AFA" w:rsidRDefault="00307431" w:rsidP="00F876BB">
      <w:r>
        <w:t xml:space="preserve">The 2021 </w:t>
      </w:r>
      <w:r w:rsidR="00E7625D">
        <w:t>e</w:t>
      </w:r>
      <w:r>
        <w:t xml:space="preserve">valuation found that regular performance reporting would improve the transparency of foreign investment regulation in Australia. </w:t>
      </w:r>
      <w:r w:rsidR="003B4D63">
        <w:t xml:space="preserve">Since the reforms, Treasury has </w:t>
      </w:r>
      <w:r w:rsidR="00D3704C">
        <w:t xml:space="preserve">continued to </w:t>
      </w:r>
      <w:r w:rsidR="003B4D63">
        <w:t xml:space="preserve">publish annual </w:t>
      </w:r>
      <w:r w:rsidR="00D3704C">
        <w:t xml:space="preserve">data </w:t>
      </w:r>
      <w:r w:rsidR="003B4D63">
        <w:t>and</w:t>
      </w:r>
      <w:r w:rsidR="00D3704C">
        <w:t xml:space="preserve"> additionally publishes</w:t>
      </w:r>
      <w:r w:rsidR="003B4D63">
        <w:t xml:space="preserve"> quarterly data (since </w:t>
      </w:r>
      <w:r w:rsidR="006B216D">
        <w:t>quarter 1, 2022</w:t>
      </w:r>
      <w:r w:rsidR="00C90829">
        <w:t xml:space="preserve">, </w:t>
      </w:r>
      <w:r w:rsidR="00A86941">
        <w:t xml:space="preserve">first published </w:t>
      </w:r>
      <w:r w:rsidR="00356D36">
        <w:t xml:space="preserve">on </w:t>
      </w:r>
      <w:r w:rsidR="00556A45">
        <w:t>9</w:t>
      </w:r>
      <w:r w:rsidR="000852C0">
        <w:t> </w:t>
      </w:r>
      <w:r w:rsidR="00556A45">
        <w:t>December 2022</w:t>
      </w:r>
      <w:r w:rsidR="004A1D99">
        <w:t>)</w:t>
      </w:r>
      <w:r w:rsidR="003B4D63">
        <w:t xml:space="preserve"> on compliance with the framework.</w:t>
      </w:r>
      <w:r w:rsidR="00FB3BC0">
        <w:t xml:space="preserve"> </w:t>
      </w:r>
    </w:p>
    <w:p w14:paraId="2F4CC885" w14:textId="27BC10DB" w:rsidR="004A213A" w:rsidRPr="00CD5F42" w:rsidRDefault="004A213A" w:rsidP="00F876BB">
      <w:r>
        <w:t>The annual number of condition mandated reports has steadily increased from 1,676 in 2020</w:t>
      </w:r>
      <w:r w:rsidR="000852C0" w:rsidRPr="000852C0">
        <w:t>–</w:t>
      </w:r>
      <w:r>
        <w:t xml:space="preserve">21 to </w:t>
      </w:r>
      <w:r w:rsidR="003B7C26">
        <w:t>2,785</w:t>
      </w:r>
      <w:r w:rsidR="00CF5B93">
        <w:t xml:space="preserve"> in 202</w:t>
      </w:r>
      <w:r w:rsidR="003B7C26">
        <w:t>3</w:t>
      </w:r>
      <w:r w:rsidR="000852C0" w:rsidRPr="000852C0">
        <w:t>–</w:t>
      </w:r>
      <w:r w:rsidR="00CF5B93">
        <w:t>2</w:t>
      </w:r>
      <w:r w:rsidR="003B7C26">
        <w:t>4</w:t>
      </w:r>
      <w:r w:rsidR="009922C9">
        <w:t xml:space="preserve"> (see Table </w:t>
      </w:r>
      <w:r w:rsidR="007759A1">
        <w:t>6.3</w:t>
      </w:r>
      <w:r w:rsidR="009922C9">
        <w:t>)</w:t>
      </w:r>
      <w:r w:rsidR="00CF5B93">
        <w:t>.</w:t>
      </w:r>
      <w:r w:rsidR="001D5023">
        <w:t xml:space="preserve"> </w:t>
      </w:r>
      <w:r w:rsidR="00BD2A00" w:rsidRPr="00B94AA3">
        <w:rPr>
          <w:rFonts w:cs="Calibri Light"/>
        </w:rPr>
        <w:t>Treasury</w:t>
      </w:r>
      <w:r w:rsidR="004260B1">
        <w:rPr>
          <w:rFonts w:cs="Calibri Light"/>
        </w:rPr>
        <w:t>’</w:t>
      </w:r>
      <w:r w:rsidR="00BD2A00" w:rsidRPr="00B94AA3">
        <w:rPr>
          <w:rFonts w:cs="Calibri Light"/>
        </w:rPr>
        <w:t>s</w:t>
      </w:r>
      <w:r w:rsidR="00BD2A00" w:rsidRPr="00B94AA3" w:rsidDel="008917AE">
        <w:rPr>
          <w:rFonts w:cs="Calibri Light"/>
        </w:rPr>
        <w:t xml:space="preserve"> </w:t>
      </w:r>
      <w:r w:rsidR="00BD2A00">
        <w:rPr>
          <w:rFonts w:cs="Calibri Light"/>
        </w:rPr>
        <w:t>two</w:t>
      </w:r>
      <w:r w:rsidR="00BD2A00" w:rsidRPr="00B94AA3">
        <w:rPr>
          <w:rFonts w:cs="Calibri Light"/>
        </w:rPr>
        <w:t xml:space="preserve"> audit programs</w:t>
      </w:r>
      <w:r w:rsidR="00BD2A00">
        <w:rPr>
          <w:rFonts w:cs="Calibri Light"/>
        </w:rPr>
        <w:t xml:space="preserve"> –</w:t>
      </w:r>
      <w:r w:rsidR="00BD2A00" w:rsidRPr="00B94AA3">
        <w:rPr>
          <w:rFonts w:cs="Calibri Light"/>
        </w:rPr>
        <w:t xml:space="preserve"> the Regulator Audit Program (Treasury</w:t>
      </w:r>
      <w:r w:rsidR="004260B1">
        <w:rPr>
          <w:rFonts w:cs="Calibri Light"/>
        </w:rPr>
        <w:noBreakHyphen/>
      </w:r>
      <w:r w:rsidR="00BD2A00" w:rsidRPr="00B94AA3">
        <w:rPr>
          <w:rFonts w:cs="Calibri Light"/>
        </w:rPr>
        <w:t>led in</w:t>
      </w:r>
      <w:r w:rsidR="004260B1">
        <w:rPr>
          <w:rFonts w:cs="Calibri Light"/>
        </w:rPr>
        <w:noBreakHyphen/>
      </w:r>
      <w:r w:rsidR="00BD2A00" w:rsidRPr="00B94AA3">
        <w:rPr>
          <w:rFonts w:cs="Calibri Light"/>
        </w:rPr>
        <w:t>house audits) and the</w:t>
      </w:r>
      <w:r w:rsidR="00BD2A00">
        <w:rPr>
          <w:rFonts w:cs="Calibri Light"/>
        </w:rPr>
        <w:t xml:space="preserve"> </w:t>
      </w:r>
      <w:r w:rsidR="00BD2A00" w:rsidRPr="00B94AA3">
        <w:rPr>
          <w:rFonts w:cs="Calibri Light"/>
        </w:rPr>
        <w:t>Independent Audit Program (condition</w:t>
      </w:r>
      <w:r w:rsidR="004260B1">
        <w:rPr>
          <w:rFonts w:cs="Calibri Light"/>
        </w:rPr>
        <w:noBreakHyphen/>
      </w:r>
      <w:r w:rsidR="00BD2A00" w:rsidRPr="00B94AA3">
        <w:rPr>
          <w:rFonts w:cs="Calibri Light"/>
        </w:rPr>
        <w:t xml:space="preserve">mandated audits conducted by independent assurance practitioners) </w:t>
      </w:r>
      <w:r w:rsidR="00BD2A00">
        <w:rPr>
          <w:rFonts w:cs="Calibri Light"/>
        </w:rPr>
        <w:t>–</w:t>
      </w:r>
      <w:r w:rsidR="00BD2A00" w:rsidRPr="00B94AA3">
        <w:rPr>
          <w:rFonts w:cs="Calibri Light"/>
        </w:rPr>
        <w:t xml:space="preserve"> </w:t>
      </w:r>
      <w:r w:rsidR="00BD2A00">
        <w:rPr>
          <w:rFonts w:cs="Calibri Light"/>
        </w:rPr>
        <w:t>serve important compliance assurance roles</w:t>
      </w:r>
      <w:r w:rsidR="00BD2A00" w:rsidRPr="007F61A1">
        <w:rPr>
          <w:rFonts w:cs="Calibri Light"/>
        </w:rPr>
        <w:t>.</w:t>
      </w:r>
      <w:r w:rsidR="00002B7E">
        <w:rPr>
          <w:rFonts w:cs="Calibri Light"/>
        </w:rPr>
        <w:t xml:space="preserve"> </w:t>
      </w:r>
      <w:r w:rsidR="001D5023">
        <w:t xml:space="preserve">The number of completed </w:t>
      </w:r>
      <w:r w:rsidR="00566501">
        <w:t>R</w:t>
      </w:r>
      <w:r w:rsidR="001D5023">
        <w:t xml:space="preserve">egulator </w:t>
      </w:r>
      <w:r w:rsidR="00566501">
        <w:t>A</w:t>
      </w:r>
      <w:r w:rsidR="001D5023">
        <w:t>udits has remained stea</w:t>
      </w:r>
      <w:r w:rsidR="003B4D63">
        <w:t xml:space="preserve">dy with </w:t>
      </w:r>
      <w:r w:rsidR="006E0A96">
        <w:t>5</w:t>
      </w:r>
      <w:r w:rsidR="004260B1">
        <w:noBreakHyphen/>
      </w:r>
      <w:r w:rsidR="003B4D63">
        <w:t>7 completed annually</w:t>
      </w:r>
      <w:r w:rsidR="009922C9">
        <w:t xml:space="preserve"> (see Table</w:t>
      </w:r>
      <w:r w:rsidR="00D81B3D">
        <w:t> </w:t>
      </w:r>
      <w:r w:rsidR="007759A1">
        <w:t>6.4</w:t>
      </w:r>
      <w:r w:rsidR="009922C9">
        <w:t>)</w:t>
      </w:r>
      <w:r w:rsidR="003B4D63">
        <w:t>.</w:t>
      </w:r>
      <w:r w:rsidR="003105BC">
        <w:t xml:space="preserve"> </w:t>
      </w:r>
      <w:r w:rsidR="003105BC">
        <w:rPr>
          <w:rFonts w:cs="Calibri Light"/>
        </w:rPr>
        <w:t>The Regulator Audit program continued to develop during 2024</w:t>
      </w:r>
      <w:r w:rsidR="00D81B3D" w:rsidRPr="00D81B3D">
        <w:rPr>
          <w:rFonts w:cs="Calibri Light"/>
        </w:rPr>
        <w:t>–</w:t>
      </w:r>
      <w:r w:rsidR="003105BC">
        <w:rPr>
          <w:rFonts w:cs="Calibri Light"/>
        </w:rPr>
        <w:t>25 to conduct complex and in</w:t>
      </w:r>
      <w:r w:rsidR="004260B1">
        <w:rPr>
          <w:rFonts w:cs="Calibri Light"/>
        </w:rPr>
        <w:noBreakHyphen/>
      </w:r>
      <w:r w:rsidR="003105BC">
        <w:rPr>
          <w:rFonts w:cs="Calibri Light"/>
        </w:rPr>
        <w:t xml:space="preserve">depth audits, including </w:t>
      </w:r>
      <w:proofErr w:type="gramStart"/>
      <w:r w:rsidR="003105BC">
        <w:rPr>
          <w:rFonts w:cs="Calibri Light"/>
        </w:rPr>
        <w:t>through the use of</w:t>
      </w:r>
      <w:proofErr w:type="gramEnd"/>
      <w:r w:rsidR="003105BC">
        <w:rPr>
          <w:rFonts w:cs="Calibri Light"/>
        </w:rPr>
        <w:t xml:space="preserve"> monitoring powers. The audits were selected based on priority compliance risk areas to verify compliance with conditions</w:t>
      </w:r>
      <w:r w:rsidR="003105BC" w:rsidRPr="00910EDB">
        <w:rPr>
          <w:rFonts w:cs="Calibri Light"/>
        </w:rPr>
        <w:t xml:space="preserve"> </w:t>
      </w:r>
      <w:r w:rsidR="003105BC">
        <w:rPr>
          <w:rFonts w:cs="Calibri Light"/>
        </w:rPr>
        <w:t>imposed on approved foreign investments. Where an investor was found to be non</w:t>
      </w:r>
      <w:r w:rsidR="004260B1">
        <w:rPr>
          <w:rFonts w:cs="Calibri Light"/>
        </w:rPr>
        <w:noBreakHyphen/>
      </w:r>
      <w:r w:rsidR="003105BC">
        <w:rPr>
          <w:rFonts w:cs="Calibri Light"/>
        </w:rPr>
        <w:t>compliant or partially compliant, the investor worked with Treasury and remediated any identified non</w:t>
      </w:r>
      <w:r w:rsidR="004260B1">
        <w:rPr>
          <w:rFonts w:cs="Calibri Light"/>
        </w:rPr>
        <w:noBreakHyphen/>
      </w:r>
      <w:r w:rsidR="003105BC">
        <w:rPr>
          <w:rFonts w:cs="Calibri Light"/>
        </w:rPr>
        <w:t>compliance as a priority. The Independent Audit Program continues to enhance Treasury</w:t>
      </w:r>
      <w:r w:rsidR="004260B1">
        <w:rPr>
          <w:rFonts w:cs="Calibri Light"/>
        </w:rPr>
        <w:t>’</w:t>
      </w:r>
      <w:r w:rsidR="003105BC">
        <w:rPr>
          <w:rFonts w:cs="Calibri Light"/>
        </w:rPr>
        <w:t>s oversight and assurance of investor compliance with conditions imposed on a significant number of investments in sensitive, high</w:t>
      </w:r>
      <w:r w:rsidR="004260B1">
        <w:rPr>
          <w:rFonts w:cs="Calibri Light"/>
        </w:rPr>
        <w:noBreakHyphen/>
      </w:r>
      <w:r w:rsidR="003105BC">
        <w:rPr>
          <w:rFonts w:cs="Calibri Light"/>
        </w:rPr>
        <w:t xml:space="preserve">risk and complex areas. </w:t>
      </w:r>
      <w:r w:rsidR="003105BC" w:rsidRPr="00130F00">
        <w:rPr>
          <w:rFonts w:cs="Calibri Light"/>
        </w:rPr>
        <w:t>Where non</w:t>
      </w:r>
      <w:r w:rsidR="004260B1">
        <w:rPr>
          <w:rFonts w:cs="Calibri Light"/>
        </w:rPr>
        <w:noBreakHyphen/>
      </w:r>
      <w:r w:rsidR="003105BC" w:rsidRPr="00130F00">
        <w:rPr>
          <w:rFonts w:cs="Calibri Light"/>
        </w:rPr>
        <w:t xml:space="preserve">compliance was identified, investors worked with Treasury to promptly address issues. </w:t>
      </w:r>
      <w:r w:rsidR="003105BC">
        <w:rPr>
          <w:rFonts w:cs="Calibri Light"/>
        </w:rPr>
        <w:t>O</w:t>
      </w:r>
      <w:r w:rsidR="003105BC" w:rsidRPr="00940BF7">
        <w:rPr>
          <w:rFonts w:cs="Calibri Light"/>
        </w:rPr>
        <w:t xml:space="preserve">ngoing engagement with foreign </w:t>
      </w:r>
      <w:r w:rsidR="003105BC">
        <w:rPr>
          <w:rFonts w:cs="Calibri Light"/>
        </w:rPr>
        <w:t xml:space="preserve">investors </w:t>
      </w:r>
      <w:r w:rsidR="003105BC" w:rsidRPr="00940BF7">
        <w:rPr>
          <w:rFonts w:cs="Calibri Light"/>
        </w:rPr>
        <w:t>has helped improve compliance</w:t>
      </w:r>
      <w:r w:rsidR="003105BC">
        <w:rPr>
          <w:rFonts w:cs="Calibri Light"/>
        </w:rPr>
        <w:t xml:space="preserve"> and</w:t>
      </w:r>
      <w:r w:rsidR="003105BC" w:rsidRPr="00940BF7">
        <w:rPr>
          <w:rFonts w:cs="Calibri Light"/>
        </w:rPr>
        <w:t xml:space="preserve"> </w:t>
      </w:r>
      <w:r w:rsidR="003105BC">
        <w:rPr>
          <w:rFonts w:cs="Calibri Light"/>
        </w:rPr>
        <w:t>remediate issues</w:t>
      </w:r>
      <w:r w:rsidR="003105BC" w:rsidRPr="00940BF7">
        <w:rPr>
          <w:rFonts w:cs="Calibri Light"/>
        </w:rPr>
        <w:t>.</w:t>
      </w:r>
    </w:p>
    <w:p w14:paraId="029A4C01" w14:textId="40B0047A" w:rsidR="00322ECD" w:rsidRDefault="00DC0718" w:rsidP="000852C0">
      <w:pPr>
        <w:pStyle w:val="TableMainHeading"/>
      </w:pPr>
      <w:r>
        <w:t xml:space="preserve">Table </w:t>
      </w:r>
      <w:r w:rsidR="007759A1">
        <w:t>6.3</w:t>
      </w:r>
      <w:r>
        <w:t xml:space="preserve">: </w:t>
      </w:r>
      <w:r w:rsidR="00497F87">
        <w:t>Number of condition mandated reports</w:t>
      </w:r>
    </w:p>
    <w:tbl>
      <w:tblPr>
        <w:tblStyle w:val="TableGrid1"/>
        <w:tblW w:w="5004" w:type="pct"/>
        <w:tblLayout w:type="fixed"/>
        <w:tblLook w:val="01E0" w:firstRow="1" w:lastRow="1" w:firstColumn="1" w:lastColumn="1" w:noHBand="0" w:noVBand="0"/>
      </w:tblPr>
      <w:tblGrid>
        <w:gridCol w:w="3261"/>
        <w:gridCol w:w="1416"/>
        <w:gridCol w:w="1038"/>
        <w:gridCol w:w="1040"/>
        <w:gridCol w:w="1040"/>
        <w:gridCol w:w="1282"/>
      </w:tblGrid>
      <w:tr w:rsidR="000852C0" w:rsidRPr="001E0C9B" w14:paraId="11A943BD" w14:textId="77777777" w:rsidTr="00A850E8">
        <w:trPr>
          <w:cnfStyle w:val="100000000000" w:firstRow="1" w:lastRow="0" w:firstColumn="0" w:lastColumn="0" w:oddVBand="0" w:evenVBand="0" w:oddHBand="0" w:evenHBand="0" w:firstRowFirstColumn="0" w:firstRowLastColumn="0" w:lastRowFirstColumn="0" w:lastRowLastColumn="0"/>
          <w:trHeight w:val="270"/>
        </w:trPr>
        <w:tc>
          <w:tcPr>
            <w:tcW w:w="1796" w:type="pct"/>
          </w:tcPr>
          <w:p w14:paraId="7493FA70" w14:textId="77777777" w:rsidR="00497F87" w:rsidRPr="00F876BB" w:rsidRDefault="00497F87" w:rsidP="00497F87">
            <w:pPr>
              <w:pStyle w:val="TableColumnHeadingLeft"/>
              <w:rPr>
                <w:b/>
                <w:sz w:val="18"/>
                <w:szCs w:val="18"/>
              </w:rPr>
            </w:pPr>
          </w:p>
        </w:tc>
        <w:tc>
          <w:tcPr>
            <w:tcW w:w="780" w:type="pct"/>
          </w:tcPr>
          <w:p w14:paraId="042E266D" w14:textId="57C28D12" w:rsidR="00497F87" w:rsidRPr="00A850E8" w:rsidRDefault="00497F87" w:rsidP="00A850E8">
            <w:pPr>
              <w:pStyle w:val="TableColumnHeadingRight"/>
              <w:rPr>
                <w:b/>
                <w:bCs/>
              </w:rPr>
            </w:pPr>
            <w:r w:rsidRPr="00A850E8">
              <w:rPr>
                <w:b/>
                <w:bCs/>
              </w:rPr>
              <w:t>2024</w:t>
            </w:r>
            <w:r w:rsidR="0052261F" w:rsidRPr="00A850E8">
              <w:rPr>
                <w:b/>
                <w:bCs/>
              </w:rPr>
              <w:t>–</w:t>
            </w:r>
            <w:r w:rsidRPr="00A850E8">
              <w:rPr>
                <w:b/>
                <w:bCs/>
              </w:rPr>
              <w:t>25</w:t>
            </w:r>
            <w:r w:rsidR="00F142C2" w:rsidRPr="00A850E8">
              <w:rPr>
                <w:b/>
                <w:bCs/>
              </w:rPr>
              <w:t xml:space="preserve"> YTD</w:t>
            </w:r>
            <w:r w:rsidR="001B389D" w:rsidRPr="00A850E8">
              <w:rPr>
                <w:b/>
                <w:bCs/>
              </w:rPr>
              <w:t>*</w:t>
            </w:r>
          </w:p>
        </w:tc>
        <w:tc>
          <w:tcPr>
            <w:tcW w:w="572" w:type="pct"/>
          </w:tcPr>
          <w:p w14:paraId="5F2505D2" w14:textId="4AF517C5" w:rsidR="00497F87" w:rsidRPr="00A850E8" w:rsidRDefault="00497F87" w:rsidP="00A850E8">
            <w:pPr>
              <w:pStyle w:val="TableColumnHeadingRight"/>
              <w:rPr>
                <w:b/>
                <w:bCs/>
              </w:rPr>
            </w:pPr>
            <w:r w:rsidRPr="00A850E8">
              <w:rPr>
                <w:b/>
                <w:bCs/>
              </w:rPr>
              <w:t>2023</w:t>
            </w:r>
            <w:r w:rsidR="0052261F" w:rsidRPr="00A850E8">
              <w:rPr>
                <w:b/>
                <w:bCs/>
              </w:rPr>
              <w:t>–</w:t>
            </w:r>
            <w:r w:rsidRPr="00A850E8">
              <w:rPr>
                <w:b/>
                <w:bCs/>
              </w:rPr>
              <w:t>24</w:t>
            </w:r>
          </w:p>
        </w:tc>
        <w:tc>
          <w:tcPr>
            <w:tcW w:w="573" w:type="pct"/>
          </w:tcPr>
          <w:p w14:paraId="2F729B7D" w14:textId="04D81F17" w:rsidR="00497F87" w:rsidRPr="00A850E8" w:rsidRDefault="00497F87" w:rsidP="00A850E8">
            <w:pPr>
              <w:pStyle w:val="TableColumnHeadingRight"/>
              <w:rPr>
                <w:b/>
                <w:bCs/>
              </w:rPr>
            </w:pPr>
            <w:r w:rsidRPr="00A850E8">
              <w:rPr>
                <w:b/>
                <w:bCs/>
              </w:rPr>
              <w:t>2022</w:t>
            </w:r>
            <w:r w:rsidR="0052261F" w:rsidRPr="00A850E8">
              <w:rPr>
                <w:b/>
                <w:bCs/>
              </w:rPr>
              <w:t>–</w:t>
            </w:r>
            <w:r w:rsidRPr="00A850E8">
              <w:rPr>
                <w:b/>
                <w:bCs/>
              </w:rPr>
              <w:t>23</w:t>
            </w:r>
          </w:p>
        </w:tc>
        <w:tc>
          <w:tcPr>
            <w:tcW w:w="573" w:type="pct"/>
          </w:tcPr>
          <w:p w14:paraId="6BFB8934" w14:textId="39048186" w:rsidR="00497F87" w:rsidRPr="00A850E8" w:rsidRDefault="007F50BE" w:rsidP="00A850E8">
            <w:pPr>
              <w:pStyle w:val="TableColumnHeadingRight"/>
              <w:rPr>
                <w:b/>
                <w:bCs/>
              </w:rPr>
            </w:pPr>
            <w:r w:rsidRPr="00A850E8">
              <w:rPr>
                <w:b/>
                <w:bCs/>
              </w:rPr>
              <w:t>2021</w:t>
            </w:r>
            <w:r w:rsidR="0052261F" w:rsidRPr="00A850E8">
              <w:rPr>
                <w:b/>
                <w:bCs/>
              </w:rPr>
              <w:t>–</w:t>
            </w:r>
            <w:r w:rsidRPr="00A850E8">
              <w:rPr>
                <w:b/>
                <w:bCs/>
              </w:rPr>
              <w:t>22</w:t>
            </w:r>
          </w:p>
        </w:tc>
        <w:tc>
          <w:tcPr>
            <w:tcW w:w="706" w:type="pct"/>
          </w:tcPr>
          <w:p w14:paraId="2BCB8D19" w14:textId="57C70C2B" w:rsidR="00497F87" w:rsidRPr="00A850E8" w:rsidRDefault="00A9393A" w:rsidP="00A850E8">
            <w:pPr>
              <w:pStyle w:val="TableColumnHeadingRight"/>
              <w:rPr>
                <w:b/>
                <w:bCs/>
              </w:rPr>
            </w:pPr>
            <w:r w:rsidRPr="00A850E8">
              <w:rPr>
                <w:b/>
                <w:bCs/>
              </w:rPr>
              <w:t>2020</w:t>
            </w:r>
            <w:r w:rsidR="0052261F" w:rsidRPr="00A850E8">
              <w:rPr>
                <w:b/>
                <w:bCs/>
              </w:rPr>
              <w:t>–</w:t>
            </w:r>
            <w:r w:rsidRPr="00A850E8">
              <w:rPr>
                <w:b/>
                <w:bCs/>
              </w:rPr>
              <w:t>21</w:t>
            </w:r>
          </w:p>
        </w:tc>
      </w:tr>
      <w:tr w:rsidR="00497F87" w:rsidRPr="00773F93" w14:paraId="1BDB9323" w14:textId="77777777" w:rsidTr="00A850E8">
        <w:trPr>
          <w:trHeight w:val="270"/>
        </w:trPr>
        <w:tc>
          <w:tcPr>
            <w:tcW w:w="1796" w:type="pct"/>
            <w:tcBorders>
              <w:bottom w:val="single" w:sz="4" w:space="0" w:color="2C384A" w:themeColor="accent1"/>
            </w:tcBorders>
          </w:tcPr>
          <w:p w14:paraId="25985E56" w14:textId="77777777" w:rsidR="00497F87" w:rsidRPr="00773F93" w:rsidRDefault="00497F87" w:rsidP="00497F87">
            <w:pPr>
              <w:pStyle w:val="TableTextLeft"/>
            </w:pPr>
            <w:r w:rsidRPr="00773F93">
              <w:t>Condition mandated reports received</w:t>
            </w:r>
          </w:p>
        </w:tc>
        <w:tc>
          <w:tcPr>
            <w:tcW w:w="780" w:type="pct"/>
            <w:tcBorders>
              <w:bottom w:val="single" w:sz="4" w:space="0" w:color="2C384A" w:themeColor="accent1"/>
            </w:tcBorders>
          </w:tcPr>
          <w:p w14:paraId="44CA1085" w14:textId="27C71700" w:rsidR="00497F87" w:rsidRPr="00773F93" w:rsidRDefault="00F142C2" w:rsidP="000852C0">
            <w:pPr>
              <w:pStyle w:val="TableTextRight"/>
              <w:tabs>
                <w:tab w:val="center" w:pos="571"/>
                <w:tab w:val="right" w:pos="1142"/>
              </w:tabs>
            </w:pPr>
            <w:r>
              <w:t>1,301</w:t>
            </w:r>
          </w:p>
        </w:tc>
        <w:tc>
          <w:tcPr>
            <w:tcW w:w="572" w:type="pct"/>
            <w:tcBorders>
              <w:bottom w:val="single" w:sz="4" w:space="0" w:color="2C384A" w:themeColor="accent1"/>
            </w:tcBorders>
          </w:tcPr>
          <w:p w14:paraId="6D4D41EA" w14:textId="58655E03" w:rsidR="00497F87" w:rsidRPr="00773F93" w:rsidRDefault="00497F87" w:rsidP="00497F87">
            <w:pPr>
              <w:pStyle w:val="TableTextRight"/>
            </w:pPr>
            <w:r>
              <w:t>2,7</w:t>
            </w:r>
            <w:r w:rsidR="007348B5">
              <w:t>85</w:t>
            </w:r>
          </w:p>
        </w:tc>
        <w:tc>
          <w:tcPr>
            <w:tcW w:w="573" w:type="pct"/>
            <w:tcBorders>
              <w:bottom w:val="single" w:sz="4" w:space="0" w:color="2C384A" w:themeColor="accent1"/>
            </w:tcBorders>
          </w:tcPr>
          <w:p w14:paraId="44BD09E2" w14:textId="60BB63BA" w:rsidR="00497F87" w:rsidRPr="00773F93" w:rsidRDefault="00497F87" w:rsidP="00497F87">
            <w:pPr>
              <w:pStyle w:val="TableTextRight"/>
            </w:pPr>
            <w:r>
              <w:t>2,577</w:t>
            </w:r>
          </w:p>
        </w:tc>
        <w:tc>
          <w:tcPr>
            <w:tcW w:w="573" w:type="pct"/>
            <w:tcBorders>
              <w:bottom w:val="single" w:sz="4" w:space="0" w:color="2C384A" w:themeColor="accent1"/>
            </w:tcBorders>
          </w:tcPr>
          <w:p w14:paraId="6167D751" w14:textId="57ECCE68" w:rsidR="00497F87" w:rsidRPr="00773F93" w:rsidRDefault="00773857" w:rsidP="00497F87">
            <w:pPr>
              <w:pStyle w:val="TableTextRight"/>
            </w:pPr>
            <w:r>
              <w:t>2,005</w:t>
            </w:r>
          </w:p>
        </w:tc>
        <w:tc>
          <w:tcPr>
            <w:tcW w:w="706" w:type="pct"/>
            <w:tcBorders>
              <w:bottom w:val="single" w:sz="4" w:space="0" w:color="2C384A" w:themeColor="accent1"/>
            </w:tcBorders>
          </w:tcPr>
          <w:p w14:paraId="67BC229A" w14:textId="6275F340" w:rsidR="00497F87" w:rsidRPr="00773F93" w:rsidRDefault="002F4000" w:rsidP="00497F87">
            <w:pPr>
              <w:pStyle w:val="TableTextRight"/>
            </w:pPr>
            <w:r>
              <w:t>1,676</w:t>
            </w:r>
          </w:p>
        </w:tc>
      </w:tr>
      <w:tr w:rsidR="00497F87" w:rsidRPr="00773F93" w14:paraId="38AB76F6" w14:textId="77777777" w:rsidTr="00A850E8">
        <w:trPr>
          <w:trHeight w:val="270"/>
        </w:trPr>
        <w:tc>
          <w:tcPr>
            <w:tcW w:w="1796" w:type="pct"/>
            <w:tcBorders>
              <w:top w:val="single" w:sz="4" w:space="0" w:color="2C384A" w:themeColor="accent1"/>
              <w:bottom w:val="single" w:sz="4" w:space="0" w:color="2C384A" w:themeColor="accent1"/>
            </w:tcBorders>
          </w:tcPr>
          <w:p w14:paraId="51A86D0C" w14:textId="11C5F1F7" w:rsidR="00497F87" w:rsidRPr="00773F93" w:rsidRDefault="00497F87" w:rsidP="00497F87">
            <w:pPr>
              <w:pStyle w:val="TableTextLeft"/>
            </w:pPr>
            <w:r w:rsidRPr="00773F93">
              <w:t>Condition mandated reports assessed *</w:t>
            </w:r>
            <w:r w:rsidR="00F142C2">
              <w:t>*</w:t>
            </w:r>
          </w:p>
        </w:tc>
        <w:tc>
          <w:tcPr>
            <w:tcW w:w="780" w:type="pct"/>
            <w:tcBorders>
              <w:top w:val="single" w:sz="4" w:space="0" w:color="2C384A" w:themeColor="accent1"/>
              <w:bottom w:val="single" w:sz="4" w:space="0" w:color="2C384A" w:themeColor="accent1"/>
            </w:tcBorders>
          </w:tcPr>
          <w:p w14:paraId="0F127875" w14:textId="575FF633" w:rsidR="00497F87" w:rsidRPr="00773F93" w:rsidRDefault="00F142C2" w:rsidP="00497F87">
            <w:pPr>
              <w:pStyle w:val="TableTextRight"/>
            </w:pPr>
            <w:r>
              <w:t>1,323</w:t>
            </w:r>
          </w:p>
        </w:tc>
        <w:tc>
          <w:tcPr>
            <w:tcW w:w="572" w:type="pct"/>
            <w:tcBorders>
              <w:top w:val="single" w:sz="4" w:space="0" w:color="2C384A" w:themeColor="accent1"/>
              <w:bottom w:val="single" w:sz="4" w:space="0" w:color="2C384A" w:themeColor="accent1"/>
            </w:tcBorders>
          </w:tcPr>
          <w:p w14:paraId="1CF3BE52" w14:textId="773CFA1C" w:rsidR="00497F87" w:rsidRPr="00773F93" w:rsidRDefault="00497F87" w:rsidP="00497F87">
            <w:pPr>
              <w:pStyle w:val="TableTextRight"/>
            </w:pPr>
            <w:r>
              <w:t>3,</w:t>
            </w:r>
            <w:r w:rsidR="00F40DEF">
              <w:t>188</w:t>
            </w:r>
          </w:p>
        </w:tc>
        <w:tc>
          <w:tcPr>
            <w:tcW w:w="573" w:type="pct"/>
            <w:tcBorders>
              <w:top w:val="single" w:sz="4" w:space="0" w:color="2C384A" w:themeColor="accent1"/>
              <w:bottom w:val="single" w:sz="4" w:space="0" w:color="2C384A" w:themeColor="accent1"/>
            </w:tcBorders>
          </w:tcPr>
          <w:p w14:paraId="681884D7" w14:textId="0FEDBD9A" w:rsidR="00497F87" w:rsidRPr="00773F93" w:rsidRDefault="00497F87" w:rsidP="00497F87">
            <w:pPr>
              <w:pStyle w:val="TableTextRight"/>
            </w:pPr>
            <w:r>
              <w:t>3,027</w:t>
            </w:r>
          </w:p>
        </w:tc>
        <w:tc>
          <w:tcPr>
            <w:tcW w:w="573" w:type="pct"/>
            <w:tcBorders>
              <w:top w:val="single" w:sz="4" w:space="0" w:color="2C384A" w:themeColor="accent1"/>
              <w:bottom w:val="single" w:sz="4" w:space="0" w:color="2C384A" w:themeColor="accent1"/>
            </w:tcBorders>
          </w:tcPr>
          <w:p w14:paraId="456C3C34" w14:textId="207A3B1C" w:rsidR="00497F87" w:rsidRPr="0085172F" w:rsidRDefault="00CC31F9" w:rsidP="00497F87">
            <w:pPr>
              <w:pStyle w:val="TableTextRight"/>
              <w:rPr>
                <w:highlight w:val="yellow"/>
              </w:rPr>
            </w:pPr>
            <w:r w:rsidRPr="00983F13">
              <w:t>2,</w:t>
            </w:r>
            <w:r w:rsidR="00E12E4F">
              <w:t>524</w:t>
            </w:r>
          </w:p>
        </w:tc>
        <w:tc>
          <w:tcPr>
            <w:tcW w:w="706" w:type="pct"/>
            <w:tcBorders>
              <w:top w:val="single" w:sz="4" w:space="0" w:color="2C384A" w:themeColor="accent1"/>
              <w:bottom w:val="single" w:sz="4" w:space="0" w:color="2C384A" w:themeColor="accent1"/>
            </w:tcBorders>
          </w:tcPr>
          <w:p w14:paraId="644E5E5F" w14:textId="4E5E0867" w:rsidR="00497F87" w:rsidRPr="0085172F" w:rsidRDefault="00BA290C" w:rsidP="00497F87">
            <w:pPr>
              <w:pStyle w:val="TableTextRight"/>
              <w:rPr>
                <w:highlight w:val="yellow"/>
              </w:rPr>
            </w:pPr>
            <w:r w:rsidRPr="004C06D7">
              <w:t>Not ava</w:t>
            </w:r>
            <w:r w:rsidR="008177C3" w:rsidRPr="004C06D7">
              <w:t>ilable</w:t>
            </w:r>
          </w:p>
        </w:tc>
      </w:tr>
    </w:tbl>
    <w:p w14:paraId="54231A08" w14:textId="53C45BD5" w:rsidR="00F142C2" w:rsidRPr="00F85B1F" w:rsidRDefault="00F86735" w:rsidP="00730293">
      <w:pPr>
        <w:pStyle w:val="ChartorTableNote"/>
        <w:rPr>
          <w:rFonts w:ascii="Calibri Light" w:hAnsi="Calibri Light" w:cs="Calibri Light"/>
        </w:rPr>
      </w:pPr>
      <w:bookmarkStart w:id="61" w:name="_Hlk116478281"/>
      <w:r w:rsidRPr="00F85B1F">
        <w:rPr>
          <w:rFonts w:ascii="Calibri Light" w:hAnsi="Calibri Light" w:cs="Calibri Light"/>
        </w:rPr>
        <w:t xml:space="preserve">* </w:t>
      </w:r>
      <w:r w:rsidR="002522DA" w:rsidRPr="00F85B1F">
        <w:rPr>
          <w:rFonts w:ascii="Calibri Light" w:hAnsi="Calibri Light" w:cs="Calibri Light"/>
        </w:rPr>
        <w:tab/>
      </w:r>
      <w:r w:rsidR="00F142C2" w:rsidRPr="00F85B1F">
        <w:rPr>
          <w:rFonts w:ascii="Calibri Light" w:hAnsi="Calibri Light" w:cs="Calibri Light"/>
          <w:szCs w:val="16"/>
        </w:rPr>
        <w:t>Quarter 1 and 2 of 2024</w:t>
      </w:r>
      <w:r w:rsidR="0052261F" w:rsidRPr="0052261F">
        <w:rPr>
          <w:rFonts w:ascii="Calibri Light" w:hAnsi="Calibri Light" w:cs="Calibri Light"/>
          <w:szCs w:val="16"/>
        </w:rPr>
        <w:t>–</w:t>
      </w:r>
      <w:r w:rsidR="00F142C2" w:rsidRPr="00F85B1F">
        <w:rPr>
          <w:rFonts w:ascii="Calibri Light" w:hAnsi="Calibri Light" w:cs="Calibri Light"/>
          <w:szCs w:val="16"/>
        </w:rPr>
        <w:t>25</w:t>
      </w:r>
    </w:p>
    <w:p w14:paraId="41C8EACB" w14:textId="6E2F6B92" w:rsidR="00D679D3" w:rsidRPr="00F85B1F" w:rsidRDefault="00F142C2" w:rsidP="00730293">
      <w:pPr>
        <w:pStyle w:val="ChartorTableNote"/>
        <w:rPr>
          <w:rFonts w:ascii="Calibri Light" w:hAnsi="Calibri Light" w:cs="Calibri Light"/>
        </w:rPr>
      </w:pPr>
      <w:r w:rsidRPr="00F85B1F">
        <w:rPr>
          <w:rFonts w:ascii="Calibri Light" w:hAnsi="Calibri Light" w:cs="Calibri Light"/>
        </w:rPr>
        <w:t>**</w:t>
      </w:r>
      <w:r w:rsidRPr="00F85B1F">
        <w:rPr>
          <w:rFonts w:ascii="Calibri Light" w:hAnsi="Calibri Light" w:cs="Calibri Light"/>
        </w:rPr>
        <w:tab/>
      </w:r>
      <w:r w:rsidR="00F86735" w:rsidRPr="00F85B1F">
        <w:rPr>
          <w:rFonts w:ascii="Calibri Light" w:hAnsi="Calibri Light" w:cs="Calibri Light"/>
        </w:rPr>
        <w:t>Condition mandated reports assessed may include reports carried over from the previous financial years.</w:t>
      </w:r>
      <w:bookmarkEnd w:id="61"/>
      <w:r w:rsidR="00B532E5" w:rsidRPr="00F85B1F">
        <w:rPr>
          <w:rFonts w:ascii="Calibri Light" w:hAnsi="Calibri Light" w:cs="Calibri Light"/>
        </w:rPr>
        <w:t xml:space="preserve"> </w:t>
      </w:r>
    </w:p>
    <w:p w14:paraId="3E0FE66C" w14:textId="75981056" w:rsidR="00F142C2" w:rsidRDefault="002522DA" w:rsidP="00C43448">
      <w:pPr>
        <w:pStyle w:val="ChartorTableNote"/>
        <w:rPr>
          <w:rFonts w:ascii="Calibri Light" w:hAnsi="Calibri Light" w:cs="Calibri Light"/>
        </w:rPr>
      </w:pPr>
      <w:r w:rsidRPr="00F85B1F">
        <w:rPr>
          <w:rFonts w:ascii="Calibri Light" w:hAnsi="Calibri Light" w:cs="Calibri Light"/>
        </w:rPr>
        <w:t>Note:</w:t>
      </w:r>
      <w:r w:rsidRPr="00F85B1F">
        <w:rPr>
          <w:rFonts w:ascii="Calibri Light" w:hAnsi="Calibri Light" w:cs="Calibri Light"/>
        </w:rPr>
        <w:tab/>
        <w:t>Any changes in historical figures are due to quality assurance activities</w:t>
      </w:r>
      <w:r w:rsidR="00F142C2" w:rsidRPr="00F85B1F">
        <w:rPr>
          <w:rFonts w:ascii="Calibri Light" w:hAnsi="Calibri Light" w:cs="Calibri Light"/>
        </w:rPr>
        <w:t>.</w:t>
      </w:r>
    </w:p>
    <w:p w14:paraId="6F45180B" w14:textId="77777777" w:rsidR="00AF506C" w:rsidRPr="00AF506C" w:rsidRDefault="00AF506C" w:rsidP="00AF506C">
      <w:pPr>
        <w:pStyle w:val="SingleParagraph"/>
      </w:pPr>
    </w:p>
    <w:p w14:paraId="0163291B" w14:textId="3C64EFD2" w:rsidR="00171C95" w:rsidRDefault="00171C95" w:rsidP="000852C0">
      <w:pPr>
        <w:pStyle w:val="TableMainHeading"/>
      </w:pPr>
      <w:r>
        <w:t xml:space="preserve">Table </w:t>
      </w:r>
      <w:r w:rsidR="007759A1">
        <w:t>6.4</w:t>
      </w:r>
      <w:r>
        <w:t xml:space="preserve">: Number of </w:t>
      </w:r>
      <w:r w:rsidR="001D66C9">
        <w:t>regulator audits</w:t>
      </w:r>
      <w:r w:rsidR="00682EF4">
        <w:t xml:space="preserve"> completed</w:t>
      </w:r>
    </w:p>
    <w:tbl>
      <w:tblPr>
        <w:tblStyle w:val="TableGrid"/>
        <w:tblW w:w="0" w:type="auto"/>
        <w:tblLook w:val="04A0" w:firstRow="1" w:lastRow="0" w:firstColumn="1" w:lastColumn="0" w:noHBand="0" w:noVBand="1"/>
      </w:tblPr>
      <w:tblGrid>
        <w:gridCol w:w="2386"/>
        <w:gridCol w:w="1440"/>
        <w:gridCol w:w="1311"/>
        <w:gridCol w:w="1311"/>
        <w:gridCol w:w="1311"/>
        <w:gridCol w:w="1311"/>
      </w:tblGrid>
      <w:tr w:rsidR="00B80E63" w14:paraId="1F71D28A" w14:textId="77777777" w:rsidTr="00A850E8">
        <w:trPr>
          <w:cnfStyle w:val="100000000000" w:firstRow="1" w:lastRow="0" w:firstColumn="0" w:lastColumn="0" w:oddVBand="0" w:evenVBand="0" w:oddHBand="0" w:evenHBand="0" w:firstRowFirstColumn="0" w:firstRowLastColumn="0" w:lastRowFirstColumn="0" w:lastRowLastColumn="0"/>
        </w:trPr>
        <w:tc>
          <w:tcPr>
            <w:tcW w:w="2388" w:type="dxa"/>
          </w:tcPr>
          <w:p w14:paraId="6D704B1A" w14:textId="77777777" w:rsidR="00B80E63" w:rsidRPr="00A850E8" w:rsidRDefault="00B80E63" w:rsidP="00A850E8">
            <w:pPr>
              <w:pStyle w:val="TableColumnHeadingRight"/>
              <w:rPr>
                <w:b/>
              </w:rPr>
            </w:pPr>
          </w:p>
        </w:tc>
        <w:tc>
          <w:tcPr>
            <w:tcW w:w="1440" w:type="dxa"/>
          </w:tcPr>
          <w:p w14:paraId="07FE1029" w14:textId="387FA43E" w:rsidR="00B80E63" w:rsidRPr="00A850E8" w:rsidRDefault="00B80E63" w:rsidP="00A850E8">
            <w:pPr>
              <w:pStyle w:val="TableColumnHeadingRight"/>
              <w:rPr>
                <w:b/>
              </w:rPr>
            </w:pPr>
            <w:r w:rsidRPr="00A850E8">
              <w:rPr>
                <w:b/>
              </w:rPr>
              <w:t>2024</w:t>
            </w:r>
            <w:r w:rsidR="0052261F" w:rsidRPr="00A850E8">
              <w:rPr>
                <w:b/>
              </w:rPr>
              <w:t>–</w:t>
            </w:r>
            <w:r w:rsidRPr="00A850E8">
              <w:rPr>
                <w:b/>
              </w:rPr>
              <w:t>25</w:t>
            </w:r>
            <w:r w:rsidR="00C43448" w:rsidRPr="00A850E8">
              <w:rPr>
                <w:b/>
              </w:rPr>
              <w:t xml:space="preserve"> YTD*</w:t>
            </w:r>
          </w:p>
        </w:tc>
        <w:tc>
          <w:tcPr>
            <w:tcW w:w="1311" w:type="dxa"/>
          </w:tcPr>
          <w:p w14:paraId="38BE9963" w14:textId="297A0FA1" w:rsidR="00B80E63" w:rsidRPr="00A850E8" w:rsidRDefault="00B80E63" w:rsidP="00A850E8">
            <w:pPr>
              <w:pStyle w:val="TableColumnHeadingRight"/>
              <w:rPr>
                <w:b/>
              </w:rPr>
            </w:pPr>
            <w:r w:rsidRPr="00A850E8">
              <w:rPr>
                <w:b/>
              </w:rPr>
              <w:t>2023</w:t>
            </w:r>
            <w:r w:rsidR="0052261F" w:rsidRPr="00A850E8">
              <w:rPr>
                <w:b/>
              </w:rPr>
              <w:t>–</w:t>
            </w:r>
            <w:r w:rsidRPr="00A850E8">
              <w:rPr>
                <w:b/>
              </w:rPr>
              <w:t>24</w:t>
            </w:r>
          </w:p>
        </w:tc>
        <w:tc>
          <w:tcPr>
            <w:tcW w:w="1311" w:type="dxa"/>
          </w:tcPr>
          <w:p w14:paraId="030F300E" w14:textId="20EC219D" w:rsidR="00B80E63" w:rsidRPr="00A850E8" w:rsidRDefault="00B80E63" w:rsidP="00A850E8">
            <w:pPr>
              <w:pStyle w:val="TableColumnHeadingRight"/>
              <w:rPr>
                <w:b/>
              </w:rPr>
            </w:pPr>
            <w:r w:rsidRPr="00A850E8">
              <w:rPr>
                <w:b/>
              </w:rPr>
              <w:t>2022</w:t>
            </w:r>
            <w:r w:rsidR="0052261F" w:rsidRPr="00A850E8">
              <w:rPr>
                <w:b/>
              </w:rPr>
              <w:t>–</w:t>
            </w:r>
            <w:r w:rsidRPr="00A850E8">
              <w:rPr>
                <w:b/>
              </w:rPr>
              <w:t>23</w:t>
            </w:r>
          </w:p>
        </w:tc>
        <w:tc>
          <w:tcPr>
            <w:tcW w:w="1311" w:type="dxa"/>
          </w:tcPr>
          <w:p w14:paraId="78B32854" w14:textId="351D3F47" w:rsidR="00B80E63" w:rsidRPr="00A850E8" w:rsidRDefault="00B80E63" w:rsidP="00A850E8">
            <w:pPr>
              <w:pStyle w:val="TableColumnHeadingRight"/>
              <w:rPr>
                <w:b/>
              </w:rPr>
            </w:pPr>
            <w:r w:rsidRPr="00A850E8">
              <w:rPr>
                <w:b/>
              </w:rPr>
              <w:t>2022</w:t>
            </w:r>
            <w:r w:rsidR="0052261F" w:rsidRPr="00A850E8">
              <w:rPr>
                <w:b/>
              </w:rPr>
              <w:t>–</w:t>
            </w:r>
            <w:r w:rsidRPr="00A850E8">
              <w:rPr>
                <w:b/>
              </w:rPr>
              <w:t>21</w:t>
            </w:r>
          </w:p>
        </w:tc>
        <w:tc>
          <w:tcPr>
            <w:tcW w:w="1311" w:type="dxa"/>
          </w:tcPr>
          <w:p w14:paraId="0C1F14E8" w14:textId="0370B1CD" w:rsidR="00B80E63" w:rsidRPr="00A850E8" w:rsidRDefault="00B80E63" w:rsidP="00A850E8">
            <w:pPr>
              <w:pStyle w:val="TableColumnHeadingRight"/>
              <w:rPr>
                <w:b/>
              </w:rPr>
            </w:pPr>
            <w:r w:rsidRPr="00A850E8">
              <w:rPr>
                <w:b/>
              </w:rPr>
              <w:t>2021</w:t>
            </w:r>
            <w:r w:rsidR="0052261F" w:rsidRPr="00A850E8">
              <w:rPr>
                <w:b/>
              </w:rPr>
              <w:t>–</w:t>
            </w:r>
            <w:r w:rsidRPr="00A850E8">
              <w:rPr>
                <w:b/>
              </w:rPr>
              <w:t>20</w:t>
            </w:r>
          </w:p>
        </w:tc>
      </w:tr>
      <w:tr w:rsidR="00B80E63" w14:paraId="2376822F" w14:textId="77777777" w:rsidTr="00A850E8">
        <w:tc>
          <w:tcPr>
            <w:tcW w:w="2388" w:type="dxa"/>
            <w:tcBorders>
              <w:bottom w:val="single" w:sz="4" w:space="0" w:color="2C384A" w:themeColor="accent1"/>
            </w:tcBorders>
          </w:tcPr>
          <w:p w14:paraId="6CA6ABD5" w14:textId="3B48F1D2" w:rsidR="00B80E63" w:rsidRPr="00F876BB" w:rsidRDefault="00B80E63" w:rsidP="000852C0">
            <w:pPr>
              <w:pStyle w:val="TableTextLeft"/>
            </w:pPr>
            <w:r w:rsidRPr="00F876BB">
              <w:t>Regulator audits</w:t>
            </w:r>
          </w:p>
        </w:tc>
        <w:tc>
          <w:tcPr>
            <w:tcW w:w="1440" w:type="dxa"/>
            <w:tcBorders>
              <w:bottom w:val="single" w:sz="4" w:space="0" w:color="2C384A" w:themeColor="accent1"/>
            </w:tcBorders>
          </w:tcPr>
          <w:p w14:paraId="511AF0F4" w14:textId="1B461B9E" w:rsidR="00B80E63" w:rsidRPr="00F876BB" w:rsidRDefault="00F142C2" w:rsidP="0052261F">
            <w:pPr>
              <w:pStyle w:val="TableTextRight"/>
            </w:pPr>
            <w:r w:rsidRPr="00F876BB">
              <w:t>4</w:t>
            </w:r>
          </w:p>
        </w:tc>
        <w:tc>
          <w:tcPr>
            <w:tcW w:w="1311" w:type="dxa"/>
            <w:tcBorders>
              <w:bottom w:val="single" w:sz="4" w:space="0" w:color="2C384A" w:themeColor="accent1"/>
            </w:tcBorders>
          </w:tcPr>
          <w:p w14:paraId="119AB41C" w14:textId="61AECB84" w:rsidR="00B80E63" w:rsidRPr="00F876BB" w:rsidRDefault="00B80E63" w:rsidP="0052261F">
            <w:pPr>
              <w:pStyle w:val="TableTextRight"/>
            </w:pPr>
            <w:r w:rsidRPr="00F876BB">
              <w:t>7</w:t>
            </w:r>
          </w:p>
        </w:tc>
        <w:tc>
          <w:tcPr>
            <w:tcW w:w="1311" w:type="dxa"/>
            <w:tcBorders>
              <w:bottom w:val="single" w:sz="4" w:space="0" w:color="2C384A" w:themeColor="accent1"/>
            </w:tcBorders>
          </w:tcPr>
          <w:p w14:paraId="76FC461F" w14:textId="483905D9" w:rsidR="00B80E63" w:rsidRPr="00F876BB" w:rsidRDefault="00B80E63" w:rsidP="0052261F">
            <w:pPr>
              <w:pStyle w:val="TableTextRight"/>
            </w:pPr>
            <w:r w:rsidRPr="00F876BB">
              <w:t>6</w:t>
            </w:r>
          </w:p>
        </w:tc>
        <w:tc>
          <w:tcPr>
            <w:tcW w:w="1311" w:type="dxa"/>
            <w:tcBorders>
              <w:bottom w:val="single" w:sz="4" w:space="0" w:color="2C384A" w:themeColor="accent1"/>
            </w:tcBorders>
          </w:tcPr>
          <w:p w14:paraId="471B1D0E" w14:textId="53707504" w:rsidR="00B80E63" w:rsidRPr="00F876BB" w:rsidRDefault="00B80E63" w:rsidP="0052261F">
            <w:pPr>
              <w:pStyle w:val="TableTextRight"/>
            </w:pPr>
            <w:r w:rsidRPr="00F876BB">
              <w:t>6</w:t>
            </w:r>
          </w:p>
        </w:tc>
        <w:tc>
          <w:tcPr>
            <w:tcW w:w="1311" w:type="dxa"/>
            <w:tcBorders>
              <w:bottom w:val="single" w:sz="4" w:space="0" w:color="2C384A" w:themeColor="accent1"/>
            </w:tcBorders>
          </w:tcPr>
          <w:p w14:paraId="76367D6C" w14:textId="32931E01" w:rsidR="00B80E63" w:rsidRPr="00F876BB" w:rsidRDefault="00B80E63" w:rsidP="0052261F">
            <w:pPr>
              <w:pStyle w:val="TableTextRight"/>
            </w:pPr>
            <w:r w:rsidRPr="00F876BB">
              <w:t>7</w:t>
            </w:r>
          </w:p>
        </w:tc>
      </w:tr>
    </w:tbl>
    <w:p w14:paraId="05D2CB48" w14:textId="25A46EC2" w:rsidR="00F142C2" w:rsidRPr="00F85B1F" w:rsidRDefault="00F142C2" w:rsidP="00F876BB">
      <w:pPr>
        <w:pStyle w:val="ChartorTableNote"/>
        <w:spacing w:after="120"/>
        <w:rPr>
          <w:rFonts w:ascii="Calibri Light" w:hAnsi="Calibri Light" w:cs="Calibri Light"/>
        </w:rPr>
      </w:pPr>
      <w:r w:rsidRPr="00F85B1F">
        <w:rPr>
          <w:rFonts w:ascii="Calibri Light" w:hAnsi="Calibri Light" w:cs="Calibri Light"/>
        </w:rPr>
        <w:t xml:space="preserve">* </w:t>
      </w:r>
      <w:r w:rsidRPr="00F85B1F">
        <w:rPr>
          <w:rFonts w:ascii="Calibri Light" w:hAnsi="Calibri Light" w:cs="Calibri Light"/>
        </w:rPr>
        <w:tab/>
      </w:r>
      <w:r w:rsidRPr="00F85B1F">
        <w:rPr>
          <w:rFonts w:ascii="Calibri Light" w:hAnsi="Calibri Light" w:cs="Calibri Light"/>
          <w:szCs w:val="16"/>
        </w:rPr>
        <w:t>Quarter 1 and 2 of 2024</w:t>
      </w:r>
      <w:r w:rsidR="0052261F" w:rsidRPr="0052261F">
        <w:rPr>
          <w:rFonts w:ascii="Calibri Light" w:hAnsi="Calibri Light" w:cs="Calibri Light"/>
          <w:szCs w:val="16"/>
        </w:rPr>
        <w:t>–</w:t>
      </w:r>
      <w:r w:rsidRPr="00F85B1F">
        <w:rPr>
          <w:rFonts w:ascii="Calibri Light" w:hAnsi="Calibri Light" w:cs="Calibri Light"/>
          <w:szCs w:val="16"/>
        </w:rPr>
        <w:t>25</w:t>
      </w:r>
    </w:p>
    <w:p w14:paraId="150E2A05" w14:textId="559B5513" w:rsidR="00527745" w:rsidRDefault="006701FB" w:rsidP="00F876BB">
      <w:r>
        <w:t>The number of</w:t>
      </w:r>
      <w:r w:rsidR="00BA22F6">
        <w:t xml:space="preserve"> annual</w:t>
      </w:r>
      <w:r>
        <w:t xml:space="preserve"> independent audits completed</w:t>
      </w:r>
      <w:r w:rsidR="00BA22F6">
        <w:t xml:space="preserve"> has </w:t>
      </w:r>
      <w:r w:rsidR="005C764C">
        <w:t>increased since</w:t>
      </w:r>
      <w:r w:rsidR="00BA22F6">
        <w:t xml:space="preserve"> the </w:t>
      </w:r>
      <w:r w:rsidR="00291416">
        <w:t>introduction of the reforms</w:t>
      </w:r>
      <w:r w:rsidR="00356D36">
        <w:t xml:space="preserve"> (see Table </w:t>
      </w:r>
      <w:r w:rsidR="007759A1">
        <w:t>6.5</w:t>
      </w:r>
      <w:r w:rsidR="00356D36">
        <w:t>)</w:t>
      </w:r>
      <w:r w:rsidR="00291416">
        <w:t>.</w:t>
      </w:r>
      <w:r w:rsidR="008469C9">
        <w:t xml:space="preserve"> </w:t>
      </w:r>
      <w:r w:rsidR="00F95C9D">
        <w:t>Independent a</w:t>
      </w:r>
      <w:r w:rsidR="008469C9" w:rsidRPr="008469C9">
        <w:t xml:space="preserve">udit reports </w:t>
      </w:r>
      <w:r w:rsidR="00F95C9D">
        <w:t xml:space="preserve">are </w:t>
      </w:r>
      <w:r w:rsidR="008469C9" w:rsidRPr="008469C9">
        <w:t>prepared by independent assurance practitioners on the investors</w:t>
      </w:r>
      <w:r w:rsidR="004260B1">
        <w:t>’</w:t>
      </w:r>
      <w:r w:rsidR="008469C9" w:rsidRPr="008469C9">
        <w:t xml:space="preserve"> compliance with conditions imposed on their investments</w:t>
      </w:r>
      <w:r w:rsidR="00CD2663">
        <w:t xml:space="preserve"> (see Table</w:t>
      </w:r>
      <w:r w:rsidR="007759A1">
        <w:t> 6.6</w:t>
      </w:r>
      <w:r w:rsidR="00CD2663">
        <w:t>)</w:t>
      </w:r>
      <w:r w:rsidR="008469C9" w:rsidRPr="008469C9">
        <w:t>. The independent assurance practitioners are engaged by the investors and approved by the Treasury.</w:t>
      </w:r>
    </w:p>
    <w:p w14:paraId="20CF7248" w14:textId="77777777" w:rsidR="00AF506C" w:rsidRPr="00CD5F42" w:rsidRDefault="00AF506C" w:rsidP="00AF506C">
      <w:pPr>
        <w:pStyle w:val="SingleParagraph"/>
      </w:pPr>
    </w:p>
    <w:p w14:paraId="0865D5D7" w14:textId="03615C53" w:rsidR="00791BD0" w:rsidRDefault="00B315FE" w:rsidP="000852C0">
      <w:pPr>
        <w:pStyle w:val="TableMainHeading"/>
      </w:pPr>
      <w:r>
        <w:t xml:space="preserve">Table </w:t>
      </w:r>
      <w:r w:rsidR="00072BE5">
        <w:t>6</w:t>
      </w:r>
      <w:r w:rsidR="007759A1">
        <w:t>.5</w:t>
      </w:r>
      <w:r>
        <w:t xml:space="preserve">: </w:t>
      </w:r>
      <w:r w:rsidR="00096BFF">
        <w:t>Number of independent audits completed</w:t>
      </w:r>
    </w:p>
    <w:tbl>
      <w:tblPr>
        <w:tblStyle w:val="TableGrid1"/>
        <w:tblW w:w="4999" w:type="pct"/>
        <w:tblLayout w:type="fixed"/>
        <w:tblLook w:val="01E0" w:firstRow="1" w:lastRow="1" w:firstColumn="1" w:lastColumn="1" w:noHBand="0" w:noVBand="0"/>
      </w:tblPr>
      <w:tblGrid>
        <w:gridCol w:w="1985"/>
        <w:gridCol w:w="1417"/>
        <w:gridCol w:w="1417"/>
        <w:gridCol w:w="1417"/>
        <w:gridCol w:w="1416"/>
        <w:gridCol w:w="1416"/>
      </w:tblGrid>
      <w:tr w:rsidR="00396339" w:rsidRPr="00F876BB" w14:paraId="022158C5" w14:textId="77777777" w:rsidTr="000852C0">
        <w:trPr>
          <w:cnfStyle w:val="100000000000" w:firstRow="1" w:lastRow="0" w:firstColumn="0" w:lastColumn="0" w:oddVBand="0" w:evenVBand="0" w:oddHBand="0" w:evenHBand="0" w:firstRowFirstColumn="0" w:firstRowLastColumn="0" w:lastRowFirstColumn="0" w:lastRowLastColumn="0"/>
          <w:trHeight w:val="270"/>
        </w:trPr>
        <w:tc>
          <w:tcPr>
            <w:tcW w:w="1094" w:type="pct"/>
          </w:tcPr>
          <w:p w14:paraId="230C2C8C" w14:textId="77777777" w:rsidR="00791BD0" w:rsidRPr="00F876BB" w:rsidRDefault="00791BD0">
            <w:pPr>
              <w:pStyle w:val="TableColumnHeadingLeft"/>
              <w:rPr>
                <w:b/>
                <w:sz w:val="18"/>
                <w:szCs w:val="18"/>
              </w:rPr>
            </w:pPr>
          </w:p>
        </w:tc>
        <w:tc>
          <w:tcPr>
            <w:tcW w:w="781" w:type="pct"/>
          </w:tcPr>
          <w:p w14:paraId="7F7D4B7D" w14:textId="506B71CF" w:rsidR="00096BFF" w:rsidRPr="00A850E8" w:rsidRDefault="00096BFF" w:rsidP="00A850E8">
            <w:pPr>
              <w:pStyle w:val="TableColumnHeadingRight"/>
              <w:rPr>
                <w:b/>
                <w:bCs/>
              </w:rPr>
            </w:pPr>
            <w:r w:rsidRPr="00A850E8">
              <w:rPr>
                <w:b/>
                <w:bCs/>
              </w:rPr>
              <w:t>2024</w:t>
            </w:r>
            <w:r w:rsidR="0052261F" w:rsidRPr="00A850E8">
              <w:rPr>
                <w:b/>
                <w:bCs/>
              </w:rPr>
              <w:t>–</w:t>
            </w:r>
            <w:r w:rsidRPr="00A850E8">
              <w:rPr>
                <w:b/>
                <w:bCs/>
              </w:rPr>
              <w:t>25</w:t>
            </w:r>
            <w:r w:rsidR="00C43448" w:rsidRPr="00A850E8">
              <w:rPr>
                <w:b/>
                <w:bCs/>
              </w:rPr>
              <w:t xml:space="preserve"> YTD*</w:t>
            </w:r>
          </w:p>
        </w:tc>
        <w:tc>
          <w:tcPr>
            <w:tcW w:w="781" w:type="pct"/>
          </w:tcPr>
          <w:p w14:paraId="04C5EB2E" w14:textId="2408102B" w:rsidR="00096BFF" w:rsidRPr="00A850E8" w:rsidRDefault="00096BFF" w:rsidP="00A850E8">
            <w:pPr>
              <w:pStyle w:val="TableColumnHeadingRight"/>
              <w:rPr>
                <w:b/>
                <w:bCs/>
              </w:rPr>
            </w:pPr>
            <w:r w:rsidRPr="00A850E8">
              <w:rPr>
                <w:b/>
                <w:bCs/>
              </w:rPr>
              <w:t>2023</w:t>
            </w:r>
            <w:r w:rsidR="0052261F" w:rsidRPr="00A850E8">
              <w:rPr>
                <w:b/>
                <w:bCs/>
              </w:rPr>
              <w:t>–</w:t>
            </w:r>
            <w:r w:rsidRPr="00A850E8">
              <w:rPr>
                <w:b/>
                <w:bCs/>
              </w:rPr>
              <w:t>24</w:t>
            </w:r>
          </w:p>
        </w:tc>
        <w:tc>
          <w:tcPr>
            <w:tcW w:w="781" w:type="pct"/>
          </w:tcPr>
          <w:p w14:paraId="37DC056D" w14:textId="1D9DDD76" w:rsidR="00096BFF" w:rsidRPr="00A850E8" w:rsidRDefault="00096BFF" w:rsidP="00A850E8">
            <w:pPr>
              <w:pStyle w:val="TableColumnHeadingRight"/>
              <w:rPr>
                <w:b/>
                <w:bCs/>
              </w:rPr>
            </w:pPr>
            <w:r w:rsidRPr="00A850E8">
              <w:rPr>
                <w:b/>
                <w:bCs/>
              </w:rPr>
              <w:t>2022</w:t>
            </w:r>
            <w:r w:rsidR="0052261F" w:rsidRPr="00A850E8">
              <w:rPr>
                <w:b/>
                <w:bCs/>
              </w:rPr>
              <w:t>–</w:t>
            </w:r>
            <w:r w:rsidRPr="00A850E8">
              <w:rPr>
                <w:b/>
                <w:bCs/>
              </w:rPr>
              <w:t>23</w:t>
            </w:r>
          </w:p>
        </w:tc>
        <w:tc>
          <w:tcPr>
            <w:tcW w:w="781" w:type="pct"/>
          </w:tcPr>
          <w:p w14:paraId="2515CD41" w14:textId="64DCD53A" w:rsidR="00791BD0" w:rsidRPr="00A850E8" w:rsidRDefault="00096BFF" w:rsidP="00A850E8">
            <w:pPr>
              <w:pStyle w:val="TableColumnHeadingRight"/>
              <w:rPr>
                <w:b/>
                <w:bCs/>
              </w:rPr>
            </w:pPr>
            <w:r w:rsidRPr="00A850E8">
              <w:rPr>
                <w:b/>
                <w:bCs/>
              </w:rPr>
              <w:t>2021</w:t>
            </w:r>
            <w:r w:rsidR="0052261F" w:rsidRPr="00A850E8">
              <w:rPr>
                <w:b/>
                <w:bCs/>
              </w:rPr>
              <w:t>–</w:t>
            </w:r>
            <w:r w:rsidRPr="00A850E8">
              <w:rPr>
                <w:b/>
                <w:bCs/>
              </w:rPr>
              <w:t>22</w:t>
            </w:r>
          </w:p>
        </w:tc>
        <w:tc>
          <w:tcPr>
            <w:tcW w:w="781" w:type="pct"/>
          </w:tcPr>
          <w:p w14:paraId="506FFAA6" w14:textId="50396DE6" w:rsidR="00791BD0" w:rsidRPr="00A850E8" w:rsidRDefault="00096BFF" w:rsidP="00A850E8">
            <w:pPr>
              <w:pStyle w:val="TableColumnHeadingRight"/>
              <w:rPr>
                <w:b/>
                <w:bCs/>
              </w:rPr>
            </w:pPr>
            <w:r w:rsidRPr="00A850E8">
              <w:rPr>
                <w:b/>
                <w:bCs/>
              </w:rPr>
              <w:t>202</w:t>
            </w:r>
            <w:r w:rsidR="003415CD" w:rsidRPr="00A850E8">
              <w:rPr>
                <w:b/>
                <w:bCs/>
              </w:rPr>
              <w:t>0</w:t>
            </w:r>
            <w:r w:rsidR="0052261F" w:rsidRPr="00A850E8">
              <w:rPr>
                <w:b/>
                <w:bCs/>
              </w:rPr>
              <w:t>–</w:t>
            </w:r>
            <w:r w:rsidRPr="00A850E8">
              <w:rPr>
                <w:b/>
                <w:bCs/>
              </w:rPr>
              <w:t>21</w:t>
            </w:r>
          </w:p>
        </w:tc>
      </w:tr>
      <w:tr w:rsidR="00791BD0" w:rsidRPr="00F876BB" w14:paraId="2C4672AC" w14:textId="77777777" w:rsidTr="000852C0">
        <w:trPr>
          <w:trHeight w:val="270"/>
        </w:trPr>
        <w:tc>
          <w:tcPr>
            <w:tcW w:w="1094" w:type="pct"/>
            <w:tcBorders>
              <w:bottom w:val="single" w:sz="4" w:space="0" w:color="2C384A" w:themeColor="accent1"/>
            </w:tcBorders>
          </w:tcPr>
          <w:p w14:paraId="54572667" w14:textId="77777777" w:rsidR="00791BD0" w:rsidRPr="00F876BB" w:rsidRDefault="00791BD0">
            <w:pPr>
              <w:pStyle w:val="TableTextLeft"/>
              <w:rPr>
                <w:szCs w:val="18"/>
              </w:rPr>
            </w:pPr>
            <w:r w:rsidRPr="00F876BB">
              <w:rPr>
                <w:szCs w:val="18"/>
              </w:rPr>
              <w:t>Proposals approved</w:t>
            </w:r>
          </w:p>
        </w:tc>
        <w:tc>
          <w:tcPr>
            <w:tcW w:w="781" w:type="pct"/>
            <w:tcBorders>
              <w:bottom w:val="single" w:sz="4" w:space="0" w:color="2C384A" w:themeColor="accent1"/>
            </w:tcBorders>
          </w:tcPr>
          <w:p w14:paraId="24BD44FF" w14:textId="1D98E87A" w:rsidR="00096BFF" w:rsidRPr="00F876BB" w:rsidRDefault="00F142C2" w:rsidP="000852C0">
            <w:pPr>
              <w:pStyle w:val="TableTextRight"/>
            </w:pPr>
            <w:r w:rsidRPr="00F876BB">
              <w:t>58</w:t>
            </w:r>
          </w:p>
        </w:tc>
        <w:tc>
          <w:tcPr>
            <w:tcW w:w="781" w:type="pct"/>
            <w:tcBorders>
              <w:bottom w:val="single" w:sz="4" w:space="0" w:color="2C384A" w:themeColor="accent1"/>
            </w:tcBorders>
          </w:tcPr>
          <w:p w14:paraId="0C0CB4AB" w14:textId="181201A6" w:rsidR="00096BFF" w:rsidRPr="00F876BB" w:rsidRDefault="00096BFF" w:rsidP="00096BFF">
            <w:pPr>
              <w:pStyle w:val="TableTextRight"/>
              <w:rPr>
                <w:szCs w:val="18"/>
              </w:rPr>
            </w:pPr>
            <w:r w:rsidRPr="00F876BB">
              <w:rPr>
                <w:szCs w:val="18"/>
              </w:rPr>
              <w:t>76</w:t>
            </w:r>
          </w:p>
        </w:tc>
        <w:tc>
          <w:tcPr>
            <w:tcW w:w="781" w:type="pct"/>
            <w:tcBorders>
              <w:bottom w:val="single" w:sz="4" w:space="0" w:color="2C384A" w:themeColor="accent1"/>
            </w:tcBorders>
          </w:tcPr>
          <w:p w14:paraId="5E7BC947" w14:textId="05D5F14F" w:rsidR="00096BFF" w:rsidRPr="00F876BB" w:rsidRDefault="00096BFF" w:rsidP="00096BFF">
            <w:pPr>
              <w:pStyle w:val="TableTextRight"/>
              <w:rPr>
                <w:szCs w:val="18"/>
              </w:rPr>
            </w:pPr>
            <w:r w:rsidRPr="00F876BB">
              <w:rPr>
                <w:szCs w:val="18"/>
              </w:rPr>
              <w:t>76</w:t>
            </w:r>
          </w:p>
        </w:tc>
        <w:tc>
          <w:tcPr>
            <w:tcW w:w="781" w:type="pct"/>
            <w:tcBorders>
              <w:bottom w:val="single" w:sz="4" w:space="0" w:color="2C384A" w:themeColor="accent1"/>
            </w:tcBorders>
          </w:tcPr>
          <w:p w14:paraId="2E691709" w14:textId="2FCBF6F3" w:rsidR="00791BD0" w:rsidRPr="00F876BB" w:rsidRDefault="00174AC2">
            <w:pPr>
              <w:pStyle w:val="TableTextRight"/>
              <w:rPr>
                <w:szCs w:val="18"/>
              </w:rPr>
            </w:pPr>
            <w:r w:rsidRPr="00F876BB">
              <w:rPr>
                <w:szCs w:val="18"/>
              </w:rPr>
              <w:t>56</w:t>
            </w:r>
          </w:p>
        </w:tc>
        <w:tc>
          <w:tcPr>
            <w:tcW w:w="781" w:type="pct"/>
            <w:tcBorders>
              <w:bottom w:val="single" w:sz="4" w:space="0" w:color="2C384A" w:themeColor="accent1"/>
            </w:tcBorders>
          </w:tcPr>
          <w:p w14:paraId="10A5880B" w14:textId="0B58380F" w:rsidR="00791BD0" w:rsidRPr="00F876BB" w:rsidRDefault="002C56B9">
            <w:pPr>
              <w:pStyle w:val="TableTextRight"/>
              <w:rPr>
                <w:szCs w:val="18"/>
              </w:rPr>
            </w:pPr>
            <w:r w:rsidRPr="00F876BB">
              <w:rPr>
                <w:szCs w:val="18"/>
              </w:rPr>
              <w:t>22</w:t>
            </w:r>
          </w:p>
        </w:tc>
      </w:tr>
      <w:tr w:rsidR="00791BD0" w:rsidRPr="00F876BB" w:rsidDel="00B4445E" w14:paraId="2BE0B322" w14:textId="77777777" w:rsidTr="000852C0">
        <w:trPr>
          <w:trHeight w:val="270"/>
        </w:trPr>
        <w:tc>
          <w:tcPr>
            <w:tcW w:w="1094" w:type="pct"/>
            <w:tcBorders>
              <w:top w:val="single" w:sz="4" w:space="0" w:color="2C384A" w:themeColor="accent1"/>
              <w:bottom w:val="single" w:sz="4" w:space="0" w:color="2C384A" w:themeColor="accent1"/>
            </w:tcBorders>
          </w:tcPr>
          <w:p w14:paraId="25A9E982" w14:textId="77777777" w:rsidR="00791BD0" w:rsidRPr="00F876BB" w:rsidRDefault="00791BD0">
            <w:pPr>
              <w:pStyle w:val="TableTextLeft"/>
              <w:rPr>
                <w:szCs w:val="18"/>
                <w:vertAlign w:val="superscript"/>
              </w:rPr>
            </w:pPr>
            <w:r w:rsidRPr="00F876BB">
              <w:rPr>
                <w:szCs w:val="18"/>
              </w:rPr>
              <w:t>Reports completed</w:t>
            </w:r>
          </w:p>
        </w:tc>
        <w:tc>
          <w:tcPr>
            <w:tcW w:w="781" w:type="pct"/>
            <w:tcBorders>
              <w:top w:val="single" w:sz="4" w:space="0" w:color="2C384A" w:themeColor="accent1"/>
              <w:bottom w:val="single" w:sz="4" w:space="0" w:color="2C384A" w:themeColor="accent1"/>
            </w:tcBorders>
          </w:tcPr>
          <w:p w14:paraId="3E1A4CB1" w14:textId="17899F2C" w:rsidR="00096BFF" w:rsidRPr="00F876BB" w:rsidRDefault="00F142C2" w:rsidP="00096BFF">
            <w:pPr>
              <w:pStyle w:val="TableTextRight"/>
              <w:rPr>
                <w:szCs w:val="18"/>
              </w:rPr>
            </w:pPr>
            <w:r w:rsidRPr="00F876BB">
              <w:rPr>
                <w:szCs w:val="18"/>
              </w:rPr>
              <w:t>43</w:t>
            </w:r>
          </w:p>
        </w:tc>
        <w:tc>
          <w:tcPr>
            <w:tcW w:w="781" w:type="pct"/>
            <w:tcBorders>
              <w:top w:val="single" w:sz="4" w:space="0" w:color="2C384A" w:themeColor="accent1"/>
              <w:bottom w:val="single" w:sz="4" w:space="0" w:color="2C384A" w:themeColor="accent1"/>
            </w:tcBorders>
          </w:tcPr>
          <w:p w14:paraId="11FCF793" w14:textId="6EB72723" w:rsidR="00096BFF" w:rsidRPr="00F876BB" w:rsidRDefault="00096BFF" w:rsidP="00096BFF">
            <w:pPr>
              <w:pStyle w:val="TableTextRight"/>
              <w:rPr>
                <w:szCs w:val="18"/>
              </w:rPr>
            </w:pPr>
            <w:r w:rsidRPr="00F876BB">
              <w:rPr>
                <w:szCs w:val="18"/>
              </w:rPr>
              <w:t>67</w:t>
            </w:r>
          </w:p>
        </w:tc>
        <w:tc>
          <w:tcPr>
            <w:tcW w:w="781" w:type="pct"/>
            <w:tcBorders>
              <w:top w:val="single" w:sz="4" w:space="0" w:color="2C384A" w:themeColor="accent1"/>
              <w:bottom w:val="single" w:sz="4" w:space="0" w:color="2C384A" w:themeColor="accent1"/>
            </w:tcBorders>
          </w:tcPr>
          <w:p w14:paraId="30B26AA4" w14:textId="036560EE" w:rsidR="00096BFF" w:rsidRPr="00F876BB" w:rsidRDefault="00096BFF" w:rsidP="00096BFF">
            <w:pPr>
              <w:pStyle w:val="TableTextRight"/>
              <w:rPr>
                <w:szCs w:val="18"/>
              </w:rPr>
            </w:pPr>
            <w:r w:rsidRPr="00F876BB">
              <w:rPr>
                <w:szCs w:val="18"/>
              </w:rPr>
              <w:t>78</w:t>
            </w:r>
          </w:p>
        </w:tc>
        <w:tc>
          <w:tcPr>
            <w:tcW w:w="781" w:type="pct"/>
            <w:tcBorders>
              <w:top w:val="single" w:sz="4" w:space="0" w:color="2C384A" w:themeColor="accent1"/>
              <w:bottom w:val="single" w:sz="4" w:space="0" w:color="2C384A" w:themeColor="accent1"/>
            </w:tcBorders>
          </w:tcPr>
          <w:p w14:paraId="026FDC79" w14:textId="7C8034BA" w:rsidR="00791BD0" w:rsidRPr="00F876BB" w:rsidRDefault="00174AC2">
            <w:pPr>
              <w:pStyle w:val="TableTextRight"/>
              <w:rPr>
                <w:szCs w:val="18"/>
              </w:rPr>
            </w:pPr>
            <w:r w:rsidRPr="00F876BB">
              <w:rPr>
                <w:szCs w:val="18"/>
              </w:rPr>
              <w:t>46</w:t>
            </w:r>
          </w:p>
        </w:tc>
        <w:tc>
          <w:tcPr>
            <w:tcW w:w="781" w:type="pct"/>
            <w:tcBorders>
              <w:top w:val="single" w:sz="4" w:space="0" w:color="2C384A" w:themeColor="accent1"/>
              <w:bottom w:val="single" w:sz="4" w:space="0" w:color="2C384A" w:themeColor="accent1"/>
            </w:tcBorders>
          </w:tcPr>
          <w:p w14:paraId="1869C2EF" w14:textId="18E42CA5" w:rsidR="00791BD0" w:rsidRPr="00F876BB" w:rsidRDefault="002C56B9">
            <w:pPr>
              <w:pStyle w:val="TableTextRight"/>
              <w:rPr>
                <w:szCs w:val="18"/>
              </w:rPr>
            </w:pPr>
            <w:r w:rsidRPr="00F876BB">
              <w:rPr>
                <w:szCs w:val="18"/>
              </w:rPr>
              <w:t>19</w:t>
            </w:r>
          </w:p>
        </w:tc>
      </w:tr>
    </w:tbl>
    <w:p w14:paraId="4D773400" w14:textId="0105434C" w:rsidR="00F142C2" w:rsidRPr="00F85B1F" w:rsidRDefault="00F142C2" w:rsidP="00F142C2">
      <w:pPr>
        <w:pStyle w:val="ChartorTableNote"/>
        <w:rPr>
          <w:rFonts w:ascii="Calibri Light" w:hAnsi="Calibri Light" w:cs="Calibri Light"/>
        </w:rPr>
      </w:pPr>
      <w:bookmarkStart w:id="62" w:name="_Toc117782252"/>
      <w:bookmarkStart w:id="63" w:name="_Toc152327796"/>
      <w:bookmarkStart w:id="64" w:name="_Toc152334182"/>
      <w:bookmarkStart w:id="65" w:name="_Toc176949509"/>
      <w:bookmarkStart w:id="66" w:name="_Toc177024906"/>
      <w:bookmarkStart w:id="67" w:name="_Toc177026849"/>
      <w:r w:rsidRPr="00F85B1F">
        <w:rPr>
          <w:rFonts w:ascii="Calibri Light" w:hAnsi="Calibri Light" w:cs="Calibri Light"/>
        </w:rPr>
        <w:t xml:space="preserve">* </w:t>
      </w:r>
      <w:r w:rsidRPr="00F85B1F">
        <w:rPr>
          <w:rFonts w:ascii="Calibri Light" w:hAnsi="Calibri Light" w:cs="Calibri Light"/>
        </w:rPr>
        <w:tab/>
      </w:r>
      <w:r w:rsidRPr="00F85B1F">
        <w:rPr>
          <w:rFonts w:ascii="Calibri Light" w:hAnsi="Calibri Light" w:cs="Calibri Light"/>
          <w:szCs w:val="16"/>
        </w:rPr>
        <w:t>Quarter 1 and 2 of 2024</w:t>
      </w:r>
      <w:r w:rsidR="0052261F" w:rsidRPr="0052261F">
        <w:rPr>
          <w:rFonts w:ascii="Calibri Light" w:hAnsi="Calibri Light" w:cs="Calibri Light"/>
          <w:szCs w:val="16"/>
        </w:rPr>
        <w:t>–</w:t>
      </w:r>
      <w:r w:rsidRPr="00F85B1F">
        <w:rPr>
          <w:rFonts w:ascii="Calibri Light" w:hAnsi="Calibri Light" w:cs="Calibri Light"/>
          <w:szCs w:val="16"/>
        </w:rPr>
        <w:t>25</w:t>
      </w:r>
      <w:r w:rsidR="00C43448" w:rsidRPr="00F85B1F">
        <w:rPr>
          <w:rFonts w:ascii="Calibri Light" w:hAnsi="Calibri Light" w:cs="Calibri Light"/>
          <w:szCs w:val="16"/>
        </w:rPr>
        <w:t>.</w:t>
      </w:r>
    </w:p>
    <w:p w14:paraId="61F77327" w14:textId="77777777" w:rsidR="008548DE" w:rsidRDefault="008548DE" w:rsidP="007048C5">
      <w:r>
        <w:br w:type="page"/>
      </w:r>
    </w:p>
    <w:p w14:paraId="503FFD3E" w14:textId="3FF37E83" w:rsidR="000F6482" w:rsidRPr="001E0C9B" w:rsidRDefault="000F6482" w:rsidP="000852C0">
      <w:pPr>
        <w:pStyle w:val="TableMainHeading"/>
      </w:pPr>
      <w:r w:rsidRPr="001E0C9B">
        <w:t xml:space="preserve">Table </w:t>
      </w:r>
      <w:r w:rsidR="007759A1">
        <w:t>6.6</w:t>
      </w:r>
      <w:r w:rsidRPr="001E0C9B">
        <w:t>: Number of matters sourced via non</w:t>
      </w:r>
      <w:r w:rsidR="004260B1">
        <w:noBreakHyphen/>
      </w:r>
      <w:r w:rsidRPr="001E0C9B">
        <w:t>compliance referrals and assessments by information source</w:t>
      </w:r>
      <w:bookmarkEnd w:id="62"/>
      <w:bookmarkEnd w:id="63"/>
      <w:bookmarkEnd w:id="64"/>
      <w:bookmarkEnd w:id="65"/>
      <w:bookmarkEnd w:id="66"/>
      <w:bookmarkEnd w:id="67"/>
    </w:p>
    <w:tbl>
      <w:tblPr>
        <w:tblStyle w:val="TableGrid1"/>
        <w:tblW w:w="5000" w:type="pct"/>
        <w:tblLayout w:type="fixed"/>
        <w:tblLook w:val="01E0" w:firstRow="1" w:lastRow="1" w:firstColumn="1" w:lastColumn="1" w:noHBand="0" w:noVBand="0"/>
      </w:tblPr>
      <w:tblGrid>
        <w:gridCol w:w="3259"/>
        <w:gridCol w:w="1275"/>
        <w:gridCol w:w="1134"/>
        <w:gridCol w:w="1134"/>
        <w:gridCol w:w="1134"/>
        <w:gridCol w:w="1134"/>
      </w:tblGrid>
      <w:tr w:rsidR="00396339" w:rsidRPr="00F876BB" w14:paraId="7345980F" w14:textId="77777777" w:rsidTr="0052261F">
        <w:trPr>
          <w:cnfStyle w:val="100000000000" w:firstRow="1" w:lastRow="0" w:firstColumn="0" w:lastColumn="0" w:oddVBand="0" w:evenVBand="0" w:oddHBand="0" w:evenHBand="0" w:firstRowFirstColumn="0" w:firstRowLastColumn="0" w:lastRowFirstColumn="0" w:lastRowLastColumn="0"/>
          <w:trHeight w:val="270"/>
        </w:trPr>
        <w:tc>
          <w:tcPr>
            <w:tcW w:w="1797" w:type="pct"/>
          </w:tcPr>
          <w:p w14:paraId="41E3257D" w14:textId="77777777" w:rsidR="005D7F08" w:rsidRPr="00F876BB" w:rsidRDefault="005D7F08" w:rsidP="005D7F08">
            <w:pPr>
              <w:pStyle w:val="TableTextLeft"/>
              <w:rPr>
                <w:b w:val="0"/>
                <w:bCs/>
                <w:szCs w:val="18"/>
              </w:rPr>
            </w:pPr>
          </w:p>
        </w:tc>
        <w:tc>
          <w:tcPr>
            <w:tcW w:w="703" w:type="pct"/>
          </w:tcPr>
          <w:p w14:paraId="422210D0" w14:textId="1C6A42C1" w:rsidR="005D7F08" w:rsidRPr="00F876BB" w:rsidRDefault="005D7F08" w:rsidP="005D7F08">
            <w:pPr>
              <w:pStyle w:val="TableColumnHeadingRight"/>
              <w:rPr>
                <w:b/>
                <w:bCs/>
                <w:sz w:val="18"/>
                <w:szCs w:val="18"/>
              </w:rPr>
            </w:pPr>
            <w:r w:rsidRPr="00F876BB">
              <w:rPr>
                <w:b/>
                <w:sz w:val="18"/>
                <w:szCs w:val="18"/>
              </w:rPr>
              <w:t>2024</w:t>
            </w:r>
            <w:r w:rsidR="0052261F" w:rsidRPr="0052261F">
              <w:rPr>
                <w:b/>
                <w:bCs/>
                <w:sz w:val="18"/>
                <w:szCs w:val="18"/>
              </w:rPr>
              <w:t>–</w:t>
            </w:r>
            <w:r w:rsidRPr="00F876BB">
              <w:rPr>
                <w:b/>
                <w:sz w:val="18"/>
                <w:szCs w:val="18"/>
              </w:rPr>
              <w:t>25</w:t>
            </w:r>
            <w:r w:rsidR="00F142C2" w:rsidRPr="00F876BB">
              <w:rPr>
                <w:b/>
                <w:sz w:val="18"/>
                <w:szCs w:val="18"/>
              </w:rPr>
              <w:t xml:space="preserve"> YTD*</w:t>
            </w:r>
          </w:p>
        </w:tc>
        <w:tc>
          <w:tcPr>
            <w:tcW w:w="625" w:type="pct"/>
          </w:tcPr>
          <w:p w14:paraId="2FEBE4B0" w14:textId="7567EAB6" w:rsidR="005D7F08" w:rsidRPr="00F876BB" w:rsidRDefault="005D7F08" w:rsidP="005D7F08">
            <w:pPr>
              <w:pStyle w:val="TableColumnHeadingRight"/>
              <w:rPr>
                <w:b/>
                <w:sz w:val="18"/>
                <w:szCs w:val="18"/>
              </w:rPr>
            </w:pPr>
            <w:r w:rsidRPr="00F876BB">
              <w:rPr>
                <w:b/>
                <w:sz w:val="18"/>
                <w:szCs w:val="18"/>
              </w:rPr>
              <w:t>2023</w:t>
            </w:r>
            <w:r w:rsidR="0052261F" w:rsidRPr="0052261F">
              <w:rPr>
                <w:b/>
                <w:bCs/>
                <w:sz w:val="18"/>
                <w:szCs w:val="18"/>
              </w:rPr>
              <w:t>–</w:t>
            </w:r>
            <w:r w:rsidRPr="00F876BB">
              <w:rPr>
                <w:b/>
                <w:sz w:val="18"/>
                <w:szCs w:val="18"/>
              </w:rPr>
              <w:t>24</w:t>
            </w:r>
          </w:p>
        </w:tc>
        <w:tc>
          <w:tcPr>
            <w:tcW w:w="625" w:type="pct"/>
          </w:tcPr>
          <w:p w14:paraId="07B107B6" w14:textId="1211B25F" w:rsidR="005D7F08" w:rsidRPr="00F876BB" w:rsidRDefault="005D7F08" w:rsidP="005D7F08">
            <w:pPr>
              <w:pStyle w:val="TableColumnHeadingRight"/>
              <w:rPr>
                <w:b/>
                <w:sz w:val="18"/>
                <w:szCs w:val="18"/>
              </w:rPr>
            </w:pPr>
            <w:r w:rsidRPr="00F876BB">
              <w:rPr>
                <w:b/>
                <w:sz w:val="18"/>
                <w:szCs w:val="18"/>
              </w:rPr>
              <w:t>2022</w:t>
            </w:r>
            <w:r w:rsidR="0052261F" w:rsidRPr="0052261F">
              <w:rPr>
                <w:b/>
                <w:bCs/>
                <w:sz w:val="18"/>
                <w:szCs w:val="18"/>
              </w:rPr>
              <w:t>–</w:t>
            </w:r>
            <w:r w:rsidRPr="00F876BB">
              <w:rPr>
                <w:b/>
                <w:sz w:val="18"/>
                <w:szCs w:val="18"/>
              </w:rPr>
              <w:t>23</w:t>
            </w:r>
          </w:p>
        </w:tc>
        <w:tc>
          <w:tcPr>
            <w:tcW w:w="625" w:type="pct"/>
          </w:tcPr>
          <w:p w14:paraId="2D818771" w14:textId="799767B0" w:rsidR="005D7F08" w:rsidRPr="00F876BB" w:rsidRDefault="005D7F08" w:rsidP="005D7F08">
            <w:pPr>
              <w:pStyle w:val="TableColumnHeadingRight"/>
              <w:rPr>
                <w:b/>
                <w:sz w:val="18"/>
                <w:szCs w:val="18"/>
              </w:rPr>
            </w:pPr>
            <w:r w:rsidRPr="00F876BB">
              <w:rPr>
                <w:b/>
                <w:sz w:val="18"/>
                <w:szCs w:val="18"/>
              </w:rPr>
              <w:t>20</w:t>
            </w:r>
            <w:r w:rsidR="00285F9A" w:rsidRPr="00F876BB">
              <w:rPr>
                <w:b/>
                <w:sz w:val="18"/>
                <w:szCs w:val="18"/>
              </w:rPr>
              <w:t>21</w:t>
            </w:r>
            <w:r w:rsidR="0052261F" w:rsidRPr="0052261F">
              <w:rPr>
                <w:b/>
                <w:sz w:val="18"/>
                <w:szCs w:val="18"/>
              </w:rPr>
              <w:t>–</w:t>
            </w:r>
            <w:r w:rsidR="00285F9A" w:rsidRPr="00F876BB">
              <w:rPr>
                <w:b/>
                <w:sz w:val="18"/>
                <w:szCs w:val="18"/>
              </w:rPr>
              <w:t>22</w:t>
            </w:r>
          </w:p>
        </w:tc>
        <w:tc>
          <w:tcPr>
            <w:tcW w:w="625" w:type="pct"/>
          </w:tcPr>
          <w:p w14:paraId="5D35C7FA" w14:textId="2F67155B" w:rsidR="005D7F08" w:rsidRPr="00F876BB" w:rsidRDefault="00285F9A" w:rsidP="005D7F08">
            <w:pPr>
              <w:pStyle w:val="TableColumnHeadingRight"/>
              <w:rPr>
                <w:b/>
                <w:sz w:val="18"/>
                <w:szCs w:val="18"/>
              </w:rPr>
            </w:pPr>
            <w:r w:rsidRPr="00F876BB">
              <w:rPr>
                <w:b/>
                <w:sz w:val="18"/>
                <w:szCs w:val="18"/>
              </w:rPr>
              <w:t>2020</w:t>
            </w:r>
            <w:r w:rsidR="0052261F" w:rsidRPr="0052261F">
              <w:rPr>
                <w:b/>
                <w:sz w:val="18"/>
                <w:szCs w:val="18"/>
              </w:rPr>
              <w:t>–</w:t>
            </w:r>
            <w:r w:rsidRPr="00F876BB">
              <w:rPr>
                <w:b/>
                <w:sz w:val="18"/>
                <w:szCs w:val="18"/>
              </w:rPr>
              <w:t>21</w:t>
            </w:r>
          </w:p>
        </w:tc>
      </w:tr>
      <w:tr w:rsidR="005D7F08" w:rsidRPr="00F876BB" w14:paraId="33A992EC" w14:textId="77777777" w:rsidTr="0052261F">
        <w:trPr>
          <w:trHeight w:val="56"/>
        </w:trPr>
        <w:tc>
          <w:tcPr>
            <w:tcW w:w="1797" w:type="pct"/>
            <w:tcBorders>
              <w:bottom w:val="single" w:sz="4" w:space="0" w:color="5F5F5F" w:themeColor="text2"/>
            </w:tcBorders>
          </w:tcPr>
          <w:p w14:paraId="4FE77A46" w14:textId="4262FF43" w:rsidR="005D7F08" w:rsidRPr="00F876BB" w:rsidRDefault="005D7F08" w:rsidP="005D7F08">
            <w:pPr>
              <w:pStyle w:val="TableTextLeft"/>
              <w:rPr>
                <w:szCs w:val="18"/>
              </w:rPr>
            </w:pPr>
            <w:r w:rsidRPr="00F876BB">
              <w:rPr>
                <w:szCs w:val="18"/>
              </w:rPr>
              <w:t>Self</w:t>
            </w:r>
            <w:r w:rsidR="004260B1">
              <w:rPr>
                <w:szCs w:val="18"/>
              </w:rPr>
              <w:noBreakHyphen/>
            </w:r>
            <w:r w:rsidRPr="00F876BB">
              <w:rPr>
                <w:szCs w:val="18"/>
              </w:rPr>
              <w:t>reported potential non</w:t>
            </w:r>
            <w:r w:rsidR="004260B1">
              <w:rPr>
                <w:szCs w:val="18"/>
              </w:rPr>
              <w:noBreakHyphen/>
            </w:r>
            <w:r w:rsidRPr="00F876BB">
              <w:rPr>
                <w:szCs w:val="18"/>
              </w:rPr>
              <w:t>compliance with conditions (voluntary disclosures outside mandatory reporting)</w:t>
            </w:r>
          </w:p>
        </w:tc>
        <w:tc>
          <w:tcPr>
            <w:tcW w:w="703" w:type="pct"/>
            <w:tcBorders>
              <w:bottom w:val="single" w:sz="4" w:space="0" w:color="5F5F5F" w:themeColor="text2"/>
            </w:tcBorders>
          </w:tcPr>
          <w:p w14:paraId="7E4AAEF6" w14:textId="4916A396" w:rsidR="005D7F08" w:rsidRPr="00F876BB" w:rsidRDefault="00C43448" w:rsidP="005D7F08">
            <w:pPr>
              <w:pStyle w:val="TableTextRight"/>
              <w:rPr>
                <w:szCs w:val="18"/>
              </w:rPr>
            </w:pPr>
            <w:r w:rsidRPr="00F876BB">
              <w:rPr>
                <w:szCs w:val="18"/>
              </w:rPr>
              <w:t>2</w:t>
            </w:r>
          </w:p>
        </w:tc>
        <w:tc>
          <w:tcPr>
            <w:tcW w:w="625" w:type="pct"/>
            <w:tcBorders>
              <w:bottom w:val="single" w:sz="4" w:space="0" w:color="5F5F5F" w:themeColor="text2"/>
            </w:tcBorders>
          </w:tcPr>
          <w:p w14:paraId="122703EA" w14:textId="43817A34" w:rsidR="005D7F08" w:rsidRPr="00F876BB" w:rsidRDefault="005D7F08" w:rsidP="005D7F08">
            <w:pPr>
              <w:pStyle w:val="TableTextRight"/>
              <w:rPr>
                <w:szCs w:val="18"/>
              </w:rPr>
            </w:pPr>
            <w:r w:rsidRPr="00F876BB">
              <w:rPr>
                <w:szCs w:val="18"/>
              </w:rPr>
              <w:t>11</w:t>
            </w:r>
          </w:p>
        </w:tc>
        <w:tc>
          <w:tcPr>
            <w:tcW w:w="625" w:type="pct"/>
            <w:tcBorders>
              <w:bottom w:val="single" w:sz="4" w:space="0" w:color="5F5F5F" w:themeColor="text2"/>
            </w:tcBorders>
          </w:tcPr>
          <w:p w14:paraId="7DCDD4E3" w14:textId="46664DE3" w:rsidR="005D7F08" w:rsidRPr="00F876BB" w:rsidRDefault="0010568D" w:rsidP="005D7F08">
            <w:pPr>
              <w:pStyle w:val="TableTextRight"/>
              <w:rPr>
                <w:szCs w:val="18"/>
              </w:rPr>
            </w:pPr>
            <w:r w:rsidRPr="00F876BB">
              <w:rPr>
                <w:szCs w:val="18"/>
              </w:rPr>
              <w:t>25</w:t>
            </w:r>
          </w:p>
        </w:tc>
        <w:tc>
          <w:tcPr>
            <w:tcW w:w="625" w:type="pct"/>
            <w:tcBorders>
              <w:bottom w:val="single" w:sz="4" w:space="0" w:color="5F5F5F" w:themeColor="text2"/>
            </w:tcBorders>
          </w:tcPr>
          <w:p w14:paraId="5C6D0119" w14:textId="0F65AC36" w:rsidR="005D7F08" w:rsidRPr="00F876BB" w:rsidRDefault="00430175" w:rsidP="005D7F08">
            <w:pPr>
              <w:pStyle w:val="TableTextRight"/>
              <w:rPr>
                <w:szCs w:val="18"/>
              </w:rPr>
            </w:pPr>
            <w:r w:rsidRPr="00F876BB">
              <w:rPr>
                <w:szCs w:val="18"/>
              </w:rPr>
              <w:t>44</w:t>
            </w:r>
          </w:p>
        </w:tc>
        <w:tc>
          <w:tcPr>
            <w:tcW w:w="625" w:type="pct"/>
            <w:tcBorders>
              <w:bottom w:val="single" w:sz="4" w:space="0" w:color="5F5F5F" w:themeColor="text2"/>
            </w:tcBorders>
          </w:tcPr>
          <w:p w14:paraId="5CD00701" w14:textId="683302C1" w:rsidR="005D7F08" w:rsidRPr="00F876BB" w:rsidRDefault="002D70D1" w:rsidP="005D7F08">
            <w:pPr>
              <w:pStyle w:val="TableTextRight"/>
              <w:rPr>
                <w:szCs w:val="18"/>
              </w:rPr>
            </w:pPr>
            <w:r w:rsidRPr="00F876BB">
              <w:rPr>
                <w:szCs w:val="18"/>
              </w:rPr>
              <w:t>75</w:t>
            </w:r>
          </w:p>
        </w:tc>
      </w:tr>
      <w:tr w:rsidR="005D7F08" w:rsidRPr="00F876BB" w14:paraId="0A1C37C1" w14:textId="77777777" w:rsidTr="0052261F">
        <w:trPr>
          <w:trHeight w:val="270"/>
        </w:trPr>
        <w:tc>
          <w:tcPr>
            <w:tcW w:w="1797" w:type="pct"/>
            <w:tcBorders>
              <w:top w:val="single" w:sz="4" w:space="0" w:color="5F5F5F" w:themeColor="text2"/>
              <w:bottom w:val="single" w:sz="4" w:space="0" w:color="5F5F5F" w:themeColor="text2"/>
            </w:tcBorders>
          </w:tcPr>
          <w:p w14:paraId="0B762E3F" w14:textId="079CB01A" w:rsidR="005D7F08" w:rsidRPr="00F876BB" w:rsidRDefault="005D7F08" w:rsidP="005D7F08">
            <w:pPr>
              <w:pStyle w:val="TableTextLeft"/>
              <w:rPr>
                <w:szCs w:val="18"/>
                <w:vertAlign w:val="superscript"/>
              </w:rPr>
            </w:pPr>
            <w:r w:rsidRPr="00F876BB">
              <w:rPr>
                <w:szCs w:val="18"/>
              </w:rPr>
              <w:t>Failure to notify related referrals/reports from the public</w:t>
            </w:r>
            <w:r w:rsidR="00783CD8" w:rsidRPr="00F876BB">
              <w:rPr>
                <w:szCs w:val="18"/>
                <w:vertAlign w:val="superscript"/>
              </w:rPr>
              <w:t>*</w:t>
            </w:r>
            <w:r w:rsidR="00F142C2" w:rsidRPr="00F876BB">
              <w:rPr>
                <w:szCs w:val="18"/>
                <w:vertAlign w:val="superscript"/>
              </w:rPr>
              <w:t>*</w:t>
            </w:r>
          </w:p>
        </w:tc>
        <w:tc>
          <w:tcPr>
            <w:tcW w:w="703" w:type="pct"/>
            <w:tcBorders>
              <w:top w:val="single" w:sz="4" w:space="0" w:color="5F5F5F" w:themeColor="text2"/>
              <w:bottom w:val="single" w:sz="4" w:space="0" w:color="5F5F5F" w:themeColor="text2"/>
            </w:tcBorders>
          </w:tcPr>
          <w:p w14:paraId="4FD8D771" w14:textId="5374B12C" w:rsidR="005D7F08" w:rsidRPr="00F876BB" w:rsidRDefault="005D7F08" w:rsidP="005D7F08">
            <w:pPr>
              <w:pStyle w:val="TableTextRight"/>
              <w:rPr>
                <w:szCs w:val="18"/>
              </w:rPr>
            </w:pPr>
            <w:r w:rsidRPr="00F876BB">
              <w:rPr>
                <w:szCs w:val="18"/>
              </w:rPr>
              <w:t>3</w:t>
            </w:r>
            <w:r w:rsidR="00C43448" w:rsidRPr="00F876BB">
              <w:rPr>
                <w:szCs w:val="18"/>
              </w:rPr>
              <w:t>2</w:t>
            </w:r>
          </w:p>
        </w:tc>
        <w:tc>
          <w:tcPr>
            <w:tcW w:w="625" w:type="pct"/>
            <w:tcBorders>
              <w:top w:val="single" w:sz="4" w:space="0" w:color="5F5F5F" w:themeColor="text2"/>
              <w:bottom w:val="single" w:sz="4" w:space="0" w:color="5F5F5F" w:themeColor="text2"/>
            </w:tcBorders>
          </w:tcPr>
          <w:p w14:paraId="4CCDD880" w14:textId="7A8988AB" w:rsidR="005D7F08" w:rsidRPr="00F876BB" w:rsidRDefault="008D77CB" w:rsidP="005D7F08">
            <w:pPr>
              <w:pStyle w:val="TableTextRight"/>
              <w:rPr>
                <w:szCs w:val="18"/>
              </w:rPr>
            </w:pPr>
            <w:r w:rsidRPr="00F876BB">
              <w:rPr>
                <w:szCs w:val="18"/>
              </w:rPr>
              <w:t>33</w:t>
            </w:r>
          </w:p>
        </w:tc>
        <w:tc>
          <w:tcPr>
            <w:tcW w:w="625" w:type="pct"/>
            <w:tcBorders>
              <w:top w:val="single" w:sz="4" w:space="0" w:color="5F5F5F" w:themeColor="text2"/>
              <w:bottom w:val="single" w:sz="4" w:space="0" w:color="5F5F5F" w:themeColor="text2"/>
            </w:tcBorders>
          </w:tcPr>
          <w:p w14:paraId="0FF78729" w14:textId="050B357A" w:rsidR="005D7F08" w:rsidRPr="00F876BB" w:rsidRDefault="005D7F08" w:rsidP="005D7F08">
            <w:pPr>
              <w:pStyle w:val="TableTextRight"/>
              <w:rPr>
                <w:szCs w:val="18"/>
              </w:rPr>
            </w:pPr>
            <w:r w:rsidRPr="00F876BB">
              <w:rPr>
                <w:szCs w:val="18"/>
              </w:rPr>
              <w:t>43</w:t>
            </w:r>
          </w:p>
        </w:tc>
        <w:tc>
          <w:tcPr>
            <w:tcW w:w="625" w:type="pct"/>
            <w:tcBorders>
              <w:top w:val="single" w:sz="4" w:space="0" w:color="5F5F5F" w:themeColor="text2"/>
              <w:bottom w:val="single" w:sz="4" w:space="0" w:color="5F5F5F" w:themeColor="text2"/>
            </w:tcBorders>
          </w:tcPr>
          <w:p w14:paraId="2608EF83" w14:textId="014D1195" w:rsidR="005D7F08" w:rsidRPr="00F876BB" w:rsidRDefault="00D327D6" w:rsidP="005D7F08">
            <w:pPr>
              <w:pStyle w:val="TableTextRight"/>
              <w:rPr>
                <w:szCs w:val="18"/>
              </w:rPr>
            </w:pPr>
            <w:r w:rsidRPr="00F876BB">
              <w:rPr>
                <w:szCs w:val="18"/>
              </w:rPr>
              <w:t>45</w:t>
            </w:r>
          </w:p>
        </w:tc>
        <w:tc>
          <w:tcPr>
            <w:tcW w:w="625" w:type="pct"/>
            <w:tcBorders>
              <w:top w:val="single" w:sz="4" w:space="0" w:color="5F5F5F" w:themeColor="text2"/>
              <w:bottom w:val="single" w:sz="4" w:space="0" w:color="5F5F5F" w:themeColor="text2"/>
            </w:tcBorders>
          </w:tcPr>
          <w:p w14:paraId="3FD9303C" w14:textId="51A36924" w:rsidR="005D7F08" w:rsidRPr="00F876BB" w:rsidDel="00B4445E" w:rsidRDefault="005D7F08" w:rsidP="005D7F08">
            <w:pPr>
              <w:pStyle w:val="TableTextRight"/>
              <w:rPr>
                <w:szCs w:val="18"/>
              </w:rPr>
            </w:pPr>
          </w:p>
        </w:tc>
      </w:tr>
      <w:tr w:rsidR="005D7F08" w:rsidRPr="00F876BB" w14:paraId="35CF4EA7" w14:textId="77777777" w:rsidTr="0052261F">
        <w:trPr>
          <w:trHeight w:val="270"/>
        </w:trPr>
        <w:tc>
          <w:tcPr>
            <w:tcW w:w="1797" w:type="pct"/>
            <w:tcBorders>
              <w:top w:val="single" w:sz="4" w:space="0" w:color="5F5F5F" w:themeColor="text2"/>
              <w:bottom w:val="single" w:sz="4" w:space="0" w:color="5F5F5F" w:themeColor="text2"/>
            </w:tcBorders>
          </w:tcPr>
          <w:p w14:paraId="7793A54D" w14:textId="52304898" w:rsidR="005D7F08" w:rsidRPr="00F876BB" w:rsidRDefault="005D7F08" w:rsidP="005D7F08">
            <w:pPr>
              <w:pStyle w:val="TableTextLeft"/>
              <w:rPr>
                <w:szCs w:val="18"/>
                <w:vertAlign w:val="superscript"/>
              </w:rPr>
            </w:pPr>
            <w:r w:rsidRPr="00F876BB">
              <w:rPr>
                <w:szCs w:val="18"/>
              </w:rPr>
              <w:t>Failure to notify related referrals/reports identified from other source</w:t>
            </w:r>
            <w:r w:rsidR="00783CD8" w:rsidRPr="00F876BB">
              <w:rPr>
                <w:szCs w:val="18"/>
                <w:vertAlign w:val="superscript"/>
              </w:rPr>
              <w:t>**</w:t>
            </w:r>
            <w:r w:rsidR="00F142C2" w:rsidRPr="00F876BB">
              <w:rPr>
                <w:szCs w:val="18"/>
                <w:vertAlign w:val="superscript"/>
              </w:rPr>
              <w:t>*</w:t>
            </w:r>
          </w:p>
        </w:tc>
        <w:tc>
          <w:tcPr>
            <w:tcW w:w="703" w:type="pct"/>
            <w:tcBorders>
              <w:top w:val="single" w:sz="4" w:space="0" w:color="5F5F5F" w:themeColor="text2"/>
              <w:bottom w:val="single" w:sz="4" w:space="0" w:color="5F5F5F" w:themeColor="text2"/>
            </w:tcBorders>
          </w:tcPr>
          <w:p w14:paraId="76397208" w14:textId="33C22E58" w:rsidR="005D7F08" w:rsidRPr="00F876BB" w:rsidRDefault="00C43448" w:rsidP="005D7F08">
            <w:pPr>
              <w:pStyle w:val="TableTextRight"/>
              <w:rPr>
                <w:szCs w:val="18"/>
              </w:rPr>
            </w:pPr>
            <w:r w:rsidRPr="00F876BB">
              <w:rPr>
                <w:szCs w:val="18"/>
              </w:rPr>
              <w:t>21</w:t>
            </w:r>
          </w:p>
        </w:tc>
        <w:tc>
          <w:tcPr>
            <w:tcW w:w="625" w:type="pct"/>
            <w:tcBorders>
              <w:top w:val="single" w:sz="4" w:space="0" w:color="5F5F5F" w:themeColor="text2"/>
              <w:bottom w:val="single" w:sz="4" w:space="0" w:color="5F5F5F" w:themeColor="text2"/>
            </w:tcBorders>
          </w:tcPr>
          <w:p w14:paraId="14D88EE0" w14:textId="3D2235A3" w:rsidR="005D7F08" w:rsidRPr="00F876BB" w:rsidRDefault="00220FA5" w:rsidP="005D7F08">
            <w:pPr>
              <w:pStyle w:val="TableTextRight"/>
              <w:rPr>
                <w:szCs w:val="18"/>
              </w:rPr>
            </w:pPr>
            <w:r w:rsidRPr="00F876BB">
              <w:rPr>
                <w:szCs w:val="18"/>
              </w:rPr>
              <w:t>57</w:t>
            </w:r>
          </w:p>
        </w:tc>
        <w:tc>
          <w:tcPr>
            <w:tcW w:w="625" w:type="pct"/>
            <w:tcBorders>
              <w:top w:val="single" w:sz="4" w:space="0" w:color="5F5F5F" w:themeColor="text2"/>
              <w:bottom w:val="single" w:sz="4" w:space="0" w:color="5F5F5F" w:themeColor="text2"/>
            </w:tcBorders>
          </w:tcPr>
          <w:p w14:paraId="52EDE57D" w14:textId="57A0C55C" w:rsidR="005D7F08" w:rsidRPr="00F876BB" w:rsidRDefault="00763B6F" w:rsidP="005D7F08">
            <w:pPr>
              <w:pStyle w:val="TableTextRight"/>
              <w:rPr>
                <w:szCs w:val="18"/>
              </w:rPr>
            </w:pPr>
            <w:r w:rsidRPr="00F876BB">
              <w:rPr>
                <w:szCs w:val="18"/>
              </w:rPr>
              <w:t>4</w:t>
            </w:r>
            <w:r w:rsidR="00B44D35" w:rsidRPr="00F876BB">
              <w:rPr>
                <w:szCs w:val="18"/>
              </w:rPr>
              <w:t>6</w:t>
            </w:r>
          </w:p>
        </w:tc>
        <w:tc>
          <w:tcPr>
            <w:tcW w:w="625" w:type="pct"/>
            <w:tcBorders>
              <w:top w:val="single" w:sz="4" w:space="0" w:color="5F5F5F" w:themeColor="text2"/>
              <w:bottom w:val="single" w:sz="4" w:space="0" w:color="5F5F5F" w:themeColor="text2"/>
            </w:tcBorders>
          </w:tcPr>
          <w:p w14:paraId="0B89DC82" w14:textId="0D276702" w:rsidR="005D7F08" w:rsidRPr="00F876BB" w:rsidRDefault="009D1D4D" w:rsidP="005D7F08">
            <w:pPr>
              <w:pStyle w:val="TableTextRight"/>
              <w:rPr>
                <w:szCs w:val="18"/>
              </w:rPr>
            </w:pPr>
            <w:r w:rsidRPr="00F876BB">
              <w:rPr>
                <w:szCs w:val="18"/>
              </w:rPr>
              <w:t>2</w:t>
            </w:r>
            <w:r w:rsidR="00D327D6" w:rsidRPr="00F876BB">
              <w:rPr>
                <w:szCs w:val="18"/>
              </w:rPr>
              <w:t>9</w:t>
            </w:r>
          </w:p>
        </w:tc>
        <w:tc>
          <w:tcPr>
            <w:tcW w:w="625" w:type="pct"/>
            <w:tcBorders>
              <w:top w:val="single" w:sz="4" w:space="0" w:color="5F5F5F" w:themeColor="text2"/>
              <w:bottom w:val="single" w:sz="4" w:space="0" w:color="5F5F5F" w:themeColor="text2"/>
            </w:tcBorders>
          </w:tcPr>
          <w:p w14:paraId="42DD1083" w14:textId="4466BCD8" w:rsidR="005D7F08" w:rsidRPr="00F876BB" w:rsidDel="00B4445E" w:rsidRDefault="00EE794B" w:rsidP="005D7F08">
            <w:pPr>
              <w:pStyle w:val="TableTextRight"/>
              <w:rPr>
                <w:szCs w:val="18"/>
              </w:rPr>
            </w:pPr>
            <w:r w:rsidRPr="00F876BB">
              <w:rPr>
                <w:szCs w:val="18"/>
              </w:rPr>
              <w:t>16</w:t>
            </w:r>
          </w:p>
        </w:tc>
      </w:tr>
      <w:tr w:rsidR="005D7F08" w:rsidRPr="00F876BB" w14:paraId="2CDA5B20" w14:textId="77777777" w:rsidTr="0052261F">
        <w:trPr>
          <w:trHeight w:val="270"/>
        </w:trPr>
        <w:tc>
          <w:tcPr>
            <w:tcW w:w="1797" w:type="pct"/>
            <w:tcBorders>
              <w:top w:val="single" w:sz="4" w:space="0" w:color="5F5F5F" w:themeColor="text2"/>
              <w:bottom w:val="single" w:sz="4" w:space="0" w:color="5F5F5F" w:themeColor="text2"/>
            </w:tcBorders>
          </w:tcPr>
          <w:p w14:paraId="6D092712" w14:textId="77777777" w:rsidR="005D7F08" w:rsidRPr="00F876BB" w:rsidRDefault="005D7F08" w:rsidP="005D7F08">
            <w:pPr>
              <w:pStyle w:val="TableTextLeft"/>
              <w:rPr>
                <w:b/>
                <w:bCs/>
                <w:szCs w:val="18"/>
              </w:rPr>
            </w:pPr>
            <w:r w:rsidRPr="00F876BB">
              <w:rPr>
                <w:b/>
                <w:szCs w:val="18"/>
              </w:rPr>
              <w:t>Total</w:t>
            </w:r>
          </w:p>
        </w:tc>
        <w:tc>
          <w:tcPr>
            <w:tcW w:w="703" w:type="pct"/>
            <w:tcBorders>
              <w:top w:val="single" w:sz="4" w:space="0" w:color="5F5F5F" w:themeColor="text2"/>
              <w:bottom w:val="single" w:sz="4" w:space="0" w:color="5F5F5F" w:themeColor="text2"/>
            </w:tcBorders>
          </w:tcPr>
          <w:p w14:paraId="132CC58B" w14:textId="410BF927" w:rsidR="005D7F08" w:rsidRPr="00F876BB" w:rsidRDefault="00C43448" w:rsidP="005D7F08">
            <w:pPr>
              <w:pStyle w:val="TableTextRight"/>
              <w:rPr>
                <w:b/>
                <w:bCs/>
                <w:szCs w:val="18"/>
              </w:rPr>
            </w:pPr>
            <w:r w:rsidRPr="00F876BB">
              <w:rPr>
                <w:b/>
                <w:bCs/>
                <w:szCs w:val="18"/>
              </w:rPr>
              <w:t>55</w:t>
            </w:r>
          </w:p>
        </w:tc>
        <w:tc>
          <w:tcPr>
            <w:tcW w:w="625" w:type="pct"/>
            <w:tcBorders>
              <w:top w:val="single" w:sz="4" w:space="0" w:color="5F5F5F" w:themeColor="text2"/>
              <w:bottom w:val="single" w:sz="4" w:space="0" w:color="5F5F5F" w:themeColor="text2"/>
            </w:tcBorders>
          </w:tcPr>
          <w:p w14:paraId="37A31D78" w14:textId="4C5CB00B" w:rsidR="005D7F08" w:rsidRPr="00F876BB" w:rsidRDefault="00BA61F5" w:rsidP="005D7F08">
            <w:pPr>
              <w:pStyle w:val="TableTextRight"/>
              <w:rPr>
                <w:b/>
                <w:bCs/>
                <w:szCs w:val="18"/>
              </w:rPr>
            </w:pPr>
            <w:r w:rsidRPr="00F876BB">
              <w:rPr>
                <w:b/>
                <w:bCs/>
                <w:szCs w:val="18"/>
              </w:rPr>
              <w:t>101</w:t>
            </w:r>
          </w:p>
        </w:tc>
        <w:tc>
          <w:tcPr>
            <w:tcW w:w="625" w:type="pct"/>
            <w:tcBorders>
              <w:top w:val="single" w:sz="4" w:space="0" w:color="5F5F5F" w:themeColor="text2"/>
              <w:bottom w:val="single" w:sz="4" w:space="0" w:color="5F5F5F" w:themeColor="text2"/>
            </w:tcBorders>
          </w:tcPr>
          <w:p w14:paraId="07AE5260" w14:textId="02742B37" w:rsidR="005D7F08" w:rsidRPr="00F876BB" w:rsidRDefault="00763B6F" w:rsidP="005D7F08">
            <w:pPr>
              <w:pStyle w:val="TableTextRight"/>
              <w:rPr>
                <w:b/>
                <w:bCs/>
                <w:szCs w:val="18"/>
              </w:rPr>
            </w:pPr>
            <w:r w:rsidRPr="00F876BB">
              <w:rPr>
                <w:b/>
                <w:bCs/>
                <w:szCs w:val="18"/>
              </w:rPr>
              <w:t>115</w:t>
            </w:r>
          </w:p>
        </w:tc>
        <w:tc>
          <w:tcPr>
            <w:tcW w:w="625" w:type="pct"/>
            <w:tcBorders>
              <w:top w:val="single" w:sz="4" w:space="0" w:color="5F5F5F" w:themeColor="text2"/>
              <w:bottom w:val="single" w:sz="4" w:space="0" w:color="5F5F5F" w:themeColor="text2"/>
            </w:tcBorders>
          </w:tcPr>
          <w:p w14:paraId="459ACED1" w14:textId="5D7C4F19" w:rsidR="005D7F08" w:rsidRPr="00F876BB" w:rsidRDefault="00373F72" w:rsidP="005D7F08">
            <w:pPr>
              <w:pStyle w:val="TableTextRight"/>
              <w:rPr>
                <w:b/>
                <w:bCs/>
                <w:szCs w:val="18"/>
              </w:rPr>
            </w:pPr>
            <w:r w:rsidRPr="00F876BB">
              <w:rPr>
                <w:b/>
                <w:bCs/>
                <w:szCs w:val="18"/>
              </w:rPr>
              <w:t>118</w:t>
            </w:r>
          </w:p>
        </w:tc>
        <w:tc>
          <w:tcPr>
            <w:tcW w:w="625" w:type="pct"/>
            <w:tcBorders>
              <w:top w:val="single" w:sz="4" w:space="0" w:color="5F5F5F" w:themeColor="text2"/>
              <w:bottom w:val="single" w:sz="4" w:space="0" w:color="5F5F5F" w:themeColor="text2"/>
            </w:tcBorders>
          </w:tcPr>
          <w:p w14:paraId="5EFD0CA1" w14:textId="0E4CF610" w:rsidR="005D7F08" w:rsidRPr="00F876BB" w:rsidRDefault="00347481" w:rsidP="005D7F08">
            <w:pPr>
              <w:pStyle w:val="TableTextRight"/>
              <w:rPr>
                <w:b/>
                <w:bCs/>
                <w:szCs w:val="18"/>
              </w:rPr>
            </w:pPr>
            <w:r w:rsidRPr="00F876BB">
              <w:rPr>
                <w:b/>
                <w:bCs/>
                <w:szCs w:val="18"/>
              </w:rPr>
              <w:t>91</w:t>
            </w:r>
          </w:p>
        </w:tc>
      </w:tr>
    </w:tbl>
    <w:p w14:paraId="6D00A3CF" w14:textId="4430E8C5" w:rsidR="00F142C2" w:rsidRPr="00F85B1F" w:rsidRDefault="000F6482" w:rsidP="00F142C2">
      <w:pPr>
        <w:pStyle w:val="ChartorTableNote"/>
        <w:rPr>
          <w:rFonts w:ascii="Calibri Light" w:hAnsi="Calibri Light" w:cs="Calibri Light"/>
        </w:rPr>
      </w:pPr>
      <w:r w:rsidRPr="00F85B1F">
        <w:rPr>
          <w:rFonts w:ascii="Calibri Light" w:hAnsi="Calibri Light" w:cs="Calibri Light"/>
        </w:rPr>
        <w:t xml:space="preserve">* </w:t>
      </w:r>
      <w:r w:rsidR="001D356D" w:rsidRPr="00F85B1F">
        <w:rPr>
          <w:rFonts w:ascii="Calibri Light" w:hAnsi="Calibri Light" w:cs="Calibri Light"/>
        </w:rPr>
        <w:tab/>
      </w:r>
      <w:r w:rsidR="00F142C2" w:rsidRPr="00F85B1F">
        <w:rPr>
          <w:rFonts w:ascii="Calibri Light" w:hAnsi="Calibri Light" w:cs="Calibri Light"/>
          <w:szCs w:val="16"/>
        </w:rPr>
        <w:t>Quarter 1 and 2 of 2024</w:t>
      </w:r>
      <w:r w:rsidR="0052261F" w:rsidRPr="0052261F">
        <w:rPr>
          <w:rFonts w:ascii="Calibri Light" w:hAnsi="Calibri Light" w:cs="Calibri Light"/>
          <w:szCs w:val="16"/>
        </w:rPr>
        <w:t>–</w:t>
      </w:r>
      <w:r w:rsidR="00F142C2" w:rsidRPr="00F85B1F">
        <w:rPr>
          <w:rFonts w:ascii="Calibri Light" w:hAnsi="Calibri Light" w:cs="Calibri Light"/>
          <w:szCs w:val="16"/>
        </w:rPr>
        <w:t>25</w:t>
      </w:r>
      <w:r w:rsidR="00C43448" w:rsidRPr="00F85B1F">
        <w:rPr>
          <w:rFonts w:ascii="Calibri Light" w:hAnsi="Calibri Light" w:cs="Calibri Light"/>
          <w:szCs w:val="16"/>
        </w:rPr>
        <w:t>.</w:t>
      </w:r>
    </w:p>
    <w:p w14:paraId="4FE69DE9" w14:textId="55DC6DC5" w:rsidR="000F6482" w:rsidRPr="00F85B1F" w:rsidRDefault="00F142C2" w:rsidP="000F6482">
      <w:pPr>
        <w:pStyle w:val="ChartorTableNote"/>
        <w:rPr>
          <w:rFonts w:ascii="Calibri Light" w:hAnsi="Calibri Light" w:cs="Calibri Light"/>
        </w:rPr>
      </w:pPr>
      <w:r w:rsidRPr="00F85B1F">
        <w:rPr>
          <w:rFonts w:ascii="Calibri Light" w:hAnsi="Calibri Light" w:cs="Calibri Light"/>
        </w:rPr>
        <w:t>**</w:t>
      </w:r>
      <w:r w:rsidRPr="00F85B1F">
        <w:rPr>
          <w:rFonts w:ascii="Calibri Light" w:hAnsi="Calibri Light" w:cs="Calibri Light"/>
        </w:rPr>
        <w:tab/>
      </w:r>
      <w:r w:rsidR="000F6482" w:rsidRPr="00F85B1F">
        <w:rPr>
          <w:rFonts w:ascii="Calibri Light" w:hAnsi="Calibri Light" w:cs="Calibri Light"/>
        </w:rPr>
        <w:t xml:space="preserve">Including retrospective notifications received from investors. </w:t>
      </w:r>
    </w:p>
    <w:p w14:paraId="5D44D1D4" w14:textId="73469946" w:rsidR="000F6482" w:rsidRPr="00F85B1F" w:rsidRDefault="000F6482" w:rsidP="00EF7499">
      <w:pPr>
        <w:pStyle w:val="ChartorTableNote"/>
        <w:ind w:left="720" w:hanging="720"/>
        <w:rPr>
          <w:rFonts w:ascii="Calibri Light" w:hAnsi="Calibri Light" w:cs="Calibri Light"/>
          <w:noProof/>
          <w:sz w:val="20"/>
        </w:rPr>
      </w:pPr>
      <w:r w:rsidRPr="00F85B1F">
        <w:rPr>
          <w:rFonts w:ascii="Calibri Light" w:hAnsi="Calibri Light" w:cs="Calibri Light"/>
        </w:rPr>
        <w:t>**</w:t>
      </w:r>
      <w:r w:rsidR="00F142C2" w:rsidRPr="00F85B1F">
        <w:rPr>
          <w:rFonts w:ascii="Calibri Light" w:hAnsi="Calibri Light" w:cs="Calibri Light"/>
        </w:rPr>
        <w:t>*</w:t>
      </w:r>
      <w:r w:rsidRPr="00F85B1F">
        <w:rPr>
          <w:rFonts w:ascii="Calibri Light" w:hAnsi="Calibri Light" w:cs="Calibri Light"/>
        </w:rPr>
        <w:t xml:space="preserve"> </w:t>
      </w:r>
      <w:r w:rsidR="001D356D" w:rsidRPr="00F85B1F">
        <w:rPr>
          <w:rFonts w:ascii="Calibri Light" w:hAnsi="Calibri Light" w:cs="Calibri Light"/>
        </w:rPr>
        <w:tab/>
      </w:r>
      <w:r w:rsidRPr="00F85B1F">
        <w:rPr>
          <w:rFonts w:ascii="Calibri Light" w:hAnsi="Calibri Light" w:cs="Calibri Light"/>
        </w:rPr>
        <w:t>Referrals from other sources can include internal referrals from other areas of the Treasury or Government, as well as Treasury</w:t>
      </w:r>
      <w:r w:rsidR="004260B1">
        <w:rPr>
          <w:rFonts w:ascii="Calibri Light" w:hAnsi="Calibri Light" w:cs="Calibri Light"/>
        </w:rPr>
        <w:noBreakHyphen/>
      </w:r>
      <w:r w:rsidRPr="00F85B1F">
        <w:rPr>
          <w:rFonts w:ascii="Calibri Light" w:hAnsi="Calibri Light" w:cs="Calibri Light"/>
        </w:rPr>
        <w:t xml:space="preserve">initiated referrals </w:t>
      </w:r>
      <w:proofErr w:type="gramStart"/>
      <w:r w:rsidRPr="00F85B1F">
        <w:rPr>
          <w:rFonts w:ascii="Calibri Light" w:hAnsi="Calibri Light" w:cs="Calibri Light"/>
        </w:rPr>
        <w:t>as a result of</w:t>
      </w:r>
      <w:proofErr w:type="gramEnd"/>
      <w:r w:rsidRPr="00F85B1F">
        <w:rPr>
          <w:rFonts w:ascii="Calibri Light" w:hAnsi="Calibri Light" w:cs="Calibri Light"/>
        </w:rPr>
        <w:t xml:space="preserve"> media monitoring and market scanning for non</w:t>
      </w:r>
      <w:r w:rsidR="004260B1">
        <w:rPr>
          <w:rFonts w:ascii="Calibri Light" w:hAnsi="Calibri Light" w:cs="Calibri Light"/>
          <w:szCs w:val="16"/>
        </w:rPr>
        <w:noBreakHyphen/>
      </w:r>
      <w:r w:rsidRPr="00F85B1F">
        <w:rPr>
          <w:rFonts w:ascii="Calibri Light" w:hAnsi="Calibri Light" w:cs="Calibri Light"/>
        </w:rPr>
        <w:t>compliance.</w:t>
      </w:r>
      <w:r w:rsidRPr="00F85B1F">
        <w:rPr>
          <w:rFonts w:ascii="Calibri Light" w:hAnsi="Calibri Light" w:cs="Calibri Light"/>
          <w:noProof/>
          <w:sz w:val="20"/>
        </w:rPr>
        <w:t xml:space="preserve"> </w:t>
      </w:r>
    </w:p>
    <w:p w14:paraId="21712E86" w14:textId="6E3456F0" w:rsidR="00862659" w:rsidRPr="00862659" w:rsidRDefault="00862659" w:rsidP="00F876BB">
      <w:r>
        <w:t xml:space="preserve">The number of infringement notices </w:t>
      </w:r>
      <w:r w:rsidR="009F34C8">
        <w:t>issue</w:t>
      </w:r>
      <w:r w:rsidR="005126F0">
        <w:t>d</w:t>
      </w:r>
      <w:r w:rsidR="009F34C8">
        <w:t xml:space="preserve"> </w:t>
      </w:r>
      <w:r w:rsidR="00437AC0">
        <w:t xml:space="preserve">by Treasury </w:t>
      </w:r>
      <w:r w:rsidR="009F34C8">
        <w:t xml:space="preserve">was zero in the first </w:t>
      </w:r>
      <w:r w:rsidR="0091287C">
        <w:t>two years of the reforms</w:t>
      </w:r>
      <w:r w:rsidR="000D4727">
        <w:t xml:space="preserve">. </w:t>
      </w:r>
      <w:r w:rsidR="005D7F9F">
        <w:t>One was issued in 2022</w:t>
      </w:r>
      <w:r w:rsidR="0052261F" w:rsidRPr="0052261F">
        <w:t>–</w:t>
      </w:r>
      <w:r w:rsidR="005D7F9F">
        <w:t>23 and 19 issued</w:t>
      </w:r>
      <w:r w:rsidR="00130B1E">
        <w:t xml:space="preserve"> (in response to multiple </w:t>
      </w:r>
      <w:r w:rsidR="00AC517E">
        <w:t>alleged contraventions of the FATA by two separate foreign investors)</w:t>
      </w:r>
      <w:r w:rsidR="005D7F9F">
        <w:t xml:space="preserve"> in 2023</w:t>
      </w:r>
      <w:r w:rsidR="0052261F" w:rsidRPr="0052261F">
        <w:t>–</w:t>
      </w:r>
      <w:r w:rsidR="005D7F9F">
        <w:t>24</w:t>
      </w:r>
      <w:r w:rsidR="000166A9">
        <w:t xml:space="preserve"> (see Table </w:t>
      </w:r>
      <w:r w:rsidR="007759A1">
        <w:t>6.7</w:t>
      </w:r>
      <w:r w:rsidR="000166A9">
        <w:t>)</w:t>
      </w:r>
      <w:r w:rsidR="00A5709C">
        <w:t xml:space="preserve">. </w:t>
      </w:r>
    </w:p>
    <w:p w14:paraId="1FC1C79D" w14:textId="371B3F20" w:rsidR="0017135A" w:rsidRDefault="000F6482" w:rsidP="001B696A">
      <w:pPr>
        <w:pStyle w:val="TableMainHeading"/>
      </w:pPr>
      <w:bookmarkStart w:id="68" w:name="_Toc152327797"/>
      <w:bookmarkStart w:id="69" w:name="_Toc152334183"/>
      <w:bookmarkStart w:id="70" w:name="_Toc176949510"/>
      <w:bookmarkStart w:id="71" w:name="_Toc177024907"/>
      <w:bookmarkStart w:id="72" w:name="_Toc177026850"/>
      <w:bookmarkStart w:id="73" w:name="_Hlk116566126"/>
      <w:bookmarkStart w:id="74" w:name="_Hlk125376233"/>
      <w:r>
        <w:t xml:space="preserve">Table </w:t>
      </w:r>
      <w:r w:rsidR="007759A1">
        <w:t>6.7</w:t>
      </w:r>
      <w:r>
        <w:t>: Number of infringement notices issued</w:t>
      </w:r>
      <w:bookmarkEnd w:id="68"/>
      <w:bookmarkEnd w:id="69"/>
      <w:bookmarkEnd w:id="70"/>
      <w:bookmarkEnd w:id="71"/>
      <w:bookmarkEnd w:id="72"/>
      <w:bookmarkEnd w:id="73"/>
      <w:bookmarkEnd w:id="74"/>
      <w:r w:rsidR="00606CC9">
        <w:t xml:space="preserve"> by Treasury</w:t>
      </w:r>
    </w:p>
    <w:tbl>
      <w:tblPr>
        <w:tblStyle w:val="TableGrid1"/>
        <w:tblW w:w="5000" w:type="pct"/>
        <w:tblLayout w:type="fixed"/>
        <w:tblLook w:val="01E0" w:firstRow="1" w:lastRow="1" w:firstColumn="1" w:lastColumn="1" w:noHBand="0" w:noVBand="0"/>
      </w:tblPr>
      <w:tblGrid>
        <w:gridCol w:w="2952"/>
        <w:gridCol w:w="1478"/>
        <w:gridCol w:w="1161"/>
        <w:gridCol w:w="1161"/>
        <w:gridCol w:w="1161"/>
        <w:gridCol w:w="1157"/>
      </w:tblGrid>
      <w:tr w:rsidR="00396339" w:rsidRPr="003A2A61" w14:paraId="40CED146" w14:textId="77777777" w:rsidTr="00AF506C">
        <w:trPr>
          <w:cnfStyle w:val="100000000000" w:firstRow="1" w:lastRow="0" w:firstColumn="0" w:lastColumn="0" w:oddVBand="0" w:evenVBand="0" w:oddHBand="0" w:evenHBand="0" w:firstRowFirstColumn="0" w:firstRowLastColumn="0" w:lastRowFirstColumn="0" w:lastRowLastColumn="0"/>
          <w:trHeight w:val="270"/>
        </w:trPr>
        <w:tc>
          <w:tcPr>
            <w:tcW w:w="1627" w:type="pct"/>
          </w:tcPr>
          <w:p w14:paraId="2E6FEBD2" w14:textId="77777777" w:rsidR="000278ED" w:rsidRPr="001E0C9B" w:rsidRDefault="000278ED" w:rsidP="00247864">
            <w:pPr>
              <w:pStyle w:val="TableColumnHeadingLeft"/>
              <w:rPr>
                <w:b/>
              </w:rPr>
            </w:pPr>
          </w:p>
        </w:tc>
        <w:tc>
          <w:tcPr>
            <w:tcW w:w="815" w:type="pct"/>
          </w:tcPr>
          <w:p w14:paraId="16B69ED9" w14:textId="70A7EF33" w:rsidR="000278ED" w:rsidRPr="001E0C9B" w:rsidRDefault="000278ED" w:rsidP="00247864">
            <w:pPr>
              <w:pStyle w:val="TableColumnHeadingRight"/>
              <w:rPr>
                <w:b/>
              </w:rPr>
            </w:pPr>
            <w:r>
              <w:rPr>
                <w:b/>
              </w:rPr>
              <w:t>2024</w:t>
            </w:r>
            <w:r w:rsidR="0052261F" w:rsidRPr="0052261F">
              <w:rPr>
                <w:b/>
              </w:rPr>
              <w:t>–</w:t>
            </w:r>
            <w:r>
              <w:rPr>
                <w:b/>
              </w:rPr>
              <w:t>25</w:t>
            </w:r>
            <w:r w:rsidRPr="001E0C9B">
              <w:rPr>
                <w:b/>
              </w:rPr>
              <w:t xml:space="preserve"> </w:t>
            </w:r>
            <w:r w:rsidR="00C43448">
              <w:rPr>
                <w:b/>
              </w:rPr>
              <w:t>YTD*</w:t>
            </w:r>
          </w:p>
        </w:tc>
        <w:tc>
          <w:tcPr>
            <w:tcW w:w="640" w:type="pct"/>
          </w:tcPr>
          <w:p w14:paraId="76F8B036" w14:textId="01348A9F" w:rsidR="000278ED" w:rsidRPr="001E0C9B" w:rsidRDefault="000278ED" w:rsidP="00247864">
            <w:pPr>
              <w:pStyle w:val="TableColumnHeadingRight"/>
              <w:rPr>
                <w:b/>
              </w:rPr>
            </w:pPr>
            <w:r>
              <w:rPr>
                <w:b/>
              </w:rPr>
              <w:t>2023</w:t>
            </w:r>
            <w:r w:rsidR="0052261F" w:rsidRPr="0052261F">
              <w:rPr>
                <w:b/>
              </w:rPr>
              <w:t>–</w:t>
            </w:r>
            <w:r>
              <w:rPr>
                <w:b/>
              </w:rPr>
              <w:t>24</w:t>
            </w:r>
          </w:p>
        </w:tc>
        <w:tc>
          <w:tcPr>
            <w:tcW w:w="640" w:type="pct"/>
          </w:tcPr>
          <w:p w14:paraId="3D8D0F76" w14:textId="7B51FD75" w:rsidR="000278ED" w:rsidRPr="003A2A61" w:rsidRDefault="000278ED" w:rsidP="00247864">
            <w:pPr>
              <w:pStyle w:val="TableColumnHeadingRight"/>
              <w:rPr>
                <w:b/>
              </w:rPr>
            </w:pPr>
            <w:r>
              <w:rPr>
                <w:b/>
              </w:rPr>
              <w:t>202</w:t>
            </w:r>
            <w:r w:rsidR="00093AFE">
              <w:rPr>
                <w:b/>
              </w:rPr>
              <w:t>2</w:t>
            </w:r>
            <w:r w:rsidR="0052261F" w:rsidRPr="0052261F">
              <w:rPr>
                <w:b/>
              </w:rPr>
              <w:t>–</w:t>
            </w:r>
            <w:r w:rsidR="00093AFE">
              <w:rPr>
                <w:b/>
              </w:rPr>
              <w:t>23</w:t>
            </w:r>
          </w:p>
        </w:tc>
        <w:tc>
          <w:tcPr>
            <w:tcW w:w="640" w:type="pct"/>
          </w:tcPr>
          <w:p w14:paraId="679707D8" w14:textId="332EF1F1" w:rsidR="000278ED" w:rsidRPr="003A2A61" w:rsidRDefault="00093AFE" w:rsidP="00247864">
            <w:pPr>
              <w:pStyle w:val="TableColumnHeadingRight"/>
              <w:rPr>
                <w:b/>
              </w:rPr>
            </w:pPr>
            <w:r>
              <w:rPr>
                <w:b/>
              </w:rPr>
              <w:t>2021</w:t>
            </w:r>
            <w:r w:rsidR="0052261F" w:rsidRPr="0052261F">
              <w:rPr>
                <w:b/>
              </w:rPr>
              <w:t>–</w:t>
            </w:r>
            <w:r>
              <w:rPr>
                <w:b/>
              </w:rPr>
              <w:t>22</w:t>
            </w:r>
          </w:p>
        </w:tc>
        <w:tc>
          <w:tcPr>
            <w:tcW w:w="638" w:type="pct"/>
          </w:tcPr>
          <w:p w14:paraId="2814CB7A" w14:textId="435D26BA" w:rsidR="000278ED" w:rsidRPr="003A2A61" w:rsidRDefault="00093AFE" w:rsidP="00247864">
            <w:pPr>
              <w:pStyle w:val="TableColumnHeadingRight"/>
              <w:rPr>
                <w:b/>
              </w:rPr>
            </w:pPr>
            <w:r>
              <w:rPr>
                <w:b/>
              </w:rPr>
              <w:t>2020</w:t>
            </w:r>
            <w:r w:rsidR="0052261F" w:rsidRPr="0052261F">
              <w:rPr>
                <w:b/>
              </w:rPr>
              <w:t>–</w:t>
            </w:r>
            <w:r>
              <w:rPr>
                <w:b/>
              </w:rPr>
              <w:t>21</w:t>
            </w:r>
          </w:p>
        </w:tc>
      </w:tr>
      <w:tr w:rsidR="000278ED" w:rsidRPr="003A2A61" w14:paraId="6D2F82F6" w14:textId="77777777" w:rsidTr="00AF506C">
        <w:trPr>
          <w:trHeight w:val="270"/>
        </w:trPr>
        <w:tc>
          <w:tcPr>
            <w:tcW w:w="1627" w:type="pct"/>
            <w:tcBorders>
              <w:bottom w:val="single" w:sz="4" w:space="0" w:color="5F5F5F" w:themeColor="text2"/>
            </w:tcBorders>
          </w:tcPr>
          <w:p w14:paraId="593F4EFB" w14:textId="77777777" w:rsidR="000278ED" w:rsidRPr="001E0C9B" w:rsidRDefault="000278ED" w:rsidP="00247864">
            <w:pPr>
              <w:pStyle w:val="TableTextLeft"/>
            </w:pPr>
            <w:r w:rsidRPr="001E0C9B">
              <w:t>Infringement notices issued</w:t>
            </w:r>
          </w:p>
        </w:tc>
        <w:tc>
          <w:tcPr>
            <w:tcW w:w="815" w:type="pct"/>
            <w:tcBorders>
              <w:bottom w:val="single" w:sz="4" w:space="0" w:color="5F5F5F" w:themeColor="text2"/>
            </w:tcBorders>
          </w:tcPr>
          <w:p w14:paraId="6CC5EA3E" w14:textId="172E27DD" w:rsidR="000278ED" w:rsidRPr="003A2A61" w:rsidRDefault="00093AFE" w:rsidP="00247864">
            <w:pPr>
              <w:pStyle w:val="TableTextRight"/>
            </w:pPr>
            <w:r>
              <w:t>1</w:t>
            </w:r>
          </w:p>
        </w:tc>
        <w:tc>
          <w:tcPr>
            <w:tcW w:w="640" w:type="pct"/>
            <w:tcBorders>
              <w:bottom w:val="single" w:sz="4" w:space="0" w:color="5F5F5F" w:themeColor="text2"/>
            </w:tcBorders>
          </w:tcPr>
          <w:p w14:paraId="7FB83E69" w14:textId="66899FCE" w:rsidR="000278ED" w:rsidRPr="003A2A61" w:rsidRDefault="00093AFE" w:rsidP="00247864">
            <w:pPr>
              <w:pStyle w:val="TableTextRight"/>
            </w:pPr>
            <w:r>
              <w:t>19</w:t>
            </w:r>
          </w:p>
        </w:tc>
        <w:tc>
          <w:tcPr>
            <w:tcW w:w="640" w:type="pct"/>
            <w:tcBorders>
              <w:bottom w:val="single" w:sz="4" w:space="0" w:color="5F5F5F" w:themeColor="text2"/>
            </w:tcBorders>
          </w:tcPr>
          <w:p w14:paraId="5A3F45F1" w14:textId="4BAA1674" w:rsidR="000278ED" w:rsidRPr="003A2A61" w:rsidRDefault="00093AFE" w:rsidP="00247864">
            <w:pPr>
              <w:pStyle w:val="TableTextRight"/>
            </w:pPr>
            <w:r>
              <w:t>1</w:t>
            </w:r>
          </w:p>
        </w:tc>
        <w:tc>
          <w:tcPr>
            <w:tcW w:w="640" w:type="pct"/>
            <w:tcBorders>
              <w:bottom w:val="single" w:sz="4" w:space="0" w:color="5F5F5F" w:themeColor="text2"/>
            </w:tcBorders>
          </w:tcPr>
          <w:p w14:paraId="486B1BDF" w14:textId="1182E8A2" w:rsidR="000278ED" w:rsidRPr="003A2A61" w:rsidRDefault="00093AFE" w:rsidP="00247864">
            <w:pPr>
              <w:pStyle w:val="TableTextRight"/>
            </w:pPr>
            <w:r>
              <w:t>0</w:t>
            </w:r>
          </w:p>
        </w:tc>
        <w:tc>
          <w:tcPr>
            <w:tcW w:w="638" w:type="pct"/>
            <w:tcBorders>
              <w:bottom w:val="single" w:sz="4" w:space="0" w:color="5F5F5F" w:themeColor="text2"/>
            </w:tcBorders>
          </w:tcPr>
          <w:p w14:paraId="50191460" w14:textId="56E02DEB" w:rsidR="000278ED" w:rsidRPr="003A2A61" w:rsidRDefault="00093AFE" w:rsidP="00247864">
            <w:pPr>
              <w:pStyle w:val="TableTextRight"/>
            </w:pPr>
            <w:r>
              <w:t>0</w:t>
            </w:r>
          </w:p>
        </w:tc>
      </w:tr>
    </w:tbl>
    <w:p w14:paraId="52F52FD7" w14:textId="25898C74" w:rsidR="00C43448" w:rsidRPr="00F3542A" w:rsidRDefault="00C43448" w:rsidP="00C43448">
      <w:pPr>
        <w:pStyle w:val="ChartorTableNote"/>
        <w:rPr>
          <w:rFonts w:ascii="Calibri Light" w:hAnsi="Calibri Light" w:cs="Calibri Light"/>
        </w:rPr>
      </w:pPr>
      <w:r w:rsidRPr="00F3542A">
        <w:rPr>
          <w:rFonts w:ascii="Calibri Light" w:hAnsi="Calibri Light" w:cs="Calibri Light"/>
        </w:rPr>
        <w:t xml:space="preserve">* </w:t>
      </w:r>
      <w:r w:rsidRPr="00F3542A">
        <w:rPr>
          <w:rFonts w:ascii="Calibri Light" w:hAnsi="Calibri Light" w:cs="Calibri Light"/>
        </w:rPr>
        <w:tab/>
      </w:r>
      <w:r w:rsidRPr="00F3542A">
        <w:rPr>
          <w:rFonts w:ascii="Calibri Light" w:hAnsi="Calibri Light" w:cs="Calibri Light"/>
          <w:szCs w:val="16"/>
        </w:rPr>
        <w:t>Quarter 1 and 2 of 2024</w:t>
      </w:r>
      <w:r w:rsidR="0052261F" w:rsidRPr="0052261F">
        <w:rPr>
          <w:rFonts w:ascii="Calibri Light" w:hAnsi="Calibri Light" w:cs="Calibri Light"/>
          <w:szCs w:val="16"/>
        </w:rPr>
        <w:t>–</w:t>
      </w:r>
      <w:r w:rsidRPr="00F3542A">
        <w:rPr>
          <w:rFonts w:ascii="Calibri Light" w:hAnsi="Calibri Light" w:cs="Calibri Light"/>
          <w:szCs w:val="16"/>
        </w:rPr>
        <w:t>25.</w:t>
      </w:r>
    </w:p>
    <w:p w14:paraId="2F27FA3E" w14:textId="73C1793A" w:rsidR="00862AA2" w:rsidRDefault="00291608" w:rsidP="00F876BB">
      <w:r>
        <w:t xml:space="preserve">In addition to the </w:t>
      </w:r>
      <w:r w:rsidR="00384DCD">
        <w:t>compliance activities discussed above</w:t>
      </w:r>
      <w:r w:rsidR="00776444">
        <w:t>, during 2024</w:t>
      </w:r>
      <w:r w:rsidR="00AF506C" w:rsidRPr="00AF506C">
        <w:t>–</w:t>
      </w:r>
      <w:r w:rsidR="00776444">
        <w:t xml:space="preserve">25, </w:t>
      </w:r>
      <w:r w:rsidR="006E505F">
        <w:t xml:space="preserve">Treasury exercised monitoring powers to conduct </w:t>
      </w:r>
      <w:r w:rsidR="001828E2">
        <w:t>several</w:t>
      </w:r>
      <w:r w:rsidR="006E505F">
        <w:t xml:space="preserve"> on</w:t>
      </w:r>
      <w:r w:rsidR="004260B1">
        <w:noBreakHyphen/>
      </w:r>
      <w:r w:rsidR="006E505F">
        <w:t>site compliance inspections.</w:t>
      </w:r>
      <w:r w:rsidR="00B36064">
        <w:t xml:space="preserve"> </w:t>
      </w:r>
      <w:r w:rsidR="001333AB">
        <w:t xml:space="preserve">To support </w:t>
      </w:r>
      <w:r w:rsidR="00DF2646">
        <w:t xml:space="preserve">this, Treasury </w:t>
      </w:r>
      <w:r w:rsidR="00274170">
        <w:t>strengthened</w:t>
      </w:r>
      <w:r w:rsidR="008721FE">
        <w:t xml:space="preserve"> its workforce</w:t>
      </w:r>
      <w:r w:rsidR="004260B1">
        <w:t>’</w:t>
      </w:r>
      <w:r w:rsidR="008721FE">
        <w:t>s</w:t>
      </w:r>
      <w:r w:rsidR="00274170">
        <w:t xml:space="preserve"> technical expertise </w:t>
      </w:r>
      <w:r w:rsidR="007737E5" w:rsidDel="002B34BB">
        <w:t xml:space="preserve">through </w:t>
      </w:r>
      <w:r w:rsidR="00C713E2">
        <w:t xml:space="preserve">training </w:t>
      </w:r>
      <w:r w:rsidR="00DC5D55">
        <w:t xml:space="preserve">aimed at </w:t>
      </w:r>
      <w:r w:rsidR="005A265D">
        <w:t>develop</w:t>
      </w:r>
      <w:r w:rsidR="00DC5D55">
        <w:t>ing</w:t>
      </w:r>
      <w:r w:rsidR="005A265D">
        <w:t xml:space="preserve"> compliance officers </w:t>
      </w:r>
      <w:r w:rsidR="00DC5D55">
        <w:t xml:space="preserve">ahead of conducting </w:t>
      </w:r>
      <w:r w:rsidR="00C713E2">
        <w:t>off</w:t>
      </w:r>
      <w:r w:rsidR="004260B1">
        <w:noBreakHyphen/>
      </w:r>
      <w:r w:rsidR="00C713E2">
        <w:t>site inspections</w:t>
      </w:r>
      <w:r w:rsidR="002F5E30">
        <w:t xml:space="preserve">, </w:t>
      </w:r>
      <w:r w:rsidR="00DC5D55">
        <w:t xml:space="preserve">including </w:t>
      </w:r>
      <w:r w:rsidR="00A849E9">
        <w:t>t</w:t>
      </w:r>
      <w:r w:rsidR="008F64AD">
        <w:t xml:space="preserve">raining in the exercise of powers, </w:t>
      </w:r>
      <w:r w:rsidR="002F5E30">
        <w:t>situational awareness and</w:t>
      </w:r>
      <w:r w:rsidR="00C713E2">
        <w:t xml:space="preserve"> </w:t>
      </w:r>
      <w:r w:rsidR="007E00E5">
        <w:t>formal interview</w:t>
      </w:r>
      <w:r w:rsidR="002B34BB">
        <w:t xml:space="preserve"> training</w:t>
      </w:r>
      <w:r w:rsidR="007E00E5">
        <w:t>.</w:t>
      </w:r>
      <w:r w:rsidR="00136614">
        <w:t xml:space="preserve"> Th</w:t>
      </w:r>
      <w:r w:rsidR="002B34BB">
        <w:t>is</w:t>
      </w:r>
      <w:r w:rsidR="00136614">
        <w:t xml:space="preserve"> training has enabled staff to build </w:t>
      </w:r>
      <w:r w:rsidR="002C02AE">
        <w:t>confidence,</w:t>
      </w:r>
      <w:r w:rsidR="00136614">
        <w:t xml:space="preserve"> and the skills required to ensure off</w:t>
      </w:r>
      <w:r w:rsidR="004260B1">
        <w:noBreakHyphen/>
      </w:r>
      <w:r w:rsidR="00136614">
        <w:t>site inspections are conducted appropriately</w:t>
      </w:r>
      <w:r w:rsidR="002F5E30">
        <w:t>,</w:t>
      </w:r>
      <w:r w:rsidR="00136614">
        <w:t xml:space="preserve"> </w:t>
      </w:r>
      <w:r w:rsidR="00BD0104">
        <w:t>effectively</w:t>
      </w:r>
      <w:r w:rsidR="002F5E30">
        <w:t xml:space="preserve"> and </w:t>
      </w:r>
      <w:r w:rsidR="00093A40">
        <w:t>safely</w:t>
      </w:r>
      <w:r w:rsidR="00BD0104">
        <w:t>.</w:t>
      </w:r>
      <w:r w:rsidR="006E505F">
        <w:t xml:space="preserve"> </w:t>
      </w:r>
    </w:p>
    <w:p w14:paraId="444B7D22" w14:textId="686BCDFA" w:rsidR="001A3F30" w:rsidRDefault="007C04B6" w:rsidP="00F876BB">
      <w:r w:rsidRPr="0072185C">
        <w:t xml:space="preserve">As discussed above in </w:t>
      </w:r>
      <w:r w:rsidR="00AC7192">
        <w:t>S</w:t>
      </w:r>
      <w:r w:rsidRPr="0072185C">
        <w:t>ection 6.</w:t>
      </w:r>
      <w:r w:rsidR="008C02C7">
        <w:t>1</w:t>
      </w:r>
      <w:r w:rsidRPr="0072185C">
        <w:t>, the</w:t>
      </w:r>
      <w:r w:rsidR="00730008">
        <w:t xml:space="preserve"> Treasurer has, for the first time in 2025</w:t>
      </w:r>
      <w:r w:rsidR="0068645F">
        <w:t>,</w:t>
      </w:r>
      <w:r w:rsidR="00730008">
        <w:t xml:space="preserve"> </w:t>
      </w:r>
      <w:r w:rsidR="0068645F">
        <w:t xml:space="preserve">commenced </w:t>
      </w:r>
      <w:r w:rsidR="00730008">
        <w:t>court action against an investor</w:t>
      </w:r>
      <w:r w:rsidR="00A13E73">
        <w:t xml:space="preserve"> for alleged non</w:t>
      </w:r>
      <w:r w:rsidR="004260B1">
        <w:noBreakHyphen/>
      </w:r>
      <w:r w:rsidR="00A13E73">
        <w:t>compliance with a disposal order</w:t>
      </w:r>
      <w:r w:rsidR="00730008">
        <w:t>.</w:t>
      </w:r>
      <w:r w:rsidR="00DB225D">
        <w:t xml:space="preserve"> </w:t>
      </w:r>
      <w:r w:rsidR="002B467C">
        <w:t>T</w:t>
      </w:r>
      <w:r w:rsidR="00DB225D">
        <w:t xml:space="preserve">his action </w:t>
      </w:r>
      <w:r w:rsidR="002B467C">
        <w:t xml:space="preserve">being the only civil penalties litigation commenced </w:t>
      </w:r>
      <w:r w:rsidR="00DB225D">
        <w:t xml:space="preserve">since the reforms were introduced indicates </w:t>
      </w:r>
      <w:r w:rsidR="00EC1397">
        <w:t xml:space="preserve">the Government </w:t>
      </w:r>
      <w:r w:rsidR="00A52D9B">
        <w:t>aims to use the powers</w:t>
      </w:r>
      <w:r w:rsidR="00CC06B8">
        <w:t xml:space="preserve"> in </w:t>
      </w:r>
      <w:r w:rsidR="002B467C">
        <w:t xml:space="preserve">selected </w:t>
      </w:r>
      <w:r w:rsidR="00BC6631">
        <w:t>instances where</w:t>
      </w:r>
      <w:r w:rsidR="00B216A5">
        <w:t xml:space="preserve"> proportionate to the </w:t>
      </w:r>
      <w:r w:rsidR="00C60C61">
        <w:t xml:space="preserve">circumstances, including the </w:t>
      </w:r>
      <w:r w:rsidR="00B216A5">
        <w:t xml:space="preserve">seriousness </w:t>
      </w:r>
      <w:r w:rsidR="00042F8F">
        <w:t xml:space="preserve">of </w:t>
      </w:r>
      <w:r w:rsidR="00C60C61">
        <w:t xml:space="preserve">the alleged </w:t>
      </w:r>
      <w:r w:rsidR="00785BC1">
        <w:t>non</w:t>
      </w:r>
      <w:r w:rsidR="004260B1">
        <w:noBreakHyphen/>
      </w:r>
      <w:r w:rsidR="00785BC1">
        <w:t>compliance</w:t>
      </w:r>
      <w:r w:rsidR="00CC06B8">
        <w:t>.</w:t>
      </w:r>
    </w:p>
    <w:p w14:paraId="6234CCD6" w14:textId="2E83514C" w:rsidR="00D82421" w:rsidRDefault="00D82421" w:rsidP="00F876BB">
      <w:pPr>
        <w:pStyle w:val="Heading2Numbered"/>
      </w:pPr>
      <w:bookmarkStart w:id="75" w:name="_Toc210039672"/>
      <w:r>
        <w:t xml:space="preserve">Streamlining </w:t>
      </w:r>
      <w:proofErr w:type="gramStart"/>
      <w:r>
        <w:t>less</w:t>
      </w:r>
      <w:proofErr w:type="gramEnd"/>
      <w:r>
        <w:t xml:space="preserve"> sensitive investments</w:t>
      </w:r>
      <w:bookmarkEnd w:id="75"/>
    </w:p>
    <w:p w14:paraId="208033E2" w14:textId="0A9814B4" w:rsidR="002E318D" w:rsidRDefault="002E318D" w:rsidP="00F876BB">
      <w:r w:rsidRPr="002F133C">
        <w:t xml:space="preserve">Concerns about the scope and complexity of the framework predate the </w:t>
      </w:r>
      <w:r w:rsidR="00DF5267">
        <w:t xml:space="preserve">2021 </w:t>
      </w:r>
      <w:r w:rsidRPr="002F133C">
        <w:t>reforms. The relatively wide reach of Australia</w:t>
      </w:r>
      <w:r w:rsidR="004260B1">
        <w:t>’</w:t>
      </w:r>
      <w:r w:rsidRPr="002F133C">
        <w:t xml:space="preserve">s foreign investment </w:t>
      </w:r>
      <w:r w:rsidR="00700D2A">
        <w:t>framework</w:t>
      </w:r>
      <w:r w:rsidR="00700D2A" w:rsidRPr="002F133C">
        <w:t xml:space="preserve"> </w:t>
      </w:r>
      <w:r w:rsidRPr="002F133C">
        <w:t xml:space="preserve">is a consequence of </w:t>
      </w:r>
      <w:r w:rsidR="00EF424B">
        <w:t>the framework</w:t>
      </w:r>
      <w:r w:rsidR="004260B1">
        <w:t>’</w:t>
      </w:r>
      <w:r w:rsidR="00EF424B">
        <w:t xml:space="preserve">s focus on both the national interest and national security (as compared to </w:t>
      </w:r>
      <w:r w:rsidR="003F0554">
        <w:t xml:space="preserve">some international regimes, which are more targeted to national security), as well as </w:t>
      </w:r>
      <w:r w:rsidRPr="002F133C">
        <w:t>decisions taken over decades to ensure the framework remains responsive to changes in the strategic context, business environment and community expectations around foreign investment.</w:t>
      </w:r>
    </w:p>
    <w:p w14:paraId="0A00696F" w14:textId="2960B73F" w:rsidR="0029683B" w:rsidRPr="00A927A8" w:rsidRDefault="005D08CC" w:rsidP="00F876BB">
      <w:r>
        <w:t xml:space="preserve">In the 2021 </w:t>
      </w:r>
      <w:r w:rsidR="004D566B">
        <w:t>e</w:t>
      </w:r>
      <w:r>
        <w:t>valuation, s</w:t>
      </w:r>
      <w:r w:rsidR="00A927A8" w:rsidRPr="00A927A8">
        <w:t>takeholders generally welcomed</w:t>
      </w:r>
      <w:r w:rsidR="00A927A8">
        <w:t xml:space="preserve"> the streamlining measures targeted at investment funds with passive foreign government investors</w:t>
      </w:r>
      <w:r w:rsidR="00A927A8" w:rsidRPr="004D2546">
        <w:t>.</w:t>
      </w:r>
      <w:r w:rsidR="005F0C5C" w:rsidRPr="00F3542A">
        <w:rPr>
          <w:rStyle w:val="FootnoteReference"/>
          <w:vertAlign w:val="superscript"/>
        </w:rPr>
        <w:footnoteReference w:id="17"/>
      </w:r>
      <w:r w:rsidRPr="00F876BB">
        <w:t xml:space="preserve"> </w:t>
      </w:r>
      <w:r>
        <w:t>However, stakeholders continue</w:t>
      </w:r>
      <w:r w:rsidR="00C42EC9">
        <w:t>d</w:t>
      </w:r>
      <w:r>
        <w:t xml:space="preserve"> to </w:t>
      </w:r>
      <w:r w:rsidR="00EA3690">
        <w:t>provide feedback to</w:t>
      </w:r>
      <w:r w:rsidR="00FC1F71">
        <w:t xml:space="preserve"> Treasury </w:t>
      </w:r>
      <w:r>
        <w:t xml:space="preserve">about the complexity of the framework and the importance of streamlined processes being available </w:t>
      </w:r>
      <w:r w:rsidR="000A796C">
        <w:t xml:space="preserve">for </w:t>
      </w:r>
      <w:r w:rsidR="00F97C91">
        <w:t>less sensitive</w:t>
      </w:r>
      <w:r w:rsidR="000A796C">
        <w:t xml:space="preserve"> investors and transactions to reduce undue burden and encourage foreign investment.</w:t>
      </w:r>
      <w:r w:rsidR="00C3215F" w:rsidRPr="00C06C7A">
        <w:rPr>
          <w:rStyle w:val="FootnoteReference"/>
          <w:vertAlign w:val="superscript"/>
        </w:rPr>
        <w:footnoteReference w:id="18"/>
      </w:r>
      <w:r w:rsidR="005B26C5">
        <w:t xml:space="preserve"> Be</w:t>
      </w:r>
      <w:r w:rsidR="008B7927">
        <w:t>tween 2021 and 202</w:t>
      </w:r>
      <w:r w:rsidR="001B08E2">
        <w:t>5</w:t>
      </w:r>
      <w:r w:rsidR="008B7927">
        <w:t xml:space="preserve">, a total of </w:t>
      </w:r>
      <w:r w:rsidR="00945FFB">
        <w:t>31</w:t>
      </w:r>
      <w:r w:rsidR="008B7927">
        <w:t xml:space="preserve"> passive</w:t>
      </w:r>
      <w:r w:rsidR="00FB2A7D">
        <w:t xml:space="preserve"> foreign government investor exemption certificates were </w:t>
      </w:r>
      <w:r w:rsidR="00CC6642">
        <w:t>lodged</w:t>
      </w:r>
      <w:r w:rsidR="00FB2A7D">
        <w:t xml:space="preserve">, </w:t>
      </w:r>
      <w:r w:rsidR="00AF5422">
        <w:t xml:space="preserve">with </w:t>
      </w:r>
      <w:r w:rsidR="00D6125D">
        <w:t>23</w:t>
      </w:r>
      <w:r w:rsidR="00A554B2">
        <w:t xml:space="preserve"> of those approved with conditions</w:t>
      </w:r>
      <w:r w:rsidR="00CC6642">
        <w:t>, 2 approved without conditions</w:t>
      </w:r>
      <w:r w:rsidR="00D2177B">
        <w:t>, 2 withdrawn and 4 under assessment</w:t>
      </w:r>
      <w:r w:rsidR="00A554B2">
        <w:t xml:space="preserve">. </w:t>
      </w:r>
      <w:r w:rsidR="00736C22">
        <w:t xml:space="preserve">The data suggests this is a small number compared to </w:t>
      </w:r>
      <w:r w:rsidR="00897CD3">
        <w:t>an annual average of</w:t>
      </w:r>
      <w:r w:rsidR="00E42B26">
        <w:t xml:space="preserve"> 1550 applications for foreign investment</w:t>
      </w:r>
      <w:r w:rsidR="00FB1F14">
        <w:t xml:space="preserve"> each year.</w:t>
      </w:r>
      <w:r w:rsidR="007C424A">
        <w:t xml:space="preserve"> Stakeholder feedback also suggested whilst the introduction of passive ECs was welcome, the uncertainty around getting an EC </w:t>
      </w:r>
      <w:r w:rsidR="00ED6CD1">
        <w:t>remained</w:t>
      </w:r>
      <w:r w:rsidR="007C424A">
        <w:t>.</w:t>
      </w:r>
    </w:p>
    <w:p w14:paraId="47411E16" w14:textId="4B553AD7" w:rsidR="001841AE" w:rsidRPr="001841AE" w:rsidRDefault="001841AE" w:rsidP="00F876BB">
      <w:pPr>
        <w:pStyle w:val="Heading2Numbered"/>
      </w:pPr>
      <w:bookmarkStart w:id="76" w:name="_Toc210039673"/>
      <w:r w:rsidRPr="001841AE">
        <w:t>Register of Foreign Owned Australian Assets (</w:t>
      </w:r>
      <w:r w:rsidR="00264C56">
        <w:t xml:space="preserve">the </w:t>
      </w:r>
      <w:r w:rsidR="00AF506C">
        <w:tab/>
      </w:r>
      <w:r w:rsidR="00264C56">
        <w:t>Register</w:t>
      </w:r>
      <w:r w:rsidRPr="001841AE">
        <w:t>)</w:t>
      </w:r>
      <w:bookmarkEnd w:id="76"/>
    </w:p>
    <w:p w14:paraId="3FEBF4E0" w14:textId="7F35316B" w:rsidR="00FF70FF" w:rsidRPr="006E1E99" w:rsidRDefault="00C4319C" w:rsidP="00F876BB">
      <w:r w:rsidRPr="00C4319C">
        <w:t xml:space="preserve">The Register of Foreign Ownership of Australian Assets (the Register) </w:t>
      </w:r>
      <w:r w:rsidR="00F6217C">
        <w:t xml:space="preserve">commenced </w:t>
      </w:r>
      <w:r w:rsidRPr="00C4319C">
        <w:t>on 1 July 2023</w:t>
      </w:r>
      <w:r w:rsidR="00ED509A">
        <w:t xml:space="preserve"> </w:t>
      </w:r>
      <w:r w:rsidR="00ED509A" w:rsidRPr="00ED509A">
        <w:t>and is administered by the Australian Taxation Office (ATO)</w:t>
      </w:r>
      <w:r w:rsidRPr="00C4319C">
        <w:t xml:space="preserve">. </w:t>
      </w:r>
      <w:r w:rsidR="001F54B0" w:rsidRPr="001F54B0">
        <w:t xml:space="preserve">It amalgamated the existing registers for agricultural land, residential land and water entitlements and expanded registration requirements to include commercial land, business interests and mining or production tenements and exploration tenements. The introduction of the register also created additional obligations for investors to notify certain actions such as disposal of an interest in an asset, changes to foreign person status and changes </w:t>
      </w:r>
      <w:proofErr w:type="gramStart"/>
      <w:r w:rsidR="001F54B0" w:rsidRPr="001F54B0">
        <w:t>in the nature of an</w:t>
      </w:r>
      <w:proofErr w:type="gramEnd"/>
      <w:r w:rsidR="001F54B0" w:rsidRPr="001F54B0">
        <w:t xml:space="preserve"> asset. </w:t>
      </w:r>
      <w:r w:rsidR="004A2472">
        <w:t xml:space="preserve">The information on the Register is not public and can only be used, recorded or disclosed consistently with the protected information provisions of the FATA and other relevant legal </w:t>
      </w:r>
      <w:r w:rsidR="00A1455A">
        <w:t>requirements.</w:t>
      </w:r>
      <w:r w:rsidR="00A1455A" w:rsidRPr="00FF70FF">
        <w:t xml:space="preserve"> To</w:t>
      </w:r>
      <w:r w:rsidR="00FF70FF" w:rsidRPr="00FF70FF">
        <w:t xml:space="preserve"> provide a degree of public transparency on foreign investment in Australia, the Commissioner of Taxation (as Registrar of the </w:t>
      </w:r>
      <w:r w:rsidR="009115BA">
        <w:t>R</w:t>
      </w:r>
      <w:r w:rsidR="00FF70FF" w:rsidRPr="00FF70FF">
        <w:t>egister) is required to present an annual report of aggregate de</w:t>
      </w:r>
      <w:r w:rsidR="004260B1">
        <w:noBreakHyphen/>
      </w:r>
      <w:r w:rsidR="00FF70FF" w:rsidRPr="00FF70FF">
        <w:t>identifie</w:t>
      </w:r>
      <w:r w:rsidR="00FF70FF" w:rsidRPr="006E1E99">
        <w:t>d data to Government each year.</w:t>
      </w:r>
    </w:p>
    <w:p w14:paraId="6CA599D8" w14:textId="053D59D5" w:rsidR="00A65B2F" w:rsidRDefault="001841AE" w:rsidP="00F876BB">
      <w:bookmarkStart w:id="77" w:name="_Hlk208238789"/>
      <w:r w:rsidRPr="006E1E99">
        <w:t xml:space="preserve">The first </w:t>
      </w:r>
      <w:r w:rsidR="00003E1C" w:rsidRPr="006E1E99">
        <w:t>annual report</w:t>
      </w:r>
      <w:r w:rsidRPr="006E1E99">
        <w:t xml:space="preserve"> </w:t>
      </w:r>
      <w:r w:rsidR="00B45882" w:rsidRPr="006E1E99">
        <w:t>from the Register,</w:t>
      </w:r>
      <w:r w:rsidR="00A16845" w:rsidRPr="006E1E99">
        <w:t xml:space="preserve"> </w:t>
      </w:r>
      <w:r w:rsidR="0088542A" w:rsidRPr="006E1E99">
        <w:t>cover</w:t>
      </w:r>
      <w:r w:rsidR="00505949" w:rsidRPr="006E1E99">
        <w:t>in</w:t>
      </w:r>
      <w:r w:rsidR="00056C25" w:rsidRPr="006E1E99">
        <w:t xml:space="preserve">g </w:t>
      </w:r>
      <w:r w:rsidR="00B45882" w:rsidRPr="006E1E99">
        <w:t xml:space="preserve">registered interests held </w:t>
      </w:r>
      <w:r w:rsidR="00056C25" w:rsidRPr="006E1E99">
        <w:t>on</w:t>
      </w:r>
      <w:r w:rsidR="00B45882" w:rsidRPr="006E1E99">
        <w:t xml:space="preserve"> </w:t>
      </w:r>
      <w:r w:rsidR="003A3C88" w:rsidRPr="006E1E99">
        <w:t>3</w:t>
      </w:r>
      <w:r w:rsidR="00B45882" w:rsidRPr="006E1E99">
        <w:t>0 June 2024</w:t>
      </w:r>
      <w:r w:rsidR="52A286F2" w:rsidRPr="006E1E99">
        <w:t>,</w:t>
      </w:r>
      <w:r w:rsidR="27B6C054" w:rsidRPr="006E1E99">
        <w:t xml:space="preserve"> </w:t>
      </w:r>
      <w:r w:rsidR="00B062DA">
        <w:t>is under development</w:t>
      </w:r>
      <w:r w:rsidR="00F173E0" w:rsidRPr="006E1E99">
        <w:t xml:space="preserve">. </w:t>
      </w:r>
      <w:r w:rsidR="00862EBD" w:rsidRPr="006E1E99">
        <w:t>Stakeholders</w:t>
      </w:r>
      <w:r w:rsidR="00477D60">
        <w:t xml:space="preserve"> </w:t>
      </w:r>
      <w:r w:rsidR="00F47016">
        <w:t>have</w:t>
      </w:r>
      <w:r w:rsidR="00477D60">
        <w:t xml:space="preserve"> expressed </w:t>
      </w:r>
      <w:r w:rsidR="00C72DF1">
        <w:t xml:space="preserve">some </w:t>
      </w:r>
      <w:r w:rsidR="00477D60">
        <w:t xml:space="preserve">concern that the reporting requirements of the Register </w:t>
      </w:r>
      <w:r w:rsidR="00C72DF1">
        <w:t>have</w:t>
      </w:r>
      <w:r w:rsidR="00477D60">
        <w:t xml:space="preserve"> added to </w:t>
      </w:r>
      <w:r w:rsidR="00C041FD">
        <w:t>complexity of the foreign investment framework</w:t>
      </w:r>
      <w:r w:rsidR="00065F08">
        <w:t>.</w:t>
      </w:r>
      <w:r w:rsidR="00D90528" w:rsidRPr="00C06C7A">
        <w:rPr>
          <w:rStyle w:val="FootnoteReference"/>
          <w:vertAlign w:val="superscript"/>
        </w:rPr>
        <w:footnoteReference w:id="19"/>
      </w:r>
      <w:r w:rsidR="00A625E0" w:rsidRPr="00C06C7A">
        <w:rPr>
          <w:vertAlign w:val="superscript"/>
        </w:rPr>
        <w:t xml:space="preserve"> </w:t>
      </w:r>
      <w:r w:rsidR="00657BFA">
        <w:t xml:space="preserve">Stakeholders </w:t>
      </w:r>
      <w:r w:rsidR="00F47016">
        <w:t>have</w:t>
      </w:r>
      <w:r w:rsidR="00A625E0">
        <w:t xml:space="preserve"> also</w:t>
      </w:r>
      <w:r w:rsidR="00657BFA">
        <w:t xml:space="preserve"> expressed</w:t>
      </w:r>
      <w:r w:rsidR="00A625E0">
        <w:t xml:space="preserve"> concerns of duplicative reporting</w:t>
      </w:r>
      <w:r w:rsidR="00657BFA">
        <w:t xml:space="preserve"> obligations for some investors</w:t>
      </w:r>
      <w:r w:rsidR="00642770">
        <w:t xml:space="preserve"> that can be </w:t>
      </w:r>
      <w:r w:rsidR="00D70461">
        <w:t>onerous, particularly for small economic interests and minor changes in economic stakes.</w:t>
      </w:r>
    </w:p>
    <w:bookmarkEnd w:id="77"/>
    <w:p w14:paraId="152FCDC2" w14:textId="579C6240" w:rsidR="0003667F" w:rsidRPr="004C06D7" w:rsidRDefault="0003667F" w:rsidP="00F876BB">
      <w:r w:rsidRPr="004C06D7">
        <w:t>The ATO has applied a sound, risk managed approach to maintaining the integrity of the Register.</w:t>
      </w:r>
      <w:r w:rsidR="005A7B35">
        <w:t xml:space="preserve"> </w:t>
      </w:r>
      <w:r w:rsidRPr="004C06D7">
        <w:t>Ensuring the accuracy of investor notification through these vetting processes is manual and reviewing submissions and validating against third party data is resource intensive. The ATO has established vetting and quality assurance processes related to residential land, agricultural land and water entitlements. For the three new asset classes (business interests, commercial land and mining or production tenements and exploration tenements), these processes are maturing</w:t>
      </w:r>
      <w:r w:rsidR="004260B1">
        <w:t>.</w:t>
      </w:r>
      <w:r w:rsidRPr="004C06D7">
        <w:t xml:space="preserve"> </w:t>
      </w:r>
    </w:p>
    <w:p w14:paraId="65F5561A" w14:textId="61FA72EB" w:rsidR="0003667F" w:rsidRPr="004C06D7" w:rsidRDefault="0003667F" w:rsidP="00F876BB">
      <w:r w:rsidRPr="004C06D7">
        <w:t>The RIS forecasted asset notifications that could be expected on the Register, but in practice, notifications have exceeded these forecasts. Previously, investors notified Treasury of non</w:t>
      </w:r>
      <w:r w:rsidR="004260B1">
        <w:noBreakHyphen/>
      </w:r>
      <w:r w:rsidRPr="004C06D7">
        <w:t xml:space="preserve">residential </w:t>
      </w:r>
      <w:r w:rsidR="002C02AE" w:rsidRPr="004C06D7">
        <w:t>assets and</w:t>
      </w:r>
      <w:r w:rsidRPr="004C06D7">
        <w:t xml:space="preserve"> were only required to notify of the transaction. With the introduction of the Register and supporting legislation, investors are required to notify of significant and notifiable actions. Some transactions have considerable numbers of actions that must separately be notified, including for each entity in a structure that has been traced to have taken an action. </w:t>
      </w:r>
      <w:r w:rsidR="003D0D26" w:rsidRPr="003D0D26">
        <w:t>Maintenance provisions under the Register now also require that, once an action is recorded, any changes to ownership information must be accurately maintained. This includes changes in relation to the disposal of assets, the owners</w:t>
      </w:r>
      <w:r w:rsidR="004260B1">
        <w:t>’</w:t>
      </w:r>
      <w:r w:rsidR="003D0D26" w:rsidRPr="003D0D26">
        <w:t xml:space="preserve"> foreign status (e.g. if they a no longer a foreign person), changes to the nature of interest and percentages </w:t>
      </w:r>
      <w:r w:rsidR="009A457E" w:rsidRPr="003D0D26">
        <w:t>owned.</w:t>
      </w:r>
      <w:r w:rsidRPr="004C06D7">
        <w:t xml:space="preserve"> Additionally, individuals and entities with existing assets who become foreign persons are required to notify of their holdings</w:t>
      </w:r>
      <w:r w:rsidR="004260B1">
        <w:t xml:space="preserve">. </w:t>
      </w:r>
    </w:p>
    <w:p w14:paraId="0FF5205B" w14:textId="69F32E7E" w:rsidR="0003667F" w:rsidRPr="004C06D7" w:rsidRDefault="0003667F" w:rsidP="00F876BB">
      <w:r w:rsidRPr="004C06D7">
        <w:t>To support the Register, a new authenticated platform, ATO</w:t>
      </w:r>
      <w:r w:rsidR="004260B1">
        <w:t>’</w:t>
      </w:r>
      <w:r w:rsidRPr="004C06D7">
        <w:t>s Online services for foreign investors (the ATO Online Service) was developed for foreign investors and their representatives to interact with the ATO in meeting their foreign investment obligations. As part of the Australian Government</w:t>
      </w:r>
      <w:r w:rsidR="004260B1">
        <w:t>’</w:t>
      </w:r>
      <w:r w:rsidRPr="004C06D7">
        <w:t>s Digital ID System, the ATO Online Service uses digital identification to increase security over those who have access to the system and ensure integrity and security of Register data. Whilst there are additional steps in setting up access to the ATO Online Service for the first time, these steps to verify identity and authorise representatives are essential and help protect investors against fraud and identify related theft, for Registration and subsequent tax interactions. Guidance for foreign investors on how to access the ATO Online Service and authorise representatives was published on ato.gov.au.</w:t>
      </w:r>
    </w:p>
    <w:p w14:paraId="49E6EEAB" w14:textId="2F17E627" w:rsidR="0003667F" w:rsidRPr="004C06D7" w:rsidRDefault="0003667F" w:rsidP="00F876BB">
      <w:r w:rsidRPr="004C06D7">
        <w:t>Originally, the RIS proposed a single public front door to channel investors to either the ATO Online service or the Treasury portal</w:t>
      </w:r>
      <w:r w:rsidR="00066423">
        <w:t>, however this did not progress.</w:t>
      </w:r>
    </w:p>
    <w:p w14:paraId="0F45961F" w14:textId="74AF16A9" w:rsidR="0003667F" w:rsidRPr="004C06D7" w:rsidRDefault="0003667F" w:rsidP="00F876BB">
      <w:r w:rsidRPr="004C06D7">
        <w:t xml:space="preserve">To further support compliance activities and ensure foreign acquisitions remain within the national interest, the ATO shares data from the Register with other Government agencies under formal memorandum of understandings (MOUs). These MOUs require shared data to be transferred and stored </w:t>
      </w:r>
      <w:r w:rsidR="002C02AE" w:rsidRPr="004C06D7">
        <w:t>securely and</w:t>
      </w:r>
      <w:r w:rsidRPr="004C06D7">
        <w:t xml:space="preserve"> used only for activities agreed by the two agencies. </w:t>
      </w:r>
    </w:p>
    <w:p w14:paraId="4C5A1479" w14:textId="2D67516F" w:rsidR="00FE5F13" w:rsidRDefault="00FE5F13" w:rsidP="00F876BB">
      <w:pPr>
        <w:pStyle w:val="Heading2Numbered"/>
      </w:pPr>
      <w:bookmarkStart w:id="78" w:name="_Toc210039674"/>
      <w:r>
        <w:t xml:space="preserve">A fairer and simpler framework for foreign investment </w:t>
      </w:r>
      <w:r w:rsidR="00AF506C">
        <w:tab/>
      </w:r>
      <w:r>
        <w:t>fees</w:t>
      </w:r>
      <w:bookmarkEnd w:id="78"/>
    </w:p>
    <w:p w14:paraId="4B065AA7" w14:textId="393DC415" w:rsidR="004E76B9" w:rsidRDefault="00AC1048" w:rsidP="00A850E8">
      <w:r w:rsidRPr="00AC1048">
        <w:t xml:space="preserve">Since December 2015, the Government has charged fees for foreign investment applications to ensure the costs of </w:t>
      </w:r>
      <w:r w:rsidR="005376A5">
        <w:t xml:space="preserve">administering </w:t>
      </w:r>
      <w:r w:rsidRPr="00AC1048">
        <w:t>the framework are borne by foreign investors, and not Australian taxpayers</w:t>
      </w:r>
      <w:r w:rsidR="00254B0E">
        <w:t>.</w:t>
      </w:r>
      <w:r w:rsidR="00254B0E" w:rsidRPr="00C06C7A">
        <w:rPr>
          <w:rStyle w:val="FootnoteReference"/>
          <w:vertAlign w:val="superscript"/>
        </w:rPr>
        <w:footnoteReference w:id="20"/>
      </w:r>
      <w:r w:rsidR="009F3B0B" w:rsidRPr="00C06C7A">
        <w:rPr>
          <w:vertAlign w:val="superscript"/>
        </w:rPr>
        <w:t xml:space="preserve"> </w:t>
      </w:r>
      <w:r w:rsidR="00C72DF1">
        <w:t xml:space="preserve">The 2021 reforms </w:t>
      </w:r>
      <w:r w:rsidR="005376A5">
        <w:t>introduced</w:t>
      </w:r>
      <w:r w:rsidR="009F3B0B" w:rsidRPr="009F3B0B">
        <w:t xml:space="preserve"> a more graduated fee structure that ensures fees are more closely aligned with the overall value of a transaction.</w:t>
      </w:r>
      <w:r w:rsidR="002F2CDD">
        <w:t xml:space="preserve"> </w:t>
      </w:r>
      <w:r w:rsidR="002F2CDD" w:rsidRPr="002F2CDD">
        <w:t xml:space="preserve">The new fee structure </w:t>
      </w:r>
      <w:r w:rsidR="00767B23">
        <w:t>maintained the Government</w:t>
      </w:r>
      <w:r w:rsidR="004260B1">
        <w:t>’</w:t>
      </w:r>
      <w:r w:rsidR="00C72DF1">
        <w:t>s</w:t>
      </w:r>
      <w:r w:rsidR="00767B23">
        <w:t xml:space="preserve"> intent of </w:t>
      </w:r>
      <w:r w:rsidR="00767B23" w:rsidRPr="002F2CDD">
        <w:t>ensuri</w:t>
      </w:r>
      <w:r w:rsidR="00767B23">
        <w:t>ng</w:t>
      </w:r>
      <w:r w:rsidR="002F2CDD" w:rsidRPr="002F2CDD">
        <w:t xml:space="preserve"> the cost of administering the foreign investment framework continue</w:t>
      </w:r>
      <w:r w:rsidR="002F2CDD">
        <w:t xml:space="preserve">d </w:t>
      </w:r>
      <w:r w:rsidR="002F2CDD" w:rsidRPr="002F2CDD">
        <w:t>to be borne by foreign investors.</w:t>
      </w:r>
    </w:p>
    <w:p w14:paraId="1DEF60E0" w14:textId="1708E870" w:rsidR="00EB42BB" w:rsidRDefault="00EB42BB" w:rsidP="00A850E8">
      <w:r>
        <w:t xml:space="preserve">Understanding the impact of changes in the fee structure </w:t>
      </w:r>
      <w:r w:rsidR="0058626C">
        <w:t xml:space="preserve">or other reforms since 2021 on </w:t>
      </w:r>
      <w:r w:rsidR="00C72DF1">
        <w:t xml:space="preserve">foreign investment </w:t>
      </w:r>
      <w:r w:rsidR="00AB6913">
        <w:t>interest</w:t>
      </w:r>
      <w:r w:rsidR="0058626C">
        <w:t xml:space="preserve"> is not straightforward, as the number and size of foreign investment applications can be driven by a wide range of external factors</w:t>
      </w:r>
      <w:r w:rsidR="00E30067">
        <w:t>. The frequency of policy adjustments</w:t>
      </w:r>
      <w:r w:rsidR="002F6B45">
        <w:t>, including to fees</w:t>
      </w:r>
      <w:r w:rsidR="005376A5">
        <w:t>,</w:t>
      </w:r>
      <w:r w:rsidR="00E30067">
        <w:t xml:space="preserve"> </w:t>
      </w:r>
      <w:r w:rsidR="00782CCC">
        <w:t>complicate the ability to isolate the impact of any one specific change</w:t>
      </w:r>
      <w:r w:rsidR="006B7C6F">
        <w:t>.</w:t>
      </w:r>
    </w:p>
    <w:p w14:paraId="5FBAD566" w14:textId="3BC72853" w:rsidR="00F413F0" w:rsidRDefault="00F413F0" w:rsidP="002F6B45">
      <w:r>
        <w:t xml:space="preserve">Many stakeholders </w:t>
      </w:r>
      <w:r w:rsidR="005376A5">
        <w:t xml:space="preserve">have </w:t>
      </w:r>
      <w:r>
        <w:t>continued to provide feedback on the fees and considered that revenue collected was not proportionate to the cost incurred by agencies</w:t>
      </w:r>
      <w:r w:rsidR="001F07B2">
        <w:t xml:space="preserve"> in administering the </w:t>
      </w:r>
      <w:r w:rsidR="00ED0459">
        <w:t>framework</w:t>
      </w:r>
      <w:r w:rsidR="001F07B2">
        <w:t>.</w:t>
      </w:r>
      <w:r w:rsidR="00F2147E">
        <w:t xml:space="preserve"> The complexity in navigating and calculating foreign investment fees</w:t>
      </w:r>
      <w:r w:rsidR="00027D14">
        <w:t xml:space="preserve"> also adds burdens for investors.</w:t>
      </w:r>
      <w:r w:rsidR="003670C9">
        <w:t xml:space="preserve"> Stakeholders also consider that </w:t>
      </w:r>
      <w:r w:rsidR="00CA3289">
        <w:t xml:space="preserve">foreign investment fees may hamper foreign investment in </w:t>
      </w:r>
      <w:r w:rsidR="00F151D2">
        <w:t>priority sectors, such as certain types of housing development</w:t>
      </w:r>
      <w:r w:rsidR="0093265C">
        <w:t>.</w:t>
      </w:r>
      <w:r w:rsidR="003B67BF" w:rsidRPr="00C06C7A">
        <w:rPr>
          <w:rStyle w:val="FootnoteReference"/>
          <w:szCs w:val="18"/>
          <w:vertAlign w:val="superscript"/>
        </w:rPr>
        <w:footnoteReference w:id="21"/>
      </w:r>
    </w:p>
    <w:p w14:paraId="673EB1B3" w14:textId="5B89ABED" w:rsidR="000C6587" w:rsidRDefault="006A493B" w:rsidP="000C6587">
      <w:r>
        <w:t>Since the 2021 reforms, the fees that have been collected ha</w:t>
      </w:r>
      <w:r w:rsidR="0045464C">
        <w:t>s</w:t>
      </w:r>
      <w:r>
        <w:t xml:space="preserve"> increased</w:t>
      </w:r>
      <w:r w:rsidR="00B816BD">
        <w:t xml:space="preserve"> from</w:t>
      </w:r>
      <w:r w:rsidR="000C6587" w:rsidRPr="000C6587">
        <w:t xml:space="preserve"> $88 million in 2020</w:t>
      </w:r>
      <w:r w:rsidR="00E21FEE" w:rsidRPr="00E21FEE">
        <w:t>–</w:t>
      </w:r>
      <w:r w:rsidR="000C6587" w:rsidRPr="000C6587">
        <w:t>21 and $133 million in 2021</w:t>
      </w:r>
      <w:r w:rsidR="00E21FEE" w:rsidRPr="00E21FEE">
        <w:t>–</w:t>
      </w:r>
      <w:r w:rsidR="000C6587" w:rsidRPr="000C6587">
        <w:t xml:space="preserve">22 (see Chart 6.3). </w:t>
      </w:r>
      <w:r w:rsidR="000C6587">
        <w:t>T</w:t>
      </w:r>
      <w:r w:rsidR="000C6587" w:rsidRPr="000C6587">
        <w:t>his increase may have partly been due to the 2021 revised fee framework, which more closely linked each fee type to the transaction size</w:t>
      </w:r>
      <w:r w:rsidR="00D75FA9">
        <w:t>.</w:t>
      </w:r>
      <w:r w:rsidR="00A5228A" w:rsidRPr="00A5228A">
        <w:t xml:space="preserve"> </w:t>
      </w:r>
      <w:r w:rsidR="000C6587" w:rsidRPr="000C6587">
        <w:t>This change in the fee framework coincided with an increase in the value of notified investments. This upward trend in fee revenue has continued</w:t>
      </w:r>
      <w:r w:rsidR="00A038A9">
        <w:t>,</w:t>
      </w:r>
      <w:r w:rsidR="000C6587" w:rsidRPr="000C6587">
        <w:t xml:space="preserve"> which may </w:t>
      </w:r>
      <w:r w:rsidR="00A038A9">
        <w:t>also</w:t>
      </w:r>
      <w:r w:rsidR="000C6587" w:rsidRPr="000C6587">
        <w:t xml:space="preserve"> be partly attributable to further subsequent fee increases on 29 July 202</w:t>
      </w:r>
      <w:r w:rsidR="00666C4D">
        <w:t>2</w:t>
      </w:r>
      <w:r w:rsidR="000C6587" w:rsidRPr="000C6587">
        <w:t xml:space="preserve"> with the doubling of fees for all foreign investment applications and </w:t>
      </w:r>
      <w:r w:rsidR="00491E34">
        <w:t xml:space="preserve">the </w:t>
      </w:r>
      <w:r w:rsidR="00E62E81">
        <w:t xml:space="preserve">subsequent </w:t>
      </w:r>
      <w:r w:rsidR="00C5524C">
        <w:t xml:space="preserve">tripling </w:t>
      </w:r>
      <w:r w:rsidR="003A0CAB">
        <w:t xml:space="preserve">of application fees for </w:t>
      </w:r>
      <w:r w:rsidR="00003177">
        <w:t>purchases of established dwellings and the doubling of the vacancy fee</w:t>
      </w:r>
      <w:r w:rsidR="00E62E81">
        <w:t xml:space="preserve"> </w:t>
      </w:r>
      <w:r w:rsidR="000C6587" w:rsidRPr="000C6587">
        <w:t>on 9 April 2024. While the increase in fees collected may suggest an increase in investment activity, it is unclear whether it reflects the effectiveness of the fee structure or simply the effect of higher fee rates. It is difficult to isolate the impact of the 2021 reforms and conclusively attribute this trend of</w:t>
      </w:r>
      <w:r w:rsidR="00E10857">
        <w:t xml:space="preserve"> increased</w:t>
      </w:r>
      <w:r w:rsidR="000C6587" w:rsidRPr="000C6587">
        <w:t xml:space="preserve"> fee</w:t>
      </w:r>
      <w:r w:rsidR="002931B7">
        <w:t>s</w:t>
      </w:r>
      <w:r w:rsidR="00E10857">
        <w:t xml:space="preserve"> </w:t>
      </w:r>
      <w:r w:rsidR="00B016FB">
        <w:t>collected</w:t>
      </w:r>
      <w:r w:rsidR="000C6587" w:rsidRPr="000C6587">
        <w:t xml:space="preserve"> with these subsequent changes.</w:t>
      </w:r>
    </w:p>
    <w:p w14:paraId="79BE97A2" w14:textId="3F7B6062" w:rsidR="007759A1" w:rsidRDefault="007759A1" w:rsidP="00E21FEE">
      <w:pPr>
        <w:pStyle w:val="ChartMainHeading"/>
      </w:pPr>
      <w:r>
        <w:t>Chart 6.</w:t>
      </w:r>
      <w:r w:rsidR="004C4225">
        <w:t>3</w:t>
      </w:r>
      <w:r>
        <w:t>: Foreign investment fees collected ($m</w:t>
      </w:r>
      <w:r w:rsidRPr="00F876BB">
        <w:t>)</w:t>
      </w:r>
      <w:r w:rsidRPr="00C06C7A">
        <w:rPr>
          <w:rStyle w:val="FootnoteReference"/>
          <w:vertAlign w:val="superscript"/>
        </w:rPr>
        <w:footnoteReference w:id="22"/>
      </w:r>
    </w:p>
    <w:p w14:paraId="1FCC0FB3" w14:textId="60ACD7BE" w:rsidR="007759A1" w:rsidRDefault="007759A1" w:rsidP="007759A1">
      <w:pPr>
        <w:pStyle w:val="Bullet"/>
        <w:numPr>
          <w:ilvl w:val="0"/>
          <w:numId w:val="0"/>
        </w:numPr>
        <w:spacing w:line="240" w:lineRule="auto"/>
      </w:pPr>
      <w:r>
        <w:rPr>
          <w:noProof/>
        </w:rPr>
        <mc:AlternateContent>
          <mc:Choice Requires="wps">
            <w:drawing>
              <wp:anchor distT="0" distB="0" distL="114300" distR="114300" simplePos="0" relativeHeight="251658242" behindDoc="0" locked="0" layoutInCell="1" allowOverlap="1" wp14:anchorId="27540866" wp14:editId="716EF920">
                <wp:simplePos x="0" y="0"/>
                <wp:positionH relativeFrom="column">
                  <wp:posOffset>2921635</wp:posOffset>
                </wp:positionH>
                <wp:positionV relativeFrom="paragraph">
                  <wp:posOffset>52254</wp:posOffset>
                </wp:positionV>
                <wp:extent cx="1016758" cy="388961"/>
                <wp:effectExtent l="0" t="0" r="0" b="0"/>
                <wp:wrapNone/>
                <wp:docPr id="1594017884" name="Text Box 2"/>
                <wp:cNvGraphicFramePr/>
                <a:graphic xmlns:a="http://schemas.openxmlformats.org/drawingml/2006/main">
                  <a:graphicData uri="http://schemas.microsoft.com/office/word/2010/wordprocessingShape">
                    <wps:wsp>
                      <wps:cNvSpPr txBox="1"/>
                      <wps:spPr>
                        <a:xfrm>
                          <a:off x="0" y="0"/>
                          <a:ext cx="1016758" cy="388961"/>
                        </a:xfrm>
                        <a:prstGeom prst="rect">
                          <a:avLst/>
                        </a:prstGeom>
                        <a:noFill/>
                        <a:ln w="6350">
                          <a:noFill/>
                        </a:ln>
                      </wps:spPr>
                      <wps:txbx>
                        <w:txbxContent>
                          <w:p w14:paraId="56F7C147" w14:textId="77777777" w:rsidR="007759A1" w:rsidRPr="007942BC" w:rsidRDefault="007759A1" w:rsidP="007759A1">
                            <w:pPr>
                              <w:rPr>
                                <w:rFonts w:ascii="Arial" w:hAnsi="Arial" w:cs="Arial"/>
                                <w:sz w:val="16"/>
                                <w:szCs w:val="14"/>
                              </w:rPr>
                            </w:pPr>
                            <w:r w:rsidRPr="007942BC">
                              <w:rPr>
                                <w:rFonts w:ascii="Arial" w:hAnsi="Arial" w:cs="Arial"/>
                                <w:sz w:val="16"/>
                                <w:szCs w:val="14"/>
                              </w:rPr>
                              <w:t>2021 Fee update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40866" id="_x0000_t202" coordsize="21600,21600" o:spt="202" path="m,l,21600r21600,l21600,xe">
                <v:stroke joinstyle="miter"/>
                <v:path gradientshapeok="t" o:connecttype="rect"/>
              </v:shapetype>
              <v:shape id="Text Box 2" o:spid="_x0000_s1026" type="#_x0000_t202" style="position:absolute;margin-left:230.05pt;margin-top:4.1pt;width:80.05pt;height:3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" filled="f" stroked="f" strokeweight=".5pt">
                <v:textbox>
                  <w:txbxContent>
                    <w:p w14:paraId="56F7C147" w14:textId="77777777" w:rsidR="007759A1" w:rsidRPr="007942BC" w:rsidRDefault="007759A1" w:rsidP="007759A1">
                      <w:pPr>
                        <w:rPr>
                          <w:rFonts w:ascii="Arial" w:hAnsi="Arial" w:cs="Arial"/>
                          <w:sz w:val="16"/>
                          <w:szCs w:val="14"/>
                        </w:rPr>
                      </w:pPr>
                      <w:r w:rsidRPr="007942BC">
                        <w:rPr>
                          <w:rFonts w:ascii="Arial" w:hAnsi="Arial" w:cs="Arial"/>
                          <w:sz w:val="16"/>
                          <w:szCs w:val="14"/>
                        </w:rPr>
                        <w:t>2021 Fee update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F2000DE" wp14:editId="31B90A99">
                <wp:simplePos x="0" y="0"/>
                <wp:positionH relativeFrom="column">
                  <wp:posOffset>2918579</wp:posOffset>
                </wp:positionH>
                <wp:positionV relativeFrom="paragraph">
                  <wp:posOffset>145652</wp:posOffset>
                </wp:positionV>
                <wp:extent cx="15072" cy="2150669"/>
                <wp:effectExtent l="0" t="0" r="23495" b="21590"/>
                <wp:wrapNone/>
                <wp:docPr id="139473140" name="Straight Connector 1" descr="This bar chart shows the foreign investment fees collected in millions of dollars for the financial years 2017 p 2024. There has been a steady increase in fees collected from $88 million in 2020-21 to $246 million in 2023-24."/>
                <wp:cNvGraphicFramePr/>
                <a:graphic xmlns:a="http://schemas.openxmlformats.org/drawingml/2006/main">
                  <a:graphicData uri="http://schemas.microsoft.com/office/word/2010/wordprocessingShape">
                    <wps:wsp>
                      <wps:cNvCnPr/>
                      <wps:spPr>
                        <a:xfrm flipH="1" flipV="1">
                          <a:off x="0" y="0"/>
                          <a:ext cx="15072" cy="2150669"/>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8FBBB94" id="Straight Connector 1" o:spid="_x0000_s1026" alt="This bar chart shows the foreign investment fees collected in millions of dollars for the financial years 2017 p 2024. There has been a steady increase in fees collected from $88 million in 2020-21 to $246 million in 2023-24."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pt,11.45pt" to="231pt,1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" strokecolor="#2c384a [3204]" strokeweight="1.5pt">
                <v:stroke dashstyle="dash"/>
              </v:line>
            </w:pict>
          </mc:Fallback>
        </mc:AlternateContent>
      </w:r>
      <w:r w:rsidR="007D7347">
        <w:rPr>
          <w:noProof/>
        </w:rPr>
        <w:drawing>
          <wp:inline distT="0" distB="0" distL="0" distR="0" wp14:anchorId="6188913B" wp14:editId="3A86CE80">
            <wp:extent cx="5578475" cy="2517775"/>
            <wp:effectExtent l="0" t="0" r="3175" b="0"/>
            <wp:docPr id="376974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8475" cy="2517775"/>
                    </a:xfrm>
                    <a:prstGeom prst="rect">
                      <a:avLst/>
                    </a:prstGeom>
                    <a:noFill/>
                  </pic:spPr>
                </pic:pic>
              </a:graphicData>
            </a:graphic>
          </wp:inline>
        </w:drawing>
      </w:r>
    </w:p>
    <w:p w14:paraId="72830497" w14:textId="44D15DEC" w:rsidR="007759A1" w:rsidRPr="00EF7499" w:rsidRDefault="007759A1" w:rsidP="00E21FEE">
      <w:pPr>
        <w:pStyle w:val="ChartorTableNote"/>
      </w:pPr>
      <w:r w:rsidRPr="00EF7499">
        <w:t>Source:</w:t>
      </w:r>
      <w:r w:rsidR="00E21FEE">
        <w:tab/>
      </w:r>
      <w:r w:rsidRPr="00EF7499">
        <w:t>ATO</w:t>
      </w:r>
    </w:p>
    <w:p w14:paraId="3A14D12E" w14:textId="103C2B1C" w:rsidR="00C301FC" w:rsidRDefault="001841AE" w:rsidP="00F876BB">
      <w:pPr>
        <w:pStyle w:val="Heading2Numbered"/>
      </w:pPr>
      <w:bookmarkStart w:id="79" w:name="_Toc210039675"/>
      <w:r>
        <w:t>Modernising Australia</w:t>
      </w:r>
      <w:r w:rsidR="004260B1">
        <w:t>’</w:t>
      </w:r>
      <w:r>
        <w:t xml:space="preserve">s foreign investment ICT platform </w:t>
      </w:r>
      <w:r w:rsidR="00E21FEE">
        <w:tab/>
      </w:r>
      <w:r>
        <w:t xml:space="preserve">for better case management, compliance </w:t>
      </w:r>
      <w:r w:rsidR="004E76B9">
        <w:t xml:space="preserve">enforcement </w:t>
      </w:r>
      <w:r w:rsidR="00E21FEE">
        <w:tab/>
      </w:r>
      <w:r w:rsidR="004E76B9">
        <w:t>and data use</w:t>
      </w:r>
      <w:bookmarkEnd w:id="79"/>
    </w:p>
    <w:p w14:paraId="0D617B5E" w14:textId="7CE93F2A" w:rsidR="002E3301" w:rsidRDefault="0001121B" w:rsidP="00F876BB">
      <w:r>
        <w:t xml:space="preserve">The </w:t>
      </w:r>
      <w:r w:rsidR="00DE3C64">
        <w:t>Treasury</w:t>
      </w:r>
      <w:r>
        <w:t xml:space="preserve"> Foreign Investment Portal (the </w:t>
      </w:r>
      <w:r w:rsidR="006B1B9A">
        <w:t>P</w:t>
      </w:r>
      <w:r>
        <w:t>ortal)</w:t>
      </w:r>
      <w:r w:rsidR="00F90683">
        <w:t xml:space="preserve"> </w:t>
      </w:r>
      <w:r w:rsidR="002E3301" w:rsidRPr="002E3301">
        <w:t>and the ATO</w:t>
      </w:r>
      <w:r w:rsidR="004260B1">
        <w:t>’</w:t>
      </w:r>
      <w:r w:rsidR="002E3301" w:rsidRPr="002E3301">
        <w:t>s Online services for foreign investors were</w:t>
      </w:r>
      <w:r w:rsidR="002E3301">
        <w:t xml:space="preserve"> </w:t>
      </w:r>
      <w:r w:rsidR="00F90683">
        <w:t>developed between 2021 and 2025</w:t>
      </w:r>
      <w:r w:rsidR="006B1B9A">
        <w:t xml:space="preserve">, together with the </w:t>
      </w:r>
      <w:r w:rsidR="002E3301">
        <w:t>Register</w:t>
      </w:r>
      <w:r w:rsidR="00B44D35">
        <w:t xml:space="preserve"> </w:t>
      </w:r>
      <w:r w:rsidR="006B1B9A">
        <w:t xml:space="preserve">discussed </w:t>
      </w:r>
      <w:r w:rsidR="00E26942">
        <w:t xml:space="preserve">in </w:t>
      </w:r>
      <w:r w:rsidR="00147944">
        <w:t>S</w:t>
      </w:r>
      <w:r w:rsidR="00E26942">
        <w:t xml:space="preserve">ection 6.5 </w:t>
      </w:r>
      <w:r w:rsidR="006B1B9A">
        <w:t>above.</w:t>
      </w:r>
      <w:r w:rsidR="00F4207E">
        <w:t xml:space="preserve"> </w:t>
      </w:r>
      <w:r w:rsidR="00F4207E" w:rsidRPr="00F4207E">
        <w:t>The</w:t>
      </w:r>
      <w:r w:rsidR="002E3301">
        <w:t>se</w:t>
      </w:r>
      <w:r w:rsidR="00F4207E" w:rsidRPr="00F4207E">
        <w:t xml:space="preserve"> </w:t>
      </w:r>
      <w:r w:rsidR="002E3301">
        <w:t xml:space="preserve">online platforms </w:t>
      </w:r>
      <w:r w:rsidR="00F4207E">
        <w:t>aim</w:t>
      </w:r>
      <w:r w:rsidR="002E3301">
        <w:t xml:space="preserve"> </w:t>
      </w:r>
      <w:r w:rsidR="00361F9B" w:rsidRPr="004C51FB">
        <w:rPr>
          <w:rFonts w:cs="Calibri Light"/>
        </w:rPr>
        <w:t xml:space="preserve">to enable investors, </w:t>
      </w:r>
      <w:r w:rsidR="00361F9B">
        <w:rPr>
          <w:rFonts w:cs="Calibri Light"/>
        </w:rPr>
        <w:t>agents</w:t>
      </w:r>
      <w:r w:rsidR="00361F9B" w:rsidRPr="004C51FB">
        <w:rPr>
          <w:rFonts w:cs="Calibri Light"/>
        </w:rPr>
        <w:t xml:space="preserve"> and government consultation partners to engage with Treasury </w:t>
      </w:r>
      <w:r w:rsidR="002E3301">
        <w:rPr>
          <w:rFonts w:cs="Calibri Light"/>
        </w:rPr>
        <w:t>and the ATO</w:t>
      </w:r>
      <w:r w:rsidR="000F36AC">
        <w:rPr>
          <w:rFonts w:cs="Calibri Light"/>
        </w:rPr>
        <w:t xml:space="preserve"> </w:t>
      </w:r>
      <w:r w:rsidR="00361F9B" w:rsidRPr="004C51FB">
        <w:rPr>
          <w:rFonts w:cs="Calibri Light"/>
        </w:rPr>
        <w:t>more efficiently.</w:t>
      </w:r>
      <w:r w:rsidR="00451BE6">
        <w:t xml:space="preserve"> </w:t>
      </w:r>
    </w:p>
    <w:p w14:paraId="34432844" w14:textId="12FFB80A" w:rsidR="002E3301" w:rsidRDefault="00757CDE" w:rsidP="00F876BB">
      <w:r w:rsidRPr="00757CDE">
        <w:t>The ATO</w:t>
      </w:r>
      <w:r w:rsidR="004260B1">
        <w:t>’</w:t>
      </w:r>
      <w:r w:rsidRPr="00757CDE">
        <w:t>s Online services for foreign investors was launched on 1 July 2023 to coincide with the commencement of the Register. It provides all foreign investors the ability to register their interest in Australian assets and maintain their details as well as providing a single platform for residential investors to apply, register assets and manage their ongoing foreign investment obligations.</w:t>
      </w:r>
    </w:p>
    <w:p w14:paraId="4FB31650" w14:textId="07542F64" w:rsidR="00165B09" w:rsidRDefault="006B1B9A" w:rsidP="00F876BB">
      <w:r>
        <w:t xml:space="preserve">The Compliance </w:t>
      </w:r>
      <w:r w:rsidR="007972A1">
        <w:t xml:space="preserve">functionality </w:t>
      </w:r>
      <w:r>
        <w:t xml:space="preserve">of </w:t>
      </w:r>
      <w:r w:rsidR="007972A1">
        <w:t>Treasury</w:t>
      </w:r>
      <w:r w:rsidR="004260B1">
        <w:t>’</w:t>
      </w:r>
      <w:r w:rsidR="007972A1">
        <w:t xml:space="preserve">s </w:t>
      </w:r>
      <w:r>
        <w:t xml:space="preserve">Portal was launched on 24 February 2025 and </w:t>
      </w:r>
      <w:r w:rsidR="00D336C4">
        <w:t>full functionality</w:t>
      </w:r>
      <w:r>
        <w:t xml:space="preserve"> of the Portal </w:t>
      </w:r>
      <w:r w:rsidR="002F0A52">
        <w:t>was launched on 28 May 2025.</w:t>
      </w:r>
      <w:r w:rsidR="005D693F">
        <w:t xml:space="preserve"> This replaced the previous FIRB </w:t>
      </w:r>
      <w:r w:rsidR="00165B09">
        <w:t>Application Portal. Users can now use the portal to</w:t>
      </w:r>
      <w:r w:rsidR="00D613A8">
        <w:t xml:space="preserve"> create an account, submit a compliance report, communicate with Treasury in</w:t>
      </w:r>
      <w:r w:rsidR="004260B1">
        <w:noBreakHyphen/>
      </w:r>
      <w:r w:rsidR="00D613A8">
        <w:t>system, make submissions</w:t>
      </w:r>
      <w:r w:rsidR="00F36017">
        <w:t xml:space="preserve"> (including future condition responses)</w:t>
      </w:r>
      <w:r w:rsidR="00D613A8">
        <w:t xml:space="preserve">, pay fees, and </w:t>
      </w:r>
      <w:r w:rsidR="00CE1030">
        <w:t>apply for waivers.</w:t>
      </w:r>
    </w:p>
    <w:p w14:paraId="1C72122A" w14:textId="7D17C433" w:rsidR="00AA7181" w:rsidRPr="004C51FB" w:rsidRDefault="00AA7181" w:rsidP="00F876BB">
      <w:pPr>
        <w:rPr>
          <w:rFonts w:cs="Calibri Light"/>
        </w:rPr>
      </w:pPr>
      <w:r w:rsidRPr="004C51FB">
        <w:rPr>
          <w:rFonts w:cs="Calibri Light"/>
        </w:rPr>
        <w:t>The new platform</w:t>
      </w:r>
      <w:r w:rsidR="009A5EAE">
        <w:rPr>
          <w:rFonts w:cs="Calibri Light"/>
        </w:rPr>
        <w:t>s</w:t>
      </w:r>
      <w:r w:rsidRPr="004C51FB">
        <w:rPr>
          <w:rFonts w:cs="Calibri Light"/>
        </w:rPr>
        <w:t xml:space="preserve"> </w:t>
      </w:r>
      <w:r w:rsidR="00154037" w:rsidRPr="004C51FB">
        <w:rPr>
          <w:rFonts w:cs="Calibri Light"/>
        </w:rPr>
        <w:t>provide</w:t>
      </w:r>
      <w:r w:rsidRPr="004C51FB">
        <w:rPr>
          <w:rFonts w:cs="Calibri Light"/>
        </w:rPr>
        <w:t xml:space="preserve"> an uplift in Treasury</w:t>
      </w:r>
      <w:r w:rsidR="004260B1">
        <w:rPr>
          <w:rFonts w:cs="Calibri Light"/>
        </w:rPr>
        <w:t>’</w:t>
      </w:r>
      <w:r w:rsidRPr="004C51FB">
        <w:rPr>
          <w:rFonts w:cs="Calibri Light"/>
        </w:rPr>
        <w:t xml:space="preserve">s </w:t>
      </w:r>
      <w:r w:rsidR="00F36017">
        <w:rPr>
          <w:rFonts w:cs="Calibri Light"/>
        </w:rPr>
        <w:t>and the ATO</w:t>
      </w:r>
      <w:r w:rsidR="004260B1">
        <w:rPr>
          <w:rFonts w:cs="Calibri Light"/>
        </w:rPr>
        <w:t>’</w:t>
      </w:r>
      <w:r w:rsidR="00F36017">
        <w:rPr>
          <w:rFonts w:cs="Calibri Light"/>
        </w:rPr>
        <w:t xml:space="preserve">s </w:t>
      </w:r>
      <w:r w:rsidRPr="004C51FB">
        <w:rPr>
          <w:rFonts w:cs="Calibri Light"/>
        </w:rPr>
        <w:t>digital service delivery capability that consolidate</w:t>
      </w:r>
      <w:r>
        <w:rPr>
          <w:rFonts w:cs="Calibri Light"/>
        </w:rPr>
        <w:t>s</w:t>
      </w:r>
      <w:r w:rsidRPr="004C51FB">
        <w:rPr>
          <w:rFonts w:cs="Calibri Light"/>
        </w:rPr>
        <w:t xml:space="preserve"> its legacy data holdings and replaces them with a platform that includes:</w:t>
      </w:r>
    </w:p>
    <w:p w14:paraId="5F2FA4C1" w14:textId="30B5F78C" w:rsidR="00AA7181" w:rsidRPr="004C51FB" w:rsidRDefault="00AA7181" w:rsidP="00F876BB">
      <w:pPr>
        <w:pStyle w:val="Bullet"/>
      </w:pPr>
      <w:r>
        <w:t>an</w:t>
      </w:r>
      <w:r w:rsidRPr="004C51FB">
        <w:t xml:space="preserve"> end</w:t>
      </w:r>
      <w:r w:rsidR="004260B1">
        <w:noBreakHyphen/>
      </w:r>
      <w:r w:rsidRPr="004C51FB">
        <w:t>to</w:t>
      </w:r>
      <w:r w:rsidR="004260B1">
        <w:noBreakHyphen/>
      </w:r>
      <w:r w:rsidRPr="004C51FB">
        <w:t>end Case Management System for foreign investment submissions</w:t>
      </w:r>
    </w:p>
    <w:p w14:paraId="41D0759A" w14:textId="6C669303" w:rsidR="00AA7181" w:rsidRPr="004C51FB" w:rsidRDefault="00AA7181" w:rsidP="00F876BB">
      <w:pPr>
        <w:pStyle w:val="Bullet"/>
      </w:pPr>
      <w:r>
        <w:t>a</w:t>
      </w:r>
      <w:r w:rsidRPr="004C51FB">
        <w:t xml:space="preserve"> Foreign Investment Portal for investors and their representatives</w:t>
      </w:r>
    </w:p>
    <w:p w14:paraId="172B9DA9" w14:textId="5A2EA816" w:rsidR="00AA7181" w:rsidRPr="004C51FB" w:rsidRDefault="00AA7181" w:rsidP="00F876BB">
      <w:pPr>
        <w:pStyle w:val="Bullet"/>
      </w:pPr>
      <w:r w:rsidRPr="004C51FB">
        <w:t>a portal for government Consult Partners to provide advice on case assessments</w:t>
      </w:r>
      <w:r w:rsidR="00A70049">
        <w:t xml:space="preserve"> </w:t>
      </w:r>
    </w:p>
    <w:p w14:paraId="295EF31C" w14:textId="0CD2DFBF" w:rsidR="00AA7181" w:rsidRPr="004C51FB" w:rsidRDefault="00AA7181" w:rsidP="00F876BB">
      <w:pPr>
        <w:pStyle w:val="Bullet"/>
      </w:pPr>
      <w:r w:rsidRPr="004C51FB">
        <w:t xml:space="preserve">a new </w:t>
      </w:r>
      <w:r>
        <w:t xml:space="preserve">Register of </w:t>
      </w:r>
      <w:r w:rsidRPr="004C51FB">
        <w:t>Foreign Ownership of Australian Assets (RFOAA)</w:t>
      </w:r>
      <w:r>
        <w:t>,</w:t>
      </w:r>
      <w:r w:rsidRPr="004C51FB">
        <w:t xml:space="preserve"> delivered by the ATO</w:t>
      </w:r>
    </w:p>
    <w:p w14:paraId="3DEC78D3" w14:textId="7EEC273D" w:rsidR="003E25DD" w:rsidRPr="004C51FB" w:rsidRDefault="003E25DD" w:rsidP="00F876BB">
      <w:pPr>
        <w:pStyle w:val="Bullet"/>
      </w:pPr>
      <w:r w:rsidRPr="003E25DD">
        <w:t>Online services for foreign investors, delivered by the ATO</w:t>
      </w:r>
    </w:p>
    <w:p w14:paraId="3AA13856" w14:textId="3ED89201" w:rsidR="00AA7181" w:rsidRPr="004C51FB" w:rsidRDefault="00AA7181" w:rsidP="00F876BB">
      <w:pPr>
        <w:pStyle w:val="Bullet"/>
      </w:pPr>
      <w:r w:rsidRPr="3578F0B0">
        <w:t xml:space="preserve">a </w:t>
      </w:r>
      <w:r w:rsidR="007F5B0B">
        <w:t>portal for</w:t>
      </w:r>
      <w:r w:rsidR="007F5B0B" w:rsidRPr="3578F0B0">
        <w:t xml:space="preserve"> </w:t>
      </w:r>
      <w:r w:rsidRPr="3578F0B0">
        <w:t xml:space="preserve">Foreign Investment </w:t>
      </w:r>
      <w:r w:rsidR="00445B2F">
        <w:t xml:space="preserve">submission data </w:t>
      </w:r>
      <w:r w:rsidR="00271E84">
        <w:t xml:space="preserve">and </w:t>
      </w:r>
      <w:r w:rsidR="00D653E4">
        <w:t>compliance reporting</w:t>
      </w:r>
    </w:p>
    <w:p w14:paraId="269A0661" w14:textId="045B78C2" w:rsidR="00AA7181" w:rsidRPr="00AA7181" w:rsidRDefault="00AA7181" w:rsidP="00F876BB">
      <w:pPr>
        <w:pStyle w:val="Bullet"/>
      </w:pPr>
      <w:r>
        <w:t xml:space="preserve">a </w:t>
      </w:r>
      <w:r w:rsidRPr="004C51FB">
        <w:t>Treasury Payment Gateway</w:t>
      </w:r>
      <w:r w:rsidR="00A10783">
        <w:t>.</w:t>
      </w:r>
    </w:p>
    <w:p w14:paraId="238BABA4" w14:textId="58BE82DE" w:rsidR="00830210" w:rsidRDefault="00EA2F2C" w:rsidP="00F876BB">
      <w:r>
        <w:t>It is too early to tell if the full functionality of the P</w:t>
      </w:r>
      <w:r w:rsidR="00881DC8">
        <w:t>o</w:t>
      </w:r>
      <w:r>
        <w:t>rtal</w:t>
      </w:r>
      <w:r w:rsidR="00881DC8">
        <w:t xml:space="preserve"> has enabled cases to be handled more quickly</w:t>
      </w:r>
      <w:r w:rsidR="00FF6DCE">
        <w:t xml:space="preserve"> and efficiently. The anticipated benefits discussed above in </w:t>
      </w:r>
      <w:r w:rsidR="003F02BE">
        <w:t>S</w:t>
      </w:r>
      <w:r w:rsidR="002839C4">
        <w:t>ection 5.7</w:t>
      </w:r>
      <w:r w:rsidR="009565A5">
        <w:t xml:space="preserve"> cannot yet be fully analysed, including </w:t>
      </w:r>
      <w:r w:rsidR="004C0E6D">
        <w:t xml:space="preserve">assessing </w:t>
      </w:r>
      <w:r w:rsidR="009565A5">
        <w:t xml:space="preserve">any benefit of </w:t>
      </w:r>
      <w:r w:rsidR="003E25DD">
        <w:t xml:space="preserve">the Register </w:t>
      </w:r>
      <w:r w:rsidR="006E1384">
        <w:t>data</w:t>
      </w:r>
      <w:r w:rsidR="00A27049">
        <w:t xml:space="preserve"> </w:t>
      </w:r>
      <w:r w:rsidR="00375CCE">
        <w:t xml:space="preserve">for Treasury </w:t>
      </w:r>
      <w:r w:rsidR="008D1B16">
        <w:t xml:space="preserve">and ATO </w:t>
      </w:r>
      <w:r w:rsidR="00375CCE">
        <w:t>staff use when assessing</w:t>
      </w:r>
      <w:r w:rsidR="00DA59DD">
        <w:t xml:space="preserve"> foreign investment proposals and compliance.</w:t>
      </w:r>
    </w:p>
    <w:p w14:paraId="16D1EFBC" w14:textId="3D29746A" w:rsidR="0017670B" w:rsidRDefault="00FF4E86" w:rsidP="00F876BB">
      <w:r>
        <w:t>C</w:t>
      </w:r>
      <w:r w:rsidR="00400A0A">
        <w:t>ertain functions</w:t>
      </w:r>
      <w:r w:rsidR="0057141F">
        <w:t xml:space="preserve"> of the</w:t>
      </w:r>
      <w:r w:rsidR="000E0385">
        <w:t xml:space="preserve"> Portal</w:t>
      </w:r>
      <w:r w:rsidR="0094163F">
        <w:t xml:space="preserve"> </w:t>
      </w:r>
      <w:r w:rsidR="001176FD">
        <w:t>were</w:t>
      </w:r>
      <w:r w:rsidR="008A296B">
        <w:t xml:space="preserve"> proposed </w:t>
      </w:r>
      <w:r w:rsidR="00B0361E">
        <w:t>in the RIS (</w:t>
      </w:r>
      <w:r w:rsidR="003D1EEF">
        <w:t>discussed in section 5.7</w:t>
      </w:r>
      <w:r w:rsidR="00B0361E">
        <w:t xml:space="preserve">) </w:t>
      </w:r>
      <w:r w:rsidR="008A296B">
        <w:t>but</w:t>
      </w:r>
      <w:r w:rsidR="0018764C">
        <w:t xml:space="preserve"> </w:t>
      </w:r>
      <w:r w:rsidR="001C3F50">
        <w:t xml:space="preserve">did </w:t>
      </w:r>
      <w:r w:rsidR="0018764C">
        <w:t xml:space="preserve">not </w:t>
      </w:r>
      <w:r w:rsidR="008A296B">
        <w:t>progress</w:t>
      </w:r>
      <w:r w:rsidR="00C053D9">
        <w:t>.</w:t>
      </w:r>
      <w:r w:rsidR="003D1EEF">
        <w:t xml:space="preserve"> </w:t>
      </w:r>
      <w:r w:rsidR="00A83BCE">
        <w:t>These</w:t>
      </w:r>
      <w:r w:rsidR="003D1EEF">
        <w:t xml:space="preserve"> include</w:t>
      </w:r>
      <w:r w:rsidR="00271C5D">
        <w:t>:</w:t>
      </w:r>
    </w:p>
    <w:p w14:paraId="7EF6980D" w14:textId="25FE55E6" w:rsidR="00257E8F" w:rsidRDefault="0075436C" w:rsidP="00F876BB">
      <w:pPr>
        <w:pStyle w:val="Bullet"/>
      </w:pPr>
      <w:r>
        <w:t>advance</w:t>
      </w:r>
      <w:r w:rsidR="0020433E">
        <w:t>d</w:t>
      </w:r>
      <w:r>
        <w:t xml:space="preserve"> analytics</w:t>
      </w:r>
      <w:r w:rsidR="00271C5D">
        <w:t xml:space="preserve"> features</w:t>
      </w:r>
      <w:r>
        <w:t xml:space="preserve">, noting </w:t>
      </w:r>
      <w:r w:rsidR="00271C5D">
        <w:t>that</w:t>
      </w:r>
      <w:r w:rsidR="003D1EEF">
        <w:t xml:space="preserve"> the Portal still provides </w:t>
      </w:r>
      <w:r w:rsidR="0020433E">
        <w:t>some</w:t>
      </w:r>
      <w:r w:rsidR="00271C5D">
        <w:t xml:space="preserve"> analytic</w:t>
      </w:r>
      <w:r w:rsidR="0020433E">
        <w:t>al</w:t>
      </w:r>
      <w:r w:rsidR="00271C5D">
        <w:t xml:space="preserve"> </w:t>
      </w:r>
      <w:proofErr w:type="gramStart"/>
      <w:r w:rsidR="00271C5D">
        <w:t>capabilities</w:t>
      </w:r>
      <w:r w:rsidR="00326E2C">
        <w:t>;</w:t>
      </w:r>
      <w:proofErr w:type="gramEnd"/>
    </w:p>
    <w:p w14:paraId="7ECC60CF" w14:textId="77777777" w:rsidR="00257E8F" w:rsidRDefault="00502974" w:rsidP="00F876BB">
      <w:pPr>
        <w:pStyle w:val="Bullet"/>
      </w:pPr>
      <w:r>
        <w:t>link</w:t>
      </w:r>
      <w:r w:rsidR="002E76FF">
        <w:t xml:space="preserve">ing of the Portal to the </w:t>
      </w:r>
      <w:r w:rsidR="00896045">
        <w:t>ROFAA</w:t>
      </w:r>
      <w:r w:rsidR="00CD1944">
        <w:t xml:space="preserve"> (see </w:t>
      </w:r>
      <w:r w:rsidR="00B0361E">
        <w:t xml:space="preserve">section </w:t>
      </w:r>
      <w:r w:rsidR="00CD1944">
        <w:t>6.5)</w:t>
      </w:r>
      <w:r w:rsidR="00896045">
        <w:t>; and</w:t>
      </w:r>
    </w:p>
    <w:p w14:paraId="05C5EBCD" w14:textId="5BE68A93" w:rsidR="001E08D7" w:rsidRDefault="001313CD" w:rsidP="00F876BB">
      <w:pPr>
        <w:pStyle w:val="Bullet"/>
      </w:pPr>
      <w:r>
        <w:t xml:space="preserve">the compliance monitoring component to the </w:t>
      </w:r>
      <w:r w:rsidR="0001406D">
        <w:t>end</w:t>
      </w:r>
      <w:r w:rsidR="004260B1">
        <w:noBreakHyphen/>
      </w:r>
      <w:r w:rsidR="0001406D">
        <w:t>to</w:t>
      </w:r>
      <w:r w:rsidR="004260B1">
        <w:noBreakHyphen/>
      </w:r>
      <w:r w:rsidR="0001406D">
        <w:t>end case management</w:t>
      </w:r>
      <w:r w:rsidR="001E08D7">
        <w:t xml:space="preserve"> s</w:t>
      </w:r>
      <w:r w:rsidR="0001406D">
        <w:t>ystem.</w:t>
      </w:r>
    </w:p>
    <w:p w14:paraId="502C692A" w14:textId="113CDD87" w:rsidR="00EE3C48" w:rsidRDefault="00AA15B9" w:rsidP="00F876BB">
      <w:pPr>
        <w:sectPr w:rsidR="00EE3C48" w:rsidSect="00A850E8">
          <w:pgSz w:w="11906" w:h="16838" w:code="9"/>
          <w:pgMar w:top="1843" w:right="1418" w:bottom="1418" w:left="1418" w:header="709" w:footer="709" w:gutter="0"/>
          <w:cols w:space="708"/>
          <w:docGrid w:linePitch="360"/>
        </w:sectPr>
      </w:pPr>
      <w:r w:rsidRPr="0001406D">
        <w:t>Treasury will continue to refine and enhance the system based on user feedback and stakeholder experience</w:t>
      </w:r>
      <w:r w:rsidR="00A23D5F" w:rsidRPr="0001406D">
        <w:t>.</w:t>
      </w:r>
    </w:p>
    <w:p w14:paraId="2834EA92" w14:textId="6308AEB5" w:rsidR="0008157A" w:rsidRDefault="0008157A" w:rsidP="00F876BB">
      <w:pPr>
        <w:pStyle w:val="Heading1Numbered"/>
      </w:pPr>
      <w:bookmarkStart w:id="80" w:name="_Toc210039676"/>
      <w:r>
        <w:t>Which stakeholders have been consulted?</w:t>
      </w:r>
      <w:bookmarkEnd w:id="80"/>
    </w:p>
    <w:p w14:paraId="24231994" w14:textId="03687826" w:rsidR="001C7B8B" w:rsidRDefault="00DD6FE5" w:rsidP="00F876BB">
      <w:r w:rsidRPr="00327484">
        <w:t xml:space="preserve">Treasury </w:t>
      </w:r>
      <w:r w:rsidR="003E25DD">
        <w:t>and the ATO</w:t>
      </w:r>
      <w:r w:rsidRPr="00327484">
        <w:t xml:space="preserve"> </w:t>
      </w:r>
      <w:r w:rsidR="00D209CB">
        <w:t xml:space="preserve">have </w:t>
      </w:r>
      <w:r w:rsidRPr="00327484">
        <w:t>monitor</w:t>
      </w:r>
      <w:r>
        <w:t>ed</w:t>
      </w:r>
      <w:r w:rsidRPr="00327484">
        <w:t xml:space="preserve"> and evaluate</w:t>
      </w:r>
      <w:r>
        <w:t>d</w:t>
      </w:r>
      <w:r w:rsidRPr="00327484">
        <w:t xml:space="preserve"> the operation and performance of the reforms on an ongoing basis</w:t>
      </w:r>
      <w:r w:rsidR="008522D3">
        <w:t xml:space="preserve"> throughout 2021 to 2025</w:t>
      </w:r>
      <w:r w:rsidR="00D830E1">
        <w:t xml:space="preserve"> through the various stakeholder feedback channels. </w:t>
      </w:r>
      <w:r w:rsidR="00742A1F">
        <w:t xml:space="preserve">Stakeholder </w:t>
      </w:r>
      <w:r w:rsidR="00BE38BF">
        <w:t>f</w:t>
      </w:r>
      <w:r w:rsidR="00D830E1">
        <w:t>ee</w:t>
      </w:r>
      <w:r w:rsidR="00BE38BF">
        <w:t>d</w:t>
      </w:r>
      <w:r w:rsidR="00D830E1">
        <w:t xml:space="preserve">back collected from these channels informed </w:t>
      </w:r>
      <w:r w:rsidR="00A61C2E">
        <w:t>the analysis of the reforms</w:t>
      </w:r>
      <w:r w:rsidR="004260B1">
        <w:t>’</w:t>
      </w:r>
      <w:r w:rsidR="00A61C2E">
        <w:t xml:space="preserve"> impact</w:t>
      </w:r>
      <w:r w:rsidR="006C0270">
        <w:t xml:space="preserve">, specifically in </w:t>
      </w:r>
      <w:r w:rsidR="00D209CB">
        <w:t>S</w:t>
      </w:r>
      <w:r w:rsidR="006C0270">
        <w:t xml:space="preserve">ections 6 and 8 of this review. </w:t>
      </w:r>
    </w:p>
    <w:p w14:paraId="03612FD5" w14:textId="77AA2092" w:rsidR="00A52D78" w:rsidRDefault="006C0270" w:rsidP="00F876BB">
      <w:r>
        <w:t xml:space="preserve">The </w:t>
      </w:r>
      <w:r w:rsidR="00A52D78">
        <w:t>Treasury and the FIRB increased and revised their communication with investors</w:t>
      </w:r>
      <w:r w:rsidR="00114B2C">
        <w:t xml:space="preserve"> </w:t>
      </w:r>
      <w:r w:rsidR="00FF7282">
        <w:t xml:space="preserve">from November 2020 to early 2021 </w:t>
      </w:r>
      <w:r w:rsidR="00114B2C">
        <w:t>to facilitate smooth implementation of the reforms</w:t>
      </w:r>
      <w:r w:rsidR="00A52D78">
        <w:t>. Engagement activities shifted away from providing general information on the reforms and focused on highlighting the availability of updated guidance material, the end date for the temporary zero</w:t>
      </w:r>
      <w:r w:rsidR="004260B1">
        <w:noBreakHyphen/>
      </w:r>
      <w:r w:rsidR="00A52D78">
        <w:t xml:space="preserve">dollar thresholds on 1 January 2021 and changes to the foreign investment website. </w:t>
      </w:r>
    </w:p>
    <w:p w14:paraId="67DC9021" w14:textId="1C126130" w:rsidR="00082151" w:rsidRDefault="00082151" w:rsidP="00F876BB">
      <w:r>
        <w:t xml:space="preserve">The 2021 </w:t>
      </w:r>
      <w:r w:rsidR="009539FA">
        <w:t>e</w:t>
      </w:r>
      <w:r>
        <w:t xml:space="preserve">valuation (see </w:t>
      </w:r>
      <w:r w:rsidR="005B651C">
        <w:t>S</w:t>
      </w:r>
      <w:r>
        <w:t>ection 9.2) was conducted, including consulting stakeholders, and published in December 2021, representing an evaluation of 10 months of the reforms being in operation.</w:t>
      </w:r>
    </w:p>
    <w:p w14:paraId="70B7DA96" w14:textId="27827B43" w:rsidR="004E489A" w:rsidRDefault="00971C00" w:rsidP="00F876BB">
      <w:r>
        <w:t>Ongoing engagement was maintained on aspects of the foreign investment framework, not just specifically on the 202</w:t>
      </w:r>
      <w:r w:rsidR="00514B36">
        <w:t>1</w:t>
      </w:r>
      <w:r>
        <w:t xml:space="preserve"> reforms.</w:t>
      </w:r>
      <w:r w:rsidR="00DD6FE5" w:rsidRPr="00327484">
        <w:t xml:space="preserve"> </w:t>
      </w:r>
      <w:r w:rsidR="00DD6FE5">
        <w:t>Treasury</w:t>
      </w:r>
      <w:r w:rsidR="00DD6FE5" w:rsidRPr="00327484">
        <w:t xml:space="preserve"> closely monitor</w:t>
      </w:r>
      <w:r w:rsidR="00DD6FE5">
        <w:t>ed</w:t>
      </w:r>
      <w:r w:rsidR="00DD6FE5" w:rsidRPr="00327484">
        <w:t xml:space="preserve"> the feedback </w:t>
      </w:r>
      <w:r w:rsidR="00DD6FE5">
        <w:t xml:space="preserve">it </w:t>
      </w:r>
      <w:r w:rsidR="00DD6FE5" w:rsidRPr="00327484">
        <w:t>receive</w:t>
      </w:r>
      <w:r w:rsidR="00DD6FE5">
        <w:t>d</w:t>
      </w:r>
      <w:r w:rsidR="00DD6FE5" w:rsidRPr="00327484">
        <w:t xml:space="preserve"> from stakeholders, including through</w:t>
      </w:r>
      <w:r w:rsidR="004E489A">
        <w:t>:</w:t>
      </w:r>
      <w:r w:rsidR="00DD6FE5" w:rsidRPr="00327484">
        <w:t xml:space="preserve"> </w:t>
      </w:r>
    </w:p>
    <w:p w14:paraId="30E6DB98" w14:textId="2BB03C01" w:rsidR="00AB528B" w:rsidRDefault="00DD6FE5" w:rsidP="00E21FEE">
      <w:pPr>
        <w:pStyle w:val="Bullet"/>
        <w:spacing w:after="100"/>
      </w:pPr>
      <w:r w:rsidRPr="00327484">
        <w:t>established stakeholder engagement programs</w:t>
      </w:r>
    </w:p>
    <w:p w14:paraId="68A34311" w14:textId="30135FD2" w:rsidR="00594092" w:rsidRDefault="00594092" w:rsidP="00E21FEE">
      <w:pPr>
        <w:pStyle w:val="Bullet"/>
        <w:spacing w:after="100"/>
      </w:pPr>
      <w:r>
        <w:t xml:space="preserve">consultation </w:t>
      </w:r>
      <w:r w:rsidR="00514B36">
        <w:t xml:space="preserve">on </w:t>
      </w:r>
      <w:r>
        <w:t xml:space="preserve">subsequent reforms </w:t>
      </w:r>
      <w:r w:rsidR="00B6772B">
        <w:t>in a</w:t>
      </w:r>
      <w:r>
        <w:t xml:space="preserve"> 2022 discussion paper </w:t>
      </w:r>
    </w:p>
    <w:p w14:paraId="2E0B2A17" w14:textId="120195A7" w:rsidR="005E6ECD" w:rsidRDefault="00FB6077" w:rsidP="00E21FEE">
      <w:pPr>
        <w:pStyle w:val="Bullet"/>
        <w:spacing w:after="100"/>
      </w:pPr>
      <w:r>
        <w:t xml:space="preserve">regular </w:t>
      </w:r>
      <w:r w:rsidR="005E6ECD">
        <w:t xml:space="preserve">roundtables </w:t>
      </w:r>
      <w:r w:rsidR="00115D48">
        <w:t xml:space="preserve">with domestic and international counterparts </w:t>
      </w:r>
      <w:r>
        <w:t>on</w:t>
      </w:r>
      <w:r w:rsidR="00115D48">
        <w:t xml:space="preserve"> managing the foreign investment framework</w:t>
      </w:r>
    </w:p>
    <w:p w14:paraId="1ABF4CE1" w14:textId="40234531" w:rsidR="00006A44" w:rsidRDefault="00006A44" w:rsidP="00E21FEE">
      <w:pPr>
        <w:pStyle w:val="Bullet"/>
        <w:spacing w:after="100"/>
      </w:pPr>
      <w:r>
        <w:t>Treasury engagement with its consultation partners and other government agencies</w:t>
      </w:r>
    </w:p>
    <w:p w14:paraId="175147AF" w14:textId="74F317FF" w:rsidR="00115D48" w:rsidRDefault="00115D48" w:rsidP="00E21FEE">
      <w:pPr>
        <w:pStyle w:val="Bullet"/>
        <w:spacing w:after="100"/>
      </w:pPr>
      <w:r>
        <w:t>meetings with investors and their advisors o</w:t>
      </w:r>
      <w:r w:rsidR="002027E2">
        <w:t>n proposed investment and proposals under assessment by Treasury and the ATO</w:t>
      </w:r>
    </w:p>
    <w:p w14:paraId="4949FF2C" w14:textId="6472569D" w:rsidR="00C43DC4" w:rsidRDefault="00C43DC4" w:rsidP="00E21FEE">
      <w:pPr>
        <w:pStyle w:val="Bullet"/>
        <w:spacing w:after="100"/>
      </w:pPr>
      <w:r>
        <w:t>annual stakeholder surveys</w:t>
      </w:r>
      <w:r w:rsidR="000710DE">
        <w:t xml:space="preserve"> in administering Treasury</w:t>
      </w:r>
      <w:r w:rsidR="004260B1">
        <w:t>’</w:t>
      </w:r>
      <w:r w:rsidR="000710DE">
        <w:t>s regulator functions</w:t>
      </w:r>
      <w:r>
        <w:t xml:space="preserve"> published in Treasury</w:t>
      </w:r>
      <w:r w:rsidR="004260B1">
        <w:t>’</w:t>
      </w:r>
      <w:r w:rsidR="005304FA">
        <w:t>s</w:t>
      </w:r>
      <w:r>
        <w:t xml:space="preserve"> </w:t>
      </w:r>
      <w:r w:rsidR="005304FA">
        <w:t>Annual R</w:t>
      </w:r>
      <w:r>
        <w:t>eports</w:t>
      </w:r>
    </w:p>
    <w:p w14:paraId="289BB079" w14:textId="2622A300" w:rsidR="00AB528B" w:rsidRDefault="00A565BE" w:rsidP="00E21FEE">
      <w:pPr>
        <w:pStyle w:val="Bullet"/>
        <w:spacing w:after="100"/>
      </w:pPr>
      <w:r>
        <w:t>the</w:t>
      </w:r>
      <w:r w:rsidR="00DD6FE5" w:rsidRPr="00327484">
        <w:t xml:space="preserve"> dedicated </w:t>
      </w:r>
      <w:r w:rsidR="00DD6FE5">
        <w:t>foreign investment</w:t>
      </w:r>
      <w:r w:rsidR="00DD6FE5" w:rsidRPr="00327484">
        <w:t xml:space="preserve"> </w:t>
      </w:r>
      <w:r w:rsidR="000B18A5">
        <w:t>website, email</w:t>
      </w:r>
      <w:r w:rsidR="00220CC7">
        <w:t xml:space="preserve"> (</w:t>
      </w:r>
      <w:r w:rsidR="00F47AC8">
        <w:t xml:space="preserve">annual </w:t>
      </w:r>
      <w:r w:rsidR="00220CC7">
        <w:t xml:space="preserve">average of </w:t>
      </w:r>
      <w:r w:rsidR="0080670F">
        <w:t>1</w:t>
      </w:r>
      <w:r w:rsidR="0075094C">
        <w:t>,</w:t>
      </w:r>
      <w:r w:rsidR="0080670F">
        <w:t>36</w:t>
      </w:r>
      <w:r w:rsidR="0075094C">
        <w:t>2</w:t>
      </w:r>
      <w:r w:rsidR="0080670F">
        <w:t xml:space="preserve"> </w:t>
      </w:r>
      <w:r w:rsidR="00220CC7">
        <w:t>emails responded to)</w:t>
      </w:r>
      <w:r w:rsidR="000B18A5">
        <w:t xml:space="preserve"> and phone contact</w:t>
      </w:r>
      <w:r w:rsidR="00220CC7">
        <w:t xml:space="preserve"> (</w:t>
      </w:r>
      <w:r w:rsidR="00F47AC8">
        <w:t xml:space="preserve">annual </w:t>
      </w:r>
      <w:r w:rsidR="00220CC7">
        <w:t xml:space="preserve">average </w:t>
      </w:r>
      <w:r w:rsidR="000615AE">
        <w:t xml:space="preserve">of </w:t>
      </w:r>
      <w:r w:rsidR="00AE322C">
        <w:t xml:space="preserve">1,536 </w:t>
      </w:r>
      <w:r w:rsidR="000615AE">
        <w:t>phone enquiries responded to)</w:t>
      </w:r>
    </w:p>
    <w:p w14:paraId="5F305F67" w14:textId="0F97D916" w:rsidR="00AB528B" w:rsidRDefault="0080258A" w:rsidP="00E21FEE">
      <w:pPr>
        <w:pStyle w:val="Bullet"/>
        <w:spacing w:after="100"/>
      </w:pPr>
      <w:r>
        <w:t>pre</w:t>
      </w:r>
      <w:r w:rsidR="004260B1">
        <w:noBreakHyphen/>
      </w:r>
      <w:r w:rsidR="00FB6077">
        <w:t>B</w:t>
      </w:r>
      <w:r w:rsidR="001B6597">
        <w:t>udget submissions</w:t>
      </w:r>
      <w:r w:rsidR="00E909A8">
        <w:t xml:space="preserve"> to Treasury for each </w:t>
      </w:r>
      <w:r w:rsidR="00FB6077">
        <w:t xml:space="preserve">annual </w:t>
      </w:r>
      <w:r w:rsidR="00E909A8">
        <w:t>budget process</w:t>
      </w:r>
    </w:p>
    <w:p w14:paraId="11132048" w14:textId="340DC59E" w:rsidR="001A4C13" w:rsidRDefault="001A4C13" w:rsidP="00E21FEE">
      <w:pPr>
        <w:pStyle w:val="Bullet"/>
        <w:spacing w:after="100"/>
      </w:pPr>
      <w:r>
        <w:t xml:space="preserve">general submissions from the public </w:t>
      </w:r>
    </w:p>
    <w:p w14:paraId="76F1C82B" w14:textId="63C3E7F4" w:rsidR="001A4C13" w:rsidRDefault="00132163" w:rsidP="00E21FEE">
      <w:pPr>
        <w:pStyle w:val="Bullet"/>
        <w:spacing w:after="100"/>
      </w:pPr>
      <w:r>
        <w:t>M</w:t>
      </w:r>
      <w:r w:rsidR="001A4C13">
        <w:t>inisterial correspondence</w:t>
      </w:r>
      <w:r w:rsidR="00487FB0">
        <w:t xml:space="preserve"> (</w:t>
      </w:r>
      <w:r w:rsidR="00F47AC8">
        <w:t xml:space="preserve">annual </w:t>
      </w:r>
      <w:r w:rsidR="00487FB0">
        <w:t xml:space="preserve">average of </w:t>
      </w:r>
      <w:r w:rsidR="000B4480">
        <w:t xml:space="preserve">328 </w:t>
      </w:r>
      <w:r w:rsidR="00487FB0">
        <w:t>pieces of correspondence</w:t>
      </w:r>
      <w:r>
        <w:t xml:space="preserve"> related to foreign investment</w:t>
      </w:r>
      <w:r w:rsidR="00487FB0">
        <w:t xml:space="preserve"> managed</w:t>
      </w:r>
      <w:r w:rsidR="00073BE1">
        <w:t xml:space="preserve"> by Treasury)</w:t>
      </w:r>
      <w:r w:rsidR="00D31AE9">
        <w:t>.</w:t>
      </w:r>
      <w:r w:rsidR="00E21DB9">
        <w:t xml:space="preserve"> </w:t>
      </w:r>
    </w:p>
    <w:p w14:paraId="3F48E19D" w14:textId="1DCC231E" w:rsidR="00C1231F" w:rsidRPr="00C1231F" w:rsidRDefault="00C1231F" w:rsidP="00F876BB">
      <w:r w:rsidRPr="00C1231F">
        <w:t>In 2022 and 2023</w:t>
      </w:r>
      <w:r w:rsidR="00132163">
        <w:t>,</w:t>
      </w:r>
      <w:r w:rsidRPr="00C1231F">
        <w:t xml:space="preserve"> the ATO undertook a series of stakeholder engagement and communication activities with both internal and external stakeholders to provide specific guidance and information on the introduction of Online services for foreign investors and the Register of Foreign Owned Australian Assets. These included: </w:t>
      </w:r>
    </w:p>
    <w:p w14:paraId="6A040AEA" w14:textId="6F134196" w:rsidR="00C1231F" w:rsidRPr="00C1231F" w:rsidRDefault="00132163" w:rsidP="00F876BB">
      <w:pPr>
        <w:pStyle w:val="Bullet"/>
      </w:pPr>
      <w:r>
        <w:t>p</w:t>
      </w:r>
      <w:r w:rsidR="00C1231F" w:rsidRPr="00C1231F">
        <w:t>resentations both in person and online</w:t>
      </w:r>
    </w:p>
    <w:p w14:paraId="3823ACC4" w14:textId="4C53CFDD" w:rsidR="00C1231F" w:rsidRPr="00C1231F" w:rsidRDefault="00132163" w:rsidP="00F876BB">
      <w:pPr>
        <w:pStyle w:val="Bullet"/>
      </w:pPr>
      <w:r>
        <w:t>i</w:t>
      </w:r>
      <w:r w:rsidR="00C1231F" w:rsidRPr="00C1231F">
        <w:t>ndustry newsletters articles</w:t>
      </w:r>
    </w:p>
    <w:p w14:paraId="6A863C74" w14:textId="4B609581" w:rsidR="00C1231F" w:rsidRDefault="00132163" w:rsidP="00F876BB">
      <w:pPr>
        <w:pStyle w:val="Bullet"/>
      </w:pPr>
      <w:r>
        <w:t>u</w:t>
      </w:r>
      <w:r w:rsidR="00C1231F" w:rsidRPr="00C1231F">
        <w:t>pdated web content and guidance.</w:t>
      </w:r>
    </w:p>
    <w:p w14:paraId="2C091406" w14:textId="2BF3B640" w:rsidR="005A3089" w:rsidRDefault="00132163" w:rsidP="00F876BB">
      <w:r>
        <w:t>Foreign Investment Division within Treasury regularly</w:t>
      </w:r>
      <w:r w:rsidR="00046469">
        <w:t xml:space="preserve"> engages with investors</w:t>
      </w:r>
      <w:r w:rsidR="00363BE1">
        <w:t xml:space="preserve"> and</w:t>
      </w:r>
      <w:r w:rsidR="00046469">
        <w:t xml:space="preserve"> </w:t>
      </w:r>
      <w:r w:rsidR="00914C3F">
        <w:t xml:space="preserve">their </w:t>
      </w:r>
      <w:r w:rsidR="00046469">
        <w:t>representatives</w:t>
      </w:r>
      <w:r w:rsidR="00363BE1">
        <w:t>, other industry stakeholders</w:t>
      </w:r>
      <w:r w:rsidR="00046469">
        <w:t xml:space="preserve"> and other government </w:t>
      </w:r>
      <w:r w:rsidR="006A5C45">
        <w:t>agencies</w:t>
      </w:r>
      <w:r w:rsidR="00196507">
        <w:t xml:space="preserve"> in administering the framework and actively s</w:t>
      </w:r>
      <w:r w:rsidR="00914C3F">
        <w:t>ought</w:t>
      </w:r>
      <w:r w:rsidR="00F14047">
        <w:t xml:space="preserve"> feedback from these stake</w:t>
      </w:r>
      <w:r w:rsidR="00E976D2">
        <w:t>holders.</w:t>
      </w:r>
      <w:r w:rsidR="00530B1B">
        <w:t xml:space="preserve"> </w:t>
      </w:r>
      <w:r w:rsidR="00363BE1" w:rsidRPr="004E46F0">
        <w:t xml:space="preserve">The FIRB </w:t>
      </w:r>
      <w:r w:rsidR="00363BE1">
        <w:t>also undertakes a range of engagement with investors and their representatives and other stakeholders on a regular basis.</w:t>
      </w:r>
    </w:p>
    <w:p w14:paraId="63EEC5F3" w14:textId="451A839F" w:rsidR="007F1EBC" w:rsidRDefault="0052065A" w:rsidP="00F876BB">
      <w:r>
        <w:t>Feedback received through the various channels above demonstrates th</w:t>
      </w:r>
      <w:r w:rsidR="009D63AB">
        <w:t>at</w:t>
      </w:r>
      <w:r>
        <w:t xml:space="preserve"> Treasury receives </w:t>
      </w:r>
      <w:r w:rsidR="00363BE1">
        <w:t xml:space="preserve">regular </w:t>
      </w:r>
      <w:r w:rsidR="00E37B82">
        <w:t>and ongoing feedback about the foreign investment framework and its impact on industry and the economy.</w:t>
      </w:r>
      <w:r w:rsidR="004A5C29">
        <w:t xml:space="preserve"> </w:t>
      </w:r>
      <w:r w:rsidR="00DD6FE5">
        <w:t>Treasury</w:t>
      </w:r>
      <w:r w:rsidR="00DD6FE5" w:rsidRPr="00327484">
        <w:t xml:space="preserve"> also closely monitor</w:t>
      </w:r>
      <w:r w:rsidR="00DD6FE5">
        <w:t>ed</w:t>
      </w:r>
      <w:r w:rsidR="00DD6FE5" w:rsidRPr="00327484">
        <w:t xml:space="preserve"> the number of applications </w:t>
      </w:r>
      <w:r w:rsidR="00DD6FE5">
        <w:t>it</w:t>
      </w:r>
      <w:r w:rsidR="00DD6FE5" w:rsidRPr="00327484">
        <w:t xml:space="preserve"> receive</w:t>
      </w:r>
      <w:r w:rsidR="00DD6FE5">
        <w:t>d</w:t>
      </w:r>
      <w:r w:rsidR="00DD6FE5" w:rsidRPr="00327484">
        <w:t xml:space="preserve"> from investors to ensure that the reforms </w:t>
      </w:r>
      <w:r w:rsidR="00DD6FE5">
        <w:t>were</w:t>
      </w:r>
      <w:r w:rsidR="00DD6FE5" w:rsidRPr="00327484">
        <w:t xml:space="preserve"> not </w:t>
      </w:r>
      <w:r w:rsidR="00E63084">
        <w:t xml:space="preserve">negatively </w:t>
      </w:r>
      <w:r w:rsidR="00DD6FE5" w:rsidRPr="00327484">
        <w:t>impacting foreign investment into Australia.</w:t>
      </w:r>
      <w:r w:rsidR="00DE344A">
        <w:t xml:space="preserve"> </w:t>
      </w:r>
      <w:r w:rsidR="00BC113B">
        <w:t>T</w:t>
      </w:r>
      <w:r w:rsidR="00412998">
        <w:t>he</w:t>
      </w:r>
      <w:r w:rsidR="00DE344A">
        <w:t xml:space="preserve"> current channels of </w:t>
      </w:r>
      <w:r w:rsidR="002D5E6A">
        <w:t>ongoing</w:t>
      </w:r>
      <w:r w:rsidR="00DE344A">
        <w:t xml:space="preserve"> feedback </w:t>
      </w:r>
      <w:r w:rsidR="002D5E6A">
        <w:t xml:space="preserve">on the framework </w:t>
      </w:r>
      <w:r w:rsidR="00DE344A">
        <w:t xml:space="preserve">are considered sufficient </w:t>
      </w:r>
      <w:r w:rsidR="00BC113B">
        <w:t xml:space="preserve">in place of </w:t>
      </w:r>
      <w:r w:rsidR="004452D4">
        <w:t>additional formal consultation</w:t>
      </w:r>
      <w:r w:rsidR="00BC5C1B">
        <w:t xml:space="preserve"> </w:t>
      </w:r>
      <w:r w:rsidR="00DE344A">
        <w:t xml:space="preserve">for the purposes of this PIR. </w:t>
      </w:r>
    </w:p>
    <w:p w14:paraId="34C6FE2D" w14:textId="34AD9730" w:rsidR="007F1EBC" w:rsidRDefault="007F1EBC" w:rsidP="00CE6733"/>
    <w:p w14:paraId="207A07A5" w14:textId="77777777" w:rsidR="007E5980" w:rsidRPr="007E5980" w:rsidRDefault="007E5980" w:rsidP="007E5980">
      <w:pPr>
        <w:sectPr w:rsidR="007E5980" w:rsidRPr="007E5980" w:rsidSect="00295B30">
          <w:pgSz w:w="11906" w:h="16838" w:code="9"/>
          <w:pgMar w:top="1843" w:right="1417" w:bottom="1417" w:left="1417" w:header="709" w:footer="709" w:gutter="0"/>
          <w:cols w:space="708"/>
          <w:docGrid w:linePitch="360"/>
        </w:sectPr>
      </w:pPr>
    </w:p>
    <w:p w14:paraId="0AAD146C" w14:textId="5C97A8EC" w:rsidR="0008157A" w:rsidRDefault="0008157A" w:rsidP="00F876BB">
      <w:pPr>
        <w:pStyle w:val="Heading1Numbered"/>
      </w:pPr>
      <w:bookmarkStart w:id="81" w:name="_Toc210039677"/>
      <w:r>
        <w:t>Has the regulation delivered a net benefit?</w:t>
      </w:r>
      <w:bookmarkEnd w:id="81"/>
      <w:r>
        <w:t xml:space="preserve"> </w:t>
      </w:r>
    </w:p>
    <w:p w14:paraId="569B347A" w14:textId="75101A38" w:rsidR="00B86AF6" w:rsidRDefault="00B20EB7" w:rsidP="00F876BB">
      <w:proofErr w:type="gramStart"/>
      <w:r>
        <w:t>On the whole</w:t>
      </w:r>
      <w:proofErr w:type="gramEnd"/>
      <w:r w:rsidR="00FD003D">
        <w:t>, t</w:t>
      </w:r>
      <w:r w:rsidR="00DB3AAA">
        <w:t>he 202</w:t>
      </w:r>
      <w:r w:rsidR="00FE3EAE">
        <w:t>1</w:t>
      </w:r>
      <w:r w:rsidR="00DB3AAA">
        <w:t xml:space="preserve"> </w:t>
      </w:r>
      <w:r w:rsidR="008325DC">
        <w:t>refor</w:t>
      </w:r>
      <w:r w:rsidR="00DB3AAA">
        <w:t xml:space="preserve">ms </w:t>
      </w:r>
      <w:r w:rsidR="006A6AA7">
        <w:t>have</w:t>
      </w:r>
      <w:r w:rsidR="00C917E9">
        <w:t xml:space="preserve"> </w:t>
      </w:r>
      <w:r w:rsidR="00BC2E25">
        <w:t>delivered a net benefit</w:t>
      </w:r>
      <w:r w:rsidR="001A4A49">
        <w:t xml:space="preserve">. </w:t>
      </w:r>
      <w:r w:rsidR="00551F7A">
        <w:t xml:space="preserve">The </w:t>
      </w:r>
      <w:r w:rsidR="00B86AF6" w:rsidRPr="00B86AF6">
        <w:t>2021 reforms have met their objective of addressing emerging risks and global developments in foreign investment identified at the time. The 2021 reforms improved the operation of the framework by strengthening compliance and enforcement</w:t>
      </w:r>
      <w:r w:rsidR="00FE3EAE">
        <w:t xml:space="preserve"> capabilities</w:t>
      </w:r>
      <w:r w:rsidR="00B86AF6" w:rsidRPr="00B86AF6">
        <w:t xml:space="preserve">, streamlining </w:t>
      </w:r>
      <w:proofErr w:type="gramStart"/>
      <w:r w:rsidR="00164E63">
        <w:t>less</w:t>
      </w:r>
      <w:proofErr w:type="gramEnd"/>
      <w:r w:rsidR="00164E63">
        <w:t xml:space="preserve"> sensitive</w:t>
      </w:r>
      <w:r w:rsidR="00B86AF6" w:rsidRPr="00B86AF6">
        <w:t xml:space="preserve"> investments, and gathering foreign investment data to identify national security risks.</w:t>
      </w:r>
    </w:p>
    <w:p w14:paraId="2B9CE588" w14:textId="54102DAF" w:rsidR="00C94505" w:rsidRDefault="00C94505" w:rsidP="00F876BB">
      <w:r>
        <w:t xml:space="preserve">The </w:t>
      </w:r>
      <w:r w:rsidR="00236DD5">
        <w:t>national security actions introduced in 202</w:t>
      </w:r>
      <w:r w:rsidR="00FE3EAE">
        <w:t>1</w:t>
      </w:r>
      <w:r w:rsidR="00236DD5">
        <w:t xml:space="preserve"> have given the Government more oversight of </w:t>
      </w:r>
      <w:r w:rsidR="00412C69">
        <w:t>investment in sensitive sectors</w:t>
      </w:r>
      <w:r w:rsidR="00D536DA">
        <w:t xml:space="preserve"> that would not otherwise have been screened</w:t>
      </w:r>
      <w:r w:rsidR="00FE3EAE">
        <w:t>,</w:t>
      </w:r>
      <w:r w:rsidR="00D536DA">
        <w:t xml:space="preserve"> to ensure that investment is not contrary to Australia</w:t>
      </w:r>
      <w:r w:rsidR="004260B1">
        <w:t>’</w:t>
      </w:r>
      <w:r w:rsidR="00D536DA">
        <w:t xml:space="preserve">s national interest </w:t>
      </w:r>
      <w:r w:rsidR="00C31FD9">
        <w:t>and national security.</w:t>
      </w:r>
    </w:p>
    <w:p w14:paraId="2AD37441" w14:textId="1FD28070" w:rsidR="00197564" w:rsidRDefault="00197564" w:rsidP="00F876BB">
      <w:r>
        <w:t xml:space="preserve">The streamlining of less sensitive investments has delivered some benefit through the </w:t>
      </w:r>
      <w:r w:rsidR="00433092">
        <w:t xml:space="preserve">availability of </w:t>
      </w:r>
      <w:r w:rsidR="005D13EF">
        <w:t>passive foreign government investor exemption certificate</w:t>
      </w:r>
      <w:r w:rsidR="00BA6073">
        <w:t>s</w:t>
      </w:r>
      <w:r w:rsidR="00433092">
        <w:t xml:space="preserve">, despite the overall number of </w:t>
      </w:r>
      <w:r w:rsidR="00FE3EAE">
        <w:t xml:space="preserve">exemption </w:t>
      </w:r>
      <w:r w:rsidR="00433092">
        <w:t xml:space="preserve">certificate </w:t>
      </w:r>
      <w:r w:rsidR="00904F74">
        <w:t>applications</w:t>
      </w:r>
      <w:r w:rsidR="004761FA">
        <w:t xml:space="preserve"> </w:t>
      </w:r>
      <w:r w:rsidR="00FE3EAE">
        <w:t xml:space="preserve">being low </w:t>
      </w:r>
      <w:r w:rsidR="00145F43">
        <w:t xml:space="preserve">relative </w:t>
      </w:r>
      <w:r w:rsidR="00433092">
        <w:t xml:space="preserve">to </w:t>
      </w:r>
      <w:r w:rsidR="00CE60A3">
        <w:t xml:space="preserve">the </w:t>
      </w:r>
      <w:r w:rsidR="00433092">
        <w:t xml:space="preserve">overall </w:t>
      </w:r>
      <w:r w:rsidR="00AF5579">
        <w:t xml:space="preserve">number of </w:t>
      </w:r>
      <w:r w:rsidR="004260B1">
        <w:t>‘</w:t>
      </w:r>
      <w:r w:rsidR="00CE60A3">
        <w:t>no objection notification</w:t>
      </w:r>
      <w:r w:rsidR="004260B1">
        <w:t>’</w:t>
      </w:r>
      <w:r w:rsidR="00CE60A3">
        <w:t xml:space="preserve"> applications</w:t>
      </w:r>
      <w:r w:rsidR="00433092">
        <w:t>.</w:t>
      </w:r>
    </w:p>
    <w:p w14:paraId="32BCD61B" w14:textId="6BC55EC2" w:rsidR="003C6C2A" w:rsidRDefault="003C6C2A" w:rsidP="00F876BB">
      <w:r>
        <w:t>The measures to improve the integrity</w:t>
      </w:r>
      <w:r w:rsidR="00D924B4">
        <w:t xml:space="preserve"> of the framework</w:t>
      </w:r>
      <w:r>
        <w:t xml:space="preserve"> have delivered benefits for information sharing </w:t>
      </w:r>
      <w:r w:rsidR="00F82339">
        <w:t xml:space="preserve">between Treasury, the ATO and other domestic agencies and international counterparts, </w:t>
      </w:r>
      <w:r>
        <w:t>as provided for in the legislation with appropriate safeguards in place.</w:t>
      </w:r>
    </w:p>
    <w:p w14:paraId="3A89E5CA" w14:textId="7D954EE8" w:rsidR="00984BBB" w:rsidRDefault="00984BBB" w:rsidP="00F876BB">
      <w:r>
        <w:t>The stronger comp</w:t>
      </w:r>
      <w:r w:rsidR="00F31DDD">
        <w:t>liance and enforcement powers have</w:t>
      </w:r>
      <w:r w:rsidR="00093ACA">
        <w:t xml:space="preserve"> delivered benefits to provide clarity to investors on their compliance obligations and enabled</w:t>
      </w:r>
      <w:r w:rsidR="00B41A05">
        <w:t xml:space="preserve"> the Treasury </w:t>
      </w:r>
      <w:r w:rsidR="00093ACA">
        <w:t>and ATO</w:t>
      </w:r>
      <w:r w:rsidR="00B41A05">
        <w:t xml:space="preserve"> </w:t>
      </w:r>
      <w:r w:rsidR="00093ACA">
        <w:t>to</w:t>
      </w:r>
      <w:r w:rsidR="00B41A05">
        <w:t xml:space="preserve"> e</w:t>
      </w:r>
      <w:r w:rsidR="0043210E">
        <w:t>xercise</w:t>
      </w:r>
      <w:r w:rsidR="005E0A53">
        <w:t xml:space="preserve"> powers</w:t>
      </w:r>
      <w:r w:rsidR="00373801">
        <w:t xml:space="preserve"> in a proportionate ma</w:t>
      </w:r>
      <w:r w:rsidR="00A411D5">
        <w:t>nner</w:t>
      </w:r>
      <w:r w:rsidR="005E0A53">
        <w:t>, including issuing infringement notices</w:t>
      </w:r>
      <w:r w:rsidR="00575208">
        <w:t xml:space="preserve"> and </w:t>
      </w:r>
      <w:r w:rsidR="00D03CAA">
        <w:t>order</w:t>
      </w:r>
      <w:r w:rsidR="0012292A">
        <w:t>s</w:t>
      </w:r>
      <w:r w:rsidR="00D03CAA">
        <w:t xml:space="preserve"> </w:t>
      </w:r>
      <w:r w:rsidR="005E05C3">
        <w:t>directing investor</w:t>
      </w:r>
      <w:r w:rsidR="0012292A">
        <w:t>s</w:t>
      </w:r>
      <w:r w:rsidR="005E05C3">
        <w:t xml:space="preserve"> </w:t>
      </w:r>
      <w:r w:rsidR="00D03CAA">
        <w:t>to divest</w:t>
      </w:r>
      <w:r w:rsidR="005E05C3">
        <w:t xml:space="preserve"> their interests in Australian entit</w:t>
      </w:r>
      <w:r w:rsidR="004668F1">
        <w:t>ies</w:t>
      </w:r>
      <w:r w:rsidR="00575208">
        <w:t>.</w:t>
      </w:r>
      <w:r w:rsidR="00F31DDD">
        <w:t xml:space="preserve"> </w:t>
      </w:r>
    </w:p>
    <w:p w14:paraId="695B0C84" w14:textId="5AC1C94B" w:rsidR="00EF147E" w:rsidRDefault="00845FC4" w:rsidP="00F876BB">
      <w:r>
        <w:t>Aspects of t</w:t>
      </w:r>
      <w:r w:rsidR="003A4E99">
        <w:t xml:space="preserve">he </w:t>
      </w:r>
      <w:r w:rsidR="008325DC">
        <w:t>reforms</w:t>
      </w:r>
      <w:r w:rsidR="003A4E99">
        <w:t xml:space="preserve"> </w:t>
      </w:r>
      <w:r>
        <w:t xml:space="preserve">were expected to introduce </w:t>
      </w:r>
      <w:r w:rsidR="003A4E99">
        <w:t xml:space="preserve">additional regulatory </w:t>
      </w:r>
      <w:r w:rsidR="004845EB">
        <w:t>costs on investors. Section 4</w:t>
      </w:r>
      <w:r w:rsidR="006E3211">
        <w:t> </w:t>
      </w:r>
      <w:r w:rsidR="004845EB">
        <w:t>of the RIS, outline</w:t>
      </w:r>
      <w:r w:rsidR="00501205">
        <w:t>d</w:t>
      </w:r>
      <w:r w:rsidR="004845EB">
        <w:t xml:space="preserve"> the costs of implementing option 2 policies.</w:t>
      </w:r>
      <w:r w:rsidR="003A4E99">
        <w:t xml:space="preserve"> </w:t>
      </w:r>
    </w:p>
    <w:p w14:paraId="3B7DBE32" w14:textId="13A389D3" w:rsidR="0099025B" w:rsidRDefault="00EF147E" w:rsidP="00F876BB">
      <w:r w:rsidRPr="005362A3">
        <w:t xml:space="preserve">In general, foreign investors face two sources of regulatory </w:t>
      </w:r>
      <w:r>
        <w:t>bu</w:t>
      </w:r>
      <w:r w:rsidRPr="005362A3">
        <w:t>rden from the foreign investment framework</w:t>
      </w:r>
      <w:r>
        <w:t xml:space="preserve">. </w:t>
      </w:r>
      <w:r w:rsidRPr="005362A3">
        <w:t xml:space="preserve">Prior to making an investment, an investor is required to </w:t>
      </w:r>
      <w:proofErr w:type="gramStart"/>
      <w:r w:rsidRPr="005362A3">
        <w:t>submit an application</w:t>
      </w:r>
      <w:proofErr w:type="gramEnd"/>
      <w:r w:rsidRPr="005362A3">
        <w:t xml:space="preserve"> to the Government for screening. For investments in certain specified sectors, investors are also required to register their investment on a </w:t>
      </w:r>
      <w:r w:rsidR="00154037" w:rsidRPr="005362A3">
        <w:t>government</w:t>
      </w:r>
      <w:r w:rsidRPr="005362A3">
        <w:t xml:space="preserve"> register once the investment is realised</w:t>
      </w:r>
      <w:r>
        <w:t>. This has been a well</w:t>
      </w:r>
      <w:r w:rsidR="004260B1">
        <w:noBreakHyphen/>
      </w:r>
      <w:r>
        <w:t>established practice for several decades.</w:t>
      </w:r>
      <w:r w:rsidR="00BC2859">
        <w:t xml:space="preserve"> </w:t>
      </w:r>
    </w:p>
    <w:p w14:paraId="4E98DD41" w14:textId="7A2F2272" w:rsidR="00BC2859" w:rsidRDefault="00CA7FB3" w:rsidP="00F876BB">
      <w:r>
        <w:t>The introduction of the national security action</w:t>
      </w:r>
      <w:r w:rsidR="00BC267F">
        <w:t>s</w:t>
      </w:r>
      <w:r>
        <w:t xml:space="preserve"> may have contributed to this regulatory burden. </w:t>
      </w:r>
      <w:r w:rsidR="0099025B">
        <w:t>A</w:t>
      </w:r>
      <w:r w:rsidR="00454D2D">
        <w:t>s noted in</w:t>
      </w:r>
      <w:r w:rsidR="004E27AE">
        <w:t xml:space="preserve"> the </w:t>
      </w:r>
      <w:r w:rsidR="00454D2D">
        <w:t>2021 evaluation</w:t>
      </w:r>
      <w:r w:rsidR="00706868">
        <w:t xml:space="preserve"> and in </w:t>
      </w:r>
      <w:r w:rsidR="004D4BA1">
        <w:t>S</w:t>
      </w:r>
      <w:r w:rsidR="00706868">
        <w:t>ection 6.1</w:t>
      </w:r>
      <w:r w:rsidR="00454D2D">
        <w:t xml:space="preserve">, </w:t>
      </w:r>
      <w:r w:rsidR="0099025B">
        <w:t xml:space="preserve">while the </w:t>
      </w:r>
      <w:r w:rsidR="007C2F6C">
        <w:t xml:space="preserve">overall </w:t>
      </w:r>
      <w:r w:rsidR="00606CEF">
        <w:t xml:space="preserve">number of </w:t>
      </w:r>
      <w:r w:rsidR="00DA3523">
        <w:t xml:space="preserve">approved </w:t>
      </w:r>
      <w:r w:rsidR="00980FD4">
        <w:t xml:space="preserve">national security </w:t>
      </w:r>
      <w:r w:rsidR="00606CEF">
        <w:t xml:space="preserve">investment </w:t>
      </w:r>
      <w:r w:rsidR="00DA3523">
        <w:t xml:space="preserve">proposals </w:t>
      </w:r>
      <w:r w:rsidR="00980FD4">
        <w:t>changes ha</w:t>
      </w:r>
      <w:r w:rsidR="00A341AF">
        <w:t xml:space="preserve">d </w:t>
      </w:r>
      <w:r w:rsidR="00980FD4">
        <w:t xml:space="preserve">been relatively small, </w:t>
      </w:r>
      <w:proofErr w:type="gramStart"/>
      <w:r w:rsidR="00980FD4">
        <w:t>a number of</w:t>
      </w:r>
      <w:proofErr w:type="gramEnd"/>
      <w:r w:rsidR="00980FD4">
        <w:t xml:space="preserve"> stakeholders </w:t>
      </w:r>
      <w:r w:rsidR="008F1461">
        <w:t xml:space="preserve">had </w:t>
      </w:r>
      <w:r w:rsidR="00980FD4">
        <w:t>expressed uncertainty about their application</w:t>
      </w:r>
      <w:r w:rsidR="008D2A05">
        <w:t xml:space="preserve">. </w:t>
      </w:r>
      <w:r w:rsidR="00B64DD0">
        <w:t xml:space="preserve">For example, </w:t>
      </w:r>
      <w:r w:rsidR="007A04CC">
        <w:t>when the national security action</w:t>
      </w:r>
      <w:r w:rsidR="004D4BA1">
        <w:t>s</w:t>
      </w:r>
      <w:r w:rsidR="007A04CC">
        <w:t xml:space="preserve"> w</w:t>
      </w:r>
      <w:r w:rsidR="004D4BA1">
        <w:t>ere</w:t>
      </w:r>
      <w:r w:rsidR="007A04CC">
        <w:t xml:space="preserve"> first introduced</w:t>
      </w:r>
      <w:r w:rsidR="004D4BA1">
        <w:t>, many stakeholders</w:t>
      </w:r>
      <w:r w:rsidR="00CB2EB9">
        <w:t xml:space="preserve"> were </w:t>
      </w:r>
      <w:r w:rsidR="006764A6">
        <w:t xml:space="preserve">uncertain </w:t>
      </w:r>
      <w:r w:rsidR="00B569D7">
        <w:t xml:space="preserve">about </w:t>
      </w:r>
      <w:r w:rsidR="002311B4">
        <w:t>which investments should be man</w:t>
      </w:r>
      <w:r w:rsidR="00794510">
        <w:t>datorily</w:t>
      </w:r>
      <w:r w:rsidR="000073E1">
        <w:t xml:space="preserve"> or voluntarily notified. </w:t>
      </w:r>
      <w:r w:rsidR="00387174">
        <w:t>Since then</w:t>
      </w:r>
      <w:r w:rsidR="00107BF5">
        <w:t>,</w:t>
      </w:r>
      <w:r w:rsidR="00387174">
        <w:t xml:space="preserve"> Treasury has </w:t>
      </w:r>
      <w:r w:rsidR="00F3738C">
        <w:t xml:space="preserve">updated </w:t>
      </w:r>
      <w:r w:rsidR="00C65B8C">
        <w:t>Guidance Note 8</w:t>
      </w:r>
      <w:r w:rsidR="00787A7A">
        <w:t xml:space="preserve">: </w:t>
      </w:r>
      <w:r w:rsidR="00787A7A" w:rsidRPr="004C06D7">
        <w:rPr>
          <w:i/>
          <w:iCs/>
        </w:rPr>
        <w:t>National Security</w:t>
      </w:r>
      <w:r w:rsidR="00C65B8C">
        <w:t xml:space="preserve"> </w:t>
      </w:r>
      <w:r w:rsidR="00D65F8F">
        <w:t xml:space="preserve">to </w:t>
      </w:r>
      <w:r w:rsidR="00531825">
        <w:t xml:space="preserve">clarify these </w:t>
      </w:r>
      <w:r w:rsidR="00066423">
        <w:t>requirement</w:t>
      </w:r>
      <w:r w:rsidR="00531825">
        <w:t>s.</w:t>
      </w:r>
      <w:r w:rsidR="004443DD">
        <w:t xml:space="preserve"> </w:t>
      </w:r>
      <w:r w:rsidR="0055124C">
        <w:t>S</w:t>
      </w:r>
      <w:r w:rsidR="0089039E">
        <w:t>treamlining measures,</w:t>
      </w:r>
      <w:r w:rsidR="004E27AE">
        <w:t xml:space="preserve"> </w:t>
      </w:r>
      <w:r w:rsidR="009C0F9D">
        <w:t xml:space="preserve">such as the </w:t>
      </w:r>
      <w:r w:rsidR="005A1A16">
        <w:t>passive foreign government investor exemption certificate</w:t>
      </w:r>
      <w:r w:rsidR="00DC082C">
        <w:t xml:space="preserve"> </w:t>
      </w:r>
      <w:r w:rsidR="009916F6">
        <w:t>introduced by the reforms</w:t>
      </w:r>
      <w:r w:rsidR="0055124C">
        <w:t xml:space="preserve">, may have also contributed to </w:t>
      </w:r>
      <w:r w:rsidR="004F735E">
        <w:t xml:space="preserve">the </w:t>
      </w:r>
      <w:r w:rsidR="0055124C">
        <w:t>offsetting</w:t>
      </w:r>
      <w:r w:rsidR="004F735E">
        <w:t xml:space="preserve"> of </w:t>
      </w:r>
      <w:r w:rsidR="006C32A1">
        <w:t xml:space="preserve">some of the </w:t>
      </w:r>
      <w:r w:rsidR="00B304C8">
        <w:t>regulatory burden</w:t>
      </w:r>
      <w:r w:rsidR="006C32A1">
        <w:t xml:space="preserve"> faced by investors</w:t>
      </w:r>
      <w:r w:rsidR="004260B1">
        <w:t xml:space="preserve">. </w:t>
      </w:r>
    </w:p>
    <w:p w14:paraId="2AA2EEE9" w14:textId="6E2DAFC9" w:rsidR="00EF147E" w:rsidRDefault="00EF147E" w:rsidP="00F876BB">
      <w:r w:rsidRPr="00050B9B">
        <w:t xml:space="preserve">While there is no fee charged for </w:t>
      </w:r>
      <w:r w:rsidR="00775CA6">
        <w:t>registering an investment</w:t>
      </w:r>
      <w:r w:rsidRPr="00050B9B">
        <w:t>, investors do pay fees for submitting a pre</w:t>
      </w:r>
      <w:r w:rsidR="004260B1">
        <w:noBreakHyphen/>
      </w:r>
      <w:r w:rsidRPr="00050B9B">
        <w:t xml:space="preserve">acquisition application for screening. This ensures that it is foreign investors, not Australian taxpayers, that bear the financial cost of administering the foreign investment regime (fees are discussed further in </w:t>
      </w:r>
      <w:r w:rsidR="00DA5826">
        <w:t>S</w:t>
      </w:r>
      <w:r w:rsidRPr="00050B9B">
        <w:t xml:space="preserve">ections </w:t>
      </w:r>
      <w:r>
        <w:t>2</w:t>
      </w:r>
      <w:r w:rsidRPr="00050B9B">
        <w:t xml:space="preserve">.6 and </w:t>
      </w:r>
      <w:r>
        <w:t>6</w:t>
      </w:r>
      <w:r w:rsidRPr="00050B9B">
        <w:t>.6).</w:t>
      </w:r>
      <w:r>
        <w:t xml:space="preserve"> </w:t>
      </w:r>
      <w:r w:rsidR="0028423B" w:rsidRPr="006D426F">
        <w:t>Chart</w:t>
      </w:r>
      <w:r w:rsidRPr="006D426F">
        <w:t xml:space="preserve"> </w:t>
      </w:r>
      <w:r w:rsidR="00A836CF">
        <w:t>6.</w:t>
      </w:r>
      <w:r w:rsidR="00230637" w:rsidRPr="006D426F">
        <w:t>3</w:t>
      </w:r>
      <w:r>
        <w:t xml:space="preserve"> shows an increasing trend in total fees collected since the 202</w:t>
      </w:r>
      <w:r w:rsidR="00DA5826">
        <w:t>1</w:t>
      </w:r>
      <w:r>
        <w:t xml:space="preserve"> Reforms. </w:t>
      </w:r>
      <w:r w:rsidR="00DA5826">
        <w:t>I</w:t>
      </w:r>
      <w:r w:rsidR="00C1231F">
        <w:t xml:space="preserve">ncreases to </w:t>
      </w:r>
      <w:r>
        <w:t xml:space="preserve">fees in </w:t>
      </w:r>
      <w:r w:rsidR="00C1231F">
        <w:t xml:space="preserve">July </w:t>
      </w:r>
      <w:r>
        <w:t xml:space="preserve">2022 </w:t>
      </w:r>
      <w:r w:rsidR="005670CC">
        <w:t xml:space="preserve">and April 2024 </w:t>
      </w:r>
      <w:r>
        <w:t>make</w:t>
      </w:r>
      <w:r w:rsidR="005670CC">
        <w:t xml:space="preserve"> </w:t>
      </w:r>
      <w:r>
        <w:t>it difficult to isolate the effects of the 202</w:t>
      </w:r>
      <w:r w:rsidR="00DA5826">
        <w:t>1</w:t>
      </w:r>
      <w:r>
        <w:t xml:space="preserve"> reforms beyond July 2022</w:t>
      </w:r>
      <w:r w:rsidR="00F67DF4">
        <w:t>.</w:t>
      </w:r>
    </w:p>
    <w:p w14:paraId="36D33899" w14:textId="33ECAA2F" w:rsidR="00640374" w:rsidRDefault="00141DA8" w:rsidP="00F876BB">
      <w:r>
        <w:t xml:space="preserve">It is important to note that </w:t>
      </w:r>
      <w:r w:rsidR="00B95E64">
        <w:t xml:space="preserve">the </w:t>
      </w:r>
      <w:r>
        <w:t>regulatory burden</w:t>
      </w:r>
      <w:r w:rsidR="00E377FB" w:rsidRPr="00BC36E1">
        <w:t xml:space="preserve"> </w:t>
      </w:r>
      <w:r w:rsidR="00066423">
        <w:t xml:space="preserve">of the foreign investment framework </w:t>
      </w:r>
      <w:r w:rsidR="007F3261" w:rsidRPr="00BC36E1">
        <w:t>sit</w:t>
      </w:r>
      <w:r w:rsidR="00D27FB0">
        <w:t>s</w:t>
      </w:r>
      <w:r w:rsidR="00E377FB" w:rsidRPr="00BC36E1">
        <w:t xml:space="preserve"> alongside factors such as economic conditions and other regulatory settings</w:t>
      </w:r>
      <w:r w:rsidR="00066423">
        <w:t xml:space="preserve"> that influence foreign investors decision</w:t>
      </w:r>
      <w:r w:rsidR="00AF4B7F">
        <w:t xml:space="preserve">, making it challenging to isolate the impacts of </w:t>
      </w:r>
      <w:r w:rsidR="00DA5826">
        <w:t>these changes on investment interest and behaviour</w:t>
      </w:r>
      <w:r w:rsidR="00E377FB" w:rsidRPr="00BC36E1">
        <w:t>.</w:t>
      </w:r>
      <w:r>
        <w:t xml:space="preserve"> </w:t>
      </w:r>
      <w:r w:rsidR="00E377FB" w:rsidRPr="00BC36E1">
        <w:t>Even if a sustained shift in FDI inflows could be identified, it would not be possible to say whether or to what extent it may be attributed to changes in the foreign investment framework.</w:t>
      </w:r>
      <w:r w:rsidR="00640374">
        <w:t xml:space="preserve"> </w:t>
      </w:r>
    </w:p>
    <w:p w14:paraId="0813B5F0" w14:textId="3D64617C" w:rsidR="00F91A97" w:rsidRDefault="005A422D" w:rsidP="00F876BB">
      <w:r>
        <w:t>Australia has remained attractive as a destination for foreign investment as reflected in foreign direct investment (FDI) inflows, which from 2021 to 2023 averaged 3.3 per cent of GDP, compared with 1.1</w:t>
      </w:r>
      <w:r w:rsidR="006E3211">
        <w:t> </w:t>
      </w:r>
      <w:r>
        <w:t xml:space="preserve">per cent of GDP for the OECD and </w:t>
      </w:r>
      <w:r w:rsidRPr="0004372E">
        <w:t>1.9 per cent of GDP for the G20 economies</w:t>
      </w:r>
      <w:r>
        <w:t>.</w:t>
      </w:r>
      <w:r w:rsidR="002B449C" w:rsidRPr="00C06C7A">
        <w:rPr>
          <w:rStyle w:val="FootnoteReference"/>
          <w:vertAlign w:val="superscript"/>
        </w:rPr>
        <w:footnoteReference w:id="23"/>
      </w:r>
      <w:r w:rsidR="00BB1776" w:rsidRPr="00C06C7A">
        <w:rPr>
          <w:vertAlign w:val="superscript"/>
        </w:rPr>
        <w:t xml:space="preserve"> </w:t>
      </w:r>
      <w:r w:rsidR="00A42D90">
        <w:t>In its 2025 FDI Confidence Index, Kearney</w:t>
      </w:r>
      <w:r w:rsidR="004260B1">
        <w:t>’</w:t>
      </w:r>
      <w:r w:rsidR="00A42D90">
        <w:t xml:space="preserve">s Global Business Policy Council ranked Australia </w:t>
      </w:r>
      <w:r w:rsidR="00C67BC1">
        <w:t>tenth</w:t>
      </w:r>
      <w:r w:rsidR="00DC5B25">
        <w:t xml:space="preserve"> for the third year in a row for countries that are likely to attract the most foreign investment</w:t>
      </w:r>
      <w:r w:rsidR="00A3241C">
        <w:t xml:space="preserve"> over the next three years.</w:t>
      </w:r>
      <w:r w:rsidR="001740C9" w:rsidRPr="009B0F23">
        <w:rPr>
          <w:rStyle w:val="FootnoteReference"/>
          <w:vertAlign w:val="superscript"/>
        </w:rPr>
        <w:footnoteReference w:id="24"/>
      </w:r>
      <w:r w:rsidR="00A3241C" w:rsidRPr="009B0F23">
        <w:rPr>
          <w:vertAlign w:val="superscript"/>
        </w:rPr>
        <w:t xml:space="preserve"> </w:t>
      </w:r>
      <w:r w:rsidR="0025419D">
        <w:t>This</w:t>
      </w:r>
      <w:r w:rsidR="0025419D" w:rsidRPr="007B41EC">
        <w:t xml:space="preserve"> suggests that the current regulatory</w:t>
      </w:r>
      <w:r w:rsidR="002B449C">
        <w:t xml:space="preserve"> burden,</w:t>
      </w:r>
      <w:r w:rsidR="0025419D" w:rsidRPr="007B41EC">
        <w:t xml:space="preserve"> costs and fees of the foreign investment framework are not a significant deterrent to foreign investment in Australia</w:t>
      </w:r>
      <w:r w:rsidR="00F91A97">
        <w:t xml:space="preserve">. </w:t>
      </w:r>
    </w:p>
    <w:p w14:paraId="56B8F477" w14:textId="49E9D024" w:rsidR="00E43B8F" w:rsidRDefault="00763BC3" w:rsidP="00F876BB">
      <w:r w:rsidRPr="001A36B9">
        <w:t>Many stakeholders</w:t>
      </w:r>
      <w:r w:rsidR="00A45FB7" w:rsidRPr="001A36B9">
        <w:t xml:space="preserve"> indicated slow processing times </w:t>
      </w:r>
      <w:r w:rsidR="00672DF4">
        <w:t xml:space="preserve">and delays in receiving decisions as a key concern in the 2021 </w:t>
      </w:r>
      <w:r w:rsidR="001D7545">
        <w:t>e</w:t>
      </w:r>
      <w:r w:rsidR="00672DF4">
        <w:t xml:space="preserve">valuation of the </w:t>
      </w:r>
      <w:r w:rsidR="005F6CF8">
        <w:t xml:space="preserve">reforms. </w:t>
      </w:r>
      <w:r w:rsidR="001C5F7B" w:rsidRPr="001C5F7B">
        <w:t xml:space="preserve">The median processing time for </w:t>
      </w:r>
      <w:r w:rsidR="005D2D9C">
        <w:t xml:space="preserve">approved commercial </w:t>
      </w:r>
      <w:r w:rsidR="00B74C76">
        <w:t xml:space="preserve">investment proposals </w:t>
      </w:r>
      <w:r w:rsidR="0033097B">
        <w:t>has been on a downward trend since the reforms were introduced</w:t>
      </w:r>
      <w:r w:rsidR="00C85350">
        <w:t xml:space="preserve">, </w:t>
      </w:r>
      <w:r w:rsidR="00A34F85">
        <w:t>and when accounting for</w:t>
      </w:r>
      <w:r w:rsidR="00E43B8F">
        <w:t xml:space="preserve"> longer processing times during the COVID</w:t>
      </w:r>
      <w:r w:rsidR="004260B1">
        <w:noBreakHyphen/>
      </w:r>
      <w:r w:rsidR="00E43B8F">
        <w:t>19 pandemic during the zero</w:t>
      </w:r>
      <w:r w:rsidR="004260B1">
        <w:noBreakHyphen/>
      </w:r>
      <w:r w:rsidR="00E43B8F">
        <w:t>dollar threshold arrangements</w:t>
      </w:r>
      <w:r w:rsidR="00382BC5">
        <w:t xml:space="preserve"> in 2020</w:t>
      </w:r>
      <w:r w:rsidR="00E43B8F">
        <w:t xml:space="preserve">, </w:t>
      </w:r>
      <w:r w:rsidR="00C85350">
        <w:t>demonstra</w:t>
      </w:r>
      <w:r w:rsidR="00E43B8F">
        <w:t>te</w:t>
      </w:r>
      <w:r w:rsidR="00C85350">
        <w:t xml:space="preserve"> </w:t>
      </w:r>
      <w:r w:rsidR="00DA5826">
        <w:t xml:space="preserve">changes over this period </w:t>
      </w:r>
      <w:r w:rsidR="00C85350">
        <w:t>have had a positive effect on reducing processing times.</w:t>
      </w:r>
      <w:r w:rsidR="001C5F7B" w:rsidRPr="001C5F7B">
        <w:t xml:space="preserve"> </w:t>
      </w:r>
      <w:r w:rsidR="003A5901">
        <w:t xml:space="preserve">The completion and implementation of </w:t>
      </w:r>
      <w:r w:rsidR="00F902A0">
        <w:t xml:space="preserve">the Portal discussed in section 6.7 </w:t>
      </w:r>
      <w:r w:rsidR="00124B6D">
        <w:t>is likely to have</w:t>
      </w:r>
      <w:r w:rsidR="00F902A0">
        <w:t xml:space="preserve"> a further positive impact on processing times</w:t>
      </w:r>
      <w:r w:rsidR="00596247">
        <w:t xml:space="preserve"> as originally intended by the 202</w:t>
      </w:r>
      <w:r w:rsidR="00804CFD">
        <w:t>1</w:t>
      </w:r>
      <w:r w:rsidR="00596247">
        <w:t xml:space="preserve"> reforms.</w:t>
      </w:r>
      <w:r w:rsidR="004F678A">
        <w:t xml:space="preserve"> Additionally, the </w:t>
      </w:r>
      <w:r w:rsidR="00762B69">
        <w:t>streamlining and strengthening</w:t>
      </w:r>
      <w:r w:rsidR="00641A7C">
        <w:t xml:space="preserve"> reforms </w:t>
      </w:r>
      <w:r w:rsidR="00CF439C">
        <w:t>introduced</w:t>
      </w:r>
      <w:r w:rsidR="00EE4048">
        <w:t xml:space="preserve"> in 2024 has had a cumulative positive effect on reducing median processing times</w:t>
      </w:r>
      <w:r w:rsidR="00DA5826">
        <w:t>,</w:t>
      </w:r>
      <w:r w:rsidR="0059444B">
        <w:t xml:space="preserve"> with Treasury adopt</w:t>
      </w:r>
      <w:r w:rsidR="00DA5826">
        <w:t>ing</w:t>
      </w:r>
      <w:r w:rsidR="0059444B">
        <w:t xml:space="preserve"> a new performance target of </w:t>
      </w:r>
      <w:r w:rsidR="00DA5826">
        <w:t xml:space="preserve">deciding </w:t>
      </w:r>
      <w:r w:rsidR="0059444B">
        <w:t>50 per cent of investment proposal</w:t>
      </w:r>
      <w:r w:rsidR="00213749">
        <w:t>s within the 30</w:t>
      </w:r>
      <w:r w:rsidR="004260B1">
        <w:noBreakHyphen/>
      </w:r>
      <w:r w:rsidR="00213749">
        <w:t>day statutory decision period from 1 January 2025.</w:t>
      </w:r>
    </w:p>
    <w:p w14:paraId="552420A4" w14:textId="5846D1D1" w:rsidR="00E43B8F" w:rsidRDefault="0028423B" w:rsidP="00E21FEE">
      <w:pPr>
        <w:pStyle w:val="ChartMainHeading"/>
      </w:pPr>
      <w:r>
        <w:t>Chart</w:t>
      </w:r>
      <w:r w:rsidR="00E43B8F">
        <w:t xml:space="preserve"> </w:t>
      </w:r>
      <w:r w:rsidR="00D4608C">
        <w:t>8.1</w:t>
      </w:r>
      <w:r w:rsidR="00E43B8F">
        <w:t xml:space="preserve">: </w:t>
      </w:r>
      <w:r w:rsidR="00AD3F4B">
        <w:t>Median processing times for approved commercial investment proposals</w:t>
      </w:r>
    </w:p>
    <w:p w14:paraId="585D514D" w14:textId="29804080" w:rsidR="008F3513" w:rsidRDefault="007D7347" w:rsidP="0052261F">
      <w:pPr>
        <w:pStyle w:val="ChartGraphic"/>
      </w:pPr>
      <w:r>
        <w:rPr>
          <w:noProof/>
        </w:rPr>
        <w:drawing>
          <wp:inline distT="0" distB="0" distL="0" distR="0" wp14:anchorId="1CE3912D" wp14:editId="2DAB8E56">
            <wp:extent cx="5578475" cy="2603500"/>
            <wp:effectExtent l="0" t="0" r="0" b="0"/>
            <wp:docPr id="334174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8475" cy="2603500"/>
                    </a:xfrm>
                    <a:prstGeom prst="rect">
                      <a:avLst/>
                    </a:prstGeom>
                    <a:noFill/>
                  </pic:spPr>
                </pic:pic>
              </a:graphicData>
            </a:graphic>
          </wp:inline>
        </w:drawing>
      </w:r>
    </w:p>
    <w:p w14:paraId="2E488859" w14:textId="057BAB10" w:rsidR="00C06C7A" w:rsidRDefault="00FF7282" w:rsidP="00266A4A">
      <w:pPr>
        <w:spacing w:before="0" w:after="0"/>
        <w:rPr>
          <w:sz w:val="18"/>
          <w:szCs w:val="18"/>
        </w:rPr>
      </w:pPr>
      <w:r w:rsidRPr="000D35AD">
        <w:rPr>
          <w:sz w:val="18"/>
          <w:szCs w:val="18"/>
        </w:rPr>
        <w:t>Source:</w:t>
      </w:r>
      <w:r w:rsidR="00E21FEE">
        <w:rPr>
          <w:sz w:val="18"/>
          <w:szCs w:val="18"/>
        </w:rPr>
        <w:tab/>
      </w:r>
      <w:r w:rsidR="000D35AD" w:rsidRPr="000D35AD">
        <w:rPr>
          <w:sz w:val="18"/>
          <w:szCs w:val="18"/>
        </w:rPr>
        <w:t>Treasury</w:t>
      </w:r>
    </w:p>
    <w:p w14:paraId="1F1EF0C7" w14:textId="7738F6D3" w:rsidR="008F3513" w:rsidRDefault="008F3513" w:rsidP="00266A4A">
      <w:pPr>
        <w:spacing w:before="0" w:after="0"/>
        <w:rPr>
          <w:sz w:val="18"/>
          <w:szCs w:val="16"/>
        </w:rPr>
      </w:pPr>
      <w:r>
        <w:rPr>
          <w:sz w:val="18"/>
          <w:szCs w:val="18"/>
        </w:rPr>
        <w:t>*</w:t>
      </w:r>
      <w:r w:rsidR="00E21FEE">
        <w:rPr>
          <w:sz w:val="18"/>
          <w:szCs w:val="18"/>
        </w:rPr>
        <w:tab/>
      </w:r>
      <w:r>
        <w:rPr>
          <w:sz w:val="18"/>
          <w:szCs w:val="16"/>
        </w:rPr>
        <w:t>Quarter 1 and 2 of 2024</w:t>
      </w:r>
      <w:r w:rsidR="0052261F" w:rsidRPr="0052261F">
        <w:rPr>
          <w:sz w:val="18"/>
          <w:szCs w:val="16"/>
        </w:rPr>
        <w:t>–</w:t>
      </w:r>
      <w:r>
        <w:rPr>
          <w:sz w:val="18"/>
          <w:szCs w:val="16"/>
        </w:rPr>
        <w:t>25</w:t>
      </w:r>
    </w:p>
    <w:p w14:paraId="6B690A9C" w14:textId="309DA637" w:rsidR="00534639" w:rsidRDefault="00F9423D" w:rsidP="00F876BB">
      <w:r>
        <w:t>As the new Portal has</w:t>
      </w:r>
      <w:r w:rsidR="001B5082">
        <w:t xml:space="preserve"> only</w:t>
      </w:r>
      <w:r>
        <w:t xml:space="preserve"> </w:t>
      </w:r>
      <w:r w:rsidR="008942FF">
        <w:t xml:space="preserve">been </w:t>
      </w:r>
      <w:r w:rsidR="007C4D0C">
        <w:t>fully operational</w:t>
      </w:r>
      <w:r w:rsidR="008942FF">
        <w:t xml:space="preserve"> for </w:t>
      </w:r>
      <w:r w:rsidR="000D5D3E">
        <w:t xml:space="preserve">four </w:t>
      </w:r>
      <w:r w:rsidR="008942FF">
        <w:t>month</w:t>
      </w:r>
      <w:r w:rsidR="001B5082">
        <w:t>s</w:t>
      </w:r>
      <w:r w:rsidR="000D5D3E">
        <w:t xml:space="preserve"> at the time of this review</w:t>
      </w:r>
      <w:r w:rsidR="001B5082">
        <w:t>, it is t</w:t>
      </w:r>
      <w:r w:rsidR="002244DD">
        <w:t>o</w:t>
      </w:r>
      <w:r w:rsidR="001B5082">
        <w:t xml:space="preserve">o early to tell if it has had a net benefit on </w:t>
      </w:r>
      <w:r w:rsidR="00DA5826">
        <w:t xml:space="preserve">application </w:t>
      </w:r>
      <w:r w:rsidR="00DE4C85">
        <w:t>processing</w:t>
      </w:r>
      <w:r w:rsidR="006E4E32">
        <w:t xml:space="preserve"> time</w:t>
      </w:r>
      <w:r w:rsidR="00DA5826">
        <w:t>s</w:t>
      </w:r>
      <w:r w:rsidR="00DE4C85">
        <w:t xml:space="preserve"> and </w:t>
      </w:r>
      <w:r w:rsidR="00DA5826">
        <w:t>the broader</w:t>
      </w:r>
      <w:r w:rsidR="00DE4C85">
        <w:t xml:space="preserve"> administration of the foreign investment framework. </w:t>
      </w:r>
      <w:r w:rsidR="008C07FC">
        <w:t>The Treasury and ATO continue to collaborate on data that is gathered for</w:t>
      </w:r>
      <w:r w:rsidR="00984BBB">
        <w:t xml:space="preserve"> compliance functions.</w:t>
      </w:r>
    </w:p>
    <w:p w14:paraId="23A44886" w14:textId="47F3DCFF" w:rsidR="006D5BAC" w:rsidRDefault="006D5BAC" w:rsidP="00F876BB">
      <w:proofErr w:type="gramStart"/>
      <w:r>
        <w:t>With regard to</w:t>
      </w:r>
      <w:proofErr w:type="gramEnd"/>
      <w:r>
        <w:t xml:space="preserve"> competition impacts, any </w:t>
      </w:r>
      <w:r w:rsidR="004E3D81">
        <w:t>d</w:t>
      </w:r>
      <w:r>
        <w:t xml:space="preserve">irect impact of the 2021 reforms on competition is difficult to determine from the current available data. Further, the 2021 reforms were not intended to be restrictive on competition. The foreign investment framework considers impacts on competition amongst considerations under the national interest test. Determining </w:t>
      </w:r>
      <w:r w:rsidR="00DA5826">
        <w:t>the</w:t>
      </w:r>
      <w:r>
        <w:t xml:space="preserve"> competition impact of an investment is conducted in consultation with other Government agencies, including the Australian Competition &amp; Consumer Commission.</w:t>
      </w:r>
    </w:p>
    <w:p w14:paraId="56B0E862" w14:textId="12C6F65B" w:rsidR="00E60698" w:rsidRDefault="0078234C" w:rsidP="00F876BB">
      <w:pPr>
        <w:rPr>
          <w:noProof/>
        </w:rPr>
      </w:pPr>
      <w:r>
        <w:rPr>
          <w:noProof/>
        </w:rPr>
        <w:t>Whilst the 202</w:t>
      </w:r>
      <w:r w:rsidR="0046405E">
        <w:rPr>
          <w:noProof/>
        </w:rPr>
        <w:t>1</w:t>
      </w:r>
      <w:r>
        <w:rPr>
          <w:noProof/>
        </w:rPr>
        <w:t xml:space="preserve"> reforms have, overall, delivered a net benefit</w:t>
      </w:r>
      <w:r w:rsidR="009B6A9B">
        <w:rPr>
          <w:noProof/>
        </w:rPr>
        <w:t xml:space="preserve"> and were appropriate and efficient at addressing the problems at the time,</w:t>
      </w:r>
      <w:r>
        <w:rPr>
          <w:noProof/>
        </w:rPr>
        <w:t xml:space="preserve"> </w:t>
      </w:r>
      <w:r w:rsidR="00BD0166">
        <w:rPr>
          <w:noProof/>
        </w:rPr>
        <w:t>ongoing feedback received from stakeholders discussed throughout this review indicate</w:t>
      </w:r>
      <w:r w:rsidR="00154573">
        <w:rPr>
          <w:noProof/>
        </w:rPr>
        <w:t>s</w:t>
      </w:r>
      <w:r w:rsidR="00BD0166">
        <w:rPr>
          <w:noProof/>
        </w:rPr>
        <w:t xml:space="preserve"> more can be done to improve the operation of the foreign investment framework</w:t>
      </w:r>
      <w:r w:rsidR="00BF5C2E">
        <w:rPr>
          <w:noProof/>
        </w:rPr>
        <w:t xml:space="preserve"> to </w:t>
      </w:r>
      <w:r w:rsidR="004111B3">
        <w:rPr>
          <w:noProof/>
        </w:rPr>
        <w:t>maximise investment flows and reduce regulatory burden</w:t>
      </w:r>
      <w:r w:rsidR="00655ED5">
        <w:rPr>
          <w:noProof/>
        </w:rPr>
        <w:t xml:space="preserve"> w</w:t>
      </w:r>
      <w:r w:rsidR="00E82C48">
        <w:rPr>
          <w:noProof/>
        </w:rPr>
        <w:t>hile protecting Australia</w:t>
      </w:r>
      <w:r w:rsidR="004260B1">
        <w:rPr>
          <w:noProof/>
        </w:rPr>
        <w:t>’</w:t>
      </w:r>
      <w:r w:rsidR="00E82C48">
        <w:rPr>
          <w:noProof/>
        </w:rPr>
        <w:t>s national interest</w:t>
      </w:r>
      <w:r w:rsidR="007E6E57">
        <w:rPr>
          <w:noProof/>
        </w:rPr>
        <w:t xml:space="preserve"> and national security</w:t>
      </w:r>
      <w:r w:rsidR="00E82C48">
        <w:rPr>
          <w:noProof/>
        </w:rPr>
        <w:t>.</w:t>
      </w:r>
      <w:r w:rsidR="00111DD6">
        <w:rPr>
          <w:noProof/>
        </w:rPr>
        <w:t xml:space="preserve"> </w:t>
      </w:r>
      <w:r w:rsidR="00E33DB8" w:rsidRPr="00E33DB8">
        <w:rPr>
          <w:noProof/>
        </w:rPr>
        <w:t>The operating context of the framework has also changed since the 20</w:t>
      </w:r>
      <w:r w:rsidR="008709A0">
        <w:rPr>
          <w:noProof/>
        </w:rPr>
        <w:t>21</w:t>
      </w:r>
      <w:r w:rsidR="00E33DB8" w:rsidRPr="00E33DB8">
        <w:rPr>
          <w:noProof/>
        </w:rPr>
        <w:t xml:space="preserve"> reforms.</w:t>
      </w:r>
      <w:r w:rsidR="00E33DB8">
        <w:rPr>
          <w:noProof/>
        </w:rPr>
        <w:t xml:space="preserve"> </w:t>
      </w:r>
      <w:r w:rsidR="002B0FBD">
        <w:rPr>
          <w:noProof/>
        </w:rPr>
        <w:t xml:space="preserve">National secruity threats </w:t>
      </w:r>
      <w:r w:rsidR="009F698E">
        <w:rPr>
          <w:noProof/>
        </w:rPr>
        <w:t>continue to increase due to</w:t>
      </w:r>
      <w:r w:rsidR="002B0FBD">
        <w:rPr>
          <w:noProof/>
        </w:rPr>
        <w:t xml:space="preserve"> </w:t>
      </w:r>
      <w:r w:rsidR="000531F5">
        <w:rPr>
          <w:noProof/>
        </w:rPr>
        <w:t>intensifying geopolitical competition</w:t>
      </w:r>
      <w:r w:rsidR="00302DFF">
        <w:rPr>
          <w:noProof/>
        </w:rPr>
        <w:t xml:space="preserve">, </w:t>
      </w:r>
      <w:r w:rsidR="007E6E57">
        <w:rPr>
          <w:noProof/>
        </w:rPr>
        <w:t>while</w:t>
      </w:r>
      <w:r w:rsidR="00302DFF">
        <w:rPr>
          <w:noProof/>
        </w:rPr>
        <w:t xml:space="preserve"> comp</w:t>
      </w:r>
      <w:r w:rsidR="00500DA5">
        <w:rPr>
          <w:noProof/>
        </w:rPr>
        <w:t>etition for global capital</w:t>
      </w:r>
      <w:r w:rsidR="007E6E57">
        <w:rPr>
          <w:noProof/>
        </w:rPr>
        <w:t xml:space="preserve"> has also grown</w:t>
      </w:r>
      <w:r w:rsidR="00500DA5">
        <w:rPr>
          <w:noProof/>
        </w:rPr>
        <w:t>.</w:t>
      </w:r>
      <w:r w:rsidR="00E33DB8">
        <w:rPr>
          <w:noProof/>
        </w:rPr>
        <w:t xml:space="preserve"> </w:t>
      </w:r>
      <w:r w:rsidR="00961BB8">
        <w:rPr>
          <w:noProof/>
        </w:rPr>
        <w:t xml:space="preserve">Australia </w:t>
      </w:r>
      <w:r w:rsidR="002B63AA">
        <w:rPr>
          <w:noProof/>
        </w:rPr>
        <w:t xml:space="preserve">must ensure its approach </w:t>
      </w:r>
      <w:r w:rsidR="00E37E2C">
        <w:rPr>
          <w:noProof/>
        </w:rPr>
        <w:t xml:space="preserve">to foreign investment </w:t>
      </w:r>
      <w:r w:rsidR="002B63AA">
        <w:rPr>
          <w:noProof/>
        </w:rPr>
        <w:t>evolves with these changes.</w:t>
      </w:r>
      <w:r w:rsidR="00961BB8">
        <w:rPr>
          <w:noProof/>
        </w:rPr>
        <w:t xml:space="preserve"> </w:t>
      </w:r>
      <w:r w:rsidR="00904A63" w:rsidRPr="00904A63">
        <w:rPr>
          <w:noProof/>
        </w:rPr>
        <w:t>The Treasury wrote to the Treasurer in August 2025 to support the Government</w:t>
      </w:r>
      <w:r w:rsidR="004260B1">
        <w:rPr>
          <w:noProof/>
        </w:rPr>
        <w:t>’</w:t>
      </w:r>
      <w:r w:rsidR="00904A63" w:rsidRPr="00904A63">
        <w:rPr>
          <w:noProof/>
        </w:rPr>
        <w:t>s regulatory reform agenda, including further reform</w:t>
      </w:r>
      <w:r w:rsidR="00DC2EB5">
        <w:rPr>
          <w:noProof/>
        </w:rPr>
        <w:t xml:space="preserve">s to </w:t>
      </w:r>
      <w:r w:rsidR="00904A63" w:rsidRPr="00904A63">
        <w:rPr>
          <w:noProof/>
        </w:rPr>
        <w:t xml:space="preserve"> the </w:t>
      </w:r>
      <w:r w:rsidR="00360046" w:rsidRPr="00904A63">
        <w:rPr>
          <w:noProof/>
        </w:rPr>
        <w:t xml:space="preserve">foreign investment </w:t>
      </w:r>
      <w:r w:rsidR="00904A63" w:rsidRPr="00904A63">
        <w:rPr>
          <w:noProof/>
        </w:rPr>
        <w:t>framework. Potential areas of focus include reducing</w:t>
      </w:r>
      <w:r w:rsidR="00FA013B">
        <w:rPr>
          <w:noProof/>
        </w:rPr>
        <w:t xml:space="preserve"> the</w:t>
      </w:r>
      <w:r w:rsidR="00904A63" w:rsidRPr="00904A63">
        <w:rPr>
          <w:noProof/>
        </w:rPr>
        <w:t xml:space="preserve"> reporting burden for investors by simplifying reporting obligations</w:t>
      </w:r>
      <w:r w:rsidR="004201BC">
        <w:rPr>
          <w:noProof/>
        </w:rPr>
        <w:t>,</w:t>
      </w:r>
      <w:r w:rsidR="00DC2EB5">
        <w:rPr>
          <w:noProof/>
        </w:rPr>
        <w:t xml:space="preserve"> </w:t>
      </w:r>
      <w:r w:rsidR="00904A63" w:rsidRPr="00904A63">
        <w:rPr>
          <w:noProof/>
        </w:rPr>
        <w:t>providing stronger and more flexible powers to manage high</w:t>
      </w:r>
      <w:r w:rsidR="004260B1">
        <w:rPr>
          <w:noProof/>
        </w:rPr>
        <w:noBreakHyphen/>
      </w:r>
      <w:r w:rsidR="00904A63" w:rsidRPr="00904A63">
        <w:rPr>
          <w:noProof/>
        </w:rPr>
        <w:t>risk investment</w:t>
      </w:r>
      <w:r w:rsidR="00FA013B">
        <w:rPr>
          <w:noProof/>
        </w:rPr>
        <w:t>s</w:t>
      </w:r>
      <w:r w:rsidR="00904A63" w:rsidRPr="00904A63">
        <w:rPr>
          <w:noProof/>
        </w:rPr>
        <w:t xml:space="preserve"> and making application fees simpler and fairer for investors.</w:t>
      </w:r>
      <w:r w:rsidR="00B0305F" w:rsidRPr="009B0F23">
        <w:rPr>
          <w:rStyle w:val="FootnoteReference"/>
          <w:noProof/>
          <w:vertAlign w:val="superscript"/>
        </w:rPr>
        <w:footnoteReference w:id="25"/>
      </w:r>
    </w:p>
    <w:p w14:paraId="292816BC" w14:textId="77777777" w:rsidR="009A457E" w:rsidRDefault="009A457E" w:rsidP="00E21FEE">
      <w:r>
        <w:br w:type="page"/>
      </w:r>
    </w:p>
    <w:p w14:paraId="3A9A43F8" w14:textId="24BE073B" w:rsidR="0008157A" w:rsidRDefault="0008157A" w:rsidP="00F876BB">
      <w:pPr>
        <w:pStyle w:val="Heading1Numbered"/>
      </w:pPr>
      <w:bookmarkStart w:id="82" w:name="_Toc210039678"/>
      <w:r>
        <w:t>How was the policy implemented and evaluated?</w:t>
      </w:r>
      <w:bookmarkEnd w:id="82"/>
      <w:r>
        <w:t xml:space="preserve"> </w:t>
      </w:r>
    </w:p>
    <w:p w14:paraId="6D1209FF" w14:textId="1CBF4FC5" w:rsidR="00616F55" w:rsidRDefault="00616F55" w:rsidP="00F876BB">
      <w:pPr>
        <w:pStyle w:val="Heading2Numbered"/>
      </w:pPr>
      <w:bookmarkStart w:id="83" w:name="_Toc210039679"/>
      <w:r>
        <w:t>Implementation</w:t>
      </w:r>
      <w:bookmarkEnd w:id="83"/>
    </w:p>
    <w:p w14:paraId="12AF4B62" w14:textId="583D6A56" w:rsidR="005D55D4" w:rsidRPr="008E0AB5" w:rsidRDefault="002502DE" w:rsidP="00F876BB">
      <w:pPr>
        <w:rPr>
          <w:i/>
        </w:rPr>
      </w:pPr>
      <w:r w:rsidRPr="002502DE">
        <w:t xml:space="preserve">The reforms were enacted through the </w:t>
      </w:r>
      <w:r w:rsidR="00B75981" w:rsidRPr="00B75981">
        <w:t>Reform Acts</w:t>
      </w:r>
      <w:r w:rsidR="006E24EB">
        <w:t>.</w:t>
      </w:r>
      <w:r w:rsidR="00A23AEB">
        <w:t xml:space="preserve"> </w:t>
      </w:r>
      <w:r w:rsidR="0038343F">
        <w:t>Several</w:t>
      </w:r>
      <w:r w:rsidR="00154F52">
        <w:t xml:space="preserve"> initiatives </w:t>
      </w:r>
      <w:r w:rsidR="00C47B00">
        <w:t xml:space="preserve">facilitated </w:t>
      </w:r>
      <w:r w:rsidR="00574274">
        <w:t>the implementation of the reforms</w:t>
      </w:r>
      <w:r w:rsidR="00C47B00">
        <w:t>, including</w:t>
      </w:r>
      <w:r w:rsidR="00574274">
        <w:t xml:space="preserve"> in the</w:t>
      </w:r>
      <w:r w:rsidR="009341AE">
        <w:t xml:space="preserve"> public documents on</w:t>
      </w:r>
      <w:r w:rsidR="00574274">
        <w:t xml:space="preserve"> consultation </w:t>
      </w:r>
      <w:r w:rsidR="00150B15">
        <w:t>for, and completion of, the 2021</w:t>
      </w:r>
      <w:r w:rsidR="00E21FEE">
        <w:t> </w:t>
      </w:r>
      <w:r w:rsidR="00150B15">
        <w:t xml:space="preserve">Evaluation (detailed </w:t>
      </w:r>
      <w:r w:rsidR="008A3773">
        <w:t xml:space="preserve">in section </w:t>
      </w:r>
      <w:r w:rsidR="0071140F">
        <w:t>9.</w:t>
      </w:r>
      <w:r w:rsidR="008A3773">
        <w:t>2</w:t>
      </w:r>
      <w:r w:rsidR="00150B15">
        <w:t>).</w:t>
      </w:r>
      <w:r w:rsidR="00D45C19" w:rsidRPr="009B0F23">
        <w:rPr>
          <w:rStyle w:val="FootnoteReference"/>
          <w:vertAlign w:val="superscript"/>
        </w:rPr>
        <w:footnoteReference w:id="26"/>
      </w:r>
      <w:r w:rsidR="009341AE" w:rsidRPr="009B0F23">
        <w:rPr>
          <w:vertAlign w:val="superscript"/>
        </w:rPr>
        <w:t xml:space="preserve"> </w:t>
      </w:r>
      <w:r w:rsidR="009341AE">
        <w:t>This focused on the legislative reform</w:t>
      </w:r>
      <w:r w:rsidR="00824E6D">
        <w:t xml:space="preserve">s whilst work </w:t>
      </w:r>
      <w:r w:rsidR="00E147F3">
        <w:t xml:space="preserve">was </w:t>
      </w:r>
      <w:r w:rsidR="00824E6D">
        <w:t>progressed on developing the RFOAA and modernising Treasury</w:t>
      </w:r>
      <w:r w:rsidR="004260B1">
        <w:t>’</w:t>
      </w:r>
      <w:r w:rsidR="00824E6D">
        <w:t>s IT systems.</w:t>
      </w:r>
      <w:r w:rsidR="009B76A5">
        <w:t xml:space="preserve"> </w:t>
      </w:r>
      <w:r w:rsidR="00917839">
        <w:t xml:space="preserve">As discussed in </w:t>
      </w:r>
      <w:r w:rsidR="00C86CAF">
        <w:t>S</w:t>
      </w:r>
      <w:r w:rsidR="00917839">
        <w:t>ections 6.5 and 6.7, the w</w:t>
      </w:r>
      <w:r w:rsidR="00920258">
        <w:t>ork</w:t>
      </w:r>
      <w:r w:rsidR="00B83C0A">
        <w:t xml:space="preserve"> </w:t>
      </w:r>
      <w:r w:rsidR="00953903">
        <w:t xml:space="preserve">on the RFOAA and </w:t>
      </w:r>
      <w:r w:rsidR="001021A9">
        <w:t>Treasury</w:t>
      </w:r>
      <w:r w:rsidR="004260B1">
        <w:t>’</w:t>
      </w:r>
      <w:r w:rsidR="001021A9">
        <w:t xml:space="preserve">s </w:t>
      </w:r>
      <w:r w:rsidR="00920258">
        <w:t xml:space="preserve">new IT system have since been completed. </w:t>
      </w:r>
    </w:p>
    <w:p w14:paraId="7F275E0E" w14:textId="3C973564" w:rsidR="00C74C71" w:rsidRDefault="00950D3E" w:rsidP="00F876BB">
      <w:r w:rsidRPr="00950D3E">
        <w:t>Guidance material on the Foreign Investment website was updated in December 2020 and then again in July 2021, drawing on insights gained through consultations with stakeholders as well as the Treasury</w:t>
      </w:r>
      <w:r w:rsidR="004260B1">
        <w:t>’</w:t>
      </w:r>
      <w:r w:rsidRPr="00950D3E">
        <w:t xml:space="preserve">s own experience in administering the new framework during its first six months. </w:t>
      </w:r>
      <w:r w:rsidR="00C74C71" w:rsidRPr="00C74C71">
        <w:t>As well as adding reform</w:t>
      </w:r>
      <w:r w:rsidR="004260B1">
        <w:noBreakHyphen/>
      </w:r>
      <w:r w:rsidR="00C74C71" w:rsidRPr="00C74C71">
        <w:t>related content, the guidance was consolidated into a more user</w:t>
      </w:r>
      <w:r w:rsidR="004260B1">
        <w:noBreakHyphen/>
      </w:r>
      <w:r w:rsidR="00C74C71" w:rsidRPr="00C74C71">
        <w:t>friendly format and the total number of guidance notes w</w:t>
      </w:r>
      <w:r w:rsidR="007453B2">
        <w:t>as</w:t>
      </w:r>
      <w:r w:rsidR="00C74C71" w:rsidRPr="00C74C71">
        <w:t xml:space="preserve"> reduced from 53 to 15.</w:t>
      </w:r>
    </w:p>
    <w:p w14:paraId="7B683E06" w14:textId="14404771" w:rsidR="008D6D1E" w:rsidRDefault="00950D3E" w:rsidP="00F876BB">
      <w:r w:rsidRPr="00950D3E">
        <w:t>On 30 September 2021, further guidance was published on compliance and reporting obligations and the application of the framework</w:t>
      </w:r>
      <w:r w:rsidR="004260B1">
        <w:t>’</w:t>
      </w:r>
      <w:r w:rsidRPr="00950D3E">
        <w:t>s compliance and enforcement measures. This was to reinforce the expectation that investors were aware of, understood and complied with their obligations under Australia</w:t>
      </w:r>
      <w:r w:rsidR="004260B1">
        <w:t>’</w:t>
      </w:r>
      <w:r w:rsidRPr="00950D3E">
        <w:t>s foreign investment laws.</w:t>
      </w:r>
    </w:p>
    <w:p w14:paraId="06BB9BE6" w14:textId="3276FBD0" w:rsidR="00577587" w:rsidRDefault="00577587" w:rsidP="00F876BB">
      <w:r w:rsidRPr="00577587">
        <w:t xml:space="preserve">The Treasury has continued to build its compliance capability since the reforms commenced. </w:t>
      </w:r>
      <w:r>
        <w:t xml:space="preserve">Since </w:t>
      </w:r>
      <w:r w:rsidRPr="00577587">
        <w:t>2021, it has established the operational framework for the exercise of the new powers, recruited staff with relevant qualifications and experience, trained staff and published information on foreign investors</w:t>
      </w:r>
      <w:r w:rsidR="004260B1">
        <w:t>’</w:t>
      </w:r>
      <w:r w:rsidRPr="00577587">
        <w:t xml:space="preserve"> compliance obligations under the FATA. It has also improved processes relating to the recommendation of conditions during the proposal screening phase to provide a defensible foundation for compliance and enforcement activity.</w:t>
      </w:r>
    </w:p>
    <w:p w14:paraId="39532AE1" w14:textId="303EA79A" w:rsidR="00616F55" w:rsidRDefault="00616F55" w:rsidP="00F876BB">
      <w:pPr>
        <w:pStyle w:val="Heading2Numbered"/>
      </w:pPr>
      <w:bookmarkStart w:id="84" w:name="_Toc203489601"/>
      <w:bookmarkStart w:id="85" w:name="_Toc210039680"/>
      <w:bookmarkEnd w:id="84"/>
      <w:r>
        <w:t>Evaluation</w:t>
      </w:r>
      <w:bookmarkEnd w:id="85"/>
    </w:p>
    <w:p w14:paraId="0CDD0674" w14:textId="5184AAED" w:rsidR="002E3B2F" w:rsidRDefault="002E3B2F" w:rsidP="00F876BB">
      <w:r w:rsidRPr="002E3B2F">
        <w:t xml:space="preserve">In accordance with section 4 of the </w:t>
      </w:r>
      <w:r w:rsidRPr="0047451D">
        <w:rPr>
          <w:i/>
          <w:iCs/>
        </w:rPr>
        <w:t>Foreign Investment Reform (Protecting Australia</w:t>
      </w:r>
      <w:r w:rsidR="004260B1">
        <w:rPr>
          <w:i/>
          <w:iCs/>
        </w:rPr>
        <w:t>’</w:t>
      </w:r>
      <w:r w:rsidRPr="0047451D">
        <w:rPr>
          <w:i/>
          <w:iCs/>
        </w:rPr>
        <w:t>s National Security) Act 2020</w:t>
      </w:r>
      <w:r w:rsidRPr="002E3B2F">
        <w:t xml:space="preserve">, the Secretary to the Treasury </w:t>
      </w:r>
      <w:r w:rsidR="0014095F">
        <w:t>completed</w:t>
      </w:r>
      <w:r w:rsidRPr="002E3B2F">
        <w:t xml:space="preserve"> an evaluation</w:t>
      </w:r>
      <w:r w:rsidR="00C27137">
        <w:t xml:space="preserve"> </w:t>
      </w:r>
      <w:r w:rsidRPr="002E3B2F">
        <w:t xml:space="preserve">of the operation of these reforms </w:t>
      </w:r>
      <w:r w:rsidR="0014095F">
        <w:t>on</w:t>
      </w:r>
      <w:r w:rsidRPr="002E3B2F">
        <w:t xml:space="preserve"> 10 December 2021</w:t>
      </w:r>
      <w:r w:rsidR="00C32BFC">
        <w:t xml:space="preserve"> (the 2021 Evaluation)</w:t>
      </w:r>
      <w:r w:rsidRPr="002E3B2F">
        <w:t>.</w:t>
      </w:r>
      <w:r w:rsidR="00E83B63" w:rsidRPr="009B0F23">
        <w:rPr>
          <w:rStyle w:val="FootnoteReference"/>
          <w:vertAlign w:val="superscript"/>
        </w:rPr>
        <w:footnoteReference w:id="27"/>
      </w:r>
      <w:r w:rsidR="00E83B63" w:rsidRPr="009B0F23">
        <w:rPr>
          <w:rStyle w:val="FootnoteReference"/>
          <w:vertAlign w:val="superscript"/>
        </w:rPr>
        <w:t xml:space="preserve"> </w:t>
      </w:r>
      <w:r w:rsidR="0003307D">
        <w:t>The evaluation assessed the implementation of the Reform Acts</w:t>
      </w:r>
      <w:r w:rsidR="00805D58">
        <w:t xml:space="preserve"> and the extent to which those reforms strike the right balance between welcoming foreign investment into Australia and protection </w:t>
      </w:r>
      <w:r w:rsidR="0047451D">
        <w:t xml:space="preserve">of </w:t>
      </w:r>
      <w:r w:rsidR="00805D58">
        <w:t>Australia</w:t>
      </w:r>
      <w:r w:rsidR="004260B1">
        <w:t>’</w:t>
      </w:r>
      <w:r w:rsidR="00805D58">
        <w:t>s national interest.</w:t>
      </w:r>
    </w:p>
    <w:p w14:paraId="170AFE3D" w14:textId="72C605A6" w:rsidR="00C32BFC" w:rsidRDefault="00C32BFC" w:rsidP="00F876BB">
      <w:r w:rsidRPr="00C32BFC">
        <w:t xml:space="preserve">Overall, the </w:t>
      </w:r>
      <w:r>
        <w:t xml:space="preserve">2021 </w:t>
      </w:r>
      <w:r w:rsidRPr="00C32BFC">
        <w:t xml:space="preserve">Evaluation </w:t>
      </w:r>
      <w:r>
        <w:t xml:space="preserve">found </w:t>
      </w:r>
      <w:r w:rsidRPr="00C32BFC">
        <w:t>that in their first year of operation, the reforms achieved the Government</w:t>
      </w:r>
      <w:r w:rsidR="004260B1">
        <w:t>’</w:t>
      </w:r>
      <w:r w:rsidRPr="00C32BFC">
        <w:t xml:space="preserve">s intentions, particularly by enabling scrutiny of investments that may pose national security risks that previously were not subject to scrutiny. It </w:t>
      </w:r>
      <w:r>
        <w:t xml:space="preserve">was too early </w:t>
      </w:r>
      <w:r w:rsidRPr="00C32BFC">
        <w:t xml:space="preserve">to determine whether the reforms affected foreign investment flows into Australia or the broader economy. In the first year of operation, indications </w:t>
      </w:r>
      <w:r>
        <w:t>were</w:t>
      </w:r>
      <w:r w:rsidRPr="00C32BFC">
        <w:t xml:space="preserve"> that the reforms to the framework str</w:t>
      </w:r>
      <w:r>
        <w:t>uck</w:t>
      </w:r>
      <w:r w:rsidRPr="00C32BFC">
        <w:t xml:space="preserve"> the appropriate balance between supporting foreign investment into Australia and protecting the national interest. However,</w:t>
      </w:r>
      <w:r>
        <w:t xml:space="preserve"> it was noted</w:t>
      </w:r>
      <w:r w:rsidRPr="00C32BFC">
        <w:t xml:space="preserve"> the framework should continue to be monitored to ensure it keeps pace with developments in the foreign investment landscape.</w:t>
      </w:r>
      <w:r w:rsidR="00A018CC">
        <w:t xml:space="preserve"> </w:t>
      </w:r>
    </w:p>
    <w:p w14:paraId="27366C15" w14:textId="15383573" w:rsidR="007B03A2" w:rsidRDefault="00FE0840" w:rsidP="00F876BB">
      <w:r>
        <w:t xml:space="preserve">Since the 2021 </w:t>
      </w:r>
      <w:r w:rsidR="002C29C3">
        <w:t>E</w:t>
      </w:r>
      <w:r>
        <w:t>valuation,</w:t>
      </w:r>
      <w:r w:rsidR="000E29F6">
        <w:t xml:space="preserve"> and further enhancements to the framework </w:t>
      </w:r>
      <w:r w:rsidR="00691329">
        <w:t>between 2022 and 2</w:t>
      </w:r>
      <w:r w:rsidR="00BB07F8">
        <w:t>024</w:t>
      </w:r>
      <w:r w:rsidR="006E3211">
        <w:t> </w:t>
      </w:r>
      <w:r w:rsidR="000674BA">
        <w:t xml:space="preserve">discussed </w:t>
      </w:r>
      <w:r w:rsidR="00C16D82">
        <w:t>throughout</w:t>
      </w:r>
      <w:r w:rsidR="000674BA">
        <w:t xml:space="preserve"> this review</w:t>
      </w:r>
      <w:r w:rsidR="000E29F6">
        <w:t>,</w:t>
      </w:r>
      <w:r>
        <w:t xml:space="preserve"> Treasury has continued to maintain ongoing frequent engagement with stakeholders </w:t>
      </w:r>
      <w:r w:rsidR="00694093">
        <w:t>as discussed in Section 7 above</w:t>
      </w:r>
      <w:r w:rsidR="00D24778">
        <w:t xml:space="preserve"> and</w:t>
      </w:r>
      <w:r w:rsidR="001B38EC">
        <w:t xml:space="preserve"> </w:t>
      </w:r>
      <w:r>
        <w:t>receives regular feedback on issues regarding the framework and its administration</w:t>
      </w:r>
      <w:r w:rsidR="00CA203C">
        <w:t>, including through engagement by the FIRB</w:t>
      </w:r>
      <w:r>
        <w:t>.</w:t>
      </w:r>
    </w:p>
    <w:sectPr w:rsidR="007B03A2" w:rsidSect="00295B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827B" w14:textId="77777777" w:rsidR="002507F0" w:rsidRDefault="002507F0">
      <w:pPr>
        <w:spacing w:before="0" w:after="0"/>
      </w:pPr>
      <w:r>
        <w:separator/>
      </w:r>
    </w:p>
  </w:endnote>
  <w:endnote w:type="continuationSeparator" w:id="0">
    <w:p w14:paraId="52A1FC37" w14:textId="77777777" w:rsidR="002507F0" w:rsidRDefault="002507F0">
      <w:pPr>
        <w:spacing w:before="0" w:after="0"/>
      </w:pPr>
      <w:r>
        <w:continuationSeparator/>
      </w:r>
    </w:p>
  </w:endnote>
  <w:endnote w:type="continuationNotice" w:id="1">
    <w:p w14:paraId="10019AE3" w14:textId="77777777" w:rsidR="002507F0" w:rsidRDefault="002507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4F3F" w14:textId="64C9D580" w:rsidR="0052261F" w:rsidRPr="00EF03E1" w:rsidRDefault="0052261F" w:rsidP="00EF03E1">
    <w:pPr>
      <w:pStyle w:val="FooterEven"/>
      <w:tabs>
        <w:tab w:val="center" w:pos="9072"/>
      </w:tabs>
      <w:jc w:val="right"/>
    </w:pPr>
    <w:r w:rsidRPr="00742366">
      <w:drawing>
        <wp:anchor distT="0" distB="0" distL="114300" distR="114300" simplePos="0" relativeHeight="251658242" behindDoc="1" locked="1" layoutInCell="1" allowOverlap="1" wp14:anchorId="266617E1" wp14:editId="2239DDD0">
          <wp:simplePos x="0" y="0"/>
          <wp:positionH relativeFrom="margin">
            <wp:posOffset>5459095</wp:posOffset>
          </wp:positionH>
          <wp:positionV relativeFrom="page">
            <wp:posOffset>3280410</wp:posOffset>
          </wp:positionV>
          <wp:extent cx="7574280" cy="1043940"/>
          <wp:effectExtent l="7620" t="0" r="0" b="0"/>
          <wp:wrapNone/>
          <wp:docPr id="113461700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995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DFF71C2" wp14:editId="6A74ADC7">
          <wp:extent cx="1324800" cy="201600"/>
          <wp:effectExtent l="0" t="0" r="0" b="8255"/>
          <wp:docPr id="52977558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0974"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57BA" w14:textId="4C1746EB" w:rsidR="001B3817" w:rsidRPr="00EF03E1" w:rsidRDefault="001B3817" w:rsidP="00EF03E1">
    <w:pPr>
      <w:pStyle w:val="FooterEven"/>
      <w:tabs>
        <w:tab w:val="center" w:pos="9072"/>
      </w:tabs>
      <w:jc w:val="right"/>
    </w:pPr>
    <w:r w:rsidRPr="00742366">
      <w:drawing>
        <wp:anchor distT="0" distB="0" distL="114300" distR="114300" simplePos="0" relativeHeight="251664387" behindDoc="1" locked="1" layoutInCell="1" allowOverlap="1" wp14:anchorId="28AA282A" wp14:editId="22D3AE2F">
          <wp:simplePos x="0" y="0"/>
          <wp:positionH relativeFrom="margin">
            <wp:posOffset>5459095</wp:posOffset>
          </wp:positionH>
          <wp:positionV relativeFrom="page">
            <wp:posOffset>3280410</wp:posOffset>
          </wp:positionV>
          <wp:extent cx="7574280" cy="1043940"/>
          <wp:effectExtent l="7620" t="0" r="0" b="0"/>
          <wp:wrapNone/>
          <wp:docPr id="214408139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995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DCE17E1" wp14:editId="5676E9EB">
          <wp:extent cx="1324800" cy="201600"/>
          <wp:effectExtent l="0" t="0" r="0" b="8255"/>
          <wp:docPr id="172974323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0974"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AE17E4">
        <w:t>Contents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1F2D" w14:textId="45DCA297" w:rsidR="00D4150C" w:rsidRPr="00EF03E1" w:rsidRDefault="00D4150C" w:rsidP="00EF03E1">
    <w:pPr>
      <w:pStyle w:val="FooterEven"/>
      <w:tabs>
        <w:tab w:val="center" w:pos="9072"/>
      </w:tabs>
      <w:jc w:val="right"/>
    </w:pPr>
    <w:r w:rsidRPr="00742366">
      <w:drawing>
        <wp:anchor distT="0" distB="0" distL="114300" distR="114300" simplePos="0" relativeHeight="251660291" behindDoc="1" locked="1" layoutInCell="1" allowOverlap="1" wp14:anchorId="4532DD6F" wp14:editId="4B65CE3B">
          <wp:simplePos x="0" y="0"/>
          <wp:positionH relativeFrom="margin">
            <wp:posOffset>5459095</wp:posOffset>
          </wp:positionH>
          <wp:positionV relativeFrom="page">
            <wp:posOffset>3280410</wp:posOffset>
          </wp:positionV>
          <wp:extent cx="7574280" cy="1043940"/>
          <wp:effectExtent l="7620" t="0" r="0" b="0"/>
          <wp:wrapNone/>
          <wp:docPr id="48151100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995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BA57E49" wp14:editId="36EA699F">
          <wp:extent cx="1324800" cy="201600"/>
          <wp:effectExtent l="0" t="0" r="0" b="8255"/>
          <wp:docPr id="125107191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0974"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AE17E4">
        <w:t>Introduction</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D5C9" w14:textId="310D6EF7" w:rsidR="00D4150C" w:rsidRPr="00EF03E1" w:rsidRDefault="00D4150C" w:rsidP="00EF03E1">
    <w:pPr>
      <w:pStyle w:val="FooterEven"/>
      <w:tabs>
        <w:tab w:val="center" w:pos="9072"/>
      </w:tabs>
      <w:jc w:val="right"/>
    </w:pPr>
    <w:r w:rsidRPr="00742366">
      <w:drawing>
        <wp:anchor distT="0" distB="0" distL="114300" distR="114300" simplePos="0" relativeHeight="251662339" behindDoc="1" locked="1" layoutInCell="1" allowOverlap="1" wp14:anchorId="26B7700A" wp14:editId="6651F863">
          <wp:simplePos x="0" y="0"/>
          <wp:positionH relativeFrom="margin">
            <wp:posOffset>5459095</wp:posOffset>
          </wp:positionH>
          <wp:positionV relativeFrom="page">
            <wp:posOffset>3280410</wp:posOffset>
          </wp:positionV>
          <wp:extent cx="7574280" cy="1043940"/>
          <wp:effectExtent l="7620" t="0" r="0" b="0"/>
          <wp:wrapNone/>
          <wp:docPr id="16801061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995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1B2D61D" wp14:editId="74CD02CE">
          <wp:extent cx="1324800" cy="201600"/>
          <wp:effectExtent l="0" t="0" r="0" b="8255"/>
          <wp:docPr id="149690933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0974"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 Numbered&quot;  \* MERGEFORMAT ">
      <w:r w:rsidR="00AE17E4">
        <w:t>How was the policy implemented and evaluated?</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5009" w14:textId="77777777" w:rsidR="002507F0" w:rsidRPr="00ED5A20" w:rsidRDefault="002507F0" w:rsidP="000F6233">
      <w:pPr>
        <w:rPr>
          <w:color w:val="4D7861" w:themeColor="accent2"/>
        </w:rPr>
      </w:pPr>
      <w:r w:rsidRPr="00ED5A20">
        <w:rPr>
          <w:color w:val="4D7861" w:themeColor="accent2"/>
        </w:rPr>
        <w:separator/>
      </w:r>
    </w:p>
  </w:footnote>
  <w:footnote w:type="continuationSeparator" w:id="0">
    <w:p w14:paraId="4CFF270E" w14:textId="77777777" w:rsidR="002507F0" w:rsidRPr="00B737EB" w:rsidRDefault="002507F0">
      <w:pPr>
        <w:spacing w:before="0" w:after="0"/>
        <w:rPr>
          <w:color w:val="2C384A" w:themeColor="accent1"/>
        </w:rPr>
      </w:pPr>
      <w:r w:rsidRPr="00B737EB">
        <w:rPr>
          <w:color w:val="2C384A" w:themeColor="accent1"/>
        </w:rPr>
        <w:continuationSeparator/>
      </w:r>
    </w:p>
  </w:footnote>
  <w:footnote w:type="continuationNotice" w:id="1">
    <w:p w14:paraId="17D85A2C" w14:textId="77777777" w:rsidR="002507F0" w:rsidRDefault="002507F0">
      <w:pPr>
        <w:spacing w:before="0" w:after="0"/>
      </w:pPr>
    </w:p>
  </w:footnote>
  <w:footnote w:id="2">
    <w:p w14:paraId="74831DE2" w14:textId="046F0A94" w:rsidR="00435279" w:rsidRDefault="004260B1" w:rsidP="00435279">
      <w:pPr>
        <w:pStyle w:val="FootnoteText"/>
      </w:pPr>
      <w:r w:rsidRPr="004260B1">
        <w:rPr>
          <w:rStyle w:val="FootnoteReference"/>
        </w:rPr>
        <w:footnoteRef/>
      </w:r>
      <w:r w:rsidR="00435279">
        <w:t xml:space="preserve"> </w:t>
      </w:r>
      <w:r w:rsidR="0045564D">
        <w:tab/>
      </w:r>
      <w:r w:rsidR="00435279">
        <w:t>Department of the</w:t>
      </w:r>
      <w:r w:rsidR="00435279" w:rsidRPr="000D7040">
        <w:t xml:space="preserve"> Treasury</w:t>
      </w:r>
      <w:r w:rsidR="00435279">
        <w:t xml:space="preserve"> (The Treasury) </w:t>
      </w:r>
      <w:r>
        <w:t>‘</w:t>
      </w:r>
      <w:hyperlink r:id="rId1" w:history="1">
        <w:r w:rsidR="00435279" w:rsidRPr="00DC2992">
          <w:rPr>
            <w:rStyle w:val="Hyperlink"/>
          </w:rPr>
          <w:t>Regulation Impact Statement</w:t>
        </w:r>
        <w:r>
          <w:rPr>
            <w:rStyle w:val="Hyperlink"/>
          </w:rPr>
          <w:t xml:space="preserve"> – </w:t>
        </w:r>
        <w:r w:rsidR="00435279" w:rsidRPr="00DC2992">
          <w:rPr>
            <w:rStyle w:val="Hyperlink"/>
          </w:rPr>
          <w:t>Foreign Investment Reform Package 2020</w:t>
        </w:r>
      </w:hyperlink>
      <w:r>
        <w:t>‘</w:t>
      </w:r>
      <w:r w:rsidR="00435279" w:rsidRPr="000D7040">
        <w:t>,</w:t>
      </w:r>
      <w:r w:rsidR="00435279">
        <w:t xml:space="preserve"> </w:t>
      </w:r>
      <w:r w:rsidR="00435279" w:rsidRPr="00DC2992">
        <w:rPr>
          <w:i/>
          <w:iCs/>
        </w:rPr>
        <w:t>The Office of Best Practice Regulation</w:t>
      </w:r>
      <w:r w:rsidR="00435279">
        <w:t>, 11 November 2020,</w:t>
      </w:r>
      <w:r w:rsidR="00435279" w:rsidRPr="000D7040">
        <w:t xml:space="preserve"> </w:t>
      </w:r>
      <w:r w:rsidR="00435279">
        <w:t xml:space="preserve">accessed 15 May 2025. </w:t>
      </w:r>
    </w:p>
  </w:footnote>
  <w:footnote w:id="3">
    <w:p w14:paraId="409142ED" w14:textId="21F2F4CA" w:rsidR="007E166F" w:rsidRDefault="004260B1" w:rsidP="007E166F">
      <w:pPr>
        <w:pStyle w:val="FootnoteText"/>
      </w:pPr>
      <w:r w:rsidRPr="004260B1">
        <w:rPr>
          <w:rStyle w:val="FootnoteReference"/>
        </w:rPr>
        <w:footnoteRef/>
      </w:r>
      <w:r w:rsidR="007E166F">
        <w:t xml:space="preserve"> </w:t>
      </w:r>
      <w:r w:rsidR="0045564D">
        <w:tab/>
      </w:r>
      <w:r w:rsidR="007E166F">
        <w:t xml:space="preserve">A RIS was prepared due to the impacts of the 2021 reforms proposal. The RIS assesses how the reforms would have affected </w:t>
      </w:r>
      <w:r w:rsidR="007E166F" w:rsidRPr="003A3ED4">
        <w:t>people, businesses and community as well as its broader economic and competition impacts.</w:t>
      </w:r>
    </w:p>
  </w:footnote>
  <w:footnote w:id="4">
    <w:p w14:paraId="3A327E2A" w14:textId="2E613BB5" w:rsidR="00BB6040" w:rsidRDefault="004260B1">
      <w:pPr>
        <w:pStyle w:val="FootnoteText"/>
      </w:pPr>
      <w:r w:rsidRPr="004260B1">
        <w:rPr>
          <w:rStyle w:val="FootnoteReference"/>
        </w:rPr>
        <w:footnoteRef/>
      </w:r>
      <w:r w:rsidR="00E84DA2">
        <w:tab/>
      </w:r>
      <w:r w:rsidR="007D7F63">
        <w:t xml:space="preserve">The </w:t>
      </w:r>
      <w:r w:rsidR="004A1422">
        <w:t xml:space="preserve">Treasury, </w:t>
      </w:r>
      <w:r>
        <w:t>‘</w:t>
      </w:r>
      <w:r w:rsidR="004A1422" w:rsidRPr="007D7F63">
        <w:t>Regulation</w:t>
      </w:r>
      <w:r w:rsidR="007D7F63" w:rsidRPr="007D7F63">
        <w:t xml:space="preserve"> Impact Statement</w:t>
      </w:r>
      <w:r>
        <w:t xml:space="preserve"> – </w:t>
      </w:r>
      <w:r w:rsidR="007D7F63" w:rsidRPr="007D7F63">
        <w:t>Foreign Investment Reform Package 2020</w:t>
      </w:r>
      <w:r>
        <w:t>’</w:t>
      </w:r>
      <w:r w:rsidR="004A1422">
        <w:t>.</w:t>
      </w:r>
    </w:p>
  </w:footnote>
  <w:footnote w:id="5">
    <w:p w14:paraId="3C1A6064" w14:textId="351FEAEE" w:rsidR="00873B93" w:rsidRDefault="004260B1" w:rsidP="00873B93">
      <w:pPr>
        <w:pStyle w:val="FootnoteText"/>
      </w:pPr>
      <w:r w:rsidRPr="004260B1">
        <w:rPr>
          <w:rStyle w:val="FootnoteReference"/>
        </w:rPr>
        <w:footnoteRef/>
      </w:r>
      <w:r w:rsidR="00E84DA2">
        <w:tab/>
      </w:r>
      <w:r w:rsidR="00873B93">
        <w:t xml:space="preserve">The Treasury, </w:t>
      </w:r>
      <w:r>
        <w:t>‘</w:t>
      </w:r>
      <w:r w:rsidR="00873B93" w:rsidRPr="007D7F63">
        <w:t>Regulation Impact Statement</w:t>
      </w:r>
      <w:r>
        <w:t xml:space="preserve"> – </w:t>
      </w:r>
      <w:r w:rsidR="00873B93" w:rsidRPr="007D7F63">
        <w:t>Foreign Investment Reform Package 2020</w:t>
      </w:r>
      <w:r>
        <w:t>’</w:t>
      </w:r>
      <w:r w:rsidR="00873B93">
        <w:t>.</w:t>
      </w:r>
      <w:r w:rsidR="00873B93" w:rsidDel="00424117">
        <w:t xml:space="preserve"> </w:t>
      </w:r>
    </w:p>
  </w:footnote>
  <w:footnote w:id="6">
    <w:p w14:paraId="7B9289CB" w14:textId="4212ED84" w:rsidR="002F130E" w:rsidRDefault="004260B1" w:rsidP="00872476">
      <w:pPr>
        <w:pStyle w:val="FootnoteText"/>
      </w:pPr>
      <w:r w:rsidRPr="004260B1">
        <w:rPr>
          <w:rStyle w:val="FootnoteReference"/>
        </w:rPr>
        <w:footnoteRef/>
      </w:r>
      <w:r w:rsidR="00404D17">
        <w:tab/>
      </w:r>
      <w:r w:rsidR="002F130E">
        <w:t>Th</w:t>
      </w:r>
      <w:r w:rsidR="00957318">
        <w:t xml:space="preserve">e Register </w:t>
      </w:r>
      <w:r w:rsidR="005757AA">
        <w:t>of Foreign Owners of Media Assets is maintained by the Australian Communications and Media Authority. For further details</w:t>
      </w:r>
      <w:r w:rsidR="00F625B4">
        <w:t>,</w:t>
      </w:r>
      <w:r w:rsidR="005757AA">
        <w:t xml:space="preserve"> see: </w:t>
      </w:r>
      <w:hyperlink r:id="rId2" w:history="1">
        <w:r w:rsidR="00872476" w:rsidRPr="00D628EA">
          <w:rPr>
            <w:rStyle w:val="Hyperlink"/>
          </w:rPr>
          <w:t>https://www.acma.gov.au/register</w:t>
        </w:r>
        <w:r>
          <w:rPr>
            <w:rStyle w:val="Hyperlink"/>
          </w:rPr>
          <w:noBreakHyphen/>
        </w:r>
        <w:r w:rsidR="00872476" w:rsidRPr="00D628EA">
          <w:rPr>
            <w:rStyle w:val="Hyperlink"/>
          </w:rPr>
          <w:t>foreign</w:t>
        </w:r>
        <w:r>
          <w:rPr>
            <w:rStyle w:val="Hyperlink"/>
          </w:rPr>
          <w:noBreakHyphen/>
        </w:r>
        <w:r w:rsidR="00872476" w:rsidRPr="00D628EA">
          <w:rPr>
            <w:rStyle w:val="Hyperlink"/>
          </w:rPr>
          <w:t>owners</w:t>
        </w:r>
        <w:r>
          <w:rPr>
            <w:rStyle w:val="Hyperlink"/>
          </w:rPr>
          <w:noBreakHyphen/>
        </w:r>
        <w:r w:rsidR="00872476" w:rsidRPr="00D628EA">
          <w:rPr>
            <w:rStyle w:val="Hyperlink"/>
          </w:rPr>
          <w:t>media</w:t>
        </w:r>
        <w:r>
          <w:rPr>
            <w:rStyle w:val="Hyperlink"/>
          </w:rPr>
          <w:noBreakHyphen/>
        </w:r>
        <w:r w:rsidR="00872476" w:rsidRPr="00D628EA">
          <w:rPr>
            <w:rStyle w:val="Hyperlink"/>
          </w:rPr>
          <w:t>assets</w:t>
        </w:r>
      </w:hyperlink>
      <w:r w:rsidR="00F9269C">
        <w:t xml:space="preserve"> A</w:t>
      </w:r>
      <w:r w:rsidR="00097714">
        <w:t>ccessed 13 August 2025</w:t>
      </w:r>
      <w:r w:rsidR="00F9269C">
        <w:t>.</w:t>
      </w:r>
    </w:p>
  </w:footnote>
  <w:footnote w:id="7">
    <w:p w14:paraId="5BD9ED5E" w14:textId="5918D14F" w:rsidR="00872476" w:rsidRDefault="004260B1">
      <w:pPr>
        <w:pStyle w:val="FootnoteText"/>
      </w:pPr>
      <w:r w:rsidRPr="004260B1">
        <w:rPr>
          <w:rStyle w:val="FootnoteReference"/>
        </w:rPr>
        <w:footnoteRef/>
      </w:r>
      <w:r w:rsidR="00404D17">
        <w:tab/>
      </w:r>
      <w:r w:rsidR="00872476">
        <w:t xml:space="preserve">The </w:t>
      </w:r>
      <w:r w:rsidR="002D27FD">
        <w:t xml:space="preserve">Register of Critical Infrastructure Assets </w:t>
      </w:r>
      <w:r w:rsidR="00BB1B7A">
        <w:t>was</w:t>
      </w:r>
      <w:r w:rsidR="002D27FD">
        <w:t xml:space="preserve"> maintained </w:t>
      </w:r>
      <w:r w:rsidR="00BB1B7A">
        <w:t xml:space="preserve">at the time </w:t>
      </w:r>
      <w:r w:rsidR="002D27FD">
        <w:t xml:space="preserve">by </w:t>
      </w:r>
      <w:r w:rsidR="00DF5CFB">
        <w:t>the Cyber and Infrastructure Security Centre</w:t>
      </w:r>
      <w:r w:rsidR="00BB1B7A">
        <w:t xml:space="preserve"> (now the Critical Infrastructure Security Centre)</w:t>
      </w:r>
      <w:r w:rsidR="00DF5CFB">
        <w:t xml:space="preserve"> in the Department of Home Affairs</w:t>
      </w:r>
      <w:r>
        <w:t xml:space="preserve">. </w:t>
      </w:r>
    </w:p>
  </w:footnote>
  <w:footnote w:id="8">
    <w:p w14:paraId="3695809E" w14:textId="4786357D" w:rsidR="00D46486" w:rsidRPr="004616D8" w:rsidRDefault="004260B1">
      <w:pPr>
        <w:pStyle w:val="FootnoteText"/>
      </w:pPr>
      <w:r w:rsidRPr="004260B1">
        <w:rPr>
          <w:rStyle w:val="FootnoteReference"/>
        </w:rPr>
        <w:footnoteRef/>
      </w:r>
      <w:r w:rsidR="006D4589">
        <w:tab/>
      </w:r>
      <w:hyperlink r:id="rId3" w:history="1">
        <w:r w:rsidR="005F038B" w:rsidRPr="00C31CC3">
          <w:rPr>
            <w:rStyle w:val="Hyperlink"/>
            <w:i/>
            <w:iCs/>
          </w:rPr>
          <w:t xml:space="preserve">Foreign Acquisitions and Takeovers </w:t>
        </w:r>
        <w:r w:rsidRPr="00C31CC3">
          <w:rPr>
            <w:rStyle w:val="Hyperlink"/>
            <w:i/>
            <w:iCs/>
          </w:rPr>
          <w:t>Amendment</w:t>
        </w:r>
        <w:r w:rsidR="005F038B" w:rsidRPr="00C31CC3">
          <w:rPr>
            <w:rStyle w:val="Hyperlink"/>
            <w:i/>
            <w:iCs/>
          </w:rPr>
          <w:t xml:space="preserve"> Regulation</w:t>
        </w:r>
        <w:r w:rsidR="005D6AE1" w:rsidRPr="00C31CC3">
          <w:rPr>
            <w:rStyle w:val="Hyperlink"/>
            <w:i/>
            <w:iCs/>
          </w:rPr>
          <w:t>s</w:t>
        </w:r>
        <w:r w:rsidR="005F038B" w:rsidRPr="00C31CC3">
          <w:rPr>
            <w:rStyle w:val="Hyperlink"/>
            <w:i/>
            <w:iCs/>
          </w:rPr>
          <w:t xml:space="preserve"> 2022</w:t>
        </w:r>
      </w:hyperlink>
      <w:r w:rsidR="005D6AE1">
        <w:t>, 31 March 2022</w:t>
      </w:r>
      <w:r w:rsidR="00E3689C">
        <w:t xml:space="preserve">, </w:t>
      </w:r>
      <w:r>
        <w:t>‘</w:t>
      </w:r>
      <w:hyperlink r:id="rId4" w:history="1">
        <w:r w:rsidR="00EB631F" w:rsidRPr="00314FF9">
          <w:rPr>
            <w:rStyle w:val="Hyperlink"/>
          </w:rPr>
          <w:t>Foreign Acquisitions and Takeovers Fees Imposition Amendment Bill 2022</w:t>
        </w:r>
        <w:r w:rsidR="0098157F" w:rsidRPr="00314FF9">
          <w:rPr>
            <w:rStyle w:val="Hyperlink"/>
          </w:rPr>
          <w:t xml:space="preserve"> </w:t>
        </w:r>
        <w:r w:rsidR="00F00104" w:rsidRPr="00314FF9">
          <w:rPr>
            <w:rStyle w:val="Hyperlink"/>
          </w:rPr>
          <w:t>Explanatory</w:t>
        </w:r>
        <w:r w:rsidR="0098157F" w:rsidRPr="00314FF9">
          <w:rPr>
            <w:rStyle w:val="Hyperlink"/>
          </w:rPr>
          <w:t xml:space="preserve"> Statement</w:t>
        </w:r>
      </w:hyperlink>
      <w:r>
        <w:t>‘</w:t>
      </w:r>
      <w:r w:rsidR="00633102">
        <w:t>,</w:t>
      </w:r>
      <w:r w:rsidR="00A257A7">
        <w:t xml:space="preserve"> Australian Government</w:t>
      </w:r>
      <w:r w:rsidR="00445EEE">
        <w:t>,</w:t>
      </w:r>
      <w:r w:rsidR="00633102">
        <w:t xml:space="preserve"> </w:t>
      </w:r>
      <w:r w:rsidR="00466B55">
        <w:t>accessed 12 August 2025.</w:t>
      </w:r>
      <w:r w:rsidR="00F00104">
        <w:t xml:space="preserve"> </w:t>
      </w:r>
    </w:p>
  </w:footnote>
  <w:footnote w:id="9">
    <w:p w14:paraId="1C2DF093" w14:textId="6B64611B" w:rsidR="00422B68" w:rsidRDefault="004260B1">
      <w:pPr>
        <w:pStyle w:val="FootnoteText"/>
      </w:pPr>
      <w:r w:rsidRPr="004260B1">
        <w:rPr>
          <w:rStyle w:val="FootnoteReference"/>
        </w:rPr>
        <w:footnoteRef/>
      </w:r>
      <w:r w:rsidR="006D4589">
        <w:tab/>
      </w:r>
      <w:hyperlink r:id="rId5" w:history="1">
        <w:r w:rsidR="000A5B52" w:rsidRPr="000A5B52">
          <w:rPr>
            <w:rStyle w:val="Hyperlink"/>
            <w:i/>
            <w:iCs/>
          </w:rPr>
          <w:t>Foreign Acquisitions and Takeovers Fees Imposition Amendment Bill 2022 Explanatory Statement</w:t>
        </w:r>
      </w:hyperlink>
      <w:r w:rsidR="000A5B52">
        <w:t xml:space="preserve">; </w:t>
      </w:r>
      <w:hyperlink r:id="rId6" w:history="1">
        <w:r w:rsidR="000A5B52" w:rsidRPr="001C0A1C">
          <w:rPr>
            <w:rStyle w:val="Hyperlink"/>
            <w:i/>
            <w:iCs/>
          </w:rPr>
          <w:t>Foreign Acquisitions and Takeovers Fees Imposition Amendment (Fee Doubling) Regulations 2022</w:t>
        </w:r>
      </w:hyperlink>
      <w:r w:rsidR="000A5B52">
        <w:t xml:space="preserve">; 2 Commencement; </w:t>
      </w:r>
      <w:hyperlink r:id="rId7" w:history="1">
        <w:r w:rsidR="000A5B52" w:rsidRPr="001C0A1C">
          <w:rPr>
            <w:rStyle w:val="Hyperlink"/>
            <w:i/>
            <w:iCs/>
          </w:rPr>
          <w:t>Treasury Laws Amendment (2022 Measures No. 3) Act 2022</w:t>
        </w:r>
      </w:hyperlink>
      <w:r w:rsidR="000A5B52">
        <w:t>, 2 Commencement</w:t>
      </w:r>
      <w:r w:rsidR="00FF49DA">
        <w:t>.</w:t>
      </w:r>
    </w:p>
  </w:footnote>
  <w:footnote w:id="10">
    <w:p w14:paraId="0057E0EF" w14:textId="526DB43A" w:rsidR="0056066C" w:rsidRDefault="004260B1" w:rsidP="0056066C">
      <w:pPr>
        <w:pStyle w:val="FootnoteText"/>
      </w:pPr>
      <w:r w:rsidRPr="004260B1">
        <w:rPr>
          <w:rStyle w:val="FootnoteReference"/>
        </w:rPr>
        <w:footnoteRef/>
      </w:r>
      <w:r w:rsidR="006D4589">
        <w:tab/>
      </w:r>
      <w:r w:rsidR="0056066C">
        <w:t xml:space="preserve">Australian Bureau of Statistics (ABS), </w:t>
      </w:r>
      <w:r>
        <w:t>‘</w:t>
      </w:r>
      <w:hyperlink r:id="rId8" w:history="1">
        <w:r w:rsidR="0056066C" w:rsidRPr="00F73BF3">
          <w:rPr>
            <w:rStyle w:val="Hyperlink"/>
            <w:iCs/>
          </w:rPr>
          <w:t>International Investment Position, Australia: Supplementary Statistics – Foreign investment in Australia, Direct investment transactions, by country/country group</w:t>
        </w:r>
      </w:hyperlink>
      <w:r>
        <w:t>‘</w:t>
      </w:r>
      <w:r w:rsidR="0056066C">
        <w:t xml:space="preserve">, 2021, accessed 15 May 2025; ABS, </w:t>
      </w:r>
      <w:r>
        <w:t>‘</w:t>
      </w:r>
      <w:hyperlink r:id="rId9" w:anchor="cite-window1" w:history="1">
        <w:r w:rsidR="0056066C" w:rsidRPr="00094582">
          <w:rPr>
            <w:rStyle w:val="Hyperlink"/>
            <w:iCs/>
          </w:rPr>
          <w:t>International Investment Position, Australia: Supplementary Statistics</w:t>
        </w:r>
      </w:hyperlink>
      <w:r>
        <w:t>‘</w:t>
      </w:r>
      <w:r w:rsidR="0056066C">
        <w:t xml:space="preserve">, 2024, accessed 15 May 2025. </w:t>
      </w:r>
    </w:p>
  </w:footnote>
  <w:footnote w:id="11">
    <w:p w14:paraId="38B371FB" w14:textId="24743FA7" w:rsidR="00DE539B" w:rsidRDefault="004260B1" w:rsidP="00DE539B">
      <w:pPr>
        <w:pStyle w:val="FootnoteText"/>
      </w:pPr>
      <w:r w:rsidRPr="004260B1">
        <w:rPr>
          <w:rStyle w:val="FootnoteReference"/>
        </w:rPr>
        <w:footnoteRef/>
      </w:r>
      <w:r w:rsidR="006D4589">
        <w:tab/>
      </w:r>
      <w:r w:rsidR="00DE539B">
        <w:t>The ATO processes proposed investment in residential land.</w:t>
      </w:r>
    </w:p>
  </w:footnote>
  <w:footnote w:id="12">
    <w:p w14:paraId="15CD7D69" w14:textId="20D02D37" w:rsidR="000D7040" w:rsidRDefault="004260B1">
      <w:pPr>
        <w:pStyle w:val="FootnoteText"/>
      </w:pPr>
      <w:r w:rsidRPr="004260B1">
        <w:rPr>
          <w:rStyle w:val="FootnoteReference"/>
        </w:rPr>
        <w:footnoteRef/>
      </w:r>
      <w:r w:rsidR="006D4589">
        <w:tab/>
      </w:r>
      <w:r w:rsidR="00094582">
        <w:t xml:space="preserve">The Treasury, </w:t>
      </w:r>
      <w:r>
        <w:t>‘</w:t>
      </w:r>
      <w:r w:rsidR="00094582" w:rsidRPr="007D7F63">
        <w:t>Regulation Impact Statement</w:t>
      </w:r>
      <w:r>
        <w:t xml:space="preserve"> – </w:t>
      </w:r>
      <w:r w:rsidR="00094582" w:rsidRPr="007D7F63">
        <w:t>Foreign Investment Reform Package 2020</w:t>
      </w:r>
      <w:r>
        <w:t>’</w:t>
      </w:r>
      <w:r w:rsidR="00094582">
        <w:rPr>
          <w:rStyle w:val="Hyperlink"/>
        </w:rPr>
        <w:t>.</w:t>
      </w:r>
    </w:p>
  </w:footnote>
  <w:footnote w:id="13">
    <w:p w14:paraId="771E2B38" w14:textId="25FD99F9" w:rsidR="008D1BD2" w:rsidRDefault="004260B1">
      <w:pPr>
        <w:pStyle w:val="FootnoteText"/>
      </w:pPr>
      <w:r w:rsidRPr="004260B1">
        <w:rPr>
          <w:rStyle w:val="FootnoteReference"/>
        </w:rPr>
        <w:footnoteRef/>
      </w:r>
      <w:r w:rsidR="000852C0">
        <w:tab/>
      </w:r>
      <w:r w:rsidR="008D1BD2" w:rsidRPr="008D1BD2">
        <w:t>See for example,</w:t>
      </w:r>
      <w:r w:rsidR="005E0A2A">
        <w:t xml:space="preserve"> The Treasury,</w:t>
      </w:r>
      <w:r w:rsidR="008D1BD2" w:rsidRPr="008D1BD2">
        <w:t xml:space="preserve"> </w:t>
      </w:r>
      <w:hyperlink r:id="rId10" w:history="1">
        <w:r w:rsidR="008D1BD2" w:rsidRPr="003D1294">
          <w:rPr>
            <w:rStyle w:val="Hyperlink"/>
          </w:rPr>
          <w:t>submissions from Baker Makenzie, Herbert Smith Freehills, H</w:t>
        </w:r>
        <w:r>
          <w:rPr>
            <w:rStyle w:val="Hyperlink"/>
          </w:rPr>
          <w:noBreakHyphen/>
        </w:r>
        <w:r w:rsidR="008D1BD2" w:rsidRPr="003D1294">
          <w:rPr>
            <w:rStyle w:val="Hyperlink"/>
          </w:rPr>
          <w:t>bar: Quantum Consultants, MinterEllison, National Farmers</w:t>
        </w:r>
        <w:r>
          <w:rPr>
            <w:rStyle w:val="Hyperlink"/>
          </w:rPr>
          <w:t>’</w:t>
        </w:r>
        <w:r w:rsidR="008D1BD2" w:rsidRPr="003D1294">
          <w:rPr>
            <w:rStyle w:val="Hyperlink"/>
          </w:rPr>
          <w:t xml:space="preserve"> Federation, Q</w:t>
        </w:r>
        <w:r>
          <w:rPr>
            <w:rStyle w:val="Hyperlink"/>
          </w:rPr>
          <w:noBreakHyphen/>
        </w:r>
        <w:r w:rsidR="008D1BD2" w:rsidRPr="003D1294">
          <w:rPr>
            <w:rStyle w:val="Hyperlink"/>
          </w:rPr>
          <w:t>CTRL, the Australian Investment Council, the Clean Energy Council, the Investment Company Institute, the Law Council of Australia, the Minerals Council of Australia and the Water Services Association of Australia</w:t>
        </w:r>
      </w:hyperlink>
      <w:r w:rsidR="00CB4BCF">
        <w:t xml:space="preserve">, </w:t>
      </w:r>
      <w:r w:rsidR="003D1294">
        <w:t xml:space="preserve">accessed 15 July 2025. </w:t>
      </w:r>
    </w:p>
  </w:footnote>
  <w:footnote w:id="14">
    <w:p w14:paraId="3FB6E2F0" w14:textId="7B19C5B9" w:rsidR="00B15E8F" w:rsidRDefault="004260B1">
      <w:pPr>
        <w:pStyle w:val="FootnoteText"/>
      </w:pPr>
      <w:r w:rsidRPr="004260B1">
        <w:rPr>
          <w:rStyle w:val="FootnoteReference"/>
        </w:rPr>
        <w:footnoteRef/>
      </w:r>
      <w:r w:rsidR="000852C0">
        <w:tab/>
      </w:r>
      <w:r w:rsidR="00B15E8F">
        <w:t>See for example,</w:t>
      </w:r>
      <w:r w:rsidR="005E0A2A">
        <w:t xml:space="preserve"> The Treasury,</w:t>
      </w:r>
      <w:r w:rsidR="00B15E8F">
        <w:t xml:space="preserve"> </w:t>
      </w:r>
      <w:hyperlink r:id="rId11" w:history="1">
        <w:r w:rsidR="00B15E8F" w:rsidRPr="005E0A2A">
          <w:rPr>
            <w:rStyle w:val="Hyperlink"/>
          </w:rPr>
          <w:t>submissions from Association of Mining and Exploration Companies and Australia China Business Council</w:t>
        </w:r>
      </w:hyperlink>
      <w:r w:rsidR="00B15E8F">
        <w:t xml:space="preserve">, </w:t>
      </w:r>
      <w:r w:rsidR="005E0A2A">
        <w:t>accessed 15 July 2025.</w:t>
      </w:r>
    </w:p>
  </w:footnote>
  <w:footnote w:id="15">
    <w:p w14:paraId="2F906E7B" w14:textId="46774A00" w:rsidR="00B86FD1" w:rsidRDefault="004260B1">
      <w:pPr>
        <w:pStyle w:val="FootnoteText"/>
      </w:pPr>
      <w:r w:rsidRPr="004260B1">
        <w:rPr>
          <w:rStyle w:val="FootnoteReference"/>
        </w:rPr>
        <w:footnoteRef/>
      </w:r>
      <w:r w:rsidR="000852C0">
        <w:tab/>
      </w:r>
      <w:r w:rsidR="00691A24">
        <w:t>Allen</w:t>
      </w:r>
      <w:r w:rsidR="002037CD">
        <w:t>s,</w:t>
      </w:r>
      <w:r w:rsidR="005E0A2A">
        <w:t xml:space="preserve"> </w:t>
      </w:r>
      <w:r>
        <w:t>‘</w:t>
      </w:r>
      <w:hyperlink r:id="rId12" w:anchor="anchor9" w:history="1">
        <w:r w:rsidR="00691A24" w:rsidRPr="005E0A2A">
          <w:rPr>
            <w:rStyle w:val="Hyperlink"/>
          </w:rPr>
          <w:t>Recent developments in foreign investment (FIRB) regulation</w:t>
        </w:r>
      </w:hyperlink>
      <w:r>
        <w:rPr>
          <w:i/>
          <w:iCs/>
        </w:rPr>
        <w:t>‘</w:t>
      </w:r>
      <w:r w:rsidR="00691A24" w:rsidRPr="00AE2BF0">
        <w:t xml:space="preserve">, </w:t>
      </w:r>
      <w:r w:rsidR="002037CD">
        <w:t>19 March 2025</w:t>
      </w:r>
      <w:r w:rsidR="00D91B3A">
        <w:t>, accessed</w:t>
      </w:r>
      <w:r w:rsidR="009346F7">
        <w:t xml:space="preserve"> 4</w:t>
      </w:r>
      <w:r w:rsidR="000852C0">
        <w:t> </w:t>
      </w:r>
      <w:r w:rsidR="009346F7">
        <w:t>July</w:t>
      </w:r>
      <w:r w:rsidR="000852C0">
        <w:t> </w:t>
      </w:r>
      <w:r w:rsidR="009346F7">
        <w:t>2025.</w:t>
      </w:r>
      <w:r w:rsidR="00691A24">
        <w:t xml:space="preserve"> </w:t>
      </w:r>
    </w:p>
  </w:footnote>
  <w:footnote w:id="16">
    <w:p w14:paraId="2C267F3E" w14:textId="5708B550" w:rsidR="00E56E07" w:rsidRDefault="004260B1" w:rsidP="00E56E07">
      <w:pPr>
        <w:pStyle w:val="FootnoteText"/>
      </w:pPr>
      <w:r w:rsidRPr="004260B1">
        <w:rPr>
          <w:rStyle w:val="FootnoteReference"/>
        </w:rPr>
        <w:footnoteRef/>
      </w:r>
      <w:r w:rsidR="000852C0">
        <w:tab/>
      </w:r>
      <w:r w:rsidR="00E56E07">
        <w:t xml:space="preserve">The Treasury, </w:t>
      </w:r>
      <w:r>
        <w:t>‘</w:t>
      </w:r>
      <w:hyperlink r:id="rId13" w:history="1">
        <w:r w:rsidR="00E56E07" w:rsidRPr="00F11450">
          <w:rPr>
            <w:rStyle w:val="Hyperlink"/>
          </w:rPr>
          <w:t>The Treasury Annual Report 2023</w:t>
        </w:r>
        <w:r w:rsidR="0052261F" w:rsidRPr="0052261F">
          <w:rPr>
            <w:rStyle w:val="Hyperlink"/>
          </w:rPr>
          <w:t>–</w:t>
        </w:r>
        <w:r w:rsidR="00E56E07" w:rsidRPr="00F11450">
          <w:rPr>
            <w:rStyle w:val="Hyperlink"/>
          </w:rPr>
          <w:t>24</w:t>
        </w:r>
        <w:r>
          <w:rPr>
            <w:rStyle w:val="Hyperlink"/>
            <w:i/>
            <w:iCs/>
          </w:rPr>
          <w:t>’</w:t>
        </w:r>
      </w:hyperlink>
      <w:r w:rsidR="00E56E07">
        <w:t xml:space="preserve">, page 228, 18 October 2024, accessed 4 July 2025. </w:t>
      </w:r>
    </w:p>
  </w:footnote>
  <w:footnote w:id="17">
    <w:p w14:paraId="703F85D3" w14:textId="323CA286" w:rsidR="005F0C5C" w:rsidRDefault="004260B1" w:rsidP="005F0C5C">
      <w:pPr>
        <w:pStyle w:val="FootnoteText"/>
      </w:pPr>
      <w:r w:rsidRPr="004260B1">
        <w:rPr>
          <w:rStyle w:val="FootnoteReference"/>
        </w:rPr>
        <w:footnoteRef/>
      </w:r>
      <w:r w:rsidR="00AF506C">
        <w:tab/>
      </w:r>
      <w:r w:rsidR="005F0C5C">
        <w:t xml:space="preserve">See for example, The Treasury, </w:t>
      </w:r>
      <w:hyperlink r:id="rId14" w:history="1">
        <w:r w:rsidR="005F0C5C" w:rsidRPr="004204AC">
          <w:rPr>
            <w:rStyle w:val="Hyperlink"/>
          </w:rPr>
          <w:t>submissions from The Technology Council of Australia and Herbert Smith Freehills</w:t>
        </w:r>
      </w:hyperlink>
      <w:r w:rsidR="005F0C5C">
        <w:t>, accessed 15 May 2025.</w:t>
      </w:r>
    </w:p>
  </w:footnote>
  <w:footnote w:id="18">
    <w:p w14:paraId="000A8D59" w14:textId="282268AA" w:rsidR="00C3215F" w:rsidRDefault="004260B1" w:rsidP="00C3215F">
      <w:pPr>
        <w:pStyle w:val="FootnoteText"/>
      </w:pPr>
      <w:r w:rsidRPr="004260B1">
        <w:rPr>
          <w:rStyle w:val="FootnoteReference"/>
        </w:rPr>
        <w:footnoteRef/>
      </w:r>
      <w:r w:rsidR="00AF506C">
        <w:tab/>
      </w:r>
      <w:r w:rsidR="00C3215F">
        <w:t xml:space="preserve">Allens, </w:t>
      </w:r>
      <w:r>
        <w:t>‘</w:t>
      </w:r>
      <w:hyperlink r:id="rId15" w:history="1">
        <w:r w:rsidR="00C3215F" w:rsidRPr="004C06D7">
          <w:rPr>
            <w:rStyle w:val="Hyperlink"/>
          </w:rPr>
          <w:t>Common FIRB issues for private equity firms</w:t>
        </w:r>
      </w:hyperlink>
      <w:r w:rsidR="00C3215F">
        <w:t xml:space="preserve">, 28 February 2024, accessed 15 May 2025. </w:t>
      </w:r>
    </w:p>
  </w:footnote>
  <w:footnote w:id="19">
    <w:p w14:paraId="0397AC6F" w14:textId="6FF22AAB" w:rsidR="00D90528" w:rsidRDefault="004260B1">
      <w:pPr>
        <w:pStyle w:val="FootnoteText"/>
      </w:pPr>
      <w:r w:rsidRPr="004260B1">
        <w:rPr>
          <w:rStyle w:val="FootnoteReference"/>
        </w:rPr>
        <w:footnoteRef/>
      </w:r>
      <w:r w:rsidR="00AF506C">
        <w:tab/>
      </w:r>
      <w:r w:rsidR="00D90528">
        <w:t>King &amp; Wood Mallesons</w:t>
      </w:r>
      <w:r w:rsidR="00AE691A">
        <w:t>,</w:t>
      </w:r>
      <w:r w:rsidR="00180261">
        <w:t xml:space="preserve"> </w:t>
      </w:r>
      <w:r>
        <w:t>‘</w:t>
      </w:r>
      <w:hyperlink r:id="rId16" w:history="1">
        <w:r w:rsidR="002119A2" w:rsidRPr="004C06D7">
          <w:rPr>
            <w:rStyle w:val="Hyperlink"/>
          </w:rPr>
          <w:t>Register of Foreign Ownership of Australian Assets</w:t>
        </w:r>
      </w:hyperlink>
      <w:r>
        <w:t>‘</w:t>
      </w:r>
      <w:r w:rsidR="00C54B01">
        <w:t xml:space="preserve">, </w:t>
      </w:r>
      <w:r w:rsidR="00AE691A">
        <w:t xml:space="preserve">23 March 2023, accessed </w:t>
      </w:r>
      <w:r w:rsidR="00696E3F">
        <w:t>17</w:t>
      </w:r>
      <w:r w:rsidR="00AF506C">
        <w:t> </w:t>
      </w:r>
      <w:r w:rsidR="00696E3F">
        <w:t xml:space="preserve">July 2025. </w:t>
      </w:r>
    </w:p>
  </w:footnote>
  <w:footnote w:id="20">
    <w:p w14:paraId="4F25FA3A" w14:textId="408DA5BC" w:rsidR="00254B0E" w:rsidRDefault="004260B1">
      <w:pPr>
        <w:pStyle w:val="FootnoteText"/>
      </w:pPr>
      <w:r w:rsidRPr="004260B1">
        <w:rPr>
          <w:rStyle w:val="FootnoteReference"/>
        </w:rPr>
        <w:footnoteRef/>
      </w:r>
      <w:r w:rsidR="00AF506C">
        <w:tab/>
      </w:r>
      <w:r w:rsidR="00254B0E" w:rsidRPr="00254B0E">
        <w:t>The imposition of fees is achieved through general taxation and not by way of cost recovery or fees for</w:t>
      </w:r>
      <w:r w:rsidR="00872031">
        <w:t xml:space="preserve"> </w:t>
      </w:r>
      <w:r w:rsidR="00254B0E" w:rsidRPr="00254B0E">
        <w:t>service</w:t>
      </w:r>
      <w:r w:rsidR="00254B0E">
        <w:t>.</w:t>
      </w:r>
    </w:p>
  </w:footnote>
  <w:footnote w:id="21">
    <w:p w14:paraId="753C2B65" w14:textId="19C6B12A" w:rsidR="003B67BF" w:rsidRPr="000E7CAF" w:rsidRDefault="004260B1">
      <w:pPr>
        <w:pStyle w:val="FootnoteText"/>
      </w:pPr>
      <w:r w:rsidRPr="004260B1">
        <w:rPr>
          <w:rStyle w:val="FootnoteReference"/>
        </w:rPr>
        <w:footnoteRef/>
      </w:r>
      <w:r w:rsidR="00AF506C">
        <w:tab/>
      </w:r>
      <w:r w:rsidR="008C46E1">
        <w:t>Allens</w:t>
      </w:r>
      <w:r w:rsidR="009B12BC">
        <w:t>,</w:t>
      </w:r>
      <w:r w:rsidR="008C46E1">
        <w:t xml:space="preserve"> </w:t>
      </w:r>
      <w:r>
        <w:t>‘</w:t>
      </w:r>
      <w:hyperlink r:id="rId17" w:anchor="anchor6" w:history="1">
        <w:r w:rsidR="008C46E1" w:rsidRPr="004C06D7">
          <w:rPr>
            <w:rStyle w:val="Hyperlink"/>
          </w:rPr>
          <w:t>FIRB fee changes aimed at increasing affordable housing supply</w:t>
        </w:r>
      </w:hyperlink>
      <w:r>
        <w:rPr>
          <w:i/>
          <w:iCs/>
        </w:rPr>
        <w:t>‘</w:t>
      </w:r>
      <w:r w:rsidR="00AE2BF0" w:rsidRPr="00AE2BF0">
        <w:t xml:space="preserve">, </w:t>
      </w:r>
      <w:r w:rsidR="007B631A">
        <w:t>11 December 2023, accessed 15</w:t>
      </w:r>
      <w:r w:rsidR="00E21FEE">
        <w:t> </w:t>
      </w:r>
      <w:r w:rsidR="007B631A">
        <w:t xml:space="preserve">July 2025. </w:t>
      </w:r>
    </w:p>
  </w:footnote>
  <w:footnote w:id="22">
    <w:p w14:paraId="77505C4F" w14:textId="1C3CC8D4" w:rsidR="007759A1" w:rsidRDefault="004260B1" w:rsidP="007759A1">
      <w:pPr>
        <w:pStyle w:val="FootnoteText"/>
        <w:ind w:left="0" w:firstLine="0"/>
      </w:pPr>
      <w:r w:rsidRPr="004260B1">
        <w:rPr>
          <w:rStyle w:val="FootnoteReference"/>
        </w:rPr>
        <w:footnoteRef/>
      </w:r>
      <w:r w:rsidR="00E21FEE">
        <w:tab/>
      </w:r>
      <w:r w:rsidR="007759A1">
        <w:t xml:space="preserve">See </w:t>
      </w:r>
      <w:r>
        <w:t>‘</w:t>
      </w:r>
      <w:r w:rsidR="007759A1">
        <w:t>Revenue collection</w:t>
      </w:r>
      <w:r>
        <w:t>’</w:t>
      </w:r>
      <w:r w:rsidR="007759A1">
        <w:t xml:space="preserve"> section of </w:t>
      </w:r>
      <w:r>
        <w:t>‘</w:t>
      </w:r>
      <w:hyperlink r:id="rId18" w:history="1">
        <w:r w:rsidR="007759A1" w:rsidRPr="00876B63">
          <w:rPr>
            <w:rStyle w:val="Hyperlink"/>
          </w:rPr>
          <w:t>Australian Taxation Office Annual Report for 2019</w:t>
        </w:r>
        <w:r w:rsidR="0052261F" w:rsidRPr="0052261F">
          <w:rPr>
            <w:rStyle w:val="Hyperlink"/>
          </w:rPr>
          <w:t>–</w:t>
        </w:r>
        <w:r w:rsidR="007759A1" w:rsidRPr="00876B63">
          <w:rPr>
            <w:rStyle w:val="Hyperlink"/>
          </w:rPr>
          <w:t>20, 2022</w:t>
        </w:r>
        <w:r w:rsidR="0052261F" w:rsidRPr="0052261F">
          <w:rPr>
            <w:rStyle w:val="Hyperlink"/>
          </w:rPr>
          <w:t>–</w:t>
        </w:r>
        <w:r w:rsidR="007759A1" w:rsidRPr="00876B63">
          <w:rPr>
            <w:rStyle w:val="Hyperlink"/>
          </w:rPr>
          <w:t xml:space="preserve">23 and </w:t>
        </w:r>
        <w:r w:rsidR="00E21FEE">
          <w:rPr>
            <w:rStyle w:val="Hyperlink"/>
          </w:rPr>
          <w:tab/>
        </w:r>
        <w:r w:rsidR="007759A1" w:rsidRPr="00876B63">
          <w:rPr>
            <w:rStyle w:val="Hyperlink"/>
          </w:rPr>
          <w:t>2023</w:t>
        </w:r>
        <w:r w:rsidR="0052261F" w:rsidRPr="0052261F">
          <w:rPr>
            <w:rStyle w:val="Hyperlink"/>
          </w:rPr>
          <w:t>–</w:t>
        </w:r>
        <w:r w:rsidR="007759A1" w:rsidRPr="00876B63">
          <w:rPr>
            <w:rStyle w:val="Hyperlink"/>
          </w:rPr>
          <w:t>24</w:t>
        </w:r>
      </w:hyperlink>
      <w:r>
        <w:t>‘</w:t>
      </w:r>
      <w:r w:rsidR="007759A1">
        <w:t>,accessed 15 July 2025</w:t>
      </w:r>
      <w:r w:rsidR="002931B7">
        <w:t>.</w:t>
      </w:r>
      <w:r w:rsidR="007759A1">
        <w:t xml:space="preserve"> </w:t>
      </w:r>
    </w:p>
  </w:footnote>
  <w:footnote w:id="23">
    <w:p w14:paraId="773B9AE2" w14:textId="698AEB92" w:rsidR="002B449C" w:rsidRPr="00B5401A" w:rsidRDefault="004260B1" w:rsidP="002B449C">
      <w:pPr>
        <w:pStyle w:val="FootnoteText"/>
      </w:pPr>
      <w:r w:rsidRPr="004260B1">
        <w:rPr>
          <w:rStyle w:val="FootnoteReference"/>
        </w:rPr>
        <w:footnoteRef/>
      </w:r>
      <w:r w:rsidR="00E21FEE">
        <w:tab/>
      </w:r>
      <w:r w:rsidR="002B449C">
        <w:t xml:space="preserve">World Bank, </w:t>
      </w:r>
      <w:r>
        <w:t>‘</w:t>
      </w:r>
      <w:hyperlink r:id="rId19" w:history="1">
        <w:r w:rsidR="002B449C" w:rsidRPr="004C06D7">
          <w:rPr>
            <w:rStyle w:val="Hyperlink"/>
          </w:rPr>
          <w:t>Foreign Direct Investment, net inflows</w:t>
        </w:r>
        <w:r w:rsidR="00B5401A" w:rsidRPr="00955F11">
          <w:rPr>
            <w:rStyle w:val="Hyperlink"/>
          </w:rPr>
          <w:t>, 2024</w:t>
        </w:r>
      </w:hyperlink>
      <w:r>
        <w:t>‘</w:t>
      </w:r>
      <w:r w:rsidR="00B5401A">
        <w:t>, accessed 15 May 2025</w:t>
      </w:r>
      <w:r w:rsidR="00D90B5F">
        <w:t xml:space="preserve">. </w:t>
      </w:r>
    </w:p>
  </w:footnote>
  <w:footnote w:id="24">
    <w:p w14:paraId="690B98A9" w14:textId="439DF4C8" w:rsidR="001740C9" w:rsidRDefault="004260B1">
      <w:pPr>
        <w:pStyle w:val="FootnoteText"/>
      </w:pPr>
      <w:r w:rsidRPr="004260B1">
        <w:rPr>
          <w:rStyle w:val="FootnoteReference"/>
        </w:rPr>
        <w:footnoteRef/>
      </w:r>
      <w:r w:rsidR="00E21FEE">
        <w:tab/>
      </w:r>
      <w:r w:rsidR="00D163A2">
        <w:t>Paul A. Laudicin</w:t>
      </w:r>
      <w:r w:rsidR="00DD7AE7">
        <w:t>a and Erik R.</w:t>
      </w:r>
      <w:r w:rsidR="00955F11">
        <w:t>,</w:t>
      </w:r>
      <w:r w:rsidR="00DD7AE7">
        <w:t xml:space="preserve"> </w:t>
      </w:r>
      <w:r>
        <w:t>‘</w:t>
      </w:r>
      <w:hyperlink r:id="rId20" w:history="1">
        <w:r w:rsidR="00DD7AE7" w:rsidRPr="00955F11">
          <w:rPr>
            <w:rStyle w:val="Hyperlink"/>
          </w:rPr>
          <w:t>Peterson</w:t>
        </w:r>
        <w:r w:rsidR="00293B34" w:rsidRPr="00955F11">
          <w:rPr>
            <w:rStyle w:val="Hyperlink"/>
          </w:rPr>
          <w:t>,</w:t>
        </w:r>
        <w:r w:rsidR="00180261">
          <w:rPr>
            <w:rStyle w:val="Hyperlink"/>
          </w:rPr>
          <w:t xml:space="preserve"> </w:t>
        </w:r>
        <w:r w:rsidR="00DD7AE7" w:rsidRPr="00955F11">
          <w:rPr>
            <w:rStyle w:val="Hyperlink"/>
            <w:i/>
            <w:iCs/>
          </w:rPr>
          <w:t>World at inflection</w:t>
        </w:r>
        <w:r w:rsidR="000B0840" w:rsidRPr="00955F11">
          <w:rPr>
            <w:rStyle w:val="Hyperlink"/>
            <w:i/>
            <w:iCs/>
          </w:rPr>
          <w:t xml:space="preserve"> the 2025 FDI Confidence Index</w:t>
        </w:r>
        <w:r w:rsidR="005207E7" w:rsidRPr="00955F11">
          <w:rPr>
            <w:rStyle w:val="Hyperlink"/>
          </w:rPr>
          <w:t>,</w:t>
        </w:r>
        <w:r w:rsidR="00570118" w:rsidRPr="00955F11" w:rsidDel="00570118">
          <w:rPr>
            <w:rStyle w:val="Hyperlink"/>
          </w:rPr>
          <w:t xml:space="preserve"> </w:t>
        </w:r>
        <w:r w:rsidR="00293B34" w:rsidRPr="00955F11">
          <w:rPr>
            <w:rStyle w:val="Hyperlink"/>
          </w:rPr>
          <w:t>2025</w:t>
        </w:r>
      </w:hyperlink>
      <w:r>
        <w:t>‘</w:t>
      </w:r>
      <w:r w:rsidR="00293B34">
        <w:t>, accessed 15 May 2025.</w:t>
      </w:r>
      <w:r w:rsidR="00B75E61">
        <w:t xml:space="preserve"> </w:t>
      </w:r>
    </w:p>
  </w:footnote>
  <w:footnote w:id="25">
    <w:p w14:paraId="5C8A58BB" w14:textId="0E56E6E3" w:rsidR="00B0305F" w:rsidRDefault="004260B1">
      <w:pPr>
        <w:pStyle w:val="FootnoteText"/>
      </w:pPr>
      <w:r w:rsidRPr="004260B1">
        <w:rPr>
          <w:rStyle w:val="FootnoteReference"/>
        </w:rPr>
        <w:footnoteRef/>
      </w:r>
      <w:r w:rsidR="00E21FEE">
        <w:tab/>
      </w:r>
      <w:r w:rsidR="00A61121">
        <w:t xml:space="preserve">J </w:t>
      </w:r>
      <w:r w:rsidR="0024662E">
        <w:t>Wilkinson</w:t>
      </w:r>
      <w:r w:rsidR="00A61121">
        <w:t>,</w:t>
      </w:r>
      <w:r w:rsidR="0024662E">
        <w:t xml:space="preserve"> </w:t>
      </w:r>
      <w:r>
        <w:t>‘</w:t>
      </w:r>
      <w:hyperlink r:id="rId21" w:history="1">
        <w:r w:rsidR="00433EDA" w:rsidRPr="00166DD6">
          <w:rPr>
            <w:rStyle w:val="Hyperlink"/>
          </w:rPr>
          <w:t>Regulatory reform to reduce red tape and ease burden on businesses</w:t>
        </w:r>
      </w:hyperlink>
      <w:r>
        <w:t>‘</w:t>
      </w:r>
      <w:r w:rsidR="00A61121">
        <w:t xml:space="preserve">, </w:t>
      </w:r>
      <w:r w:rsidR="007B6919">
        <w:t>The Treasury</w:t>
      </w:r>
      <w:r w:rsidR="007D728C">
        <w:t xml:space="preserve">, </w:t>
      </w:r>
      <w:r w:rsidR="00412508">
        <w:t>August</w:t>
      </w:r>
      <w:r w:rsidR="00E21FEE">
        <w:t> </w:t>
      </w:r>
      <w:r w:rsidR="00412508">
        <w:t xml:space="preserve">2025, </w:t>
      </w:r>
      <w:r w:rsidR="004B4A8C">
        <w:t>accessed 16 September 2025.</w:t>
      </w:r>
    </w:p>
  </w:footnote>
  <w:footnote w:id="26">
    <w:p w14:paraId="3F1840A1" w14:textId="4E545A63" w:rsidR="00D45C19" w:rsidRPr="00861D64" w:rsidRDefault="004260B1" w:rsidP="00D45C19">
      <w:pPr>
        <w:pStyle w:val="FootnoteText"/>
      </w:pPr>
      <w:r w:rsidRPr="004260B1">
        <w:rPr>
          <w:rStyle w:val="FootnoteReference"/>
        </w:rPr>
        <w:footnoteRef/>
      </w:r>
      <w:r w:rsidR="00E21FEE">
        <w:tab/>
      </w:r>
      <w:r w:rsidR="00D45C19">
        <w:t>The Treasury</w:t>
      </w:r>
      <w:r w:rsidR="00293B34">
        <w:t>,</w:t>
      </w:r>
      <w:r w:rsidR="00180261">
        <w:t xml:space="preserve"> </w:t>
      </w:r>
      <w:r>
        <w:rPr>
          <w:i/>
        </w:rPr>
        <w:t>‘</w:t>
      </w:r>
      <w:hyperlink r:id="rId22" w:history="1">
        <w:r w:rsidR="00D45C19" w:rsidRPr="004C06D7">
          <w:rPr>
            <w:rStyle w:val="Hyperlink"/>
            <w:iCs/>
          </w:rPr>
          <w:t>Evaluation of the 2021 foreign investment reforms: consultation paper</w:t>
        </w:r>
      </w:hyperlink>
      <w:r>
        <w:t>‘</w:t>
      </w:r>
      <w:r w:rsidR="00D45C19">
        <w:t>,</w:t>
      </w:r>
      <w:r w:rsidR="00293B34">
        <w:t xml:space="preserve"> 21 July 2021, accessed 15 May 2025.</w:t>
      </w:r>
      <w:r w:rsidR="00D45C19">
        <w:t xml:space="preserve"> </w:t>
      </w:r>
    </w:p>
  </w:footnote>
  <w:footnote w:id="27">
    <w:p w14:paraId="385DBB32" w14:textId="299EB415" w:rsidR="00E83B63" w:rsidRDefault="004260B1" w:rsidP="00E83B63">
      <w:pPr>
        <w:pStyle w:val="FootnoteText"/>
      </w:pPr>
      <w:r w:rsidRPr="004260B1">
        <w:rPr>
          <w:rStyle w:val="FootnoteReference"/>
        </w:rPr>
        <w:footnoteRef/>
      </w:r>
      <w:r w:rsidR="00E21FEE">
        <w:tab/>
      </w:r>
      <w:r w:rsidR="00E83B63">
        <w:t>The Treasury</w:t>
      </w:r>
      <w:r w:rsidR="00293B34">
        <w:t>,</w:t>
      </w:r>
      <w:r w:rsidR="00E83B63">
        <w:t xml:space="preserve"> </w:t>
      </w:r>
      <w:r>
        <w:rPr>
          <w:i/>
        </w:rPr>
        <w:t>‘</w:t>
      </w:r>
      <w:hyperlink r:id="rId23" w:history="1">
        <w:r w:rsidR="00E83B63" w:rsidRPr="004C06D7">
          <w:rPr>
            <w:rStyle w:val="Hyperlink"/>
            <w:iCs/>
          </w:rPr>
          <w:t>Evaluation of the 2021 foreign investment reforms – final report</w:t>
        </w:r>
      </w:hyperlink>
      <w:r>
        <w:rPr>
          <w:i/>
        </w:rPr>
        <w:t>‘</w:t>
      </w:r>
      <w:r w:rsidR="00E83B63">
        <w:t xml:space="preserve">, </w:t>
      </w:r>
      <w:r w:rsidR="00293B34">
        <w:t>10 December 2021</w:t>
      </w:r>
      <w:r w:rsidR="00D53891">
        <w:t xml:space="preserve">, accessed 15 May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C1F"/>
    <w:multiLevelType w:val="hybridMultilevel"/>
    <w:tmpl w:val="DF2C4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F9C3D"/>
    <w:multiLevelType w:val="hybridMultilevel"/>
    <w:tmpl w:val="9A0C534C"/>
    <w:lvl w:ilvl="0" w:tplc="E4401110">
      <w:start w:val="1"/>
      <w:numFmt w:val="bullet"/>
      <w:lvlText w:val=""/>
      <w:lvlJc w:val="left"/>
      <w:pPr>
        <w:ind w:left="720" w:hanging="360"/>
      </w:pPr>
      <w:rPr>
        <w:rFonts w:ascii="Symbol" w:hAnsi="Symbol" w:hint="default"/>
      </w:rPr>
    </w:lvl>
    <w:lvl w:ilvl="1" w:tplc="FC783FD4">
      <w:start w:val="1"/>
      <w:numFmt w:val="bullet"/>
      <w:lvlText w:val="o"/>
      <w:lvlJc w:val="left"/>
      <w:pPr>
        <w:ind w:left="1440" w:hanging="360"/>
      </w:pPr>
      <w:rPr>
        <w:rFonts w:ascii="Courier New" w:hAnsi="Courier New" w:cs="Times New Roman" w:hint="default"/>
      </w:rPr>
    </w:lvl>
    <w:lvl w:ilvl="2" w:tplc="0B90CE22">
      <w:start w:val="1"/>
      <w:numFmt w:val="bullet"/>
      <w:lvlText w:val=""/>
      <w:lvlJc w:val="left"/>
      <w:pPr>
        <w:ind w:left="2160" w:hanging="360"/>
      </w:pPr>
      <w:rPr>
        <w:rFonts w:ascii="Wingdings" w:hAnsi="Wingdings" w:hint="default"/>
      </w:rPr>
    </w:lvl>
    <w:lvl w:ilvl="3" w:tplc="68E0C4FA">
      <w:start w:val="1"/>
      <w:numFmt w:val="bullet"/>
      <w:lvlText w:val=""/>
      <w:lvlJc w:val="left"/>
      <w:pPr>
        <w:ind w:left="2880" w:hanging="360"/>
      </w:pPr>
      <w:rPr>
        <w:rFonts w:ascii="Symbol" w:hAnsi="Symbol" w:hint="default"/>
      </w:rPr>
    </w:lvl>
    <w:lvl w:ilvl="4" w:tplc="4BBCC562">
      <w:start w:val="1"/>
      <w:numFmt w:val="bullet"/>
      <w:lvlText w:val="o"/>
      <w:lvlJc w:val="left"/>
      <w:pPr>
        <w:ind w:left="3600" w:hanging="360"/>
      </w:pPr>
      <w:rPr>
        <w:rFonts w:ascii="Courier New" w:hAnsi="Courier New" w:cs="Times New Roman" w:hint="default"/>
      </w:rPr>
    </w:lvl>
    <w:lvl w:ilvl="5" w:tplc="C30E9FD6">
      <w:start w:val="1"/>
      <w:numFmt w:val="bullet"/>
      <w:lvlText w:val=""/>
      <w:lvlJc w:val="left"/>
      <w:pPr>
        <w:ind w:left="4320" w:hanging="360"/>
      </w:pPr>
      <w:rPr>
        <w:rFonts w:ascii="Wingdings" w:hAnsi="Wingdings" w:hint="default"/>
      </w:rPr>
    </w:lvl>
    <w:lvl w:ilvl="6" w:tplc="7BEC8D52">
      <w:start w:val="1"/>
      <w:numFmt w:val="bullet"/>
      <w:lvlText w:val=""/>
      <w:lvlJc w:val="left"/>
      <w:pPr>
        <w:ind w:left="5040" w:hanging="360"/>
      </w:pPr>
      <w:rPr>
        <w:rFonts w:ascii="Symbol" w:hAnsi="Symbol" w:hint="default"/>
      </w:rPr>
    </w:lvl>
    <w:lvl w:ilvl="7" w:tplc="22D6D8B4">
      <w:start w:val="1"/>
      <w:numFmt w:val="bullet"/>
      <w:lvlText w:val="o"/>
      <w:lvlJc w:val="left"/>
      <w:pPr>
        <w:ind w:left="5760" w:hanging="360"/>
      </w:pPr>
      <w:rPr>
        <w:rFonts w:ascii="Courier New" w:hAnsi="Courier New" w:cs="Times New Roman" w:hint="default"/>
      </w:rPr>
    </w:lvl>
    <w:lvl w:ilvl="8" w:tplc="13608952">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8E911A7"/>
    <w:multiLevelType w:val="multilevel"/>
    <w:tmpl w:val="3E408A2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5B00E6"/>
    <w:multiLevelType w:val="multilevel"/>
    <w:tmpl w:val="6BAE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836A30"/>
    <w:multiLevelType w:val="hybridMultilevel"/>
    <w:tmpl w:val="885E0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9" w15:restartNumberingAfterBreak="0">
    <w:nsid w:val="16CC4E5D"/>
    <w:multiLevelType w:val="multilevel"/>
    <w:tmpl w:val="D10E9CF6"/>
    <w:numStyleLink w:val="OneLevelList"/>
  </w:abstractNum>
  <w:abstractNum w:abstractNumId="10" w15:restartNumberingAfterBreak="0">
    <w:nsid w:val="17DF7717"/>
    <w:multiLevelType w:val="multilevel"/>
    <w:tmpl w:val="3B80FD9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502"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D63F4B"/>
    <w:multiLevelType w:val="hybridMultilevel"/>
    <w:tmpl w:val="B1D492E4"/>
    <w:lvl w:ilvl="0" w:tplc="E5208C32">
      <w:start w:val="1"/>
      <w:numFmt w:val="bullet"/>
      <w:lvlText w:val=""/>
      <w:lvlJc w:val="left"/>
      <w:pPr>
        <w:ind w:left="1000" w:hanging="360"/>
      </w:pPr>
      <w:rPr>
        <w:rFonts w:ascii="Symbol" w:hAnsi="Symbol"/>
      </w:rPr>
    </w:lvl>
    <w:lvl w:ilvl="1" w:tplc="D8C0DE92">
      <w:start w:val="1"/>
      <w:numFmt w:val="bullet"/>
      <w:lvlText w:val=""/>
      <w:lvlJc w:val="left"/>
      <w:pPr>
        <w:ind w:left="1280" w:hanging="360"/>
      </w:pPr>
      <w:rPr>
        <w:rFonts w:ascii="Symbol" w:hAnsi="Symbol"/>
      </w:rPr>
    </w:lvl>
    <w:lvl w:ilvl="2" w:tplc="B0D2ECE6">
      <w:start w:val="1"/>
      <w:numFmt w:val="bullet"/>
      <w:lvlText w:val=""/>
      <w:lvlJc w:val="left"/>
      <w:pPr>
        <w:ind w:left="1000" w:hanging="360"/>
      </w:pPr>
      <w:rPr>
        <w:rFonts w:ascii="Symbol" w:hAnsi="Symbol"/>
      </w:rPr>
    </w:lvl>
    <w:lvl w:ilvl="3" w:tplc="F5AECBA6">
      <w:start w:val="1"/>
      <w:numFmt w:val="bullet"/>
      <w:lvlText w:val=""/>
      <w:lvlJc w:val="left"/>
      <w:pPr>
        <w:ind w:left="1000" w:hanging="360"/>
      </w:pPr>
      <w:rPr>
        <w:rFonts w:ascii="Symbol" w:hAnsi="Symbol"/>
      </w:rPr>
    </w:lvl>
    <w:lvl w:ilvl="4" w:tplc="270E9AB4">
      <w:start w:val="1"/>
      <w:numFmt w:val="bullet"/>
      <w:lvlText w:val=""/>
      <w:lvlJc w:val="left"/>
      <w:pPr>
        <w:ind w:left="1000" w:hanging="360"/>
      </w:pPr>
      <w:rPr>
        <w:rFonts w:ascii="Symbol" w:hAnsi="Symbol"/>
      </w:rPr>
    </w:lvl>
    <w:lvl w:ilvl="5" w:tplc="94E4756E">
      <w:start w:val="1"/>
      <w:numFmt w:val="bullet"/>
      <w:lvlText w:val=""/>
      <w:lvlJc w:val="left"/>
      <w:pPr>
        <w:ind w:left="1000" w:hanging="360"/>
      </w:pPr>
      <w:rPr>
        <w:rFonts w:ascii="Symbol" w:hAnsi="Symbol"/>
      </w:rPr>
    </w:lvl>
    <w:lvl w:ilvl="6" w:tplc="7632D150">
      <w:start w:val="1"/>
      <w:numFmt w:val="bullet"/>
      <w:lvlText w:val=""/>
      <w:lvlJc w:val="left"/>
      <w:pPr>
        <w:ind w:left="1000" w:hanging="360"/>
      </w:pPr>
      <w:rPr>
        <w:rFonts w:ascii="Symbol" w:hAnsi="Symbol"/>
      </w:rPr>
    </w:lvl>
    <w:lvl w:ilvl="7" w:tplc="7D825BFA">
      <w:start w:val="1"/>
      <w:numFmt w:val="bullet"/>
      <w:lvlText w:val=""/>
      <w:lvlJc w:val="left"/>
      <w:pPr>
        <w:ind w:left="1000" w:hanging="360"/>
      </w:pPr>
      <w:rPr>
        <w:rFonts w:ascii="Symbol" w:hAnsi="Symbol"/>
      </w:rPr>
    </w:lvl>
    <w:lvl w:ilvl="8" w:tplc="17849D3A">
      <w:start w:val="1"/>
      <w:numFmt w:val="bullet"/>
      <w:lvlText w:val=""/>
      <w:lvlJc w:val="left"/>
      <w:pPr>
        <w:ind w:left="1000" w:hanging="360"/>
      </w:pPr>
      <w:rPr>
        <w:rFonts w:ascii="Symbol" w:hAnsi="Symbol"/>
      </w:rPr>
    </w:lvl>
  </w:abstractNum>
  <w:abstractNum w:abstractNumId="12" w15:restartNumberingAfterBreak="0">
    <w:nsid w:val="1C983851"/>
    <w:multiLevelType w:val="singleLevel"/>
    <w:tmpl w:val="0C090015"/>
    <w:lvl w:ilvl="0">
      <w:start w:val="1"/>
      <w:numFmt w:val="upperLetter"/>
      <w:lvlText w:val="%1."/>
      <w:lvlJc w:val="left"/>
      <w:pPr>
        <w:tabs>
          <w:tab w:val="num" w:pos="851"/>
        </w:tabs>
        <w:ind w:left="851" w:hanging="851"/>
      </w:pPr>
      <w:rPr>
        <w:rFonts w:hint="default"/>
      </w:rPr>
    </w:lvl>
  </w:abstractNum>
  <w:abstractNum w:abstractNumId="13"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24C13F06"/>
    <w:multiLevelType w:val="hybridMultilevel"/>
    <w:tmpl w:val="66A0A790"/>
    <w:lvl w:ilvl="0" w:tplc="B3BA7BE4">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067E4F"/>
    <w:multiLevelType w:val="hybridMultilevel"/>
    <w:tmpl w:val="C1CE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D6F42"/>
    <w:multiLevelType w:val="hybridMultilevel"/>
    <w:tmpl w:val="10B43FC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2EF40FD7"/>
    <w:multiLevelType w:val="hybridMultilevel"/>
    <w:tmpl w:val="99B2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D032E3"/>
    <w:multiLevelType w:val="hybridMultilevel"/>
    <w:tmpl w:val="DDD48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0D4F85"/>
    <w:multiLevelType w:val="hybridMultilevel"/>
    <w:tmpl w:val="BA221EDC"/>
    <w:lvl w:ilvl="0" w:tplc="64488890">
      <w:start w:val="1"/>
      <w:numFmt w:val="upperLetter"/>
      <w:lvlText w:val="%1."/>
      <w:lvlJc w:val="left"/>
      <w:pPr>
        <w:ind w:left="360" w:hanging="360"/>
      </w:pPr>
      <w:rPr>
        <w:strike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7" w15:restartNumberingAfterBreak="0">
    <w:nsid w:val="4FD26896"/>
    <w:multiLevelType w:val="hybridMultilevel"/>
    <w:tmpl w:val="166C9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0D2021"/>
    <w:multiLevelType w:val="multilevel"/>
    <w:tmpl w:val="72F8140E"/>
    <w:numStyleLink w:val="OutlineList"/>
  </w:abstractNum>
  <w:abstractNum w:abstractNumId="2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E8260B7"/>
    <w:multiLevelType w:val="hybridMultilevel"/>
    <w:tmpl w:val="CF22C500"/>
    <w:lvl w:ilvl="0" w:tplc="A34E622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73134F"/>
    <w:multiLevelType w:val="hybridMultilevel"/>
    <w:tmpl w:val="52A85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4" w15:restartNumberingAfterBreak="0">
    <w:nsid w:val="7412283F"/>
    <w:multiLevelType w:val="hybridMultilevel"/>
    <w:tmpl w:val="7DC2E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33F7F"/>
    <w:multiLevelType w:val="hybridMultilevel"/>
    <w:tmpl w:val="5B3EBB0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134262"/>
    <w:multiLevelType w:val="hybridMultilevel"/>
    <w:tmpl w:val="574C53B8"/>
    <w:lvl w:ilvl="0" w:tplc="28A6B48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20"/>
  </w:num>
  <w:num w:numId="2" w16cid:durableId="230386874">
    <w:abstractNumId w:val="2"/>
  </w:num>
  <w:num w:numId="3" w16cid:durableId="1716855291">
    <w:abstractNumId w:val="23"/>
  </w:num>
  <w:num w:numId="4" w16cid:durableId="797724066">
    <w:abstractNumId w:val="6"/>
  </w:num>
  <w:num w:numId="5" w16cid:durableId="709110180">
    <w:abstractNumId w:val="9"/>
  </w:num>
  <w:num w:numId="6" w16cid:durableId="306596971">
    <w:abstractNumId w:val="28"/>
  </w:num>
  <w:num w:numId="7" w16cid:durableId="1739129519">
    <w:abstractNumId w:val="2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10"/>
  </w:num>
  <w:num w:numId="9" w16cid:durableId="1591279926">
    <w:abstractNumId w:val="4"/>
  </w:num>
  <w:num w:numId="10" w16cid:durableId="832991063">
    <w:abstractNumId w:val="17"/>
  </w:num>
  <w:num w:numId="11" w16cid:durableId="215508863">
    <w:abstractNumId w:val="39"/>
  </w:num>
  <w:num w:numId="12" w16cid:durableId="2019234066">
    <w:abstractNumId w:val="28"/>
  </w:num>
  <w:num w:numId="13" w16cid:durableId="1757362042">
    <w:abstractNumId w:val="40"/>
  </w:num>
  <w:num w:numId="14" w16cid:durableId="353965158">
    <w:abstractNumId w:val="26"/>
  </w:num>
  <w:num w:numId="15" w16cid:durableId="77220001">
    <w:abstractNumId w:val="16"/>
  </w:num>
  <w:num w:numId="16" w16cid:durableId="626086807">
    <w:abstractNumId w:val="31"/>
  </w:num>
  <w:num w:numId="17" w16cid:durableId="143200778">
    <w:abstractNumId w:val="22"/>
  </w:num>
  <w:num w:numId="18" w16cid:durableId="10540393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21"/>
  </w:num>
  <w:num w:numId="21" w16cid:durableId="525217854">
    <w:abstractNumId w:val="29"/>
  </w:num>
  <w:num w:numId="22" w16cid:durableId="1017973052">
    <w:abstractNumId w:val="8"/>
  </w:num>
  <w:num w:numId="23" w16cid:durableId="1710757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33"/>
  </w:num>
  <w:num w:numId="25" w16cid:durableId="1198618205">
    <w:abstractNumId w:val="13"/>
  </w:num>
  <w:num w:numId="26" w16cid:durableId="1174026734">
    <w:abstractNumId w:val="19"/>
  </w:num>
  <w:num w:numId="27" w16cid:durableId="1809515744">
    <w:abstractNumId w:val="15"/>
  </w:num>
  <w:num w:numId="28" w16cid:durableId="66878267">
    <w:abstractNumId w:val="27"/>
  </w:num>
  <w:num w:numId="29" w16cid:durableId="2056006950">
    <w:abstractNumId w:val="24"/>
  </w:num>
  <w:num w:numId="30" w16cid:durableId="2115128452">
    <w:abstractNumId w:val="18"/>
  </w:num>
  <w:num w:numId="31" w16cid:durableId="1988433440">
    <w:abstractNumId w:val="0"/>
  </w:num>
  <w:num w:numId="32" w16cid:durableId="798062836">
    <w:abstractNumId w:val="33"/>
  </w:num>
  <w:num w:numId="33" w16cid:durableId="1930113338">
    <w:abstractNumId w:val="33"/>
  </w:num>
  <w:num w:numId="34" w16cid:durableId="1158500475">
    <w:abstractNumId w:val="33"/>
  </w:num>
  <w:num w:numId="35" w16cid:durableId="1111821565">
    <w:abstractNumId w:val="33"/>
  </w:num>
  <w:num w:numId="36" w16cid:durableId="216668490">
    <w:abstractNumId w:val="32"/>
  </w:num>
  <w:num w:numId="37" w16cid:durableId="248008505">
    <w:abstractNumId w:val="34"/>
  </w:num>
  <w:num w:numId="38" w16cid:durableId="203955496">
    <w:abstractNumId w:val="33"/>
  </w:num>
  <w:num w:numId="39" w16cid:durableId="655645367">
    <w:abstractNumId w:val="33"/>
  </w:num>
  <w:num w:numId="40" w16cid:durableId="727724140">
    <w:abstractNumId w:val="33"/>
  </w:num>
  <w:num w:numId="41" w16cid:durableId="61563709">
    <w:abstractNumId w:val="33"/>
  </w:num>
  <w:num w:numId="42" w16cid:durableId="492532682">
    <w:abstractNumId w:val="33"/>
  </w:num>
  <w:num w:numId="43" w16cid:durableId="1241018119">
    <w:abstractNumId w:val="33"/>
  </w:num>
  <w:num w:numId="44" w16cid:durableId="449905095">
    <w:abstractNumId w:val="33"/>
  </w:num>
  <w:num w:numId="45" w16cid:durableId="1419445908">
    <w:abstractNumId w:val="37"/>
  </w:num>
  <w:num w:numId="46" w16cid:durableId="47068992">
    <w:abstractNumId w:val="30"/>
  </w:num>
  <w:num w:numId="47" w16cid:durableId="1679308061">
    <w:abstractNumId w:val="14"/>
  </w:num>
  <w:num w:numId="48" w16cid:durableId="385883195">
    <w:abstractNumId w:val="7"/>
  </w:num>
  <w:num w:numId="49" w16cid:durableId="839077637">
    <w:abstractNumId w:val="11"/>
  </w:num>
  <w:num w:numId="50" w16cid:durableId="131531025">
    <w:abstractNumId w:val="33"/>
  </w:num>
  <w:num w:numId="51" w16cid:durableId="1784570157">
    <w:abstractNumId w:val="25"/>
  </w:num>
  <w:num w:numId="52" w16cid:durableId="148328866">
    <w:abstractNumId w:val="36"/>
  </w:num>
  <w:num w:numId="53" w16cid:durableId="1541014582">
    <w:abstractNumId w:val="3"/>
  </w:num>
  <w:num w:numId="54" w16cid:durableId="2105110997">
    <w:abstractNumId w:val="5"/>
  </w:num>
  <w:num w:numId="55" w16cid:durableId="1331326550">
    <w:abstractNumId w:val="1"/>
  </w:num>
  <w:num w:numId="56" w16cid:durableId="957447402">
    <w:abstractNumId w:val="10"/>
  </w:num>
  <w:num w:numId="57" w16cid:durableId="1856532783">
    <w:abstractNumId w:val="10"/>
  </w:num>
  <w:num w:numId="58" w16cid:durableId="1896695774">
    <w:abstractNumId w:val="10"/>
  </w:num>
  <w:num w:numId="59" w16cid:durableId="48580457">
    <w:abstractNumId w:val="10"/>
  </w:num>
  <w:num w:numId="60" w16cid:durableId="759791014">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12A5D"/>
    <w:rsid w:val="0000028B"/>
    <w:rsid w:val="000002E4"/>
    <w:rsid w:val="00000307"/>
    <w:rsid w:val="00000428"/>
    <w:rsid w:val="000004DF"/>
    <w:rsid w:val="0000067B"/>
    <w:rsid w:val="00000A0F"/>
    <w:rsid w:val="00000AC5"/>
    <w:rsid w:val="00000C18"/>
    <w:rsid w:val="00000C8E"/>
    <w:rsid w:val="00000C8F"/>
    <w:rsid w:val="00000D06"/>
    <w:rsid w:val="00000F90"/>
    <w:rsid w:val="00001108"/>
    <w:rsid w:val="00001A94"/>
    <w:rsid w:val="00001BB6"/>
    <w:rsid w:val="00001F1D"/>
    <w:rsid w:val="00001FCE"/>
    <w:rsid w:val="000020A5"/>
    <w:rsid w:val="000020AE"/>
    <w:rsid w:val="000023EB"/>
    <w:rsid w:val="0000263C"/>
    <w:rsid w:val="00002B7E"/>
    <w:rsid w:val="00002BCB"/>
    <w:rsid w:val="00002BF0"/>
    <w:rsid w:val="00002DA6"/>
    <w:rsid w:val="00002EF2"/>
    <w:rsid w:val="00003177"/>
    <w:rsid w:val="000031A8"/>
    <w:rsid w:val="00003402"/>
    <w:rsid w:val="00003570"/>
    <w:rsid w:val="00003B37"/>
    <w:rsid w:val="00003B4F"/>
    <w:rsid w:val="00003DBB"/>
    <w:rsid w:val="00003E1C"/>
    <w:rsid w:val="000040E8"/>
    <w:rsid w:val="00004285"/>
    <w:rsid w:val="000043B3"/>
    <w:rsid w:val="0000452B"/>
    <w:rsid w:val="000046AA"/>
    <w:rsid w:val="00004804"/>
    <w:rsid w:val="00004AD4"/>
    <w:rsid w:val="00004E06"/>
    <w:rsid w:val="00004EF9"/>
    <w:rsid w:val="00004F4C"/>
    <w:rsid w:val="000051BB"/>
    <w:rsid w:val="00005347"/>
    <w:rsid w:val="000059D6"/>
    <w:rsid w:val="00005AA7"/>
    <w:rsid w:val="0000607B"/>
    <w:rsid w:val="000064C8"/>
    <w:rsid w:val="000066FC"/>
    <w:rsid w:val="0000680B"/>
    <w:rsid w:val="00006A44"/>
    <w:rsid w:val="00006A46"/>
    <w:rsid w:val="00006C2A"/>
    <w:rsid w:val="00006E71"/>
    <w:rsid w:val="00006FBF"/>
    <w:rsid w:val="000073E1"/>
    <w:rsid w:val="00007769"/>
    <w:rsid w:val="00007772"/>
    <w:rsid w:val="00007833"/>
    <w:rsid w:val="000079DF"/>
    <w:rsid w:val="000079FB"/>
    <w:rsid w:val="00007C00"/>
    <w:rsid w:val="00007DAC"/>
    <w:rsid w:val="00010291"/>
    <w:rsid w:val="0001049D"/>
    <w:rsid w:val="00010E07"/>
    <w:rsid w:val="000110B0"/>
    <w:rsid w:val="00011114"/>
    <w:rsid w:val="000111F9"/>
    <w:rsid w:val="00011216"/>
    <w:rsid w:val="0001121B"/>
    <w:rsid w:val="00011481"/>
    <w:rsid w:val="00011725"/>
    <w:rsid w:val="00011A23"/>
    <w:rsid w:val="00011A44"/>
    <w:rsid w:val="00011BA8"/>
    <w:rsid w:val="00011C3F"/>
    <w:rsid w:val="00011C40"/>
    <w:rsid w:val="00011FE6"/>
    <w:rsid w:val="0001227E"/>
    <w:rsid w:val="000122EA"/>
    <w:rsid w:val="000123BC"/>
    <w:rsid w:val="0001263D"/>
    <w:rsid w:val="00012645"/>
    <w:rsid w:val="00012990"/>
    <w:rsid w:val="00012B93"/>
    <w:rsid w:val="00012BC0"/>
    <w:rsid w:val="00012C62"/>
    <w:rsid w:val="00012CFF"/>
    <w:rsid w:val="00012F89"/>
    <w:rsid w:val="00013224"/>
    <w:rsid w:val="00013282"/>
    <w:rsid w:val="0001337E"/>
    <w:rsid w:val="0001359F"/>
    <w:rsid w:val="000135AA"/>
    <w:rsid w:val="000137D6"/>
    <w:rsid w:val="0001396A"/>
    <w:rsid w:val="00013AFB"/>
    <w:rsid w:val="00013D19"/>
    <w:rsid w:val="00013E00"/>
    <w:rsid w:val="00013E26"/>
    <w:rsid w:val="0001406D"/>
    <w:rsid w:val="0001453C"/>
    <w:rsid w:val="00014585"/>
    <w:rsid w:val="000147F4"/>
    <w:rsid w:val="000149A1"/>
    <w:rsid w:val="00014A92"/>
    <w:rsid w:val="00014B2A"/>
    <w:rsid w:val="00014BC6"/>
    <w:rsid w:val="00014D86"/>
    <w:rsid w:val="00014D9D"/>
    <w:rsid w:val="00015153"/>
    <w:rsid w:val="000151A1"/>
    <w:rsid w:val="0001540A"/>
    <w:rsid w:val="00015809"/>
    <w:rsid w:val="0001589F"/>
    <w:rsid w:val="000158B9"/>
    <w:rsid w:val="00015B45"/>
    <w:rsid w:val="00015C02"/>
    <w:rsid w:val="00015CA0"/>
    <w:rsid w:val="00015E92"/>
    <w:rsid w:val="000165BB"/>
    <w:rsid w:val="000166A9"/>
    <w:rsid w:val="00016828"/>
    <w:rsid w:val="0001684D"/>
    <w:rsid w:val="000168B7"/>
    <w:rsid w:val="00016D48"/>
    <w:rsid w:val="00016EB5"/>
    <w:rsid w:val="00017196"/>
    <w:rsid w:val="000172B6"/>
    <w:rsid w:val="0001756E"/>
    <w:rsid w:val="000176B8"/>
    <w:rsid w:val="000179ED"/>
    <w:rsid w:val="00017C10"/>
    <w:rsid w:val="00017D8E"/>
    <w:rsid w:val="00017EC4"/>
    <w:rsid w:val="00020396"/>
    <w:rsid w:val="00020775"/>
    <w:rsid w:val="00020C23"/>
    <w:rsid w:val="00020D55"/>
    <w:rsid w:val="00021036"/>
    <w:rsid w:val="000210B3"/>
    <w:rsid w:val="000211EA"/>
    <w:rsid w:val="00021273"/>
    <w:rsid w:val="00021506"/>
    <w:rsid w:val="000217B0"/>
    <w:rsid w:val="00021A5D"/>
    <w:rsid w:val="00022012"/>
    <w:rsid w:val="00022045"/>
    <w:rsid w:val="0002229E"/>
    <w:rsid w:val="000225CB"/>
    <w:rsid w:val="00022827"/>
    <w:rsid w:val="00022A11"/>
    <w:rsid w:val="00022B17"/>
    <w:rsid w:val="00022D0B"/>
    <w:rsid w:val="00022F5A"/>
    <w:rsid w:val="0002325C"/>
    <w:rsid w:val="00023649"/>
    <w:rsid w:val="000239A0"/>
    <w:rsid w:val="00023DA9"/>
    <w:rsid w:val="000242A8"/>
    <w:rsid w:val="000242F7"/>
    <w:rsid w:val="00024828"/>
    <w:rsid w:val="00024878"/>
    <w:rsid w:val="000249E3"/>
    <w:rsid w:val="00024C26"/>
    <w:rsid w:val="00024F0F"/>
    <w:rsid w:val="000250C0"/>
    <w:rsid w:val="00025183"/>
    <w:rsid w:val="000251B1"/>
    <w:rsid w:val="00025410"/>
    <w:rsid w:val="0002544D"/>
    <w:rsid w:val="00025672"/>
    <w:rsid w:val="00025797"/>
    <w:rsid w:val="00025989"/>
    <w:rsid w:val="00025C87"/>
    <w:rsid w:val="00026068"/>
    <w:rsid w:val="00026310"/>
    <w:rsid w:val="00026434"/>
    <w:rsid w:val="00026833"/>
    <w:rsid w:val="00026B6C"/>
    <w:rsid w:val="00026E9A"/>
    <w:rsid w:val="00027018"/>
    <w:rsid w:val="00027046"/>
    <w:rsid w:val="00027085"/>
    <w:rsid w:val="000272B5"/>
    <w:rsid w:val="000272F6"/>
    <w:rsid w:val="000274ED"/>
    <w:rsid w:val="00027673"/>
    <w:rsid w:val="000277B2"/>
    <w:rsid w:val="000278ED"/>
    <w:rsid w:val="00027C44"/>
    <w:rsid w:val="00027D14"/>
    <w:rsid w:val="00027DF2"/>
    <w:rsid w:val="00027F2D"/>
    <w:rsid w:val="0003037E"/>
    <w:rsid w:val="0003097D"/>
    <w:rsid w:val="00030A67"/>
    <w:rsid w:val="00030CB0"/>
    <w:rsid w:val="00030D14"/>
    <w:rsid w:val="00030E94"/>
    <w:rsid w:val="00030ECE"/>
    <w:rsid w:val="0003122C"/>
    <w:rsid w:val="000312CE"/>
    <w:rsid w:val="00031364"/>
    <w:rsid w:val="000314F3"/>
    <w:rsid w:val="0003185C"/>
    <w:rsid w:val="0003186D"/>
    <w:rsid w:val="00031BC3"/>
    <w:rsid w:val="000320FC"/>
    <w:rsid w:val="000322A9"/>
    <w:rsid w:val="00032384"/>
    <w:rsid w:val="00032529"/>
    <w:rsid w:val="0003257A"/>
    <w:rsid w:val="000327A0"/>
    <w:rsid w:val="00032815"/>
    <w:rsid w:val="000329F4"/>
    <w:rsid w:val="00032B9C"/>
    <w:rsid w:val="00032E28"/>
    <w:rsid w:val="00032EF4"/>
    <w:rsid w:val="00032FE4"/>
    <w:rsid w:val="0003307D"/>
    <w:rsid w:val="000334B5"/>
    <w:rsid w:val="00033726"/>
    <w:rsid w:val="00033788"/>
    <w:rsid w:val="00033987"/>
    <w:rsid w:val="00033D1C"/>
    <w:rsid w:val="00033E5B"/>
    <w:rsid w:val="00033F6A"/>
    <w:rsid w:val="00033FBD"/>
    <w:rsid w:val="00033FC7"/>
    <w:rsid w:val="000340F8"/>
    <w:rsid w:val="00034193"/>
    <w:rsid w:val="000345C0"/>
    <w:rsid w:val="000347C8"/>
    <w:rsid w:val="000348A0"/>
    <w:rsid w:val="0003499A"/>
    <w:rsid w:val="00034A89"/>
    <w:rsid w:val="00034B0B"/>
    <w:rsid w:val="00034D82"/>
    <w:rsid w:val="00034FDC"/>
    <w:rsid w:val="0003534D"/>
    <w:rsid w:val="0003562F"/>
    <w:rsid w:val="00035986"/>
    <w:rsid w:val="00035BEC"/>
    <w:rsid w:val="00035F3F"/>
    <w:rsid w:val="00036049"/>
    <w:rsid w:val="0003642D"/>
    <w:rsid w:val="00036504"/>
    <w:rsid w:val="0003667F"/>
    <w:rsid w:val="000368AA"/>
    <w:rsid w:val="00036902"/>
    <w:rsid w:val="00036967"/>
    <w:rsid w:val="000369A8"/>
    <w:rsid w:val="00036ED2"/>
    <w:rsid w:val="00037180"/>
    <w:rsid w:val="00037418"/>
    <w:rsid w:val="00037E9A"/>
    <w:rsid w:val="00040033"/>
    <w:rsid w:val="000400C4"/>
    <w:rsid w:val="000402BD"/>
    <w:rsid w:val="000402F6"/>
    <w:rsid w:val="00040347"/>
    <w:rsid w:val="000404A1"/>
    <w:rsid w:val="00040725"/>
    <w:rsid w:val="00040977"/>
    <w:rsid w:val="00040ACC"/>
    <w:rsid w:val="00040C0F"/>
    <w:rsid w:val="00040C47"/>
    <w:rsid w:val="00040F58"/>
    <w:rsid w:val="00041129"/>
    <w:rsid w:val="000412F1"/>
    <w:rsid w:val="00041441"/>
    <w:rsid w:val="00041493"/>
    <w:rsid w:val="0004171E"/>
    <w:rsid w:val="000417AA"/>
    <w:rsid w:val="00041AD8"/>
    <w:rsid w:val="00041DD3"/>
    <w:rsid w:val="00042204"/>
    <w:rsid w:val="0004242F"/>
    <w:rsid w:val="0004273C"/>
    <w:rsid w:val="0004274D"/>
    <w:rsid w:val="00042853"/>
    <w:rsid w:val="00042859"/>
    <w:rsid w:val="00042AEE"/>
    <w:rsid w:val="00042C36"/>
    <w:rsid w:val="00042F8F"/>
    <w:rsid w:val="00043022"/>
    <w:rsid w:val="0004314B"/>
    <w:rsid w:val="00043348"/>
    <w:rsid w:val="00043437"/>
    <w:rsid w:val="0004372E"/>
    <w:rsid w:val="0004395F"/>
    <w:rsid w:val="0004399D"/>
    <w:rsid w:val="000439A4"/>
    <w:rsid w:val="00043A30"/>
    <w:rsid w:val="00043A37"/>
    <w:rsid w:val="00043CFA"/>
    <w:rsid w:val="00044063"/>
    <w:rsid w:val="00044381"/>
    <w:rsid w:val="00044405"/>
    <w:rsid w:val="0004447E"/>
    <w:rsid w:val="00044613"/>
    <w:rsid w:val="0004483F"/>
    <w:rsid w:val="00044E4B"/>
    <w:rsid w:val="00045098"/>
    <w:rsid w:val="000451AE"/>
    <w:rsid w:val="000451C3"/>
    <w:rsid w:val="00045300"/>
    <w:rsid w:val="0004577E"/>
    <w:rsid w:val="00045790"/>
    <w:rsid w:val="000457EB"/>
    <w:rsid w:val="0004586D"/>
    <w:rsid w:val="00045A28"/>
    <w:rsid w:val="00045A3E"/>
    <w:rsid w:val="00045D54"/>
    <w:rsid w:val="00046148"/>
    <w:rsid w:val="0004624B"/>
    <w:rsid w:val="0004628C"/>
    <w:rsid w:val="0004637B"/>
    <w:rsid w:val="00046469"/>
    <w:rsid w:val="000467F5"/>
    <w:rsid w:val="00046990"/>
    <w:rsid w:val="00046BF7"/>
    <w:rsid w:val="00046CB4"/>
    <w:rsid w:val="00046DD3"/>
    <w:rsid w:val="00046E1A"/>
    <w:rsid w:val="0004718F"/>
    <w:rsid w:val="00047229"/>
    <w:rsid w:val="0004735C"/>
    <w:rsid w:val="000474FA"/>
    <w:rsid w:val="00047A3D"/>
    <w:rsid w:val="00047A89"/>
    <w:rsid w:val="00047BFF"/>
    <w:rsid w:val="00047D25"/>
    <w:rsid w:val="00050519"/>
    <w:rsid w:val="00050751"/>
    <w:rsid w:val="0005099D"/>
    <w:rsid w:val="00050A48"/>
    <w:rsid w:val="00050B9B"/>
    <w:rsid w:val="00050CD5"/>
    <w:rsid w:val="00050E74"/>
    <w:rsid w:val="00050E9F"/>
    <w:rsid w:val="0005138B"/>
    <w:rsid w:val="00051677"/>
    <w:rsid w:val="00051779"/>
    <w:rsid w:val="00051788"/>
    <w:rsid w:val="00051B37"/>
    <w:rsid w:val="00051C0C"/>
    <w:rsid w:val="000522B7"/>
    <w:rsid w:val="000524DA"/>
    <w:rsid w:val="000524FB"/>
    <w:rsid w:val="00052508"/>
    <w:rsid w:val="00052872"/>
    <w:rsid w:val="0005299D"/>
    <w:rsid w:val="00052C8A"/>
    <w:rsid w:val="00052DAA"/>
    <w:rsid w:val="00052EA6"/>
    <w:rsid w:val="000530FC"/>
    <w:rsid w:val="000531F5"/>
    <w:rsid w:val="00053717"/>
    <w:rsid w:val="000539D2"/>
    <w:rsid w:val="00053B4A"/>
    <w:rsid w:val="00054061"/>
    <w:rsid w:val="00054553"/>
    <w:rsid w:val="00054796"/>
    <w:rsid w:val="000548F3"/>
    <w:rsid w:val="00054DA1"/>
    <w:rsid w:val="00055225"/>
    <w:rsid w:val="00055325"/>
    <w:rsid w:val="000555DC"/>
    <w:rsid w:val="00055805"/>
    <w:rsid w:val="0005594D"/>
    <w:rsid w:val="00055ACA"/>
    <w:rsid w:val="00056045"/>
    <w:rsid w:val="0005657C"/>
    <w:rsid w:val="000565F5"/>
    <w:rsid w:val="00056880"/>
    <w:rsid w:val="000568FF"/>
    <w:rsid w:val="00056BE4"/>
    <w:rsid w:val="00056C25"/>
    <w:rsid w:val="00056CF0"/>
    <w:rsid w:val="00056E94"/>
    <w:rsid w:val="000571B6"/>
    <w:rsid w:val="00057757"/>
    <w:rsid w:val="00057A2C"/>
    <w:rsid w:val="00057C3C"/>
    <w:rsid w:val="00057C4C"/>
    <w:rsid w:val="00057DAB"/>
    <w:rsid w:val="00060269"/>
    <w:rsid w:val="00060323"/>
    <w:rsid w:val="000608A2"/>
    <w:rsid w:val="000609C9"/>
    <w:rsid w:val="00060A92"/>
    <w:rsid w:val="00060D92"/>
    <w:rsid w:val="00060EA1"/>
    <w:rsid w:val="00060F3B"/>
    <w:rsid w:val="000613A0"/>
    <w:rsid w:val="000615AE"/>
    <w:rsid w:val="00061670"/>
    <w:rsid w:val="00061733"/>
    <w:rsid w:val="0006176B"/>
    <w:rsid w:val="00061932"/>
    <w:rsid w:val="00061BE8"/>
    <w:rsid w:val="0006200D"/>
    <w:rsid w:val="00062163"/>
    <w:rsid w:val="00062214"/>
    <w:rsid w:val="0006223D"/>
    <w:rsid w:val="000622F2"/>
    <w:rsid w:val="00062897"/>
    <w:rsid w:val="00062951"/>
    <w:rsid w:val="00062EB0"/>
    <w:rsid w:val="000632AB"/>
    <w:rsid w:val="0006336A"/>
    <w:rsid w:val="000633C8"/>
    <w:rsid w:val="000634BA"/>
    <w:rsid w:val="00063576"/>
    <w:rsid w:val="0006358E"/>
    <w:rsid w:val="00063646"/>
    <w:rsid w:val="0006387C"/>
    <w:rsid w:val="000638AE"/>
    <w:rsid w:val="000639CD"/>
    <w:rsid w:val="00063AC4"/>
    <w:rsid w:val="00063BDA"/>
    <w:rsid w:val="00063FF6"/>
    <w:rsid w:val="00064540"/>
    <w:rsid w:val="000647FB"/>
    <w:rsid w:val="00064B26"/>
    <w:rsid w:val="00064B68"/>
    <w:rsid w:val="00064F86"/>
    <w:rsid w:val="00065001"/>
    <w:rsid w:val="000651FC"/>
    <w:rsid w:val="0006532F"/>
    <w:rsid w:val="00065A13"/>
    <w:rsid w:val="00065A2A"/>
    <w:rsid w:val="00065C78"/>
    <w:rsid w:val="00065E17"/>
    <w:rsid w:val="00065E8D"/>
    <w:rsid w:val="00065F08"/>
    <w:rsid w:val="00065FB1"/>
    <w:rsid w:val="00066148"/>
    <w:rsid w:val="0006618D"/>
    <w:rsid w:val="00066423"/>
    <w:rsid w:val="0006649F"/>
    <w:rsid w:val="00066507"/>
    <w:rsid w:val="000665B6"/>
    <w:rsid w:val="00066777"/>
    <w:rsid w:val="000669A2"/>
    <w:rsid w:val="000669C4"/>
    <w:rsid w:val="00066B0C"/>
    <w:rsid w:val="00066C63"/>
    <w:rsid w:val="000671B8"/>
    <w:rsid w:val="0006723A"/>
    <w:rsid w:val="00067319"/>
    <w:rsid w:val="00067385"/>
    <w:rsid w:val="0006749A"/>
    <w:rsid w:val="000674BA"/>
    <w:rsid w:val="00067521"/>
    <w:rsid w:val="0006758F"/>
    <w:rsid w:val="000675D1"/>
    <w:rsid w:val="000675DA"/>
    <w:rsid w:val="000678A7"/>
    <w:rsid w:val="00067AA6"/>
    <w:rsid w:val="00067E58"/>
    <w:rsid w:val="0007008F"/>
    <w:rsid w:val="000703AE"/>
    <w:rsid w:val="00070564"/>
    <w:rsid w:val="0007058D"/>
    <w:rsid w:val="00070712"/>
    <w:rsid w:val="000708C8"/>
    <w:rsid w:val="00070D98"/>
    <w:rsid w:val="00070E28"/>
    <w:rsid w:val="00070EC1"/>
    <w:rsid w:val="00071047"/>
    <w:rsid w:val="000710DE"/>
    <w:rsid w:val="00071119"/>
    <w:rsid w:val="000713AB"/>
    <w:rsid w:val="00071570"/>
    <w:rsid w:val="00071804"/>
    <w:rsid w:val="000719E9"/>
    <w:rsid w:val="00071CAE"/>
    <w:rsid w:val="00071F46"/>
    <w:rsid w:val="00071F67"/>
    <w:rsid w:val="000721B5"/>
    <w:rsid w:val="000724C1"/>
    <w:rsid w:val="0007267B"/>
    <w:rsid w:val="000727EA"/>
    <w:rsid w:val="00072858"/>
    <w:rsid w:val="000729AF"/>
    <w:rsid w:val="00072A7A"/>
    <w:rsid w:val="00072ABC"/>
    <w:rsid w:val="00072AE5"/>
    <w:rsid w:val="00072B05"/>
    <w:rsid w:val="00072BE5"/>
    <w:rsid w:val="00072C2E"/>
    <w:rsid w:val="00072E39"/>
    <w:rsid w:val="00072F0D"/>
    <w:rsid w:val="00072F95"/>
    <w:rsid w:val="00072FDA"/>
    <w:rsid w:val="00072FDE"/>
    <w:rsid w:val="00073521"/>
    <w:rsid w:val="000735CE"/>
    <w:rsid w:val="00073B08"/>
    <w:rsid w:val="00073BE1"/>
    <w:rsid w:val="00074109"/>
    <w:rsid w:val="00074384"/>
    <w:rsid w:val="00074453"/>
    <w:rsid w:val="0007456C"/>
    <w:rsid w:val="00074B35"/>
    <w:rsid w:val="00074C70"/>
    <w:rsid w:val="00074D41"/>
    <w:rsid w:val="00074DD1"/>
    <w:rsid w:val="000753B9"/>
    <w:rsid w:val="00075B26"/>
    <w:rsid w:val="00075DA7"/>
    <w:rsid w:val="00075F54"/>
    <w:rsid w:val="000760A4"/>
    <w:rsid w:val="000760E6"/>
    <w:rsid w:val="00076441"/>
    <w:rsid w:val="00076453"/>
    <w:rsid w:val="00076562"/>
    <w:rsid w:val="00076972"/>
    <w:rsid w:val="00076C15"/>
    <w:rsid w:val="00076CCA"/>
    <w:rsid w:val="00076D33"/>
    <w:rsid w:val="00076E89"/>
    <w:rsid w:val="00077323"/>
    <w:rsid w:val="000775DE"/>
    <w:rsid w:val="00077676"/>
    <w:rsid w:val="000776F6"/>
    <w:rsid w:val="0007786A"/>
    <w:rsid w:val="00077C5D"/>
    <w:rsid w:val="00077F4C"/>
    <w:rsid w:val="00077FF4"/>
    <w:rsid w:val="0008022A"/>
    <w:rsid w:val="00080699"/>
    <w:rsid w:val="00080965"/>
    <w:rsid w:val="00080974"/>
    <w:rsid w:val="00080B4A"/>
    <w:rsid w:val="00081075"/>
    <w:rsid w:val="0008134B"/>
    <w:rsid w:val="0008157A"/>
    <w:rsid w:val="00081589"/>
    <w:rsid w:val="0008185A"/>
    <w:rsid w:val="00081D31"/>
    <w:rsid w:val="00081FFD"/>
    <w:rsid w:val="00082151"/>
    <w:rsid w:val="000822CC"/>
    <w:rsid w:val="00082518"/>
    <w:rsid w:val="000829A8"/>
    <w:rsid w:val="00082B12"/>
    <w:rsid w:val="00082D32"/>
    <w:rsid w:val="00082EB7"/>
    <w:rsid w:val="00083226"/>
    <w:rsid w:val="000833D5"/>
    <w:rsid w:val="0008367B"/>
    <w:rsid w:val="000836C0"/>
    <w:rsid w:val="0008387E"/>
    <w:rsid w:val="0008397F"/>
    <w:rsid w:val="00083A24"/>
    <w:rsid w:val="00083DEB"/>
    <w:rsid w:val="00083E6B"/>
    <w:rsid w:val="0008430B"/>
    <w:rsid w:val="000846C5"/>
    <w:rsid w:val="00084710"/>
    <w:rsid w:val="0008488B"/>
    <w:rsid w:val="0008498E"/>
    <w:rsid w:val="00084EF4"/>
    <w:rsid w:val="00084FD7"/>
    <w:rsid w:val="000852C0"/>
    <w:rsid w:val="0008533B"/>
    <w:rsid w:val="0008563F"/>
    <w:rsid w:val="00085DD5"/>
    <w:rsid w:val="00086082"/>
    <w:rsid w:val="000865B1"/>
    <w:rsid w:val="000869D3"/>
    <w:rsid w:val="00086A2A"/>
    <w:rsid w:val="00086EBB"/>
    <w:rsid w:val="000870C5"/>
    <w:rsid w:val="000872AD"/>
    <w:rsid w:val="000875BD"/>
    <w:rsid w:val="0008773B"/>
    <w:rsid w:val="0008774D"/>
    <w:rsid w:val="00087A83"/>
    <w:rsid w:val="00087CCC"/>
    <w:rsid w:val="00087D10"/>
    <w:rsid w:val="00087FAF"/>
    <w:rsid w:val="000900C6"/>
    <w:rsid w:val="00090156"/>
    <w:rsid w:val="00090D3F"/>
    <w:rsid w:val="00090EDD"/>
    <w:rsid w:val="00090F98"/>
    <w:rsid w:val="0009126E"/>
    <w:rsid w:val="000917D8"/>
    <w:rsid w:val="00091A74"/>
    <w:rsid w:val="000920D5"/>
    <w:rsid w:val="00092110"/>
    <w:rsid w:val="00092581"/>
    <w:rsid w:val="00092B39"/>
    <w:rsid w:val="00092BEF"/>
    <w:rsid w:val="00092C30"/>
    <w:rsid w:val="00092C89"/>
    <w:rsid w:val="00092DAD"/>
    <w:rsid w:val="000932E4"/>
    <w:rsid w:val="00093601"/>
    <w:rsid w:val="000938E9"/>
    <w:rsid w:val="000939BA"/>
    <w:rsid w:val="00093A40"/>
    <w:rsid w:val="00093AB7"/>
    <w:rsid w:val="00093ACA"/>
    <w:rsid w:val="00093AFE"/>
    <w:rsid w:val="00094122"/>
    <w:rsid w:val="00094582"/>
    <w:rsid w:val="000948B4"/>
    <w:rsid w:val="00094B98"/>
    <w:rsid w:val="00094D7F"/>
    <w:rsid w:val="00094F63"/>
    <w:rsid w:val="00095485"/>
    <w:rsid w:val="00095537"/>
    <w:rsid w:val="00095577"/>
    <w:rsid w:val="000957E9"/>
    <w:rsid w:val="00095828"/>
    <w:rsid w:val="000959A6"/>
    <w:rsid w:val="000959D9"/>
    <w:rsid w:val="00095AB3"/>
    <w:rsid w:val="00095B6A"/>
    <w:rsid w:val="00095C40"/>
    <w:rsid w:val="00095CC5"/>
    <w:rsid w:val="00095D33"/>
    <w:rsid w:val="00095D88"/>
    <w:rsid w:val="00095DC4"/>
    <w:rsid w:val="00095DCB"/>
    <w:rsid w:val="00095EF6"/>
    <w:rsid w:val="00096261"/>
    <w:rsid w:val="000963B5"/>
    <w:rsid w:val="0009646F"/>
    <w:rsid w:val="00096515"/>
    <w:rsid w:val="00096521"/>
    <w:rsid w:val="000965CC"/>
    <w:rsid w:val="00096710"/>
    <w:rsid w:val="00096AC6"/>
    <w:rsid w:val="00096BFF"/>
    <w:rsid w:val="00096DCA"/>
    <w:rsid w:val="00096DCE"/>
    <w:rsid w:val="00096DF6"/>
    <w:rsid w:val="00096E0D"/>
    <w:rsid w:val="0009705C"/>
    <w:rsid w:val="00097170"/>
    <w:rsid w:val="0009725F"/>
    <w:rsid w:val="00097567"/>
    <w:rsid w:val="00097568"/>
    <w:rsid w:val="00097714"/>
    <w:rsid w:val="000977F8"/>
    <w:rsid w:val="00097A9E"/>
    <w:rsid w:val="000A0074"/>
    <w:rsid w:val="000A0285"/>
    <w:rsid w:val="000A0311"/>
    <w:rsid w:val="000A067E"/>
    <w:rsid w:val="000A0693"/>
    <w:rsid w:val="000A07E2"/>
    <w:rsid w:val="000A097F"/>
    <w:rsid w:val="000A0B3B"/>
    <w:rsid w:val="000A0C00"/>
    <w:rsid w:val="000A0FEE"/>
    <w:rsid w:val="000A111C"/>
    <w:rsid w:val="000A12CA"/>
    <w:rsid w:val="000A139C"/>
    <w:rsid w:val="000A13A6"/>
    <w:rsid w:val="000A1502"/>
    <w:rsid w:val="000A16EB"/>
    <w:rsid w:val="000A1725"/>
    <w:rsid w:val="000A18AC"/>
    <w:rsid w:val="000A1B61"/>
    <w:rsid w:val="000A1E02"/>
    <w:rsid w:val="000A1EDB"/>
    <w:rsid w:val="000A20B7"/>
    <w:rsid w:val="000A20F3"/>
    <w:rsid w:val="000A21DD"/>
    <w:rsid w:val="000A2261"/>
    <w:rsid w:val="000A226B"/>
    <w:rsid w:val="000A227A"/>
    <w:rsid w:val="000A2853"/>
    <w:rsid w:val="000A3409"/>
    <w:rsid w:val="000A358E"/>
    <w:rsid w:val="000A35CA"/>
    <w:rsid w:val="000A37EF"/>
    <w:rsid w:val="000A3AA5"/>
    <w:rsid w:val="000A3AAD"/>
    <w:rsid w:val="000A3B02"/>
    <w:rsid w:val="000A3E59"/>
    <w:rsid w:val="000A3F6B"/>
    <w:rsid w:val="000A4058"/>
    <w:rsid w:val="000A40B2"/>
    <w:rsid w:val="000A4221"/>
    <w:rsid w:val="000A446C"/>
    <w:rsid w:val="000A45B9"/>
    <w:rsid w:val="000A471A"/>
    <w:rsid w:val="000A4781"/>
    <w:rsid w:val="000A49EE"/>
    <w:rsid w:val="000A4AF3"/>
    <w:rsid w:val="000A4B9D"/>
    <w:rsid w:val="000A4D4C"/>
    <w:rsid w:val="000A5166"/>
    <w:rsid w:val="000A56CA"/>
    <w:rsid w:val="000A5B52"/>
    <w:rsid w:val="000A6165"/>
    <w:rsid w:val="000A628A"/>
    <w:rsid w:val="000A635C"/>
    <w:rsid w:val="000A6723"/>
    <w:rsid w:val="000A675F"/>
    <w:rsid w:val="000A68AD"/>
    <w:rsid w:val="000A6931"/>
    <w:rsid w:val="000A69DE"/>
    <w:rsid w:val="000A73EC"/>
    <w:rsid w:val="000A7594"/>
    <w:rsid w:val="000A796C"/>
    <w:rsid w:val="000A79CF"/>
    <w:rsid w:val="000A7C69"/>
    <w:rsid w:val="000A7E75"/>
    <w:rsid w:val="000B00E5"/>
    <w:rsid w:val="000B05B3"/>
    <w:rsid w:val="000B0840"/>
    <w:rsid w:val="000B093F"/>
    <w:rsid w:val="000B0B36"/>
    <w:rsid w:val="000B1309"/>
    <w:rsid w:val="000B13AE"/>
    <w:rsid w:val="000B1483"/>
    <w:rsid w:val="000B18A5"/>
    <w:rsid w:val="000B18EB"/>
    <w:rsid w:val="000B1BF7"/>
    <w:rsid w:val="000B1D95"/>
    <w:rsid w:val="000B20BB"/>
    <w:rsid w:val="000B223B"/>
    <w:rsid w:val="000B2315"/>
    <w:rsid w:val="000B2440"/>
    <w:rsid w:val="000B258B"/>
    <w:rsid w:val="000B2930"/>
    <w:rsid w:val="000B2AA7"/>
    <w:rsid w:val="000B302A"/>
    <w:rsid w:val="000B30B6"/>
    <w:rsid w:val="000B33EE"/>
    <w:rsid w:val="000B3466"/>
    <w:rsid w:val="000B37D2"/>
    <w:rsid w:val="000B38B1"/>
    <w:rsid w:val="000B3BCF"/>
    <w:rsid w:val="000B3CAE"/>
    <w:rsid w:val="000B3CC1"/>
    <w:rsid w:val="000B4162"/>
    <w:rsid w:val="000B4480"/>
    <w:rsid w:val="000B4534"/>
    <w:rsid w:val="000B4616"/>
    <w:rsid w:val="000B4827"/>
    <w:rsid w:val="000B48CC"/>
    <w:rsid w:val="000B49C7"/>
    <w:rsid w:val="000B49D8"/>
    <w:rsid w:val="000B4F63"/>
    <w:rsid w:val="000B5325"/>
    <w:rsid w:val="000B532C"/>
    <w:rsid w:val="000B5759"/>
    <w:rsid w:val="000B5763"/>
    <w:rsid w:val="000B5A1F"/>
    <w:rsid w:val="000B5E9E"/>
    <w:rsid w:val="000B5F2D"/>
    <w:rsid w:val="000B627E"/>
    <w:rsid w:val="000B6347"/>
    <w:rsid w:val="000B64DA"/>
    <w:rsid w:val="000B66B7"/>
    <w:rsid w:val="000B6A3A"/>
    <w:rsid w:val="000B716C"/>
    <w:rsid w:val="000B72DA"/>
    <w:rsid w:val="000B7309"/>
    <w:rsid w:val="000B747B"/>
    <w:rsid w:val="000B751D"/>
    <w:rsid w:val="000B77A2"/>
    <w:rsid w:val="000B7820"/>
    <w:rsid w:val="000B7CBE"/>
    <w:rsid w:val="000B7CEE"/>
    <w:rsid w:val="000B7DB9"/>
    <w:rsid w:val="000B7F43"/>
    <w:rsid w:val="000C02DF"/>
    <w:rsid w:val="000C031B"/>
    <w:rsid w:val="000C07B3"/>
    <w:rsid w:val="000C07F6"/>
    <w:rsid w:val="000C0806"/>
    <w:rsid w:val="000C0A7B"/>
    <w:rsid w:val="000C0C62"/>
    <w:rsid w:val="000C0F3C"/>
    <w:rsid w:val="000C108C"/>
    <w:rsid w:val="000C1156"/>
    <w:rsid w:val="000C138D"/>
    <w:rsid w:val="000C14B7"/>
    <w:rsid w:val="000C1709"/>
    <w:rsid w:val="000C1B64"/>
    <w:rsid w:val="000C1CAE"/>
    <w:rsid w:val="000C2754"/>
    <w:rsid w:val="000C2951"/>
    <w:rsid w:val="000C298E"/>
    <w:rsid w:val="000C2DA7"/>
    <w:rsid w:val="000C2F13"/>
    <w:rsid w:val="000C3067"/>
    <w:rsid w:val="000C3214"/>
    <w:rsid w:val="000C3290"/>
    <w:rsid w:val="000C33A7"/>
    <w:rsid w:val="000C369F"/>
    <w:rsid w:val="000C3765"/>
    <w:rsid w:val="000C3A40"/>
    <w:rsid w:val="000C3AD9"/>
    <w:rsid w:val="000C40AA"/>
    <w:rsid w:val="000C4431"/>
    <w:rsid w:val="000C46BA"/>
    <w:rsid w:val="000C4919"/>
    <w:rsid w:val="000C49E6"/>
    <w:rsid w:val="000C4DBF"/>
    <w:rsid w:val="000C4F79"/>
    <w:rsid w:val="000C5072"/>
    <w:rsid w:val="000C5255"/>
    <w:rsid w:val="000C5268"/>
    <w:rsid w:val="000C52B8"/>
    <w:rsid w:val="000C56C7"/>
    <w:rsid w:val="000C571D"/>
    <w:rsid w:val="000C5903"/>
    <w:rsid w:val="000C5CA4"/>
    <w:rsid w:val="000C5D60"/>
    <w:rsid w:val="000C5E80"/>
    <w:rsid w:val="000C5F40"/>
    <w:rsid w:val="000C5FE9"/>
    <w:rsid w:val="000C60C1"/>
    <w:rsid w:val="000C6187"/>
    <w:rsid w:val="000C61EF"/>
    <w:rsid w:val="000C62EE"/>
    <w:rsid w:val="000C6331"/>
    <w:rsid w:val="000C63C3"/>
    <w:rsid w:val="000C6517"/>
    <w:rsid w:val="000C6587"/>
    <w:rsid w:val="000C6740"/>
    <w:rsid w:val="000C6776"/>
    <w:rsid w:val="000C67BD"/>
    <w:rsid w:val="000C6861"/>
    <w:rsid w:val="000C690F"/>
    <w:rsid w:val="000C6C29"/>
    <w:rsid w:val="000C70FA"/>
    <w:rsid w:val="000C73C9"/>
    <w:rsid w:val="000C77DD"/>
    <w:rsid w:val="000C7CAA"/>
    <w:rsid w:val="000C7D29"/>
    <w:rsid w:val="000C7F8B"/>
    <w:rsid w:val="000D00C7"/>
    <w:rsid w:val="000D0185"/>
    <w:rsid w:val="000D020A"/>
    <w:rsid w:val="000D07D5"/>
    <w:rsid w:val="000D0BA3"/>
    <w:rsid w:val="000D0F1A"/>
    <w:rsid w:val="000D12A9"/>
    <w:rsid w:val="000D1388"/>
    <w:rsid w:val="000D13A2"/>
    <w:rsid w:val="000D1550"/>
    <w:rsid w:val="000D15E5"/>
    <w:rsid w:val="000D18AB"/>
    <w:rsid w:val="000D19C7"/>
    <w:rsid w:val="000D1BF0"/>
    <w:rsid w:val="000D1D5E"/>
    <w:rsid w:val="000D1F86"/>
    <w:rsid w:val="000D2187"/>
    <w:rsid w:val="000D27CA"/>
    <w:rsid w:val="000D2A3E"/>
    <w:rsid w:val="000D2E72"/>
    <w:rsid w:val="000D2E82"/>
    <w:rsid w:val="000D34B6"/>
    <w:rsid w:val="000D357F"/>
    <w:rsid w:val="000D35AD"/>
    <w:rsid w:val="000D3883"/>
    <w:rsid w:val="000D3D8C"/>
    <w:rsid w:val="000D3E9E"/>
    <w:rsid w:val="000D3F0B"/>
    <w:rsid w:val="000D405E"/>
    <w:rsid w:val="000D40A8"/>
    <w:rsid w:val="000D4326"/>
    <w:rsid w:val="000D4655"/>
    <w:rsid w:val="000D4727"/>
    <w:rsid w:val="000D477D"/>
    <w:rsid w:val="000D4924"/>
    <w:rsid w:val="000D4949"/>
    <w:rsid w:val="000D4AB3"/>
    <w:rsid w:val="000D4F69"/>
    <w:rsid w:val="000D4FD3"/>
    <w:rsid w:val="000D5264"/>
    <w:rsid w:val="000D535E"/>
    <w:rsid w:val="000D537D"/>
    <w:rsid w:val="000D570B"/>
    <w:rsid w:val="000D58AB"/>
    <w:rsid w:val="000D5C15"/>
    <w:rsid w:val="000D5D1A"/>
    <w:rsid w:val="000D5D3E"/>
    <w:rsid w:val="000D5EC9"/>
    <w:rsid w:val="000D60E3"/>
    <w:rsid w:val="000D60F0"/>
    <w:rsid w:val="000D6243"/>
    <w:rsid w:val="000D631F"/>
    <w:rsid w:val="000D6358"/>
    <w:rsid w:val="000D6576"/>
    <w:rsid w:val="000D66E8"/>
    <w:rsid w:val="000D6AF9"/>
    <w:rsid w:val="000D6E7A"/>
    <w:rsid w:val="000D7040"/>
    <w:rsid w:val="000D78B0"/>
    <w:rsid w:val="000D7B9E"/>
    <w:rsid w:val="000D7C22"/>
    <w:rsid w:val="000D7C48"/>
    <w:rsid w:val="000E01E1"/>
    <w:rsid w:val="000E0385"/>
    <w:rsid w:val="000E0B74"/>
    <w:rsid w:val="000E0C8F"/>
    <w:rsid w:val="000E0CC0"/>
    <w:rsid w:val="000E0E82"/>
    <w:rsid w:val="000E0F23"/>
    <w:rsid w:val="000E0F4C"/>
    <w:rsid w:val="000E0F5E"/>
    <w:rsid w:val="000E1396"/>
    <w:rsid w:val="000E160C"/>
    <w:rsid w:val="000E1A9C"/>
    <w:rsid w:val="000E1FF1"/>
    <w:rsid w:val="000E2016"/>
    <w:rsid w:val="000E20A5"/>
    <w:rsid w:val="000E236F"/>
    <w:rsid w:val="000E257A"/>
    <w:rsid w:val="000E268F"/>
    <w:rsid w:val="000E274E"/>
    <w:rsid w:val="000E2879"/>
    <w:rsid w:val="000E29F6"/>
    <w:rsid w:val="000E2AE5"/>
    <w:rsid w:val="000E2C04"/>
    <w:rsid w:val="000E2F0D"/>
    <w:rsid w:val="000E2F66"/>
    <w:rsid w:val="000E3040"/>
    <w:rsid w:val="000E308A"/>
    <w:rsid w:val="000E3207"/>
    <w:rsid w:val="000E3300"/>
    <w:rsid w:val="000E343B"/>
    <w:rsid w:val="000E347F"/>
    <w:rsid w:val="000E352F"/>
    <w:rsid w:val="000E3D4F"/>
    <w:rsid w:val="000E4156"/>
    <w:rsid w:val="000E43BF"/>
    <w:rsid w:val="000E4B15"/>
    <w:rsid w:val="000E4CEE"/>
    <w:rsid w:val="000E4D02"/>
    <w:rsid w:val="000E51BC"/>
    <w:rsid w:val="000E5599"/>
    <w:rsid w:val="000E58D5"/>
    <w:rsid w:val="000E5A04"/>
    <w:rsid w:val="000E5BD6"/>
    <w:rsid w:val="000E5D80"/>
    <w:rsid w:val="000E5F27"/>
    <w:rsid w:val="000E63C4"/>
    <w:rsid w:val="000E672E"/>
    <w:rsid w:val="000E67FD"/>
    <w:rsid w:val="000E6A08"/>
    <w:rsid w:val="000E6C92"/>
    <w:rsid w:val="000E7054"/>
    <w:rsid w:val="000E7116"/>
    <w:rsid w:val="000E7386"/>
    <w:rsid w:val="000E74CC"/>
    <w:rsid w:val="000E76BE"/>
    <w:rsid w:val="000E76C1"/>
    <w:rsid w:val="000E76D3"/>
    <w:rsid w:val="000E7835"/>
    <w:rsid w:val="000E7901"/>
    <w:rsid w:val="000E7A0C"/>
    <w:rsid w:val="000E7CAF"/>
    <w:rsid w:val="000F0188"/>
    <w:rsid w:val="000F04C0"/>
    <w:rsid w:val="000F0A32"/>
    <w:rsid w:val="000F0AA8"/>
    <w:rsid w:val="000F0DDF"/>
    <w:rsid w:val="000F0F7B"/>
    <w:rsid w:val="000F0FB1"/>
    <w:rsid w:val="000F0FEB"/>
    <w:rsid w:val="000F121A"/>
    <w:rsid w:val="000F1258"/>
    <w:rsid w:val="000F12AB"/>
    <w:rsid w:val="000F12DA"/>
    <w:rsid w:val="000F152F"/>
    <w:rsid w:val="000F1639"/>
    <w:rsid w:val="000F168D"/>
    <w:rsid w:val="000F16FE"/>
    <w:rsid w:val="000F1792"/>
    <w:rsid w:val="000F1A66"/>
    <w:rsid w:val="000F1B12"/>
    <w:rsid w:val="000F1BE5"/>
    <w:rsid w:val="000F1C17"/>
    <w:rsid w:val="000F1CC2"/>
    <w:rsid w:val="000F236B"/>
    <w:rsid w:val="000F276B"/>
    <w:rsid w:val="000F297A"/>
    <w:rsid w:val="000F2BF9"/>
    <w:rsid w:val="000F2D0B"/>
    <w:rsid w:val="000F2EC1"/>
    <w:rsid w:val="000F314F"/>
    <w:rsid w:val="000F3190"/>
    <w:rsid w:val="000F35A8"/>
    <w:rsid w:val="000F36AC"/>
    <w:rsid w:val="000F3A74"/>
    <w:rsid w:val="000F3AE2"/>
    <w:rsid w:val="000F3AF7"/>
    <w:rsid w:val="000F3B01"/>
    <w:rsid w:val="000F3C96"/>
    <w:rsid w:val="000F3DB7"/>
    <w:rsid w:val="000F424E"/>
    <w:rsid w:val="000F427A"/>
    <w:rsid w:val="000F45E2"/>
    <w:rsid w:val="000F480E"/>
    <w:rsid w:val="000F485C"/>
    <w:rsid w:val="000F4DDA"/>
    <w:rsid w:val="000F4E52"/>
    <w:rsid w:val="000F5615"/>
    <w:rsid w:val="000F572E"/>
    <w:rsid w:val="000F5CDD"/>
    <w:rsid w:val="000F6040"/>
    <w:rsid w:val="000F61FE"/>
    <w:rsid w:val="000F6233"/>
    <w:rsid w:val="000F62F7"/>
    <w:rsid w:val="000F63F3"/>
    <w:rsid w:val="000F6482"/>
    <w:rsid w:val="000F66DE"/>
    <w:rsid w:val="000F6C87"/>
    <w:rsid w:val="000F6FBC"/>
    <w:rsid w:val="000F709E"/>
    <w:rsid w:val="000F7383"/>
    <w:rsid w:val="000F74DE"/>
    <w:rsid w:val="000F7648"/>
    <w:rsid w:val="000F7678"/>
    <w:rsid w:val="000F76E4"/>
    <w:rsid w:val="000F7C8C"/>
    <w:rsid w:val="0010029F"/>
    <w:rsid w:val="0010033D"/>
    <w:rsid w:val="00100361"/>
    <w:rsid w:val="001007C2"/>
    <w:rsid w:val="00100818"/>
    <w:rsid w:val="00100D57"/>
    <w:rsid w:val="00100F20"/>
    <w:rsid w:val="00101019"/>
    <w:rsid w:val="00101022"/>
    <w:rsid w:val="0010123E"/>
    <w:rsid w:val="0010131B"/>
    <w:rsid w:val="001013FC"/>
    <w:rsid w:val="001014B0"/>
    <w:rsid w:val="0010152E"/>
    <w:rsid w:val="00101601"/>
    <w:rsid w:val="00101705"/>
    <w:rsid w:val="001017D5"/>
    <w:rsid w:val="00101974"/>
    <w:rsid w:val="0010197E"/>
    <w:rsid w:val="001019C8"/>
    <w:rsid w:val="00101BBD"/>
    <w:rsid w:val="00101BE8"/>
    <w:rsid w:val="00101D6E"/>
    <w:rsid w:val="00101DBC"/>
    <w:rsid w:val="00101DEE"/>
    <w:rsid w:val="00101FA0"/>
    <w:rsid w:val="0010205F"/>
    <w:rsid w:val="001021A9"/>
    <w:rsid w:val="001022DC"/>
    <w:rsid w:val="0010234D"/>
    <w:rsid w:val="001024AB"/>
    <w:rsid w:val="001026A5"/>
    <w:rsid w:val="00102A81"/>
    <w:rsid w:val="00102E4E"/>
    <w:rsid w:val="0010303A"/>
    <w:rsid w:val="0010321B"/>
    <w:rsid w:val="00103433"/>
    <w:rsid w:val="001034A2"/>
    <w:rsid w:val="00103747"/>
    <w:rsid w:val="001039EE"/>
    <w:rsid w:val="00103A22"/>
    <w:rsid w:val="00103A89"/>
    <w:rsid w:val="00103AC1"/>
    <w:rsid w:val="00103B03"/>
    <w:rsid w:val="00103D30"/>
    <w:rsid w:val="00103D6F"/>
    <w:rsid w:val="00103DDB"/>
    <w:rsid w:val="00103F3C"/>
    <w:rsid w:val="00103FAB"/>
    <w:rsid w:val="00104043"/>
    <w:rsid w:val="0010406F"/>
    <w:rsid w:val="00104477"/>
    <w:rsid w:val="0010487E"/>
    <w:rsid w:val="001048F7"/>
    <w:rsid w:val="001049E2"/>
    <w:rsid w:val="00104A0B"/>
    <w:rsid w:val="00104D3F"/>
    <w:rsid w:val="00104EC4"/>
    <w:rsid w:val="0010500B"/>
    <w:rsid w:val="001052C1"/>
    <w:rsid w:val="0010531E"/>
    <w:rsid w:val="00105345"/>
    <w:rsid w:val="001053FD"/>
    <w:rsid w:val="0010568D"/>
    <w:rsid w:val="00105955"/>
    <w:rsid w:val="001059DE"/>
    <w:rsid w:val="00105AC7"/>
    <w:rsid w:val="00105FCE"/>
    <w:rsid w:val="001060FC"/>
    <w:rsid w:val="001061BD"/>
    <w:rsid w:val="00106257"/>
    <w:rsid w:val="001062AA"/>
    <w:rsid w:val="00106495"/>
    <w:rsid w:val="0010657B"/>
    <w:rsid w:val="00106A92"/>
    <w:rsid w:val="00106ABC"/>
    <w:rsid w:val="00106CCC"/>
    <w:rsid w:val="00106D2F"/>
    <w:rsid w:val="00106DFC"/>
    <w:rsid w:val="00106ED7"/>
    <w:rsid w:val="00106F2E"/>
    <w:rsid w:val="00106FF7"/>
    <w:rsid w:val="0010714D"/>
    <w:rsid w:val="0010741C"/>
    <w:rsid w:val="0010754D"/>
    <w:rsid w:val="00107566"/>
    <w:rsid w:val="00107973"/>
    <w:rsid w:val="00107A67"/>
    <w:rsid w:val="00107B51"/>
    <w:rsid w:val="00107BF5"/>
    <w:rsid w:val="00107E2B"/>
    <w:rsid w:val="001102CF"/>
    <w:rsid w:val="00110947"/>
    <w:rsid w:val="00110999"/>
    <w:rsid w:val="00110DB0"/>
    <w:rsid w:val="00110DE5"/>
    <w:rsid w:val="00110E40"/>
    <w:rsid w:val="00110E73"/>
    <w:rsid w:val="0011184D"/>
    <w:rsid w:val="001118CB"/>
    <w:rsid w:val="00111DD6"/>
    <w:rsid w:val="00111E27"/>
    <w:rsid w:val="00112468"/>
    <w:rsid w:val="0011294C"/>
    <w:rsid w:val="00112B9A"/>
    <w:rsid w:val="0011305A"/>
    <w:rsid w:val="0011320B"/>
    <w:rsid w:val="00113846"/>
    <w:rsid w:val="00114159"/>
    <w:rsid w:val="00114188"/>
    <w:rsid w:val="001141BF"/>
    <w:rsid w:val="00114249"/>
    <w:rsid w:val="001145DE"/>
    <w:rsid w:val="001147BD"/>
    <w:rsid w:val="00114B2C"/>
    <w:rsid w:val="00114BEC"/>
    <w:rsid w:val="00114E39"/>
    <w:rsid w:val="00114F55"/>
    <w:rsid w:val="00115106"/>
    <w:rsid w:val="00115203"/>
    <w:rsid w:val="00115438"/>
    <w:rsid w:val="00115681"/>
    <w:rsid w:val="00115D48"/>
    <w:rsid w:val="00115E41"/>
    <w:rsid w:val="001161B0"/>
    <w:rsid w:val="001165BC"/>
    <w:rsid w:val="0011661C"/>
    <w:rsid w:val="001167E1"/>
    <w:rsid w:val="001167ED"/>
    <w:rsid w:val="00116892"/>
    <w:rsid w:val="00116924"/>
    <w:rsid w:val="00116950"/>
    <w:rsid w:val="00116E7A"/>
    <w:rsid w:val="00116F42"/>
    <w:rsid w:val="001171F1"/>
    <w:rsid w:val="00117453"/>
    <w:rsid w:val="0011749C"/>
    <w:rsid w:val="00117572"/>
    <w:rsid w:val="00117614"/>
    <w:rsid w:val="0011766E"/>
    <w:rsid w:val="001176FD"/>
    <w:rsid w:val="0011780E"/>
    <w:rsid w:val="00117C47"/>
    <w:rsid w:val="00117D5E"/>
    <w:rsid w:val="001203DE"/>
    <w:rsid w:val="001204C7"/>
    <w:rsid w:val="001205AE"/>
    <w:rsid w:val="0012083A"/>
    <w:rsid w:val="00120B10"/>
    <w:rsid w:val="00120CC6"/>
    <w:rsid w:val="00120E9A"/>
    <w:rsid w:val="00120EEC"/>
    <w:rsid w:val="00121056"/>
    <w:rsid w:val="0012108C"/>
    <w:rsid w:val="0012157B"/>
    <w:rsid w:val="001216CC"/>
    <w:rsid w:val="00121AA1"/>
    <w:rsid w:val="00121BCC"/>
    <w:rsid w:val="00121BE2"/>
    <w:rsid w:val="00121C2B"/>
    <w:rsid w:val="00121DF0"/>
    <w:rsid w:val="00121F2C"/>
    <w:rsid w:val="001220E4"/>
    <w:rsid w:val="001225BF"/>
    <w:rsid w:val="001227E1"/>
    <w:rsid w:val="0012292A"/>
    <w:rsid w:val="0012347A"/>
    <w:rsid w:val="00123716"/>
    <w:rsid w:val="0012393A"/>
    <w:rsid w:val="00123FAD"/>
    <w:rsid w:val="001240FC"/>
    <w:rsid w:val="001242AC"/>
    <w:rsid w:val="00124315"/>
    <w:rsid w:val="001243EA"/>
    <w:rsid w:val="00124A73"/>
    <w:rsid w:val="00124B6D"/>
    <w:rsid w:val="00124C5D"/>
    <w:rsid w:val="00124FF8"/>
    <w:rsid w:val="00125023"/>
    <w:rsid w:val="001255E5"/>
    <w:rsid w:val="00125766"/>
    <w:rsid w:val="00125865"/>
    <w:rsid w:val="00125988"/>
    <w:rsid w:val="00125B0F"/>
    <w:rsid w:val="00125CFA"/>
    <w:rsid w:val="00125F4F"/>
    <w:rsid w:val="00126077"/>
    <w:rsid w:val="0012620A"/>
    <w:rsid w:val="001262AD"/>
    <w:rsid w:val="00126523"/>
    <w:rsid w:val="001268D7"/>
    <w:rsid w:val="00126B4F"/>
    <w:rsid w:val="00126D47"/>
    <w:rsid w:val="00126DF8"/>
    <w:rsid w:val="001279E8"/>
    <w:rsid w:val="00127B5A"/>
    <w:rsid w:val="00127B88"/>
    <w:rsid w:val="00127CBB"/>
    <w:rsid w:val="00127D62"/>
    <w:rsid w:val="00127DAC"/>
    <w:rsid w:val="00127E7F"/>
    <w:rsid w:val="00127EBC"/>
    <w:rsid w:val="00127F8E"/>
    <w:rsid w:val="00130174"/>
    <w:rsid w:val="001302C5"/>
    <w:rsid w:val="001302EA"/>
    <w:rsid w:val="00130765"/>
    <w:rsid w:val="0013087E"/>
    <w:rsid w:val="0013094A"/>
    <w:rsid w:val="00130A59"/>
    <w:rsid w:val="00130A87"/>
    <w:rsid w:val="00130B1E"/>
    <w:rsid w:val="00130D1D"/>
    <w:rsid w:val="00130DCE"/>
    <w:rsid w:val="00130DD7"/>
    <w:rsid w:val="001311AC"/>
    <w:rsid w:val="0013128F"/>
    <w:rsid w:val="0013132A"/>
    <w:rsid w:val="001313CD"/>
    <w:rsid w:val="00131548"/>
    <w:rsid w:val="00131737"/>
    <w:rsid w:val="00131B09"/>
    <w:rsid w:val="00131D34"/>
    <w:rsid w:val="00131D38"/>
    <w:rsid w:val="00131D3C"/>
    <w:rsid w:val="00131DC3"/>
    <w:rsid w:val="00132163"/>
    <w:rsid w:val="00132380"/>
    <w:rsid w:val="00132499"/>
    <w:rsid w:val="00132B81"/>
    <w:rsid w:val="00132D07"/>
    <w:rsid w:val="001333AB"/>
    <w:rsid w:val="00133423"/>
    <w:rsid w:val="00133548"/>
    <w:rsid w:val="00133917"/>
    <w:rsid w:val="00133E54"/>
    <w:rsid w:val="00134168"/>
    <w:rsid w:val="001341C9"/>
    <w:rsid w:val="0013438B"/>
    <w:rsid w:val="0013445F"/>
    <w:rsid w:val="0013459B"/>
    <w:rsid w:val="001345CF"/>
    <w:rsid w:val="001346E3"/>
    <w:rsid w:val="00134734"/>
    <w:rsid w:val="00134A54"/>
    <w:rsid w:val="00134FCE"/>
    <w:rsid w:val="0013504A"/>
    <w:rsid w:val="0013526C"/>
    <w:rsid w:val="00135494"/>
    <w:rsid w:val="001356B5"/>
    <w:rsid w:val="0013574D"/>
    <w:rsid w:val="001359DD"/>
    <w:rsid w:val="00135E4C"/>
    <w:rsid w:val="00135EAE"/>
    <w:rsid w:val="00135EEB"/>
    <w:rsid w:val="00135F54"/>
    <w:rsid w:val="001363C0"/>
    <w:rsid w:val="001365CB"/>
    <w:rsid w:val="00136614"/>
    <w:rsid w:val="0013682A"/>
    <w:rsid w:val="00136946"/>
    <w:rsid w:val="00136C64"/>
    <w:rsid w:val="00136D39"/>
    <w:rsid w:val="00136DC0"/>
    <w:rsid w:val="0013715D"/>
    <w:rsid w:val="001372F0"/>
    <w:rsid w:val="001373F5"/>
    <w:rsid w:val="001376FB"/>
    <w:rsid w:val="0013792B"/>
    <w:rsid w:val="00137979"/>
    <w:rsid w:val="00137A44"/>
    <w:rsid w:val="00137B47"/>
    <w:rsid w:val="00140145"/>
    <w:rsid w:val="00140510"/>
    <w:rsid w:val="001405AE"/>
    <w:rsid w:val="00140680"/>
    <w:rsid w:val="001408B5"/>
    <w:rsid w:val="0014095F"/>
    <w:rsid w:val="00140B73"/>
    <w:rsid w:val="00140EC4"/>
    <w:rsid w:val="00141085"/>
    <w:rsid w:val="001410BB"/>
    <w:rsid w:val="001410D6"/>
    <w:rsid w:val="0014112F"/>
    <w:rsid w:val="00141195"/>
    <w:rsid w:val="00141464"/>
    <w:rsid w:val="001417B2"/>
    <w:rsid w:val="001418B9"/>
    <w:rsid w:val="00141B44"/>
    <w:rsid w:val="00141BEA"/>
    <w:rsid w:val="00141DA8"/>
    <w:rsid w:val="00141DD9"/>
    <w:rsid w:val="00141E20"/>
    <w:rsid w:val="0014210C"/>
    <w:rsid w:val="001421BF"/>
    <w:rsid w:val="00142701"/>
    <w:rsid w:val="0014305D"/>
    <w:rsid w:val="001430AA"/>
    <w:rsid w:val="0014316F"/>
    <w:rsid w:val="00143424"/>
    <w:rsid w:val="001435B8"/>
    <w:rsid w:val="00143631"/>
    <w:rsid w:val="00143861"/>
    <w:rsid w:val="001438CB"/>
    <w:rsid w:val="00143955"/>
    <w:rsid w:val="00143A2A"/>
    <w:rsid w:val="00143BFF"/>
    <w:rsid w:val="00143C92"/>
    <w:rsid w:val="00143CBA"/>
    <w:rsid w:val="00143F0B"/>
    <w:rsid w:val="00144152"/>
    <w:rsid w:val="00144B23"/>
    <w:rsid w:val="00144D86"/>
    <w:rsid w:val="00145574"/>
    <w:rsid w:val="001455EA"/>
    <w:rsid w:val="00145707"/>
    <w:rsid w:val="00145759"/>
    <w:rsid w:val="001458A2"/>
    <w:rsid w:val="00145918"/>
    <w:rsid w:val="00145985"/>
    <w:rsid w:val="001459B2"/>
    <w:rsid w:val="00145B44"/>
    <w:rsid w:val="00145EFB"/>
    <w:rsid w:val="00145F43"/>
    <w:rsid w:val="00145F8F"/>
    <w:rsid w:val="001463F2"/>
    <w:rsid w:val="00146787"/>
    <w:rsid w:val="00146CF4"/>
    <w:rsid w:val="00146DF1"/>
    <w:rsid w:val="001472FD"/>
    <w:rsid w:val="00147558"/>
    <w:rsid w:val="00147944"/>
    <w:rsid w:val="00147C15"/>
    <w:rsid w:val="0015006F"/>
    <w:rsid w:val="00150188"/>
    <w:rsid w:val="00150274"/>
    <w:rsid w:val="001505D0"/>
    <w:rsid w:val="00150848"/>
    <w:rsid w:val="00150AFE"/>
    <w:rsid w:val="00150B15"/>
    <w:rsid w:val="00150D0A"/>
    <w:rsid w:val="00150E35"/>
    <w:rsid w:val="00150F1B"/>
    <w:rsid w:val="00151162"/>
    <w:rsid w:val="0015156B"/>
    <w:rsid w:val="001515B4"/>
    <w:rsid w:val="00151702"/>
    <w:rsid w:val="0015170A"/>
    <w:rsid w:val="001517A2"/>
    <w:rsid w:val="001518AE"/>
    <w:rsid w:val="00151BEE"/>
    <w:rsid w:val="00151C4A"/>
    <w:rsid w:val="00151FF5"/>
    <w:rsid w:val="00152B1C"/>
    <w:rsid w:val="00152C5D"/>
    <w:rsid w:val="00152E8E"/>
    <w:rsid w:val="0015313A"/>
    <w:rsid w:val="00153294"/>
    <w:rsid w:val="001533E9"/>
    <w:rsid w:val="00153659"/>
    <w:rsid w:val="0015376B"/>
    <w:rsid w:val="0015378E"/>
    <w:rsid w:val="00153889"/>
    <w:rsid w:val="001539D4"/>
    <w:rsid w:val="00153BE3"/>
    <w:rsid w:val="00153CF1"/>
    <w:rsid w:val="00153D17"/>
    <w:rsid w:val="00153DD6"/>
    <w:rsid w:val="00154037"/>
    <w:rsid w:val="00154329"/>
    <w:rsid w:val="00154573"/>
    <w:rsid w:val="001546C3"/>
    <w:rsid w:val="00154725"/>
    <w:rsid w:val="00154796"/>
    <w:rsid w:val="00154A16"/>
    <w:rsid w:val="00154F52"/>
    <w:rsid w:val="00155106"/>
    <w:rsid w:val="00155270"/>
    <w:rsid w:val="001552D7"/>
    <w:rsid w:val="00155373"/>
    <w:rsid w:val="0015555A"/>
    <w:rsid w:val="001555E2"/>
    <w:rsid w:val="00155A7C"/>
    <w:rsid w:val="00155C5D"/>
    <w:rsid w:val="00155E23"/>
    <w:rsid w:val="00156058"/>
    <w:rsid w:val="0015611E"/>
    <w:rsid w:val="00156220"/>
    <w:rsid w:val="0015622C"/>
    <w:rsid w:val="0015625F"/>
    <w:rsid w:val="001562AC"/>
    <w:rsid w:val="0015648D"/>
    <w:rsid w:val="001564C1"/>
    <w:rsid w:val="001564F8"/>
    <w:rsid w:val="0015650B"/>
    <w:rsid w:val="0015651B"/>
    <w:rsid w:val="0015658A"/>
    <w:rsid w:val="00156706"/>
    <w:rsid w:val="00156741"/>
    <w:rsid w:val="00156747"/>
    <w:rsid w:val="001567B8"/>
    <w:rsid w:val="00156D08"/>
    <w:rsid w:val="001572C2"/>
    <w:rsid w:val="0015743A"/>
    <w:rsid w:val="001574C0"/>
    <w:rsid w:val="00157673"/>
    <w:rsid w:val="001577CF"/>
    <w:rsid w:val="00157825"/>
    <w:rsid w:val="00157F56"/>
    <w:rsid w:val="00160275"/>
    <w:rsid w:val="00160583"/>
    <w:rsid w:val="0016066A"/>
    <w:rsid w:val="001606CF"/>
    <w:rsid w:val="001606E0"/>
    <w:rsid w:val="001607DD"/>
    <w:rsid w:val="00160852"/>
    <w:rsid w:val="001609E9"/>
    <w:rsid w:val="001609FF"/>
    <w:rsid w:val="00160BA3"/>
    <w:rsid w:val="00160C6B"/>
    <w:rsid w:val="00160D92"/>
    <w:rsid w:val="00160E10"/>
    <w:rsid w:val="00160FB6"/>
    <w:rsid w:val="0016128D"/>
    <w:rsid w:val="00161321"/>
    <w:rsid w:val="001618A2"/>
    <w:rsid w:val="00161A15"/>
    <w:rsid w:val="00161A5D"/>
    <w:rsid w:val="00161B01"/>
    <w:rsid w:val="00161D71"/>
    <w:rsid w:val="00161F8E"/>
    <w:rsid w:val="00161F94"/>
    <w:rsid w:val="00161FBF"/>
    <w:rsid w:val="0016218C"/>
    <w:rsid w:val="00162333"/>
    <w:rsid w:val="0016235D"/>
    <w:rsid w:val="001626B1"/>
    <w:rsid w:val="001627E7"/>
    <w:rsid w:val="00162ADF"/>
    <w:rsid w:val="00162C65"/>
    <w:rsid w:val="00162CF7"/>
    <w:rsid w:val="001631A9"/>
    <w:rsid w:val="00163311"/>
    <w:rsid w:val="0016339C"/>
    <w:rsid w:val="00163716"/>
    <w:rsid w:val="00163783"/>
    <w:rsid w:val="00163B4A"/>
    <w:rsid w:val="00163EF0"/>
    <w:rsid w:val="00164051"/>
    <w:rsid w:val="001643D9"/>
    <w:rsid w:val="00164560"/>
    <w:rsid w:val="00164599"/>
    <w:rsid w:val="0016473A"/>
    <w:rsid w:val="0016486C"/>
    <w:rsid w:val="001649D4"/>
    <w:rsid w:val="00164A46"/>
    <w:rsid w:val="00164C08"/>
    <w:rsid w:val="00164CA5"/>
    <w:rsid w:val="00164E63"/>
    <w:rsid w:val="00164EA7"/>
    <w:rsid w:val="0016512A"/>
    <w:rsid w:val="0016524E"/>
    <w:rsid w:val="001655D1"/>
    <w:rsid w:val="00165ADD"/>
    <w:rsid w:val="00165B09"/>
    <w:rsid w:val="00165B0A"/>
    <w:rsid w:val="00165E4E"/>
    <w:rsid w:val="00166081"/>
    <w:rsid w:val="00166094"/>
    <w:rsid w:val="0016625B"/>
    <w:rsid w:val="001663AC"/>
    <w:rsid w:val="0016663E"/>
    <w:rsid w:val="001666F7"/>
    <w:rsid w:val="00166816"/>
    <w:rsid w:val="00166980"/>
    <w:rsid w:val="001669BD"/>
    <w:rsid w:val="00166B0F"/>
    <w:rsid w:val="00166DD6"/>
    <w:rsid w:val="001674B8"/>
    <w:rsid w:val="0016790D"/>
    <w:rsid w:val="00167A27"/>
    <w:rsid w:val="00167ABE"/>
    <w:rsid w:val="00167BA5"/>
    <w:rsid w:val="0017009E"/>
    <w:rsid w:val="00170550"/>
    <w:rsid w:val="0017078B"/>
    <w:rsid w:val="0017089D"/>
    <w:rsid w:val="00170AE6"/>
    <w:rsid w:val="00170B72"/>
    <w:rsid w:val="00170D44"/>
    <w:rsid w:val="001711F1"/>
    <w:rsid w:val="0017135A"/>
    <w:rsid w:val="00171719"/>
    <w:rsid w:val="00171C75"/>
    <w:rsid w:val="00171C95"/>
    <w:rsid w:val="00171CFB"/>
    <w:rsid w:val="00171D8F"/>
    <w:rsid w:val="00171DB6"/>
    <w:rsid w:val="00172139"/>
    <w:rsid w:val="001722AF"/>
    <w:rsid w:val="00172450"/>
    <w:rsid w:val="001726B5"/>
    <w:rsid w:val="00172775"/>
    <w:rsid w:val="00172826"/>
    <w:rsid w:val="0017298F"/>
    <w:rsid w:val="00172BAB"/>
    <w:rsid w:val="00172C6C"/>
    <w:rsid w:val="0017336F"/>
    <w:rsid w:val="00173374"/>
    <w:rsid w:val="0017343F"/>
    <w:rsid w:val="001736F0"/>
    <w:rsid w:val="00173B92"/>
    <w:rsid w:val="00173CE8"/>
    <w:rsid w:val="00173E30"/>
    <w:rsid w:val="001740C9"/>
    <w:rsid w:val="001741FF"/>
    <w:rsid w:val="001743EB"/>
    <w:rsid w:val="00174574"/>
    <w:rsid w:val="0017459B"/>
    <w:rsid w:val="0017478D"/>
    <w:rsid w:val="00174918"/>
    <w:rsid w:val="00174AC2"/>
    <w:rsid w:val="00174B6A"/>
    <w:rsid w:val="00174F21"/>
    <w:rsid w:val="0017531F"/>
    <w:rsid w:val="00175618"/>
    <w:rsid w:val="001758E0"/>
    <w:rsid w:val="00175BD3"/>
    <w:rsid w:val="00175D93"/>
    <w:rsid w:val="00175EBC"/>
    <w:rsid w:val="00176271"/>
    <w:rsid w:val="00176364"/>
    <w:rsid w:val="00176395"/>
    <w:rsid w:val="001764E2"/>
    <w:rsid w:val="0017664F"/>
    <w:rsid w:val="0017670B"/>
    <w:rsid w:val="0017680A"/>
    <w:rsid w:val="0017680C"/>
    <w:rsid w:val="00176998"/>
    <w:rsid w:val="00177389"/>
    <w:rsid w:val="00177401"/>
    <w:rsid w:val="00177541"/>
    <w:rsid w:val="001778ED"/>
    <w:rsid w:val="00177E26"/>
    <w:rsid w:val="00177E87"/>
    <w:rsid w:val="00180261"/>
    <w:rsid w:val="001802C9"/>
    <w:rsid w:val="001805A8"/>
    <w:rsid w:val="001806DA"/>
    <w:rsid w:val="00180AE2"/>
    <w:rsid w:val="00181001"/>
    <w:rsid w:val="001811EF"/>
    <w:rsid w:val="00181616"/>
    <w:rsid w:val="001816AD"/>
    <w:rsid w:val="00181827"/>
    <w:rsid w:val="00181BD6"/>
    <w:rsid w:val="00181CA1"/>
    <w:rsid w:val="00181E44"/>
    <w:rsid w:val="00181F44"/>
    <w:rsid w:val="00182203"/>
    <w:rsid w:val="00182757"/>
    <w:rsid w:val="00182801"/>
    <w:rsid w:val="001828E2"/>
    <w:rsid w:val="00182A7A"/>
    <w:rsid w:val="00182B95"/>
    <w:rsid w:val="00182BAE"/>
    <w:rsid w:val="00182E2A"/>
    <w:rsid w:val="00182F1D"/>
    <w:rsid w:val="0018335B"/>
    <w:rsid w:val="00183627"/>
    <w:rsid w:val="0018364E"/>
    <w:rsid w:val="001838B5"/>
    <w:rsid w:val="001839CB"/>
    <w:rsid w:val="00183ABA"/>
    <w:rsid w:val="00183BEC"/>
    <w:rsid w:val="00183C99"/>
    <w:rsid w:val="00183E75"/>
    <w:rsid w:val="00183EA2"/>
    <w:rsid w:val="00183F1B"/>
    <w:rsid w:val="001841AE"/>
    <w:rsid w:val="0018422B"/>
    <w:rsid w:val="00184348"/>
    <w:rsid w:val="00184370"/>
    <w:rsid w:val="00184958"/>
    <w:rsid w:val="00184B37"/>
    <w:rsid w:val="001853F4"/>
    <w:rsid w:val="00185656"/>
    <w:rsid w:val="0018594C"/>
    <w:rsid w:val="00185C5F"/>
    <w:rsid w:val="00185E45"/>
    <w:rsid w:val="00186226"/>
    <w:rsid w:val="001867A7"/>
    <w:rsid w:val="00186846"/>
    <w:rsid w:val="00186BF3"/>
    <w:rsid w:val="00186E3F"/>
    <w:rsid w:val="001870EE"/>
    <w:rsid w:val="0018764C"/>
    <w:rsid w:val="0018777B"/>
    <w:rsid w:val="00187B14"/>
    <w:rsid w:val="00187CCB"/>
    <w:rsid w:val="00187F66"/>
    <w:rsid w:val="00187FF1"/>
    <w:rsid w:val="0019033B"/>
    <w:rsid w:val="001903CB"/>
    <w:rsid w:val="00190798"/>
    <w:rsid w:val="00190885"/>
    <w:rsid w:val="001909FE"/>
    <w:rsid w:val="00190BC7"/>
    <w:rsid w:val="0019101A"/>
    <w:rsid w:val="0019139F"/>
    <w:rsid w:val="00191876"/>
    <w:rsid w:val="00191AA4"/>
    <w:rsid w:val="00191AE8"/>
    <w:rsid w:val="00191B2A"/>
    <w:rsid w:val="00191E61"/>
    <w:rsid w:val="00191EAD"/>
    <w:rsid w:val="00191F3C"/>
    <w:rsid w:val="00191F84"/>
    <w:rsid w:val="001920F8"/>
    <w:rsid w:val="00192228"/>
    <w:rsid w:val="001922A6"/>
    <w:rsid w:val="001923C7"/>
    <w:rsid w:val="00192984"/>
    <w:rsid w:val="00192A12"/>
    <w:rsid w:val="00192AF8"/>
    <w:rsid w:val="00192DEC"/>
    <w:rsid w:val="00192EC7"/>
    <w:rsid w:val="00192F21"/>
    <w:rsid w:val="00192F6B"/>
    <w:rsid w:val="00193202"/>
    <w:rsid w:val="00193216"/>
    <w:rsid w:val="0019329B"/>
    <w:rsid w:val="001934E8"/>
    <w:rsid w:val="001935D6"/>
    <w:rsid w:val="0019361C"/>
    <w:rsid w:val="00193988"/>
    <w:rsid w:val="001939FA"/>
    <w:rsid w:val="00193C67"/>
    <w:rsid w:val="00193F3F"/>
    <w:rsid w:val="0019408D"/>
    <w:rsid w:val="001940CA"/>
    <w:rsid w:val="001944E5"/>
    <w:rsid w:val="00194551"/>
    <w:rsid w:val="00194A45"/>
    <w:rsid w:val="00194AF9"/>
    <w:rsid w:val="00194C80"/>
    <w:rsid w:val="00194D9B"/>
    <w:rsid w:val="00194EE8"/>
    <w:rsid w:val="00195363"/>
    <w:rsid w:val="0019571D"/>
    <w:rsid w:val="0019599D"/>
    <w:rsid w:val="00195BFB"/>
    <w:rsid w:val="00195C8E"/>
    <w:rsid w:val="001963BB"/>
    <w:rsid w:val="001963C7"/>
    <w:rsid w:val="00196507"/>
    <w:rsid w:val="0019688C"/>
    <w:rsid w:val="00196A31"/>
    <w:rsid w:val="00197048"/>
    <w:rsid w:val="00197273"/>
    <w:rsid w:val="001972D2"/>
    <w:rsid w:val="00197564"/>
    <w:rsid w:val="001979D7"/>
    <w:rsid w:val="001A021D"/>
    <w:rsid w:val="001A024B"/>
    <w:rsid w:val="001A0444"/>
    <w:rsid w:val="001A05AE"/>
    <w:rsid w:val="001A0650"/>
    <w:rsid w:val="001A0773"/>
    <w:rsid w:val="001A0872"/>
    <w:rsid w:val="001A101A"/>
    <w:rsid w:val="001A10C0"/>
    <w:rsid w:val="001A1113"/>
    <w:rsid w:val="001A113B"/>
    <w:rsid w:val="001A12AE"/>
    <w:rsid w:val="001A14B7"/>
    <w:rsid w:val="001A14CC"/>
    <w:rsid w:val="001A14F3"/>
    <w:rsid w:val="001A18A3"/>
    <w:rsid w:val="001A1C71"/>
    <w:rsid w:val="001A1D7B"/>
    <w:rsid w:val="001A1F17"/>
    <w:rsid w:val="001A2398"/>
    <w:rsid w:val="001A2454"/>
    <w:rsid w:val="001A2474"/>
    <w:rsid w:val="001A24C4"/>
    <w:rsid w:val="001A2746"/>
    <w:rsid w:val="001A274F"/>
    <w:rsid w:val="001A2996"/>
    <w:rsid w:val="001A2A30"/>
    <w:rsid w:val="001A2B5B"/>
    <w:rsid w:val="001A2CDF"/>
    <w:rsid w:val="001A2D41"/>
    <w:rsid w:val="001A2E47"/>
    <w:rsid w:val="001A30C0"/>
    <w:rsid w:val="001A331B"/>
    <w:rsid w:val="001A3350"/>
    <w:rsid w:val="001A36B9"/>
    <w:rsid w:val="001A3933"/>
    <w:rsid w:val="001A3A47"/>
    <w:rsid w:val="001A3BE6"/>
    <w:rsid w:val="001A3CD2"/>
    <w:rsid w:val="001A3ECD"/>
    <w:rsid w:val="001A3F30"/>
    <w:rsid w:val="001A457A"/>
    <w:rsid w:val="001A45C3"/>
    <w:rsid w:val="001A498E"/>
    <w:rsid w:val="001A4A49"/>
    <w:rsid w:val="001A4C13"/>
    <w:rsid w:val="001A4F14"/>
    <w:rsid w:val="001A5024"/>
    <w:rsid w:val="001A50AF"/>
    <w:rsid w:val="001A51DB"/>
    <w:rsid w:val="001A528B"/>
    <w:rsid w:val="001A5307"/>
    <w:rsid w:val="001A5D15"/>
    <w:rsid w:val="001A5D4C"/>
    <w:rsid w:val="001A5E90"/>
    <w:rsid w:val="001A63E3"/>
    <w:rsid w:val="001A64AD"/>
    <w:rsid w:val="001A6621"/>
    <w:rsid w:val="001A6765"/>
    <w:rsid w:val="001A6788"/>
    <w:rsid w:val="001A6F8B"/>
    <w:rsid w:val="001A6FDC"/>
    <w:rsid w:val="001A72EF"/>
    <w:rsid w:val="001A748E"/>
    <w:rsid w:val="001A74B4"/>
    <w:rsid w:val="001A7809"/>
    <w:rsid w:val="001A79D4"/>
    <w:rsid w:val="001A7B34"/>
    <w:rsid w:val="001A7B7E"/>
    <w:rsid w:val="001A7C7C"/>
    <w:rsid w:val="001A7D43"/>
    <w:rsid w:val="001A7D50"/>
    <w:rsid w:val="001A7EDC"/>
    <w:rsid w:val="001B0252"/>
    <w:rsid w:val="001B038F"/>
    <w:rsid w:val="001B0482"/>
    <w:rsid w:val="001B07A6"/>
    <w:rsid w:val="001B08E2"/>
    <w:rsid w:val="001B0913"/>
    <w:rsid w:val="001B0ACA"/>
    <w:rsid w:val="001B0AD3"/>
    <w:rsid w:val="001B0EB4"/>
    <w:rsid w:val="001B119E"/>
    <w:rsid w:val="001B12CD"/>
    <w:rsid w:val="001B1B81"/>
    <w:rsid w:val="001B1EF4"/>
    <w:rsid w:val="001B20C0"/>
    <w:rsid w:val="001B22DA"/>
    <w:rsid w:val="001B2571"/>
    <w:rsid w:val="001B2675"/>
    <w:rsid w:val="001B30B1"/>
    <w:rsid w:val="001B30BD"/>
    <w:rsid w:val="001B30E3"/>
    <w:rsid w:val="001B3526"/>
    <w:rsid w:val="001B3817"/>
    <w:rsid w:val="001B389D"/>
    <w:rsid w:val="001B38EC"/>
    <w:rsid w:val="001B3CF5"/>
    <w:rsid w:val="001B4476"/>
    <w:rsid w:val="001B4A00"/>
    <w:rsid w:val="001B4A29"/>
    <w:rsid w:val="001B4D78"/>
    <w:rsid w:val="001B4F66"/>
    <w:rsid w:val="001B4FE2"/>
    <w:rsid w:val="001B5055"/>
    <w:rsid w:val="001B5082"/>
    <w:rsid w:val="001B52CC"/>
    <w:rsid w:val="001B5384"/>
    <w:rsid w:val="001B55BC"/>
    <w:rsid w:val="001B55CE"/>
    <w:rsid w:val="001B5651"/>
    <w:rsid w:val="001B57FE"/>
    <w:rsid w:val="001B5A6C"/>
    <w:rsid w:val="001B5CD8"/>
    <w:rsid w:val="001B624F"/>
    <w:rsid w:val="001B63EA"/>
    <w:rsid w:val="001B6597"/>
    <w:rsid w:val="001B6852"/>
    <w:rsid w:val="001B696A"/>
    <w:rsid w:val="001B7077"/>
    <w:rsid w:val="001B7096"/>
    <w:rsid w:val="001B72CB"/>
    <w:rsid w:val="001B733F"/>
    <w:rsid w:val="001B75C1"/>
    <w:rsid w:val="001B7603"/>
    <w:rsid w:val="001B7631"/>
    <w:rsid w:val="001B79A9"/>
    <w:rsid w:val="001B7B58"/>
    <w:rsid w:val="001B7BA1"/>
    <w:rsid w:val="001B7BCD"/>
    <w:rsid w:val="001B7BCE"/>
    <w:rsid w:val="001B7BD6"/>
    <w:rsid w:val="001B7C2D"/>
    <w:rsid w:val="001B7DEC"/>
    <w:rsid w:val="001C02FA"/>
    <w:rsid w:val="001C0303"/>
    <w:rsid w:val="001C033E"/>
    <w:rsid w:val="001C04FD"/>
    <w:rsid w:val="001C052E"/>
    <w:rsid w:val="001C0669"/>
    <w:rsid w:val="001C0829"/>
    <w:rsid w:val="001C0953"/>
    <w:rsid w:val="001C0A1C"/>
    <w:rsid w:val="001C0A5D"/>
    <w:rsid w:val="001C0BF8"/>
    <w:rsid w:val="001C0DCB"/>
    <w:rsid w:val="001C0ED7"/>
    <w:rsid w:val="001C0F97"/>
    <w:rsid w:val="001C1200"/>
    <w:rsid w:val="001C1228"/>
    <w:rsid w:val="001C148B"/>
    <w:rsid w:val="001C171E"/>
    <w:rsid w:val="001C18E3"/>
    <w:rsid w:val="001C1929"/>
    <w:rsid w:val="001C1AFC"/>
    <w:rsid w:val="001C1B8B"/>
    <w:rsid w:val="001C1D17"/>
    <w:rsid w:val="001C1D9A"/>
    <w:rsid w:val="001C287E"/>
    <w:rsid w:val="001C28AF"/>
    <w:rsid w:val="001C29FB"/>
    <w:rsid w:val="001C2B49"/>
    <w:rsid w:val="001C2E40"/>
    <w:rsid w:val="001C2F2C"/>
    <w:rsid w:val="001C2F32"/>
    <w:rsid w:val="001C3074"/>
    <w:rsid w:val="001C3503"/>
    <w:rsid w:val="001C358D"/>
    <w:rsid w:val="001C36B3"/>
    <w:rsid w:val="001C36C9"/>
    <w:rsid w:val="001C3983"/>
    <w:rsid w:val="001C39D9"/>
    <w:rsid w:val="001C3A54"/>
    <w:rsid w:val="001C3B2F"/>
    <w:rsid w:val="001C3B82"/>
    <w:rsid w:val="001C3BB7"/>
    <w:rsid w:val="001C3C79"/>
    <w:rsid w:val="001C3CD9"/>
    <w:rsid w:val="001C3DAF"/>
    <w:rsid w:val="001C3F10"/>
    <w:rsid w:val="001C3F41"/>
    <w:rsid w:val="001C3F50"/>
    <w:rsid w:val="001C40A0"/>
    <w:rsid w:val="001C419C"/>
    <w:rsid w:val="001C435B"/>
    <w:rsid w:val="001C4608"/>
    <w:rsid w:val="001C4A38"/>
    <w:rsid w:val="001C4C55"/>
    <w:rsid w:val="001C4CF8"/>
    <w:rsid w:val="001C4D0F"/>
    <w:rsid w:val="001C4E45"/>
    <w:rsid w:val="001C4FAB"/>
    <w:rsid w:val="001C4FF2"/>
    <w:rsid w:val="001C5050"/>
    <w:rsid w:val="001C5553"/>
    <w:rsid w:val="001C5D8E"/>
    <w:rsid w:val="001C5F7B"/>
    <w:rsid w:val="001C6047"/>
    <w:rsid w:val="001C616D"/>
    <w:rsid w:val="001C63CD"/>
    <w:rsid w:val="001C6498"/>
    <w:rsid w:val="001C676A"/>
    <w:rsid w:val="001C6887"/>
    <w:rsid w:val="001C6AAC"/>
    <w:rsid w:val="001C6C27"/>
    <w:rsid w:val="001C7269"/>
    <w:rsid w:val="001C737B"/>
    <w:rsid w:val="001C73F4"/>
    <w:rsid w:val="001C74CA"/>
    <w:rsid w:val="001C7A37"/>
    <w:rsid w:val="001C7B8B"/>
    <w:rsid w:val="001C7BB2"/>
    <w:rsid w:val="001C7C9F"/>
    <w:rsid w:val="001D0291"/>
    <w:rsid w:val="001D038B"/>
    <w:rsid w:val="001D05B7"/>
    <w:rsid w:val="001D0776"/>
    <w:rsid w:val="001D0A4B"/>
    <w:rsid w:val="001D105F"/>
    <w:rsid w:val="001D1231"/>
    <w:rsid w:val="001D128F"/>
    <w:rsid w:val="001D12BE"/>
    <w:rsid w:val="001D1A11"/>
    <w:rsid w:val="001D1BFC"/>
    <w:rsid w:val="001D2000"/>
    <w:rsid w:val="001D213F"/>
    <w:rsid w:val="001D258A"/>
    <w:rsid w:val="001D26E3"/>
    <w:rsid w:val="001D284E"/>
    <w:rsid w:val="001D293C"/>
    <w:rsid w:val="001D29C2"/>
    <w:rsid w:val="001D2AF3"/>
    <w:rsid w:val="001D2B38"/>
    <w:rsid w:val="001D2B88"/>
    <w:rsid w:val="001D2BC0"/>
    <w:rsid w:val="001D2C08"/>
    <w:rsid w:val="001D3083"/>
    <w:rsid w:val="001D30E9"/>
    <w:rsid w:val="001D315F"/>
    <w:rsid w:val="001D31EC"/>
    <w:rsid w:val="001D336F"/>
    <w:rsid w:val="001D356D"/>
    <w:rsid w:val="001D38BE"/>
    <w:rsid w:val="001D3A99"/>
    <w:rsid w:val="001D4029"/>
    <w:rsid w:val="001D40B0"/>
    <w:rsid w:val="001D415E"/>
    <w:rsid w:val="001D44D6"/>
    <w:rsid w:val="001D4654"/>
    <w:rsid w:val="001D46CE"/>
    <w:rsid w:val="001D4832"/>
    <w:rsid w:val="001D4897"/>
    <w:rsid w:val="001D4A1D"/>
    <w:rsid w:val="001D4A48"/>
    <w:rsid w:val="001D4BF6"/>
    <w:rsid w:val="001D4C12"/>
    <w:rsid w:val="001D4CC9"/>
    <w:rsid w:val="001D5023"/>
    <w:rsid w:val="001D579D"/>
    <w:rsid w:val="001D5A79"/>
    <w:rsid w:val="001D5B8D"/>
    <w:rsid w:val="001D5CCF"/>
    <w:rsid w:val="001D6150"/>
    <w:rsid w:val="001D61D0"/>
    <w:rsid w:val="001D658C"/>
    <w:rsid w:val="001D66C9"/>
    <w:rsid w:val="001D681E"/>
    <w:rsid w:val="001D687D"/>
    <w:rsid w:val="001D69CB"/>
    <w:rsid w:val="001D69D0"/>
    <w:rsid w:val="001D6BA4"/>
    <w:rsid w:val="001D6C08"/>
    <w:rsid w:val="001D6D09"/>
    <w:rsid w:val="001D6D44"/>
    <w:rsid w:val="001D7354"/>
    <w:rsid w:val="001D7453"/>
    <w:rsid w:val="001D7545"/>
    <w:rsid w:val="001D75F4"/>
    <w:rsid w:val="001D78CA"/>
    <w:rsid w:val="001D78D1"/>
    <w:rsid w:val="001D79A9"/>
    <w:rsid w:val="001D7BBA"/>
    <w:rsid w:val="001D7FC3"/>
    <w:rsid w:val="001E00B0"/>
    <w:rsid w:val="001E02B2"/>
    <w:rsid w:val="001E0359"/>
    <w:rsid w:val="001E0471"/>
    <w:rsid w:val="001E0570"/>
    <w:rsid w:val="001E0737"/>
    <w:rsid w:val="001E0805"/>
    <w:rsid w:val="001E0847"/>
    <w:rsid w:val="001E08D7"/>
    <w:rsid w:val="001E0A62"/>
    <w:rsid w:val="001E0B41"/>
    <w:rsid w:val="001E0B75"/>
    <w:rsid w:val="001E1099"/>
    <w:rsid w:val="001E10A7"/>
    <w:rsid w:val="001E118D"/>
    <w:rsid w:val="001E1258"/>
    <w:rsid w:val="001E1414"/>
    <w:rsid w:val="001E16EC"/>
    <w:rsid w:val="001E1889"/>
    <w:rsid w:val="001E19CA"/>
    <w:rsid w:val="001E1AE5"/>
    <w:rsid w:val="001E1D1C"/>
    <w:rsid w:val="001E1DE1"/>
    <w:rsid w:val="001E1DF7"/>
    <w:rsid w:val="001E1EE6"/>
    <w:rsid w:val="001E21DC"/>
    <w:rsid w:val="001E258B"/>
    <w:rsid w:val="001E259A"/>
    <w:rsid w:val="001E25EB"/>
    <w:rsid w:val="001E2B7B"/>
    <w:rsid w:val="001E3531"/>
    <w:rsid w:val="001E36DA"/>
    <w:rsid w:val="001E399B"/>
    <w:rsid w:val="001E3CA6"/>
    <w:rsid w:val="001E3DA8"/>
    <w:rsid w:val="001E3F8C"/>
    <w:rsid w:val="001E40DE"/>
    <w:rsid w:val="001E41CA"/>
    <w:rsid w:val="001E41E6"/>
    <w:rsid w:val="001E41EA"/>
    <w:rsid w:val="001E43FC"/>
    <w:rsid w:val="001E469F"/>
    <w:rsid w:val="001E4C63"/>
    <w:rsid w:val="001E51F3"/>
    <w:rsid w:val="001E5621"/>
    <w:rsid w:val="001E56D5"/>
    <w:rsid w:val="001E588A"/>
    <w:rsid w:val="001E58B5"/>
    <w:rsid w:val="001E5E0B"/>
    <w:rsid w:val="001E5E66"/>
    <w:rsid w:val="001E5FC1"/>
    <w:rsid w:val="001E60EB"/>
    <w:rsid w:val="001E62AE"/>
    <w:rsid w:val="001E65C6"/>
    <w:rsid w:val="001E662F"/>
    <w:rsid w:val="001E66E1"/>
    <w:rsid w:val="001E684C"/>
    <w:rsid w:val="001E6A27"/>
    <w:rsid w:val="001E70D8"/>
    <w:rsid w:val="001E72F4"/>
    <w:rsid w:val="001E7326"/>
    <w:rsid w:val="001E74F7"/>
    <w:rsid w:val="001E7C5D"/>
    <w:rsid w:val="001E7CDD"/>
    <w:rsid w:val="001E7D14"/>
    <w:rsid w:val="001E7F0C"/>
    <w:rsid w:val="001F00AA"/>
    <w:rsid w:val="001F01B7"/>
    <w:rsid w:val="001F061D"/>
    <w:rsid w:val="001F076C"/>
    <w:rsid w:val="001F07B2"/>
    <w:rsid w:val="001F0A52"/>
    <w:rsid w:val="001F0BC8"/>
    <w:rsid w:val="001F0BD1"/>
    <w:rsid w:val="001F111F"/>
    <w:rsid w:val="001F11A1"/>
    <w:rsid w:val="001F174F"/>
    <w:rsid w:val="001F1AD0"/>
    <w:rsid w:val="001F1B27"/>
    <w:rsid w:val="001F1D2C"/>
    <w:rsid w:val="001F1DC0"/>
    <w:rsid w:val="001F1DE8"/>
    <w:rsid w:val="001F233F"/>
    <w:rsid w:val="001F239B"/>
    <w:rsid w:val="001F253C"/>
    <w:rsid w:val="001F264A"/>
    <w:rsid w:val="001F2702"/>
    <w:rsid w:val="001F2C82"/>
    <w:rsid w:val="001F2EAA"/>
    <w:rsid w:val="001F2F67"/>
    <w:rsid w:val="001F340B"/>
    <w:rsid w:val="001F36A0"/>
    <w:rsid w:val="001F3773"/>
    <w:rsid w:val="001F3909"/>
    <w:rsid w:val="001F3C0E"/>
    <w:rsid w:val="001F3CFA"/>
    <w:rsid w:val="001F3DBB"/>
    <w:rsid w:val="001F44D5"/>
    <w:rsid w:val="001F4539"/>
    <w:rsid w:val="001F4622"/>
    <w:rsid w:val="001F4AF4"/>
    <w:rsid w:val="001F4B07"/>
    <w:rsid w:val="001F4E79"/>
    <w:rsid w:val="001F5041"/>
    <w:rsid w:val="001F530B"/>
    <w:rsid w:val="001F53F6"/>
    <w:rsid w:val="001F54B0"/>
    <w:rsid w:val="001F54E3"/>
    <w:rsid w:val="001F554B"/>
    <w:rsid w:val="001F55AD"/>
    <w:rsid w:val="001F5836"/>
    <w:rsid w:val="001F5A77"/>
    <w:rsid w:val="001F5B8C"/>
    <w:rsid w:val="001F6076"/>
    <w:rsid w:val="001F686E"/>
    <w:rsid w:val="001F6D06"/>
    <w:rsid w:val="001F6E92"/>
    <w:rsid w:val="001F6ED4"/>
    <w:rsid w:val="001F7329"/>
    <w:rsid w:val="001F73C1"/>
    <w:rsid w:val="001F73EB"/>
    <w:rsid w:val="001F7BB0"/>
    <w:rsid w:val="001F7C36"/>
    <w:rsid w:val="001F7C4B"/>
    <w:rsid w:val="001F7D93"/>
    <w:rsid w:val="001F7E14"/>
    <w:rsid w:val="002000B3"/>
    <w:rsid w:val="002007F1"/>
    <w:rsid w:val="00200D52"/>
    <w:rsid w:val="00200E03"/>
    <w:rsid w:val="00200E2A"/>
    <w:rsid w:val="00201120"/>
    <w:rsid w:val="00201275"/>
    <w:rsid w:val="002012AC"/>
    <w:rsid w:val="0020136F"/>
    <w:rsid w:val="0020184E"/>
    <w:rsid w:val="00201AE9"/>
    <w:rsid w:val="00201B0A"/>
    <w:rsid w:val="00201C8E"/>
    <w:rsid w:val="00201F1F"/>
    <w:rsid w:val="002022EC"/>
    <w:rsid w:val="002025DC"/>
    <w:rsid w:val="00202642"/>
    <w:rsid w:val="002027E2"/>
    <w:rsid w:val="002028DF"/>
    <w:rsid w:val="00202FE0"/>
    <w:rsid w:val="0020305F"/>
    <w:rsid w:val="0020335A"/>
    <w:rsid w:val="002037CD"/>
    <w:rsid w:val="00203C89"/>
    <w:rsid w:val="00203EAF"/>
    <w:rsid w:val="002040B0"/>
    <w:rsid w:val="0020433E"/>
    <w:rsid w:val="00204B20"/>
    <w:rsid w:val="00204D24"/>
    <w:rsid w:val="00205043"/>
    <w:rsid w:val="002051A8"/>
    <w:rsid w:val="00205ABD"/>
    <w:rsid w:val="00205B3A"/>
    <w:rsid w:val="00205B95"/>
    <w:rsid w:val="00205C06"/>
    <w:rsid w:val="00205E3F"/>
    <w:rsid w:val="002060FB"/>
    <w:rsid w:val="00206775"/>
    <w:rsid w:val="00206965"/>
    <w:rsid w:val="00206C88"/>
    <w:rsid w:val="00206E59"/>
    <w:rsid w:val="00206FB1"/>
    <w:rsid w:val="0020752C"/>
    <w:rsid w:val="00207906"/>
    <w:rsid w:val="00207E22"/>
    <w:rsid w:val="00207F8A"/>
    <w:rsid w:val="00210093"/>
    <w:rsid w:val="00210216"/>
    <w:rsid w:val="0021046B"/>
    <w:rsid w:val="002104BE"/>
    <w:rsid w:val="002105DF"/>
    <w:rsid w:val="00210ADA"/>
    <w:rsid w:val="00210BB1"/>
    <w:rsid w:val="00210C27"/>
    <w:rsid w:val="00210D20"/>
    <w:rsid w:val="00210F5B"/>
    <w:rsid w:val="002110BE"/>
    <w:rsid w:val="002111D2"/>
    <w:rsid w:val="0021125C"/>
    <w:rsid w:val="00211491"/>
    <w:rsid w:val="00211964"/>
    <w:rsid w:val="002119A2"/>
    <w:rsid w:val="00211EC1"/>
    <w:rsid w:val="00211EDD"/>
    <w:rsid w:val="00211F24"/>
    <w:rsid w:val="00211F53"/>
    <w:rsid w:val="00212151"/>
    <w:rsid w:val="0021247D"/>
    <w:rsid w:val="0021258B"/>
    <w:rsid w:val="0021298F"/>
    <w:rsid w:val="00212B33"/>
    <w:rsid w:val="00212FAA"/>
    <w:rsid w:val="00213046"/>
    <w:rsid w:val="002130E5"/>
    <w:rsid w:val="00213224"/>
    <w:rsid w:val="00213513"/>
    <w:rsid w:val="00213749"/>
    <w:rsid w:val="00213762"/>
    <w:rsid w:val="0021396C"/>
    <w:rsid w:val="00213995"/>
    <w:rsid w:val="002139AC"/>
    <w:rsid w:val="00214786"/>
    <w:rsid w:val="0021483C"/>
    <w:rsid w:val="00214961"/>
    <w:rsid w:val="00214D38"/>
    <w:rsid w:val="00214FE0"/>
    <w:rsid w:val="00215237"/>
    <w:rsid w:val="0021529F"/>
    <w:rsid w:val="00215414"/>
    <w:rsid w:val="002158C4"/>
    <w:rsid w:val="00215CCB"/>
    <w:rsid w:val="00215E33"/>
    <w:rsid w:val="00215FAA"/>
    <w:rsid w:val="00216191"/>
    <w:rsid w:val="002164F3"/>
    <w:rsid w:val="00216930"/>
    <w:rsid w:val="002169F5"/>
    <w:rsid w:val="00216BC2"/>
    <w:rsid w:val="00216D42"/>
    <w:rsid w:val="00216E20"/>
    <w:rsid w:val="0021720B"/>
    <w:rsid w:val="00217463"/>
    <w:rsid w:val="00217483"/>
    <w:rsid w:val="00217B78"/>
    <w:rsid w:val="00220063"/>
    <w:rsid w:val="0022027D"/>
    <w:rsid w:val="002202A1"/>
    <w:rsid w:val="002202AE"/>
    <w:rsid w:val="0022038B"/>
    <w:rsid w:val="0022083D"/>
    <w:rsid w:val="00220952"/>
    <w:rsid w:val="00220C94"/>
    <w:rsid w:val="00220CC7"/>
    <w:rsid w:val="00220E04"/>
    <w:rsid w:val="00220E46"/>
    <w:rsid w:val="00220F28"/>
    <w:rsid w:val="00220FA5"/>
    <w:rsid w:val="0022127B"/>
    <w:rsid w:val="0022143A"/>
    <w:rsid w:val="002215FB"/>
    <w:rsid w:val="00221B93"/>
    <w:rsid w:val="00221B9C"/>
    <w:rsid w:val="00221C06"/>
    <w:rsid w:val="00221C5A"/>
    <w:rsid w:val="00221C88"/>
    <w:rsid w:val="00221D7D"/>
    <w:rsid w:val="00221DC0"/>
    <w:rsid w:val="00221EC0"/>
    <w:rsid w:val="00221F12"/>
    <w:rsid w:val="00221F5B"/>
    <w:rsid w:val="00222033"/>
    <w:rsid w:val="002220BD"/>
    <w:rsid w:val="00222224"/>
    <w:rsid w:val="002224C1"/>
    <w:rsid w:val="00222895"/>
    <w:rsid w:val="00222967"/>
    <w:rsid w:val="002229DF"/>
    <w:rsid w:val="00222A60"/>
    <w:rsid w:val="00222A6C"/>
    <w:rsid w:val="00222B37"/>
    <w:rsid w:val="00222FE9"/>
    <w:rsid w:val="00223001"/>
    <w:rsid w:val="0022300A"/>
    <w:rsid w:val="00223061"/>
    <w:rsid w:val="002230EE"/>
    <w:rsid w:val="0022383A"/>
    <w:rsid w:val="002238E6"/>
    <w:rsid w:val="00223C2D"/>
    <w:rsid w:val="00223D6B"/>
    <w:rsid w:val="00223DB0"/>
    <w:rsid w:val="00223E22"/>
    <w:rsid w:val="0022449F"/>
    <w:rsid w:val="002244A4"/>
    <w:rsid w:val="002244DD"/>
    <w:rsid w:val="00224774"/>
    <w:rsid w:val="00224BD3"/>
    <w:rsid w:val="00224CDA"/>
    <w:rsid w:val="00224F7B"/>
    <w:rsid w:val="00224FB0"/>
    <w:rsid w:val="00224FCE"/>
    <w:rsid w:val="002250E6"/>
    <w:rsid w:val="002258BE"/>
    <w:rsid w:val="002258E9"/>
    <w:rsid w:val="00225A88"/>
    <w:rsid w:val="00225BD4"/>
    <w:rsid w:val="00225DB0"/>
    <w:rsid w:val="002260A0"/>
    <w:rsid w:val="002261F3"/>
    <w:rsid w:val="002263AE"/>
    <w:rsid w:val="002264FF"/>
    <w:rsid w:val="00226732"/>
    <w:rsid w:val="002269B5"/>
    <w:rsid w:val="00226AAE"/>
    <w:rsid w:val="00226EE0"/>
    <w:rsid w:val="002273A7"/>
    <w:rsid w:val="00227850"/>
    <w:rsid w:val="00227B47"/>
    <w:rsid w:val="00227D24"/>
    <w:rsid w:val="00227E2A"/>
    <w:rsid w:val="0023003A"/>
    <w:rsid w:val="002305A5"/>
    <w:rsid w:val="002305B3"/>
    <w:rsid w:val="00230637"/>
    <w:rsid w:val="00231049"/>
    <w:rsid w:val="002310CD"/>
    <w:rsid w:val="002311B4"/>
    <w:rsid w:val="002314D2"/>
    <w:rsid w:val="002315DE"/>
    <w:rsid w:val="00231CE0"/>
    <w:rsid w:val="0023210A"/>
    <w:rsid w:val="002323D1"/>
    <w:rsid w:val="00232734"/>
    <w:rsid w:val="00232C8B"/>
    <w:rsid w:val="00232C8C"/>
    <w:rsid w:val="00232CA7"/>
    <w:rsid w:val="00232FA4"/>
    <w:rsid w:val="0023305C"/>
    <w:rsid w:val="00233065"/>
    <w:rsid w:val="002330BA"/>
    <w:rsid w:val="0023320F"/>
    <w:rsid w:val="0023326D"/>
    <w:rsid w:val="002333B0"/>
    <w:rsid w:val="00233447"/>
    <w:rsid w:val="00233A2D"/>
    <w:rsid w:val="00233B2C"/>
    <w:rsid w:val="00233C2A"/>
    <w:rsid w:val="00233C30"/>
    <w:rsid w:val="0023424F"/>
    <w:rsid w:val="002343B2"/>
    <w:rsid w:val="002343B6"/>
    <w:rsid w:val="002344FE"/>
    <w:rsid w:val="002345C1"/>
    <w:rsid w:val="002345C6"/>
    <w:rsid w:val="002346F1"/>
    <w:rsid w:val="002348A3"/>
    <w:rsid w:val="00234BF2"/>
    <w:rsid w:val="00234C78"/>
    <w:rsid w:val="00234F97"/>
    <w:rsid w:val="00235302"/>
    <w:rsid w:val="002355E5"/>
    <w:rsid w:val="002356C4"/>
    <w:rsid w:val="00235A0C"/>
    <w:rsid w:val="00235A7B"/>
    <w:rsid w:val="002362E8"/>
    <w:rsid w:val="0023633A"/>
    <w:rsid w:val="002363E9"/>
    <w:rsid w:val="00236576"/>
    <w:rsid w:val="00236BC8"/>
    <w:rsid w:val="00236D9E"/>
    <w:rsid w:val="00236DD5"/>
    <w:rsid w:val="00236F17"/>
    <w:rsid w:val="00236F7C"/>
    <w:rsid w:val="00236FB7"/>
    <w:rsid w:val="002370BF"/>
    <w:rsid w:val="002372E9"/>
    <w:rsid w:val="00237306"/>
    <w:rsid w:val="002375D5"/>
    <w:rsid w:val="00237BE9"/>
    <w:rsid w:val="00237D65"/>
    <w:rsid w:val="00237F99"/>
    <w:rsid w:val="002400E4"/>
    <w:rsid w:val="0024048B"/>
    <w:rsid w:val="002405AA"/>
    <w:rsid w:val="00240F67"/>
    <w:rsid w:val="002416F0"/>
    <w:rsid w:val="00241881"/>
    <w:rsid w:val="00241966"/>
    <w:rsid w:val="00241A9F"/>
    <w:rsid w:val="00242035"/>
    <w:rsid w:val="00242450"/>
    <w:rsid w:val="002424E5"/>
    <w:rsid w:val="002425D1"/>
    <w:rsid w:val="0024294C"/>
    <w:rsid w:val="00242D54"/>
    <w:rsid w:val="00242EBE"/>
    <w:rsid w:val="00242FCF"/>
    <w:rsid w:val="00243027"/>
    <w:rsid w:val="00243036"/>
    <w:rsid w:val="002430B7"/>
    <w:rsid w:val="00243168"/>
    <w:rsid w:val="00243428"/>
    <w:rsid w:val="00243451"/>
    <w:rsid w:val="00243760"/>
    <w:rsid w:val="00243764"/>
    <w:rsid w:val="00243A3C"/>
    <w:rsid w:val="00243E3C"/>
    <w:rsid w:val="00243FF4"/>
    <w:rsid w:val="0024414C"/>
    <w:rsid w:val="00244197"/>
    <w:rsid w:val="002441FF"/>
    <w:rsid w:val="002443E1"/>
    <w:rsid w:val="00244561"/>
    <w:rsid w:val="002447D1"/>
    <w:rsid w:val="002448EB"/>
    <w:rsid w:val="002449A0"/>
    <w:rsid w:val="002449CF"/>
    <w:rsid w:val="00244F90"/>
    <w:rsid w:val="00245569"/>
    <w:rsid w:val="00245791"/>
    <w:rsid w:val="002457C6"/>
    <w:rsid w:val="00245B10"/>
    <w:rsid w:val="00245F18"/>
    <w:rsid w:val="00245FE4"/>
    <w:rsid w:val="002461AF"/>
    <w:rsid w:val="002461BA"/>
    <w:rsid w:val="002465DC"/>
    <w:rsid w:val="0024662E"/>
    <w:rsid w:val="002468CF"/>
    <w:rsid w:val="002469D4"/>
    <w:rsid w:val="00246A5A"/>
    <w:rsid w:val="00246C44"/>
    <w:rsid w:val="00246D73"/>
    <w:rsid w:val="00246FC6"/>
    <w:rsid w:val="0024707D"/>
    <w:rsid w:val="00247643"/>
    <w:rsid w:val="0024773B"/>
    <w:rsid w:val="002477BF"/>
    <w:rsid w:val="00247864"/>
    <w:rsid w:val="00247B02"/>
    <w:rsid w:val="00247FE2"/>
    <w:rsid w:val="0025000E"/>
    <w:rsid w:val="00250176"/>
    <w:rsid w:val="0025017D"/>
    <w:rsid w:val="002502DE"/>
    <w:rsid w:val="002505E7"/>
    <w:rsid w:val="002507F0"/>
    <w:rsid w:val="0025084D"/>
    <w:rsid w:val="00250D5C"/>
    <w:rsid w:val="002510B1"/>
    <w:rsid w:val="002510F7"/>
    <w:rsid w:val="0025141B"/>
    <w:rsid w:val="00251762"/>
    <w:rsid w:val="002519F0"/>
    <w:rsid w:val="002519F9"/>
    <w:rsid w:val="00251C0F"/>
    <w:rsid w:val="0025215F"/>
    <w:rsid w:val="002522DA"/>
    <w:rsid w:val="002524CC"/>
    <w:rsid w:val="0025256A"/>
    <w:rsid w:val="002526DC"/>
    <w:rsid w:val="00252847"/>
    <w:rsid w:val="0025299A"/>
    <w:rsid w:val="002529F8"/>
    <w:rsid w:val="00252BF5"/>
    <w:rsid w:val="00252D78"/>
    <w:rsid w:val="0025321F"/>
    <w:rsid w:val="002533EB"/>
    <w:rsid w:val="002535C6"/>
    <w:rsid w:val="00253610"/>
    <w:rsid w:val="0025371F"/>
    <w:rsid w:val="00253B0C"/>
    <w:rsid w:val="00253BA0"/>
    <w:rsid w:val="00253C7D"/>
    <w:rsid w:val="00253F76"/>
    <w:rsid w:val="00254175"/>
    <w:rsid w:val="0025419D"/>
    <w:rsid w:val="002542F9"/>
    <w:rsid w:val="002543D8"/>
    <w:rsid w:val="00254566"/>
    <w:rsid w:val="0025489E"/>
    <w:rsid w:val="00254A15"/>
    <w:rsid w:val="00254B0E"/>
    <w:rsid w:val="00254BA4"/>
    <w:rsid w:val="00254FC8"/>
    <w:rsid w:val="0025559F"/>
    <w:rsid w:val="00255AE4"/>
    <w:rsid w:val="00255BB1"/>
    <w:rsid w:val="00255C0F"/>
    <w:rsid w:val="00255CFF"/>
    <w:rsid w:val="00255D10"/>
    <w:rsid w:val="00256082"/>
    <w:rsid w:val="002560E3"/>
    <w:rsid w:val="0025630F"/>
    <w:rsid w:val="0025648D"/>
    <w:rsid w:val="002564FC"/>
    <w:rsid w:val="0025652F"/>
    <w:rsid w:val="00256664"/>
    <w:rsid w:val="00256864"/>
    <w:rsid w:val="00256A38"/>
    <w:rsid w:val="00256CF2"/>
    <w:rsid w:val="002570F6"/>
    <w:rsid w:val="00257305"/>
    <w:rsid w:val="002573F3"/>
    <w:rsid w:val="0025744B"/>
    <w:rsid w:val="00257902"/>
    <w:rsid w:val="00257ABC"/>
    <w:rsid w:val="00257E8F"/>
    <w:rsid w:val="002600FB"/>
    <w:rsid w:val="002601A5"/>
    <w:rsid w:val="00260286"/>
    <w:rsid w:val="002603DD"/>
    <w:rsid w:val="002603E3"/>
    <w:rsid w:val="00260AD0"/>
    <w:rsid w:val="00260CDB"/>
    <w:rsid w:val="00260D46"/>
    <w:rsid w:val="00260D60"/>
    <w:rsid w:val="00260E16"/>
    <w:rsid w:val="00260F1B"/>
    <w:rsid w:val="00261010"/>
    <w:rsid w:val="00261045"/>
    <w:rsid w:val="002611C3"/>
    <w:rsid w:val="00261268"/>
    <w:rsid w:val="002614B1"/>
    <w:rsid w:val="00261588"/>
    <w:rsid w:val="002616DC"/>
    <w:rsid w:val="002617BD"/>
    <w:rsid w:val="00261957"/>
    <w:rsid w:val="00261AC6"/>
    <w:rsid w:val="00261B6D"/>
    <w:rsid w:val="00261BCD"/>
    <w:rsid w:val="00261CD9"/>
    <w:rsid w:val="00261DB8"/>
    <w:rsid w:val="00261EDE"/>
    <w:rsid w:val="00262479"/>
    <w:rsid w:val="00262495"/>
    <w:rsid w:val="0026275B"/>
    <w:rsid w:val="002627E4"/>
    <w:rsid w:val="00262C08"/>
    <w:rsid w:val="00262C94"/>
    <w:rsid w:val="00263464"/>
    <w:rsid w:val="00263591"/>
    <w:rsid w:val="00263965"/>
    <w:rsid w:val="00263A8D"/>
    <w:rsid w:val="00263B6C"/>
    <w:rsid w:val="00263F6B"/>
    <w:rsid w:val="00264008"/>
    <w:rsid w:val="00264041"/>
    <w:rsid w:val="00264491"/>
    <w:rsid w:val="00264561"/>
    <w:rsid w:val="00264901"/>
    <w:rsid w:val="002649FC"/>
    <w:rsid w:val="00264A8C"/>
    <w:rsid w:val="00264C56"/>
    <w:rsid w:val="00264C9A"/>
    <w:rsid w:val="00264E48"/>
    <w:rsid w:val="00264E53"/>
    <w:rsid w:val="00264FEC"/>
    <w:rsid w:val="00265186"/>
    <w:rsid w:val="0026527F"/>
    <w:rsid w:val="00265956"/>
    <w:rsid w:val="00265B50"/>
    <w:rsid w:val="00265C68"/>
    <w:rsid w:val="00265CB2"/>
    <w:rsid w:val="00265D20"/>
    <w:rsid w:val="0026662D"/>
    <w:rsid w:val="002666E0"/>
    <w:rsid w:val="002666EA"/>
    <w:rsid w:val="00266780"/>
    <w:rsid w:val="00266842"/>
    <w:rsid w:val="00266A4A"/>
    <w:rsid w:val="00266AF3"/>
    <w:rsid w:val="00266D40"/>
    <w:rsid w:val="00266D62"/>
    <w:rsid w:val="0026721B"/>
    <w:rsid w:val="002672E4"/>
    <w:rsid w:val="00267322"/>
    <w:rsid w:val="0026761E"/>
    <w:rsid w:val="00267CCD"/>
    <w:rsid w:val="00267E8C"/>
    <w:rsid w:val="00267FE6"/>
    <w:rsid w:val="0027007E"/>
    <w:rsid w:val="0027018D"/>
    <w:rsid w:val="0027040E"/>
    <w:rsid w:val="00270478"/>
    <w:rsid w:val="00270C3F"/>
    <w:rsid w:val="00270CED"/>
    <w:rsid w:val="00270D25"/>
    <w:rsid w:val="00271C5D"/>
    <w:rsid w:val="00271E84"/>
    <w:rsid w:val="00272158"/>
    <w:rsid w:val="002721C1"/>
    <w:rsid w:val="0027241D"/>
    <w:rsid w:val="002724D1"/>
    <w:rsid w:val="00272813"/>
    <w:rsid w:val="00272939"/>
    <w:rsid w:val="0027297E"/>
    <w:rsid w:val="00272F84"/>
    <w:rsid w:val="00273251"/>
    <w:rsid w:val="00273398"/>
    <w:rsid w:val="00273617"/>
    <w:rsid w:val="00273632"/>
    <w:rsid w:val="002737CD"/>
    <w:rsid w:val="00273B34"/>
    <w:rsid w:val="00273D13"/>
    <w:rsid w:val="00273D8F"/>
    <w:rsid w:val="00273F72"/>
    <w:rsid w:val="00274080"/>
    <w:rsid w:val="00274170"/>
    <w:rsid w:val="002742BE"/>
    <w:rsid w:val="0027459D"/>
    <w:rsid w:val="002745DC"/>
    <w:rsid w:val="0027481E"/>
    <w:rsid w:val="00274D02"/>
    <w:rsid w:val="00274E13"/>
    <w:rsid w:val="00274E4D"/>
    <w:rsid w:val="00275090"/>
    <w:rsid w:val="002750B2"/>
    <w:rsid w:val="00275375"/>
    <w:rsid w:val="0027590B"/>
    <w:rsid w:val="00275C77"/>
    <w:rsid w:val="00276179"/>
    <w:rsid w:val="0027647C"/>
    <w:rsid w:val="002765F3"/>
    <w:rsid w:val="00276780"/>
    <w:rsid w:val="0027747E"/>
    <w:rsid w:val="00277687"/>
    <w:rsid w:val="0027772B"/>
    <w:rsid w:val="00277F16"/>
    <w:rsid w:val="00280665"/>
    <w:rsid w:val="00280667"/>
    <w:rsid w:val="002806CA"/>
    <w:rsid w:val="00280AA0"/>
    <w:rsid w:val="00280B8E"/>
    <w:rsid w:val="00280D15"/>
    <w:rsid w:val="00280DC3"/>
    <w:rsid w:val="0028129E"/>
    <w:rsid w:val="00281581"/>
    <w:rsid w:val="00281679"/>
    <w:rsid w:val="00281713"/>
    <w:rsid w:val="0028180E"/>
    <w:rsid w:val="00281ED5"/>
    <w:rsid w:val="002822E2"/>
    <w:rsid w:val="00282427"/>
    <w:rsid w:val="0028251E"/>
    <w:rsid w:val="002827F7"/>
    <w:rsid w:val="0028293C"/>
    <w:rsid w:val="0028295C"/>
    <w:rsid w:val="00282FE9"/>
    <w:rsid w:val="00283068"/>
    <w:rsid w:val="00283072"/>
    <w:rsid w:val="002831AE"/>
    <w:rsid w:val="002834B7"/>
    <w:rsid w:val="002835FC"/>
    <w:rsid w:val="002839C4"/>
    <w:rsid w:val="00283B56"/>
    <w:rsid w:val="00283C60"/>
    <w:rsid w:val="00283D16"/>
    <w:rsid w:val="00283E20"/>
    <w:rsid w:val="00283E8D"/>
    <w:rsid w:val="0028423B"/>
    <w:rsid w:val="002843DC"/>
    <w:rsid w:val="00284402"/>
    <w:rsid w:val="002849A1"/>
    <w:rsid w:val="00284A15"/>
    <w:rsid w:val="00284A8F"/>
    <w:rsid w:val="002850E5"/>
    <w:rsid w:val="002852B8"/>
    <w:rsid w:val="002855AA"/>
    <w:rsid w:val="002857B5"/>
    <w:rsid w:val="002858B1"/>
    <w:rsid w:val="00285969"/>
    <w:rsid w:val="002859F5"/>
    <w:rsid w:val="00285B9F"/>
    <w:rsid w:val="00285D11"/>
    <w:rsid w:val="00285E89"/>
    <w:rsid w:val="00285EA9"/>
    <w:rsid w:val="00285EF1"/>
    <w:rsid w:val="00285F9A"/>
    <w:rsid w:val="00286443"/>
    <w:rsid w:val="0028668F"/>
    <w:rsid w:val="002866BA"/>
    <w:rsid w:val="00286763"/>
    <w:rsid w:val="00286798"/>
    <w:rsid w:val="0028688F"/>
    <w:rsid w:val="0028696F"/>
    <w:rsid w:val="00286A01"/>
    <w:rsid w:val="00286B5C"/>
    <w:rsid w:val="0028721B"/>
    <w:rsid w:val="00287292"/>
    <w:rsid w:val="002872ED"/>
    <w:rsid w:val="002874BD"/>
    <w:rsid w:val="00287807"/>
    <w:rsid w:val="0028791E"/>
    <w:rsid w:val="00287A72"/>
    <w:rsid w:val="00287C5D"/>
    <w:rsid w:val="00287FBD"/>
    <w:rsid w:val="00290749"/>
    <w:rsid w:val="00290D63"/>
    <w:rsid w:val="00290E34"/>
    <w:rsid w:val="00290F38"/>
    <w:rsid w:val="00291416"/>
    <w:rsid w:val="00291608"/>
    <w:rsid w:val="002917FE"/>
    <w:rsid w:val="0029188B"/>
    <w:rsid w:val="002918F5"/>
    <w:rsid w:val="00291908"/>
    <w:rsid w:val="00291942"/>
    <w:rsid w:val="00291B16"/>
    <w:rsid w:val="00291B53"/>
    <w:rsid w:val="00291CDC"/>
    <w:rsid w:val="002920AE"/>
    <w:rsid w:val="002922F7"/>
    <w:rsid w:val="0029234E"/>
    <w:rsid w:val="00292377"/>
    <w:rsid w:val="00292437"/>
    <w:rsid w:val="00292580"/>
    <w:rsid w:val="00292618"/>
    <w:rsid w:val="00292871"/>
    <w:rsid w:val="002928D7"/>
    <w:rsid w:val="00292E1D"/>
    <w:rsid w:val="002931B7"/>
    <w:rsid w:val="00293246"/>
    <w:rsid w:val="002935ED"/>
    <w:rsid w:val="0029394A"/>
    <w:rsid w:val="0029398F"/>
    <w:rsid w:val="002939AD"/>
    <w:rsid w:val="00293B34"/>
    <w:rsid w:val="00293D19"/>
    <w:rsid w:val="00293EE4"/>
    <w:rsid w:val="002940D4"/>
    <w:rsid w:val="002941C5"/>
    <w:rsid w:val="00294284"/>
    <w:rsid w:val="00294512"/>
    <w:rsid w:val="00294681"/>
    <w:rsid w:val="002949AD"/>
    <w:rsid w:val="00294BF7"/>
    <w:rsid w:val="00294F50"/>
    <w:rsid w:val="0029526D"/>
    <w:rsid w:val="002952D0"/>
    <w:rsid w:val="00295447"/>
    <w:rsid w:val="002954E5"/>
    <w:rsid w:val="00295550"/>
    <w:rsid w:val="0029558E"/>
    <w:rsid w:val="002956A0"/>
    <w:rsid w:val="002957E8"/>
    <w:rsid w:val="00295B30"/>
    <w:rsid w:val="00295B4F"/>
    <w:rsid w:val="00295C2B"/>
    <w:rsid w:val="00295FBB"/>
    <w:rsid w:val="002965FA"/>
    <w:rsid w:val="0029683B"/>
    <w:rsid w:val="00296AD4"/>
    <w:rsid w:val="00296B7F"/>
    <w:rsid w:val="002975D1"/>
    <w:rsid w:val="00297993"/>
    <w:rsid w:val="00297A70"/>
    <w:rsid w:val="00297D4C"/>
    <w:rsid w:val="00297E95"/>
    <w:rsid w:val="002A01EB"/>
    <w:rsid w:val="002A037A"/>
    <w:rsid w:val="002A0917"/>
    <w:rsid w:val="002A0926"/>
    <w:rsid w:val="002A0AEB"/>
    <w:rsid w:val="002A0D93"/>
    <w:rsid w:val="002A1010"/>
    <w:rsid w:val="002A10D5"/>
    <w:rsid w:val="002A168B"/>
    <w:rsid w:val="002A16DD"/>
    <w:rsid w:val="002A1A20"/>
    <w:rsid w:val="002A2035"/>
    <w:rsid w:val="002A2568"/>
    <w:rsid w:val="002A2671"/>
    <w:rsid w:val="002A2741"/>
    <w:rsid w:val="002A2A24"/>
    <w:rsid w:val="002A2A8C"/>
    <w:rsid w:val="002A2BCC"/>
    <w:rsid w:val="002A2CB2"/>
    <w:rsid w:val="002A2FA5"/>
    <w:rsid w:val="002A31F4"/>
    <w:rsid w:val="002A323A"/>
    <w:rsid w:val="002A335D"/>
    <w:rsid w:val="002A3512"/>
    <w:rsid w:val="002A39F1"/>
    <w:rsid w:val="002A3AD4"/>
    <w:rsid w:val="002A3AE5"/>
    <w:rsid w:val="002A3D11"/>
    <w:rsid w:val="002A3E80"/>
    <w:rsid w:val="002A405A"/>
    <w:rsid w:val="002A415E"/>
    <w:rsid w:val="002A4433"/>
    <w:rsid w:val="002A4601"/>
    <w:rsid w:val="002A4B75"/>
    <w:rsid w:val="002A4F3A"/>
    <w:rsid w:val="002A504F"/>
    <w:rsid w:val="002A53F6"/>
    <w:rsid w:val="002A56F0"/>
    <w:rsid w:val="002A5888"/>
    <w:rsid w:val="002A63DA"/>
    <w:rsid w:val="002A6526"/>
    <w:rsid w:val="002A65A9"/>
    <w:rsid w:val="002A65F1"/>
    <w:rsid w:val="002A6BAB"/>
    <w:rsid w:val="002A733D"/>
    <w:rsid w:val="002A73C1"/>
    <w:rsid w:val="002A73D0"/>
    <w:rsid w:val="002A74EF"/>
    <w:rsid w:val="002A7A31"/>
    <w:rsid w:val="002A7B52"/>
    <w:rsid w:val="002A7CBC"/>
    <w:rsid w:val="002A7FD2"/>
    <w:rsid w:val="002B020E"/>
    <w:rsid w:val="002B06FB"/>
    <w:rsid w:val="002B071A"/>
    <w:rsid w:val="002B077B"/>
    <w:rsid w:val="002B07D1"/>
    <w:rsid w:val="002B0BE4"/>
    <w:rsid w:val="002B0D44"/>
    <w:rsid w:val="002B0E54"/>
    <w:rsid w:val="002B0F50"/>
    <w:rsid w:val="002B0FBD"/>
    <w:rsid w:val="002B10B4"/>
    <w:rsid w:val="002B1325"/>
    <w:rsid w:val="002B1383"/>
    <w:rsid w:val="002B1518"/>
    <w:rsid w:val="002B1828"/>
    <w:rsid w:val="002B18D2"/>
    <w:rsid w:val="002B1C65"/>
    <w:rsid w:val="002B1DD2"/>
    <w:rsid w:val="002B1E98"/>
    <w:rsid w:val="002B1EDC"/>
    <w:rsid w:val="002B1EE3"/>
    <w:rsid w:val="002B1F34"/>
    <w:rsid w:val="002B224E"/>
    <w:rsid w:val="002B26D0"/>
    <w:rsid w:val="002B286A"/>
    <w:rsid w:val="002B2960"/>
    <w:rsid w:val="002B2B7A"/>
    <w:rsid w:val="002B2CAC"/>
    <w:rsid w:val="002B2D0B"/>
    <w:rsid w:val="002B3028"/>
    <w:rsid w:val="002B3132"/>
    <w:rsid w:val="002B32F6"/>
    <w:rsid w:val="002B33B8"/>
    <w:rsid w:val="002B34BB"/>
    <w:rsid w:val="002B34EA"/>
    <w:rsid w:val="002B366F"/>
    <w:rsid w:val="002B3829"/>
    <w:rsid w:val="002B3856"/>
    <w:rsid w:val="002B38F0"/>
    <w:rsid w:val="002B39E5"/>
    <w:rsid w:val="002B3AC8"/>
    <w:rsid w:val="002B3F17"/>
    <w:rsid w:val="002B402C"/>
    <w:rsid w:val="002B40F0"/>
    <w:rsid w:val="002B449C"/>
    <w:rsid w:val="002B467C"/>
    <w:rsid w:val="002B46AF"/>
    <w:rsid w:val="002B480D"/>
    <w:rsid w:val="002B5062"/>
    <w:rsid w:val="002B50E6"/>
    <w:rsid w:val="002B51D3"/>
    <w:rsid w:val="002B520B"/>
    <w:rsid w:val="002B52F9"/>
    <w:rsid w:val="002B5406"/>
    <w:rsid w:val="002B553E"/>
    <w:rsid w:val="002B5625"/>
    <w:rsid w:val="002B56A1"/>
    <w:rsid w:val="002B5767"/>
    <w:rsid w:val="002B585B"/>
    <w:rsid w:val="002B5E09"/>
    <w:rsid w:val="002B602A"/>
    <w:rsid w:val="002B630C"/>
    <w:rsid w:val="002B6373"/>
    <w:rsid w:val="002B63AA"/>
    <w:rsid w:val="002B6439"/>
    <w:rsid w:val="002B649F"/>
    <w:rsid w:val="002B6739"/>
    <w:rsid w:val="002B6DB5"/>
    <w:rsid w:val="002B6DCB"/>
    <w:rsid w:val="002B7194"/>
    <w:rsid w:val="002B72AD"/>
    <w:rsid w:val="002B791A"/>
    <w:rsid w:val="002B79B4"/>
    <w:rsid w:val="002B7CB6"/>
    <w:rsid w:val="002C0084"/>
    <w:rsid w:val="002C02AE"/>
    <w:rsid w:val="002C03FA"/>
    <w:rsid w:val="002C0508"/>
    <w:rsid w:val="002C073D"/>
    <w:rsid w:val="002C07D9"/>
    <w:rsid w:val="002C081E"/>
    <w:rsid w:val="002C08F8"/>
    <w:rsid w:val="002C0AC8"/>
    <w:rsid w:val="002C0C8C"/>
    <w:rsid w:val="002C13F7"/>
    <w:rsid w:val="002C14C8"/>
    <w:rsid w:val="002C1626"/>
    <w:rsid w:val="002C18CE"/>
    <w:rsid w:val="002C1E40"/>
    <w:rsid w:val="002C22EF"/>
    <w:rsid w:val="002C23D1"/>
    <w:rsid w:val="002C24C2"/>
    <w:rsid w:val="002C269B"/>
    <w:rsid w:val="002C29C3"/>
    <w:rsid w:val="002C2A27"/>
    <w:rsid w:val="002C2DBF"/>
    <w:rsid w:val="002C37E4"/>
    <w:rsid w:val="002C3971"/>
    <w:rsid w:val="002C40A2"/>
    <w:rsid w:val="002C42C3"/>
    <w:rsid w:val="002C42FD"/>
    <w:rsid w:val="002C43FD"/>
    <w:rsid w:val="002C45D5"/>
    <w:rsid w:val="002C497C"/>
    <w:rsid w:val="002C4B7F"/>
    <w:rsid w:val="002C4C3B"/>
    <w:rsid w:val="002C4E3E"/>
    <w:rsid w:val="002C52DF"/>
    <w:rsid w:val="002C55F5"/>
    <w:rsid w:val="002C5632"/>
    <w:rsid w:val="002C56B9"/>
    <w:rsid w:val="002C5732"/>
    <w:rsid w:val="002C5C1B"/>
    <w:rsid w:val="002C5F99"/>
    <w:rsid w:val="002C6287"/>
    <w:rsid w:val="002C6435"/>
    <w:rsid w:val="002C6549"/>
    <w:rsid w:val="002C66FE"/>
    <w:rsid w:val="002C6B62"/>
    <w:rsid w:val="002C6C8F"/>
    <w:rsid w:val="002C6FA9"/>
    <w:rsid w:val="002C7191"/>
    <w:rsid w:val="002C7195"/>
    <w:rsid w:val="002C71FF"/>
    <w:rsid w:val="002C75DA"/>
    <w:rsid w:val="002D00C2"/>
    <w:rsid w:val="002D04FF"/>
    <w:rsid w:val="002D0515"/>
    <w:rsid w:val="002D0626"/>
    <w:rsid w:val="002D0A51"/>
    <w:rsid w:val="002D0AE9"/>
    <w:rsid w:val="002D139E"/>
    <w:rsid w:val="002D1AD0"/>
    <w:rsid w:val="002D1CB5"/>
    <w:rsid w:val="002D2067"/>
    <w:rsid w:val="002D22AB"/>
    <w:rsid w:val="002D2428"/>
    <w:rsid w:val="002D2656"/>
    <w:rsid w:val="002D2722"/>
    <w:rsid w:val="002D2723"/>
    <w:rsid w:val="002D27FD"/>
    <w:rsid w:val="002D297B"/>
    <w:rsid w:val="002D2B27"/>
    <w:rsid w:val="002D2BE8"/>
    <w:rsid w:val="002D32E4"/>
    <w:rsid w:val="002D3531"/>
    <w:rsid w:val="002D35E0"/>
    <w:rsid w:val="002D3656"/>
    <w:rsid w:val="002D39DA"/>
    <w:rsid w:val="002D3B0B"/>
    <w:rsid w:val="002D3E0D"/>
    <w:rsid w:val="002D456F"/>
    <w:rsid w:val="002D4696"/>
    <w:rsid w:val="002D47BC"/>
    <w:rsid w:val="002D4934"/>
    <w:rsid w:val="002D4A55"/>
    <w:rsid w:val="002D4EB5"/>
    <w:rsid w:val="002D52A3"/>
    <w:rsid w:val="002D569B"/>
    <w:rsid w:val="002D5766"/>
    <w:rsid w:val="002D580E"/>
    <w:rsid w:val="002D5DCA"/>
    <w:rsid w:val="002D5E6A"/>
    <w:rsid w:val="002D5F59"/>
    <w:rsid w:val="002D6044"/>
    <w:rsid w:val="002D614C"/>
    <w:rsid w:val="002D6222"/>
    <w:rsid w:val="002D6603"/>
    <w:rsid w:val="002D6639"/>
    <w:rsid w:val="002D67A0"/>
    <w:rsid w:val="002D6B65"/>
    <w:rsid w:val="002D6BF6"/>
    <w:rsid w:val="002D6C38"/>
    <w:rsid w:val="002D6F16"/>
    <w:rsid w:val="002D70D1"/>
    <w:rsid w:val="002D7268"/>
    <w:rsid w:val="002D7906"/>
    <w:rsid w:val="002D7B07"/>
    <w:rsid w:val="002D7B41"/>
    <w:rsid w:val="002D7B92"/>
    <w:rsid w:val="002E00CC"/>
    <w:rsid w:val="002E024C"/>
    <w:rsid w:val="002E0449"/>
    <w:rsid w:val="002E05E1"/>
    <w:rsid w:val="002E0DCF"/>
    <w:rsid w:val="002E0ECC"/>
    <w:rsid w:val="002E107B"/>
    <w:rsid w:val="002E135E"/>
    <w:rsid w:val="002E14BE"/>
    <w:rsid w:val="002E198E"/>
    <w:rsid w:val="002E1FB6"/>
    <w:rsid w:val="002E212C"/>
    <w:rsid w:val="002E2555"/>
    <w:rsid w:val="002E27C4"/>
    <w:rsid w:val="002E2DF3"/>
    <w:rsid w:val="002E2FF2"/>
    <w:rsid w:val="002E318D"/>
    <w:rsid w:val="002E3301"/>
    <w:rsid w:val="002E3417"/>
    <w:rsid w:val="002E3464"/>
    <w:rsid w:val="002E36FC"/>
    <w:rsid w:val="002E376C"/>
    <w:rsid w:val="002E3807"/>
    <w:rsid w:val="002E3B2F"/>
    <w:rsid w:val="002E3DEB"/>
    <w:rsid w:val="002E454C"/>
    <w:rsid w:val="002E45E2"/>
    <w:rsid w:val="002E46F2"/>
    <w:rsid w:val="002E486B"/>
    <w:rsid w:val="002E4B40"/>
    <w:rsid w:val="002E4DEF"/>
    <w:rsid w:val="002E4DFE"/>
    <w:rsid w:val="002E5004"/>
    <w:rsid w:val="002E5030"/>
    <w:rsid w:val="002E55F3"/>
    <w:rsid w:val="002E5860"/>
    <w:rsid w:val="002E588E"/>
    <w:rsid w:val="002E5E01"/>
    <w:rsid w:val="002E603A"/>
    <w:rsid w:val="002E6115"/>
    <w:rsid w:val="002E616E"/>
    <w:rsid w:val="002E6455"/>
    <w:rsid w:val="002E699B"/>
    <w:rsid w:val="002E6B71"/>
    <w:rsid w:val="002E6CA0"/>
    <w:rsid w:val="002E6D27"/>
    <w:rsid w:val="002E6E9B"/>
    <w:rsid w:val="002E6EEF"/>
    <w:rsid w:val="002E7001"/>
    <w:rsid w:val="002E7044"/>
    <w:rsid w:val="002E73BB"/>
    <w:rsid w:val="002E73E6"/>
    <w:rsid w:val="002E73FE"/>
    <w:rsid w:val="002E7680"/>
    <w:rsid w:val="002E76FF"/>
    <w:rsid w:val="002E78C8"/>
    <w:rsid w:val="002E79A8"/>
    <w:rsid w:val="002E7D05"/>
    <w:rsid w:val="002E7FCC"/>
    <w:rsid w:val="002F018A"/>
    <w:rsid w:val="002F02C9"/>
    <w:rsid w:val="002F05AA"/>
    <w:rsid w:val="002F0656"/>
    <w:rsid w:val="002F08AE"/>
    <w:rsid w:val="002F0A35"/>
    <w:rsid w:val="002F0A52"/>
    <w:rsid w:val="002F0A5F"/>
    <w:rsid w:val="002F0BA6"/>
    <w:rsid w:val="002F0CA5"/>
    <w:rsid w:val="002F0ED6"/>
    <w:rsid w:val="002F0F2B"/>
    <w:rsid w:val="002F0FB9"/>
    <w:rsid w:val="002F108F"/>
    <w:rsid w:val="002F1168"/>
    <w:rsid w:val="002F1280"/>
    <w:rsid w:val="002F130E"/>
    <w:rsid w:val="002F133C"/>
    <w:rsid w:val="002F1453"/>
    <w:rsid w:val="002F18B0"/>
    <w:rsid w:val="002F1B2C"/>
    <w:rsid w:val="002F1CCC"/>
    <w:rsid w:val="002F1FF9"/>
    <w:rsid w:val="002F23A8"/>
    <w:rsid w:val="002F24F7"/>
    <w:rsid w:val="002F2574"/>
    <w:rsid w:val="002F2697"/>
    <w:rsid w:val="002F2844"/>
    <w:rsid w:val="002F2CDD"/>
    <w:rsid w:val="002F2F89"/>
    <w:rsid w:val="002F3233"/>
    <w:rsid w:val="002F339F"/>
    <w:rsid w:val="002F3477"/>
    <w:rsid w:val="002F3658"/>
    <w:rsid w:val="002F389D"/>
    <w:rsid w:val="002F3AD5"/>
    <w:rsid w:val="002F3BB4"/>
    <w:rsid w:val="002F3C9B"/>
    <w:rsid w:val="002F4000"/>
    <w:rsid w:val="002F4043"/>
    <w:rsid w:val="002F420E"/>
    <w:rsid w:val="002F43DD"/>
    <w:rsid w:val="002F44BC"/>
    <w:rsid w:val="002F4866"/>
    <w:rsid w:val="002F48B8"/>
    <w:rsid w:val="002F4D68"/>
    <w:rsid w:val="002F4DBF"/>
    <w:rsid w:val="002F5172"/>
    <w:rsid w:val="002F5214"/>
    <w:rsid w:val="002F5347"/>
    <w:rsid w:val="002F54B1"/>
    <w:rsid w:val="002F55F5"/>
    <w:rsid w:val="002F56AC"/>
    <w:rsid w:val="002F5E30"/>
    <w:rsid w:val="002F5EA2"/>
    <w:rsid w:val="002F60FF"/>
    <w:rsid w:val="002F617F"/>
    <w:rsid w:val="002F61F1"/>
    <w:rsid w:val="002F6600"/>
    <w:rsid w:val="002F6B45"/>
    <w:rsid w:val="002F6C7A"/>
    <w:rsid w:val="002F6F00"/>
    <w:rsid w:val="002F720D"/>
    <w:rsid w:val="002F789B"/>
    <w:rsid w:val="002F795B"/>
    <w:rsid w:val="002F7A0A"/>
    <w:rsid w:val="002F7A8A"/>
    <w:rsid w:val="002F7C04"/>
    <w:rsid w:val="002F7E0F"/>
    <w:rsid w:val="002F7F4C"/>
    <w:rsid w:val="002F7F91"/>
    <w:rsid w:val="00300109"/>
    <w:rsid w:val="00300113"/>
    <w:rsid w:val="003001EF"/>
    <w:rsid w:val="003001F5"/>
    <w:rsid w:val="003003AF"/>
    <w:rsid w:val="00300627"/>
    <w:rsid w:val="003007E9"/>
    <w:rsid w:val="0030095E"/>
    <w:rsid w:val="00300B81"/>
    <w:rsid w:val="00300CA4"/>
    <w:rsid w:val="00300EA6"/>
    <w:rsid w:val="00300F33"/>
    <w:rsid w:val="00301136"/>
    <w:rsid w:val="00301190"/>
    <w:rsid w:val="003015DD"/>
    <w:rsid w:val="00301696"/>
    <w:rsid w:val="00301755"/>
    <w:rsid w:val="00301759"/>
    <w:rsid w:val="00301B5A"/>
    <w:rsid w:val="00301DA9"/>
    <w:rsid w:val="0030206E"/>
    <w:rsid w:val="00302211"/>
    <w:rsid w:val="003023B0"/>
    <w:rsid w:val="0030263C"/>
    <w:rsid w:val="00302695"/>
    <w:rsid w:val="0030273B"/>
    <w:rsid w:val="00302B5A"/>
    <w:rsid w:val="00302D60"/>
    <w:rsid w:val="00302DFF"/>
    <w:rsid w:val="00303292"/>
    <w:rsid w:val="003033A1"/>
    <w:rsid w:val="00303525"/>
    <w:rsid w:val="0030441A"/>
    <w:rsid w:val="003044C4"/>
    <w:rsid w:val="003046DC"/>
    <w:rsid w:val="0030478B"/>
    <w:rsid w:val="003049F5"/>
    <w:rsid w:val="00304A81"/>
    <w:rsid w:val="00304A9D"/>
    <w:rsid w:val="00304C6D"/>
    <w:rsid w:val="00304DC3"/>
    <w:rsid w:val="003050D6"/>
    <w:rsid w:val="003054D6"/>
    <w:rsid w:val="003054E4"/>
    <w:rsid w:val="0030557E"/>
    <w:rsid w:val="00305A94"/>
    <w:rsid w:val="00305B5E"/>
    <w:rsid w:val="00305C9F"/>
    <w:rsid w:val="00305FA5"/>
    <w:rsid w:val="0030602F"/>
    <w:rsid w:val="00306274"/>
    <w:rsid w:val="0030665E"/>
    <w:rsid w:val="00306894"/>
    <w:rsid w:val="00306C0F"/>
    <w:rsid w:val="00306CAE"/>
    <w:rsid w:val="00306F28"/>
    <w:rsid w:val="00306FB2"/>
    <w:rsid w:val="00307280"/>
    <w:rsid w:val="00307371"/>
    <w:rsid w:val="00307431"/>
    <w:rsid w:val="003074E3"/>
    <w:rsid w:val="00307607"/>
    <w:rsid w:val="003076D9"/>
    <w:rsid w:val="0030774C"/>
    <w:rsid w:val="00310096"/>
    <w:rsid w:val="00310131"/>
    <w:rsid w:val="003102F3"/>
    <w:rsid w:val="003103EE"/>
    <w:rsid w:val="003105BC"/>
    <w:rsid w:val="003109B9"/>
    <w:rsid w:val="003109F2"/>
    <w:rsid w:val="00310A03"/>
    <w:rsid w:val="00310F17"/>
    <w:rsid w:val="00310FD5"/>
    <w:rsid w:val="00311596"/>
    <w:rsid w:val="00311774"/>
    <w:rsid w:val="0031188D"/>
    <w:rsid w:val="00311B6A"/>
    <w:rsid w:val="00311CEB"/>
    <w:rsid w:val="003120ED"/>
    <w:rsid w:val="0031212F"/>
    <w:rsid w:val="003122F4"/>
    <w:rsid w:val="00312572"/>
    <w:rsid w:val="00312B55"/>
    <w:rsid w:val="0031337E"/>
    <w:rsid w:val="003135AD"/>
    <w:rsid w:val="0031368C"/>
    <w:rsid w:val="0031374A"/>
    <w:rsid w:val="00313FC7"/>
    <w:rsid w:val="00314062"/>
    <w:rsid w:val="003145D9"/>
    <w:rsid w:val="003146C9"/>
    <w:rsid w:val="0031473C"/>
    <w:rsid w:val="00314A7C"/>
    <w:rsid w:val="00314C85"/>
    <w:rsid w:val="00314CD5"/>
    <w:rsid w:val="00314F24"/>
    <w:rsid w:val="00314F60"/>
    <w:rsid w:val="00314FF9"/>
    <w:rsid w:val="003150D4"/>
    <w:rsid w:val="00315191"/>
    <w:rsid w:val="00315283"/>
    <w:rsid w:val="00315622"/>
    <w:rsid w:val="003156C1"/>
    <w:rsid w:val="003157BB"/>
    <w:rsid w:val="0031586F"/>
    <w:rsid w:val="003159B8"/>
    <w:rsid w:val="00315AD2"/>
    <w:rsid w:val="00315DF8"/>
    <w:rsid w:val="00315E0F"/>
    <w:rsid w:val="00315E62"/>
    <w:rsid w:val="00315EB7"/>
    <w:rsid w:val="003163CF"/>
    <w:rsid w:val="00316709"/>
    <w:rsid w:val="00316B25"/>
    <w:rsid w:val="00316BBD"/>
    <w:rsid w:val="00316E2A"/>
    <w:rsid w:val="0031712B"/>
    <w:rsid w:val="0031720A"/>
    <w:rsid w:val="00317788"/>
    <w:rsid w:val="00317937"/>
    <w:rsid w:val="003179F4"/>
    <w:rsid w:val="00317E9E"/>
    <w:rsid w:val="0032024D"/>
    <w:rsid w:val="003202AB"/>
    <w:rsid w:val="003202CF"/>
    <w:rsid w:val="0032078D"/>
    <w:rsid w:val="003208FE"/>
    <w:rsid w:val="00320ADF"/>
    <w:rsid w:val="00320AF4"/>
    <w:rsid w:val="00320E76"/>
    <w:rsid w:val="00320F18"/>
    <w:rsid w:val="00320F5B"/>
    <w:rsid w:val="00321268"/>
    <w:rsid w:val="003215D2"/>
    <w:rsid w:val="003217CD"/>
    <w:rsid w:val="00321833"/>
    <w:rsid w:val="00321C8B"/>
    <w:rsid w:val="00321E5C"/>
    <w:rsid w:val="00321FA8"/>
    <w:rsid w:val="003220A6"/>
    <w:rsid w:val="00322204"/>
    <w:rsid w:val="003225FA"/>
    <w:rsid w:val="0032277D"/>
    <w:rsid w:val="00322838"/>
    <w:rsid w:val="00322970"/>
    <w:rsid w:val="00322ACB"/>
    <w:rsid w:val="00322C30"/>
    <w:rsid w:val="00322E84"/>
    <w:rsid w:val="00322ECD"/>
    <w:rsid w:val="0032325A"/>
    <w:rsid w:val="003232EA"/>
    <w:rsid w:val="00323739"/>
    <w:rsid w:val="00323887"/>
    <w:rsid w:val="003238F9"/>
    <w:rsid w:val="00323A8A"/>
    <w:rsid w:val="00323B1A"/>
    <w:rsid w:val="00323B87"/>
    <w:rsid w:val="00323D34"/>
    <w:rsid w:val="00324000"/>
    <w:rsid w:val="0032422E"/>
    <w:rsid w:val="003243FA"/>
    <w:rsid w:val="00324C26"/>
    <w:rsid w:val="00324F3C"/>
    <w:rsid w:val="00325004"/>
    <w:rsid w:val="00325200"/>
    <w:rsid w:val="00325377"/>
    <w:rsid w:val="00325645"/>
    <w:rsid w:val="00325677"/>
    <w:rsid w:val="00325685"/>
    <w:rsid w:val="00325D91"/>
    <w:rsid w:val="00325DBB"/>
    <w:rsid w:val="00325E34"/>
    <w:rsid w:val="00326088"/>
    <w:rsid w:val="00326137"/>
    <w:rsid w:val="00326647"/>
    <w:rsid w:val="003268A6"/>
    <w:rsid w:val="003268D5"/>
    <w:rsid w:val="00326920"/>
    <w:rsid w:val="0032699F"/>
    <w:rsid w:val="00326A77"/>
    <w:rsid w:val="00326AE8"/>
    <w:rsid w:val="00326D8C"/>
    <w:rsid w:val="00326D92"/>
    <w:rsid w:val="00326DA2"/>
    <w:rsid w:val="00326E2C"/>
    <w:rsid w:val="00326F2D"/>
    <w:rsid w:val="003270CC"/>
    <w:rsid w:val="003272DB"/>
    <w:rsid w:val="003272F3"/>
    <w:rsid w:val="00327484"/>
    <w:rsid w:val="003275DA"/>
    <w:rsid w:val="003277DF"/>
    <w:rsid w:val="00327FC6"/>
    <w:rsid w:val="00330301"/>
    <w:rsid w:val="0033030E"/>
    <w:rsid w:val="00330396"/>
    <w:rsid w:val="0033043D"/>
    <w:rsid w:val="003308AF"/>
    <w:rsid w:val="00330912"/>
    <w:rsid w:val="0033097B"/>
    <w:rsid w:val="00330AE5"/>
    <w:rsid w:val="00330CDF"/>
    <w:rsid w:val="00330E68"/>
    <w:rsid w:val="00330F82"/>
    <w:rsid w:val="00331156"/>
    <w:rsid w:val="00331931"/>
    <w:rsid w:val="00331955"/>
    <w:rsid w:val="00331CBD"/>
    <w:rsid w:val="00331CFD"/>
    <w:rsid w:val="00331FAE"/>
    <w:rsid w:val="00332435"/>
    <w:rsid w:val="00332ABE"/>
    <w:rsid w:val="00333129"/>
    <w:rsid w:val="00333527"/>
    <w:rsid w:val="0033376C"/>
    <w:rsid w:val="003338DF"/>
    <w:rsid w:val="00333B65"/>
    <w:rsid w:val="00333DB4"/>
    <w:rsid w:val="00333DB8"/>
    <w:rsid w:val="00333DB9"/>
    <w:rsid w:val="00333F18"/>
    <w:rsid w:val="00333F62"/>
    <w:rsid w:val="003343F7"/>
    <w:rsid w:val="0033441F"/>
    <w:rsid w:val="00334786"/>
    <w:rsid w:val="00334916"/>
    <w:rsid w:val="003349EB"/>
    <w:rsid w:val="00334B9B"/>
    <w:rsid w:val="00334CE8"/>
    <w:rsid w:val="00334E3A"/>
    <w:rsid w:val="00334E9F"/>
    <w:rsid w:val="00334FFB"/>
    <w:rsid w:val="003350A3"/>
    <w:rsid w:val="0033541B"/>
    <w:rsid w:val="00335914"/>
    <w:rsid w:val="00335F68"/>
    <w:rsid w:val="00335FE1"/>
    <w:rsid w:val="0033618A"/>
    <w:rsid w:val="003362D1"/>
    <w:rsid w:val="00336442"/>
    <w:rsid w:val="00336642"/>
    <w:rsid w:val="003368D3"/>
    <w:rsid w:val="0033696A"/>
    <w:rsid w:val="003369FF"/>
    <w:rsid w:val="00336A34"/>
    <w:rsid w:val="00336AC5"/>
    <w:rsid w:val="00336BCA"/>
    <w:rsid w:val="00336C09"/>
    <w:rsid w:val="00337119"/>
    <w:rsid w:val="0033744A"/>
    <w:rsid w:val="0033752B"/>
    <w:rsid w:val="0033755B"/>
    <w:rsid w:val="0033755F"/>
    <w:rsid w:val="003375B0"/>
    <w:rsid w:val="00337766"/>
    <w:rsid w:val="003377AB"/>
    <w:rsid w:val="003377E0"/>
    <w:rsid w:val="003379B7"/>
    <w:rsid w:val="00337B1D"/>
    <w:rsid w:val="00337B9C"/>
    <w:rsid w:val="00340160"/>
    <w:rsid w:val="003405F1"/>
    <w:rsid w:val="00340F0F"/>
    <w:rsid w:val="003411B0"/>
    <w:rsid w:val="003414B5"/>
    <w:rsid w:val="003415CD"/>
    <w:rsid w:val="00341CEC"/>
    <w:rsid w:val="00342125"/>
    <w:rsid w:val="00342233"/>
    <w:rsid w:val="0034248C"/>
    <w:rsid w:val="0034258B"/>
    <w:rsid w:val="003429E5"/>
    <w:rsid w:val="00342A4D"/>
    <w:rsid w:val="00342B65"/>
    <w:rsid w:val="00343116"/>
    <w:rsid w:val="003431A8"/>
    <w:rsid w:val="003431D7"/>
    <w:rsid w:val="00343250"/>
    <w:rsid w:val="003436D6"/>
    <w:rsid w:val="00343A71"/>
    <w:rsid w:val="00343AE3"/>
    <w:rsid w:val="00343D48"/>
    <w:rsid w:val="00343D76"/>
    <w:rsid w:val="00343FDA"/>
    <w:rsid w:val="003442FC"/>
    <w:rsid w:val="00344420"/>
    <w:rsid w:val="003444EA"/>
    <w:rsid w:val="00344526"/>
    <w:rsid w:val="00344834"/>
    <w:rsid w:val="003448D8"/>
    <w:rsid w:val="003448F6"/>
    <w:rsid w:val="00345019"/>
    <w:rsid w:val="00345035"/>
    <w:rsid w:val="00345713"/>
    <w:rsid w:val="00345729"/>
    <w:rsid w:val="0034590E"/>
    <w:rsid w:val="0034599A"/>
    <w:rsid w:val="003459D0"/>
    <w:rsid w:val="00345AE4"/>
    <w:rsid w:val="00345C4E"/>
    <w:rsid w:val="00345DDB"/>
    <w:rsid w:val="0034628C"/>
    <w:rsid w:val="00346742"/>
    <w:rsid w:val="0034676B"/>
    <w:rsid w:val="00346F9C"/>
    <w:rsid w:val="00347096"/>
    <w:rsid w:val="00347481"/>
    <w:rsid w:val="00347726"/>
    <w:rsid w:val="0034775A"/>
    <w:rsid w:val="00347981"/>
    <w:rsid w:val="00347D4C"/>
    <w:rsid w:val="00347F9F"/>
    <w:rsid w:val="0035005A"/>
    <w:rsid w:val="003500EE"/>
    <w:rsid w:val="003501AA"/>
    <w:rsid w:val="00350334"/>
    <w:rsid w:val="00350759"/>
    <w:rsid w:val="003507E6"/>
    <w:rsid w:val="00350829"/>
    <w:rsid w:val="00350B6B"/>
    <w:rsid w:val="00350C4B"/>
    <w:rsid w:val="00350C75"/>
    <w:rsid w:val="00350DBE"/>
    <w:rsid w:val="00350E7D"/>
    <w:rsid w:val="00350F7E"/>
    <w:rsid w:val="0035171C"/>
    <w:rsid w:val="00351B7F"/>
    <w:rsid w:val="00351D05"/>
    <w:rsid w:val="00351DC6"/>
    <w:rsid w:val="00351FF2"/>
    <w:rsid w:val="0035224B"/>
    <w:rsid w:val="00352278"/>
    <w:rsid w:val="0035243F"/>
    <w:rsid w:val="003525B5"/>
    <w:rsid w:val="00352670"/>
    <w:rsid w:val="0035279B"/>
    <w:rsid w:val="0035290F"/>
    <w:rsid w:val="0035294F"/>
    <w:rsid w:val="00352EA3"/>
    <w:rsid w:val="00352FC4"/>
    <w:rsid w:val="0035315C"/>
    <w:rsid w:val="003531AF"/>
    <w:rsid w:val="00353487"/>
    <w:rsid w:val="00353565"/>
    <w:rsid w:val="0035366A"/>
    <w:rsid w:val="0035381A"/>
    <w:rsid w:val="00353BD8"/>
    <w:rsid w:val="00353F07"/>
    <w:rsid w:val="0035401F"/>
    <w:rsid w:val="0035409B"/>
    <w:rsid w:val="00354246"/>
    <w:rsid w:val="0035485C"/>
    <w:rsid w:val="00354868"/>
    <w:rsid w:val="00354D27"/>
    <w:rsid w:val="00354F8B"/>
    <w:rsid w:val="00354FF3"/>
    <w:rsid w:val="0035506B"/>
    <w:rsid w:val="00355325"/>
    <w:rsid w:val="003553AB"/>
    <w:rsid w:val="003555E1"/>
    <w:rsid w:val="00355782"/>
    <w:rsid w:val="0035580E"/>
    <w:rsid w:val="00355864"/>
    <w:rsid w:val="003559A0"/>
    <w:rsid w:val="00355BA5"/>
    <w:rsid w:val="00355C12"/>
    <w:rsid w:val="00355ED5"/>
    <w:rsid w:val="00356192"/>
    <w:rsid w:val="003563BF"/>
    <w:rsid w:val="003563CE"/>
    <w:rsid w:val="003563F7"/>
    <w:rsid w:val="00356594"/>
    <w:rsid w:val="0035659C"/>
    <w:rsid w:val="00356621"/>
    <w:rsid w:val="003569AF"/>
    <w:rsid w:val="00356A5F"/>
    <w:rsid w:val="00356D36"/>
    <w:rsid w:val="00356EC5"/>
    <w:rsid w:val="00356EFA"/>
    <w:rsid w:val="00357115"/>
    <w:rsid w:val="00357117"/>
    <w:rsid w:val="003572AD"/>
    <w:rsid w:val="00357339"/>
    <w:rsid w:val="0035738A"/>
    <w:rsid w:val="003574B8"/>
    <w:rsid w:val="003577FD"/>
    <w:rsid w:val="00360046"/>
    <w:rsid w:val="003600DA"/>
    <w:rsid w:val="00360229"/>
    <w:rsid w:val="0036057B"/>
    <w:rsid w:val="003607D6"/>
    <w:rsid w:val="00360A65"/>
    <w:rsid w:val="00360DB7"/>
    <w:rsid w:val="00360F37"/>
    <w:rsid w:val="00360FC0"/>
    <w:rsid w:val="00361179"/>
    <w:rsid w:val="003611F4"/>
    <w:rsid w:val="00361335"/>
    <w:rsid w:val="00361393"/>
    <w:rsid w:val="003615CB"/>
    <w:rsid w:val="003616FE"/>
    <w:rsid w:val="00361777"/>
    <w:rsid w:val="0036180B"/>
    <w:rsid w:val="00361991"/>
    <w:rsid w:val="00361BD7"/>
    <w:rsid w:val="00361F9B"/>
    <w:rsid w:val="00362357"/>
    <w:rsid w:val="00362897"/>
    <w:rsid w:val="003629B1"/>
    <w:rsid w:val="00362A60"/>
    <w:rsid w:val="00362BAD"/>
    <w:rsid w:val="00362D54"/>
    <w:rsid w:val="00362DF3"/>
    <w:rsid w:val="00362FFD"/>
    <w:rsid w:val="0036316F"/>
    <w:rsid w:val="0036320F"/>
    <w:rsid w:val="0036321C"/>
    <w:rsid w:val="00363A97"/>
    <w:rsid w:val="00363AA6"/>
    <w:rsid w:val="00363BE1"/>
    <w:rsid w:val="00363C91"/>
    <w:rsid w:val="00363D73"/>
    <w:rsid w:val="00363D82"/>
    <w:rsid w:val="00363E26"/>
    <w:rsid w:val="0036403C"/>
    <w:rsid w:val="0036414B"/>
    <w:rsid w:val="0036415F"/>
    <w:rsid w:val="003642C1"/>
    <w:rsid w:val="00364820"/>
    <w:rsid w:val="003648DB"/>
    <w:rsid w:val="00364C6C"/>
    <w:rsid w:val="00364CCA"/>
    <w:rsid w:val="00364F21"/>
    <w:rsid w:val="00365468"/>
    <w:rsid w:val="003656E4"/>
    <w:rsid w:val="00365712"/>
    <w:rsid w:val="00365B0C"/>
    <w:rsid w:val="00365BC4"/>
    <w:rsid w:val="00365CA6"/>
    <w:rsid w:val="00365F86"/>
    <w:rsid w:val="00366263"/>
    <w:rsid w:val="003662D2"/>
    <w:rsid w:val="0036647A"/>
    <w:rsid w:val="0036666C"/>
    <w:rsid w:val="003670C3"/>
    <w:rsid w:val="003670C9"/>
    <w:rsid w:val="0036712F"/>
    <w:rsid w:val="00367276"/>
    <w:rsid w:val="003672F4"/>
    <w:rsid w:val="00367799"/>
    <w:rsid w:val="003678C4"/>
    <w:rsid w:val="00367B5D"/>
    <w:rsid w:val="00367C09"/>
    <w:rsid w:val="00367D35"/>
    <w:rsid w:val="00367F51"/>
    <w:rsid w:val="00370181"/>
    <w:rsid w:val="00370314"/>
    <w:rsid w:val="00370458"/>
    <w:rsid w:val="00370552"/>
    <w:rsid w:val="00370EBE"/>
    <w:rsid w:val="00370FFF"/>
    <w:rsid w:val="0037134C"/>
    <w:rsid w:val="003714E6"/>
    <w:rsid w:val="0037163C"/>
    <w:rsid w:val="003716B0"/>
    <w:rsid w:val="00371707"/>
    <w:rsid w:val="00371755"/>
    <w:rsid w:val="00371992"/>
    <w:rsid w:val="0037199B"/>
    <w:rsid w:val="00371D3B"/>
    <w:rsid w:val="00371DA5"/>
    <w:rsid w:val="00371F11"/>
    <w:rsid w:val="0037240D"/>
    <w:rsid w:val="0037258D"/>
    <w:rsid w:val="003730CC"/>
    <w:rsid w:val="00373323"/>
    <w:rsid w:val="00373324"/>
    <w:rsid w:val="00373801"/>
    <w:rsid w:val="003738AB"/>
    <w:rsid w:val="00373C90"/>
    <w:rsid w:val="00373D38"/>
    <w:rsid w:val="00373DE0"/>
    <w:rsid w:val="00373EB0"/>
    <w:rsid w:val="00373F47"/>
    <w:rsid w:val="00373F72"/>
    <w:rsid w:val="00373FF6"/>
    <w:rsid w:val="00374306"/>
    <w:rsid w:val="00374423"/>
    <w:rsid w:val="00374682"/>
    <w:rsid w:val="0037470B"/>
    <w:rsid w:val="0037494C"/>
    <w:rsid w:val="00374A60"/>
    <w:rsid w:val="00374E18"/>
    <w:rsid w:val="00375138"/>
    <w:rsid w:val="003752F3"/>
    <w:rsid w:val="00375370"/>
    <w:rsid w:val="003754B0"/>
    <w:rsid w:val="00375655"/>
    <w:rsid w:val="0037576B"/>
    <w:rsid w:val="003759ED"/>
    <w:rsid w:val="00375A6E"/>
    <w:rsid w:val="00375CCE"/>
    <w:rsid w:val="00375DCF"/>
    <w:rsid w:val="00376024"/>
    <w:rsid w:val="0037623E"/>
    <w:rsid w:val="003764CF"/>
    <w:rsid w:val="00376597"/>
    <w:rsid w:val="00376846"/>
    <w:rsid w:val="00376920"/>
    <w:rsid w:val="00376A41"/>
    <w:rsid w:val="00376BE6"/>
    <w:rsid w:val="00376CC7"/>
    <w:rsid w:val="00376E33"/>
    <w:rsid w:val="00376E5B"/>
    <w:rsid w:val="00376EE8"/>
    <w:rsid w:val="00376FE0"/>
    <w:rsid w:val="00377271"/>
    <w:rsid w:val="003773BC"/>
    <w:rsid w:val="0037742A"/>
    <w:rsid w:val="003774B4"/>
    <w:rsid w:val="00377600"/>
    <w:rsid w:val="003776B2"/>
    <w:rsid w:val="003776C3"/>
    <w:rsid w:val="00377999"/>
    <w:rsid w:val="00377AAF"/>
    <w:rsid w:val="00377C4E"/>
    <w:rsid w:val="00377E65"/>
    <w:rsid w:val="0038024A"/>
    <w:rsid w:val="00380287"/>
    <w:rsid w:val="003802DA"/>
    <w:rsid w:val="003803F2"/>
    <w:rsid w:val="0038059B"/>
    <w:rsid w:val="0038059D"/>
    <w:rsid w:val="003805EF"/>
    <w:rsid w:val="00380A49"/>
    <w:rsid w:val="00380C04"/>
    <w:rsid w:val="00380D21"/>
    <w:rsid w:val="00380D44"/>
    <w:rsid w:val="00380D94"/>
    <w:rsid w:val="00380EB7"/>
    <w:rsid w:val="00380FFF"/>
    <w:rsid w:val="00381071"/>
    <w:rsid w:val="003811C9"/>
    <w:rsid w:val="00381239"/>
    <w:rsid w:val="00381493"/>
    <w:rsid w:val="003815FF"/>
    <w:rsid w:val="00381658"/>
    <w:rsid w:val="00381BBF"/>
    <w:rsid w:val="00381C5D"/>
    <w:rsid w:val="00381C77"/>
    <w:rsid w:val="00381D7B"/>
    <w:rsid w:val="00381FF2"/>
    <w:rsid w:val="00382197"/>
    <w:rsid w:val="00382267"/>
    <w:rsid w:val="00382A42"/>
    <w:rsid w:val="00382B76"/>
    <w:rsid w:val="00382BC5"/>
    <w:rsid w:val="00382E26"/>
    <w:rsid w:val="00382E45"/>
    <w:rsid w:val="00382E4A"/>
    <w:rsid w:val="003830D6"/>
    <w:rsid w:val="00383312"/>
    <w:rsid w:val="00383345"/>
    <w:rsid w:val="0038343F"/>
    <w:rsid w:val="003834D9"/>
    <w:rsid w:val="003836BA"/>
    <w:rsid w:val="003839E3"/>
    <w:rsid w:val="003840A7"/>
    <w:rsid w:val="0038465A"/>
    <w:rsid w:val="0038480C"/>
    <w:rsid w:val="0038481D"/>
    <w:rsid w:val="003848DC"/>
    <w:rsid w:val="00384A5D"/>
    <w:rsid w:val="00384CD5"/>
    <w:rsid w:val="00384DCD"/>
    <w:rsid w:val="00384E0E"/>
    <w:rsid w:val="00384F49"/>
    <w:rsid w:val="003850A4"/>
    <w:rsid w:val="0038536C"/>
    <w:rsid w:val="00385389"/>
    <w:rsid w:val="003853BC"/>
    <w:rsid w:val="0038556E"/>
    <w:rsid w:val="003858A6"/>
    <w:rsid w:val="00385EC1"/>
    <w:rsid w:val="00385FF8"/>
    <w:rsid w:val="0038626F"/>
    <w:rsid w:val="00386297"/>
    <w:rsid w:val="00386365"/>
    <w:rsid w:val="003867DC"/>
    <w:rsid w:val="00386830"/>
    <w:rsid w:val="003868DC"/>
    <w:rsid w:val="00386A12"/>
    <w:rsid w:val="00386A45"/>
    <w:rsid w:val="00386B84"/>
    <w:rsid w:val="00387174"/>
    <w:rsid w:val="003873FA"/>
    <w:rsid w:val="00387896"/>
    <w:rsid w:val="00387908"/>
    <w:rsid w:val="003879C8"/>
    <w:rsid w:val="003879E6"/>
    <w:rsid w:val="00387ABE"/>
    <w:rsid w:val="00387B8A"/>
    <w:rsid w:val="00387D0E"/>
    <w:rsid w:val="00387EF6"/>
    <w:rsid w:val="0039036A"/>
    <w:rsid w:val="00390905"/>
    <w:rsid w:val="00390A8F"/>
    <w:rsid w:val="00391044"/>
    <w:rsid w:val="0039118F"/>
    <w:rsid w:val="003911A5"/>
    <w:rsid w:val="003911E8"/>
    <w:rsid w:val="003913E3"/>
    <w:rsid w:val="0039145E"/>
    <w:rsid w:val="003916B1"/>
    <w:rsid w:val="00391A9C"/>
    <w:rsid w:val="00391CA9"/>
    <w:rsid w:val="00391D8A"/>
    <w:rsid w:val="003924B8"/>
    <w:rsid w:val="00392513"/>
    <w:rsid w:val="003926A2"/>
    <w:rsid w:val="00392702"/>
    <w:rsid w:val="003927FF"/>
    <w:rsid w:val="0039293A"/>
    <w:rsid w:val="00392BD2"/>
    <w:rsid w:val="00392DCC"/>
    <w:rsid w:val="00392E4B"/>
    <w:rsid w:val="00393135"/>
    <w:rsid w:val="003931A8"/>
    <w:rsid w:val="003931FD"/>
    <w:rsid w:val="00393320"/>
    <w:rsid w:val="0039376A"/>
    <w:rsid w:val="0039376F"/>
    <w:rsid w:val="00393785"/>
    <w:rsid w:val="00393819"/>
    <w:rsid w:val="00393AF2"/>
    <w:rsid w:val="00393CCF"/>
    <w:rsid w:val="00393E55"/>
    <w:rsid w:val="00393EAC"/>
    <w:rsid w:val="00394147"/>
    <w:rsid w:val="00394168"/>
    <w:rsid w:val="00394227"/>
    <w:rsid w:val="0039430E"/>
    <w:rsid w:val="00394469"/>
    <w:rsid w:val="003944FA"/>
    <w:rsid w:val="003945B8"/>
    <w:rsid w:val="003945DF"/>
    <w:rsid w:val="00394661"/>
    <w:rsid w:val="00394672"/>
    <w:rsid w:val="003947BA"/>
    <w:rsid w:val="00395164"/>
    <w:rsid w:val="0039516F"/>
    <w:rsid w:val="003951A2"/>
    <w:rsid w:val="003953A3"/>
    <w:rsid w:val="003954B9"/>
    <w:rsid w:val="00395563"/>
    <w:rsid w:val="00395697"/>
    <w:rsid w:val="00395A23"/>
    <w:rsid w:val="00395FC5"/>
    <w:rsid w:val="00396057"/>
    <w:rsid w:val="00396140"/>
    <w:rsid w:val="00396202"/>
    <w:rsid w:val="00396317"/>
    <w:rsid w:val="00396339"/>
    <w:rsid w:val="00396341"/>
    <w:rsid w:val="00396391"/>
    <w:rsid w:val="00396432"/>
    <w:rsid w:val="003965AB"/>
    <w:rsid w:val="00396781"/>
    <w:rsid w:val="003967F5"/>
    <w:rsid w:val="00396898"/>
    <w:rsid w:val="00396C86"/>
    <w:rsid w:val="003971F3"/>
    <w:rsid w:val="0039730B"/>
    <w:rsid w:val="00397494"/>
    <w:rsid w:val="003974EC"/>
    <w:rsid w:val="003975DC"/>
    <w:rsid w:val="00397624"/>
    <w:rsid w:val="00397695"/>
    <w:rsid w:val="003977DA"/>
    <w:rsid w:val="0039796C"/>
    <w:rsid w:val="00397BB5"/>
    <w:rsid w:val="00397BEF"/>
    <w:rsid w:val="00397D48"/>
    <w:rsid w:val="00397D83"/>
    <w:rsid w:val="00397E7A"/>
    <w:rsid w:val="00397EAF"/>
    <w:rsid w:val="00397F2B"/>
    <w:rsid w:val="003A028A"/>
    <w:rsid w:val="003A0754"/>
    <w:rsid w:val="003A0A1F"/>
    <w:rsid w:val="003A0BBC"/>
    <w:rsid w:val="003A0BD1"/>
    <w:rsid w:val="003A0CAB"/>
    <w:rsid w:val="003A0F68"/>
    <w:rsid w:val="003A10F1"/>
    <w:rsid w:val="003A10F6"/>
    <w:rsid w:val="003A12D5"/>
    <w:rsid w:val="003A1563"/>
    <w:rsid w:val="003A19EC"/>
    <w:rsid w:val="003A1D80"/>
    <w:rsid w:val="003A2021"/>
    <w:rsid w:val="003A27D5"/>
    <w:rsid w:val="003A2B4E"/>
    <w:rsid w:val="003A2C52"/>
    <w:rsid w:val="003A2DD5"/>
    <w:rsid w:val="003A2E40"/>
    <w:rsid w:val="003A2EE0"/>
    <w:rsid w:val="003A2F2A"/>
    <w:rsid w:val="003A32E4"/>
    <w:rsid w:val="003A34A0"/>
    <w:rsid w:val="003A3633"/>
    <w:rsid w:val="003A3852"/>
    <w:rsid w:val="003A3C88"/>
    <w:rsid w:val="003A3D14"/>
    <w:rsid w:val="003A3ED4"/>
    <w:rsid w:val="003A3F16"/>
    <w:rsid w:val="003A4158"/>
    <w:rsid w:val="003A4376"/>
    <w:rsid w:val="003A4632"/>
    <w:rsid w:val="003A4E22"/>
    <w:rsid w:val="003A4E99"/>
    <w:rsid w:val="003A4EB4"/>
    <w:rsid w:val="003A4F06"/>
    <w:rsid w:val="003A5275"/>
    <w:rsid w:val="003A5481"/>
    <w:rsid w:val="003A5901"/>
    <w:rsid w:val="003A5A14"/>
    <w:rsid w:val="003A5B36"/>
    <w:rsid w:val="003A6118"/>
    <w:rsid w:val="003A62E8"/>
    <w:rsid w:val="003A6367"/>
    <w:rsid w:val="003A64AC"/>
    <w:rsid w:val="003A65A7"/>
    <w:rsid w:val="003A6640"/>
    <w:rsid w:val="003A6829"/>
    <w:rsid w:val="003A6CBE"/>
    <w:rsid w:val="003A75A4"/>
    <w:rsid w:val="003A7762"/>
    <w:rsid w:val="003A7812"/>
    <w:rsid w:val="003A7961"/>
    <w:rsid w:val="003A7BB1"/>
    <w:rsid w:val="003A7FC3"/>
    <w:rsid w:val="003B0539"/>
    <w:rsid w:val="003B0984"/>
    <w:rsid w:val="003B0BBC"/>
    <w:rsid w:val="003B0CBC"/>
    <w:rsid w:val="003B0EC8"/>
    <w:rsid w:val="003B0F2F"/>
    <w:rsid w:val="003B0FCD"/>
    <w:rsid w:val="003B10C4"/>
    <w:rsid w:val="003B1187"/>
    <w:rsid w:val="003B18F8"/>
    <w:rsid w:val="003B1B64"/>
    <w:rsid w:val="003B1BAE"/>
    <w:rsid w:val="003B1D97"/>
    <w:rsid w:val="003B1DAE"/>
    <w:rsid w:val="003B1ED2"/>
    <w:rsid w:val="003B1F93"/>
    <w:rsid w:val="003B20B4"/>
    <w:rsid w:val="003B23C5"/>
    <w:rsid w:val="003B260D"/>
    <w:rsid w:val="003B2B94"/>
    <w:rsid w:val="003B2F23"/>
    <w:rsid w:val="003B2FFF"/>
    <w:rsid w:val="003B32A9"/>
    <w:rsid w:val="003B3512"/>
    <w:rsid w:val="003B3983"/>
    <w:rsid w:val="003B3B27"/>
    <w:rsid w:val="003B3D21"/>
    <w:rsid w:val="003B3FF1"/>
    <w:rsid w:val="003B4085"/>
    <w:rsid w:val="003B4126"/>
    <w:rsid w:val="003B467B"/>
    <w:rsid w:val="003B4766"/>
    <w:rsid w:val="003B4D63"/>
    <w:rsid w:val="003B4EDF"/>
    <w:rsid w:val="003B4F68"/>
    <w:rsid w:val="003B4F8B"/>
    <w:rsid w:val="003B5135"/>
    <w:rsid w:val="003B5421"/>
    <w:rsid w:val="003B5970"/>
    <w:rsid w:val="003B5A85"/>
    <w:rsid w:val="003B5B99"/>
    <w:rsid w:val="003B5E37"/>
    <w:rsid w:val="003B617E"/>
    <w:rsid w:val="003B65B0"/>
    <w:rsid w:val="003B67BF"/>
    <w:rsid w:val="003B69C5"/>
    <w:rsid w:val="003B6B9F"/>
    <w:rsid w:val="003B6BD2"/>
    <w:rsid w:val="003B7373"/>
    <w:rsid w:val="003B75C6"/>
    <w:rsid w:val="003B7633"/>
    <w:rsid w:val="003B7717"/>
    <w:rsid w:val="003B772A"/>
    <w:rsid w:val="003B77BA"/>
    <w:rsid w:val="003B7A99"/>
    <w:rsid w:val="003B7C26"/>
    <w:rsid w:val="003B7D62"/>
    <w:rsid w:val="003B7E4F"/>
    <w:rsid w:val="003B7E5B"/>
    <w:rsid w:val="003C022D"/>
    <w:rsid w:val="003C0D92"/>
    <w:rsid w:val="003C14AC"/>
    <w:rsid w:val="003C157D"/>
    <w:rsid w:val="003C1602"/>
    <w:rsid w:val="003C1AF4"/>
    <w:rsid w:val="003C1B63"/>
    <w:rsid w:val="003C1B71"/>
    <w:rsid w:val="003C1C1A"/>
    <w:rsid w:val="003C20D7"/>
    <w:rsid w:val="003C2401"/>
    <w:rsid w:val="003C24B4"/>
    <w:rsid w:val="003C2522"/>
    <w:rsid w:val="003C2552"/>
    <w:rsid w:val="003C25E6"/>
    <w:rsid w:val="003C264B"/>
    <w:rsid w:val="003C26AC"/>
    <w:rsid w:val="003C2798"/>
    <w:rsid w:val="003C29B7"/>
    <w:rsid w:val="003C3070"/>
    <w:rsid w:val="003C3196"/>
    <w:rsid w:val="003C326F"/>
    <w:rsid w:val="003C3282"/>
    <w:rsid w:val="003C33E4"/>
    <w:rsid w:val="003C35D8"/>
    <w:rsid w:val="003C360C"/>
    <w:rsid w:val="003C3AC2"/>
    <w:rsid w:val="003C3CF3"/>
    <w:rsid w:val="003C3FA3"/>
    <w:rsid w:val="003C40E2"/>
    <w:rsid w:val="003C44DE"/>
    <w:rsid w:val="003C47C5"/>
    <w:rsid w:val="003C48A8"/>
    <w:rsid w:val="003C49C0"/>
    <w:rsid w:val="003C4B53"/>
    <w:rsid w:val="003C4D16"/>
    <w:rsid w:val="003C4EA0"/>
    <w:rsid w:val="003C4F4D"/>
    <w:rsid w:val="003C549B"/>
    <w:rsid w:val="003C5699"/>
    <w:rsid w:val="003C5781"/>
    <w:rsid w:val="003C58E2"/>
    <w:rsid w:val="003C5943"/>
    <w:rsid w:val="003C5ACF"/>
    <w:rsid w:val="003C5D55"/>
    <w:rsid w:val="003C5F93"/>
    <w:rsid w:val="003C6136"/>
    <w:rsid w:val="003C6266"/>
    <w:rsid w:val="003C6434"/>
    <w:rsid w:val="003C648D"/>
    <w:rsid w:val="003C6722"/>
    <w:rsid w:val="003C67D7"/>
    <w:rsid w:val="003C682F"/>
    <w:rsid w:val="003C683C"/>
    <w:rsid w:val="003C6B4B"/>
    <w:rsid w:val="003C6C2A"/>
    <w:rsid w:val="003C6D16"/>
    <w:rsid w:val="003C6DF2"/>
    <w:rsid w:val="003C6FE4"/>
    <w:rsid w:val="003C7014"/>
    <w:rsid w:val="003C7244"/>
    <w:rsid w:val="003C736B"/>
    <w:rsid w:val="003C73D3"/>
    <w:rsid w:val="003C74B9"/>
    <w:rsid w:val="003C7694"/>
    <w:rsid w:val="003C7AB7"/>
    <w:rsid w:val="003C7B33"/>
    <w:rsid w:val="003C7D41"/>
    <w:rsid w:val="003C7D79"/>
    <w:rsid w:val="003C7F7F"/>
    <w:rsid w:val="003C7FD6"/>
    <w:rsid w:val="003C7FDE"/>
    <w:rsid w:val="003D01E7"/>
    <w:rsid w:val="003D0463"/>
    <w:rsid w:val="003D0507"/>
    <w:rsid w:val="003D0518"/>
    <w:rsid w:val="003D0528"/>
    <w:rsid w:val="003D0AB4"/>
    <w:rsid w:val="003D0ACC"/>
    <w:rsid w:val="003D0B3C"/>
    <w:rsid w:val="003D0D26"/>
    <w:rsid w:val="003D0D87"/>
    <w:rsid w:val="003D0DBA"/>
    <w:rsid w:val="003D0F28"/>
    <w:rsid w:val="003D0FCB"/>
    <w:rsid w:val="003D11C0"/>
    <w:rsid w:val="003D1294"/>
    <w:rsid w:val="003D16CD"/>
    <w:rsid w:val="003D178F"/>
    <w:rsid w:val="003D17B4"/>
    <w:rsid w:val="003D1CE5"/>
    <w:rsid w:val="003D1EEF"/>
    <w:rsid w:val="003D1F46"/>
    <w:rsid w:val="003D21A9"/>
    <w:rsid w:val="003D2245"/>
    <w:rsid w:val="003D224F"/>
    <w:rsid w:val="003D2310"/>
    <w:rsid w:val="003D2DAB"/>
    <w:rsid w:val="003D313B"/>
    <w:rsid w:val="003D338F"/>
    <w:rsid w:val="003D3592"/>
    <w:rsid w:val="003D3C0A"/>
    <w:rsid w:val="003D3E99"/>
    <w:rsid w:val="003D414F"/>
    <w:rsid w:val="003D4164"/>
    <w:rsid w:val="003D41BA"/>
    <w:rsid w:val="003D49AB"/>
    <w:rsid w:val="003D49F6"/>
    <w:rsid w:val="003D4A9C"/>
    <w:rsid w:val="003D4D60"/>
    <w:rsid w:val="003D4F57"/>
    <w:rsid w:val="003D512B"/>
    <w:rsid w:val="003D5281"/>
    <w:rsid w:val="003D5457"/>
    <w:rsid w:val="003D5474"/>
    <w:rsid w:val="003D5699"/>
    <w:rsid w:val="003D57CB"/>
    <w:rsid w:val="003D58D1"/>
    <w:rsid w:val="003D5BFF"/>
    <w:rsid w:val="003D5C72"/>
    <w:rsid w:val="003D5DC5"/>
    <w:rsid w:val="003D5FA5"/>
    <w:rsid w:val="003D61DE"/>
    <w:rsid w:val="003D6509"/>
    <w:rsid w:val="003D68D4"/>
    <w:rsid w:val="003D69DE"/>
    <w:rsid w:val="003D6B09"/>
    <w:rsid w:val="003D6D68"/>
    <w:rsid w:val="003D7115"/>
    <w:rsid w:val="003D7958"/>
    <w:rsid w:val="003D7A24"/>
    <w:rsid w:val="003D7AB7"/>
    <w:rsid w:val="003D7B98"/>
    <w:rsid w:val="003D7CB9"/>
    <w:rsid w:val="003D7E44"/>
    <w:rsid w:val="003D7FEE"/>
    <w:rsid w:val="003E04D9"/>
    <w:rsid w:val="003E06C7"/>
    <w:rsid w:val="003E0D78"/>
    <w:rsid w:val="003E180C"/>
    <w:rsid w:val="003E18FC"/>
    <w:rsid w:val="003E1E56"/>
    <w:rsid w:val="003E20D6"/>
    <w:rsid w:val="003E2593"/>
    <w:rsid w:val="003E25DD"/>
    <w:rsid w:val="003E26F5"/>
    <w:rsid w:val="003E2AB2"/>
    <w:rsid w:val="003E2B4C"/>
    <w:rsid w:val="003E2CBC"/>
    <w:rsid w:val="003E2FB8"/>
    <w:rsid w:val="003E369B"/>
    <w:rsid w:val="003E398C"/>
    <w:rsid w:val="003E3E33"/>
    <w:rsid w:val="003E40E7"/>
    <w:rsid w:val="003E41AA"/>
    <w:rsid w:val="003E41DF"/>
    <w:rsid w:val="003E4518"/>
    <w:rsid w:val="003E469B"/>
    <w:rsid w:val="003E4792"/>
    <w:rsid w:val="003E4D87"/>
    <w:rsid w:val="003E51E4"/>
    <w:rsid w:val="003E5369"/>
    <w:rsid w:val="003E55BA"/>
    <w:rsid w:val="003E5E33"/>
    <w:rsid w:val="003E6422"/>
    <w:rsid w:val="003E646B"/>
    <w:rsid w:val="003E646E"/>
    <w:rsid w:val="003E6DAD"/>
    <w:rsid w:val="003E6ECB"/>
    <w:rsid w:val="003E6FEC"/>
    <w:rsid w:val="003E71AD"/>
    <w:rsid w:val="003E73C9"/>
    <w:rsid w:val="003E7891"/>
    <w:rsid w:val="003E79BB"/>
    <w:rsid w:val="003E79C9"/>
    <w:rsid w:val="003E7A4A"/>
    <w:rsid w:val="003E7B37"/>
    <w:rsid w:val="003E7BBE"/>
    <w:rsid w:val="003F01D7"/>
    <w:rsid w:val="003F02BE"/>
    <w:rsid w:val="003F0554"/>
    <w:rsid w:val="003F056F"/>
    <w:rsid w:val="003F0573"/>
    <w:rsid w:val="003F098F"/>
    <w:rsid w:val="003F0C22"/>
    <w:rsid w:val="003F116B"/>
    <w:rsid w:val="003F1383"/>
    <w:rsid w:val="003F1463"/>
    <w:rsid w:val="003F146F"/>
    <w:rsid w:val="003F1597"/>
    <w:rsid w:val="003F1979"/>
    <w:rsid w:val="003F1ACC"/>
    <w:rsid w:val="003F1C39"/>
    <w:rsid w:val="003F1CD1"/>
    <w:rsid w:val="003F1E16"/>
    <w:rsid w:val="003F2222"/>
    <w:rsid w:val="003F22CB"/>
    <w:rsid w:val="003F2628"/>
    <w:rsid w:val="003F2817"/>
    <w:rsid w:val="003F2995"/>
    <w:rsid w:val="003F2C74"/>
    <w:rsid w:val="003F2C7A"/>
    <w:rsid w:val="003F2D1B"/>
    <w:rsid w:val="003F3053"/>
    <w:rsid w:val="003F306B"/>
    <w:rsid w:val="003F3132"/>
    <w:rsid w:val="003F319C"/>
    <w:rsid w:val="003F31B5"/>
    <w:rsid w:val="003F34AB"/>
    <w:rsid w:val="003F3987"/>
    <w:rsid w:val="003F3D30"/>
    <w:rsid w:val="003F3D45"/>
    <w:rsid w:val="003F3E57"/>
    <w:rsid w:val="003F3EE4"/>
    <w:rsid w:val="003F4029"/>
    <w:rsid w:val="003F41BB"/>
    <w:rsid w:val="003F44DC"/>
    <w:rsid w:val="003F44E0"/>
    <w:rsid w:val="003F4592"/>
    <w:rsid w:val="003F4715"/>
    <w:rsid w:val="003F47F8"/>
    <w:rsid w:val="003F481B"/>
    <w:rsid w:val="003F4CD5"/>
    <w:rsid w:val="003F4D98"/>
    <w:rsid w:val="003F4EEC"/>
    <w:rsid w:val="003F4F1D"/>
    <w:rsid w:val="003F4FA8"/>
    <w:rsid w:val="003F5217"/>
    <w:rsid w:val="003F54D6"/>
    <w:rsid w:val="003F5B4B"/>
    <w:rsid w:val="003F5C61"/>
    <w:rsid w:val="003F5D45"/>
    <w:rsid w:val="003F5E8B"/>
    <w:rsid w:val="003F602B"/>
    <w:rsid w:val="003F62E2"/>
    <w:rsid w:val="003F65BD"/>
    <w:rsid w:val="003F6780"/>
    <w:rsid w:val="003F6853"/>
    <w:rsid w:val="003F69F4"/>
    <w:rsid w:val="003F6A92"/>
    <w:rsid w:val="003F6F8E"/>
    <w:rsid w:val="003F6FF9"/>
    <w:rsid w:val="003F717F"/>
    <w:rsid w:val="003F72B6"/>
    <w:rsid w:val="003F73A0"/>
    <w:rsid w:val="003F7440"/>
    <w:rsid w:val="003F7571"/>
    <w:rsid w:val="003F7650"/>
    <w:rsid w:val="003F7716"/>
    <w:rsid w:val="003F7BAF"/>
    <w:rsid w:val="003F7F27"/>
    <w:rsid w:val="003F7F7A"/>
    <w:rsid w:val="0040034A"/>
    <w:rsid w:val="00400386"/>
    <w:rsid w:val="004006B7"/>
    <w:rsid w:val="004006BA"/>
    <w:rsid w:val="004008FE"/>
    <w:rsid w:val="00400A0A"/>
    <w:rsid w:val="00400EB8"/>
    <w:rsid w:val="00400F9D"/>
    <w:rsid w:val="00400FE4"/>
    <w:rsid w:val="00401082"/>
    <w:rsid w:val="004013F3"/>
    <w:rsid w:val="0040165C"/>
    <w:rsid w:val="004016CA"/>
    <w:rsid w:val="00401C28"/>
    <w:rsid w:val="00401CE8"/>
    <w:rsid w:val="00401D5D"/>
    <w:rsid w:val="00401D8E"/>
    <w:rsid w:val="00402131"/>
    <w:rsid w:val="0040223B"/>
    <w:rsid w:val="00402419"/>
    <w:rsid w:val="00402BDC"/>
    <w:rsid w:val="00402CBD"/>
    <w:rsid w:val="00402F12"/>
    <w:rsid w:val="00403236"/>
    <w:rsid w:val="00403403"/>
    <w:rsid w:val="00403726"/>
    <w:rsid w:val="0040394E"/>
    <w:rsid w:val="00403E16"/>
    <w:rsid w:val="00403E18"/>
    <w:rsid w:val="00403F47"/>
    <w:rsid w:val="00404072"/>
    <w:rsid w:val="004046EF"/>
    <w:rsid w:val="0040485F"/>
    <w:rsid w:val="00404D17"/>
    <w:rsid w:val="004051C1"/>
    <w:rsid w:val="004053CC"/>
    <w:rsid w:val="0040544A"/>
    <w:rsid w:val="004054C0"/>
    <w:rsid w:val="0040586E"/>
    <w:rsid w:val="00405898"/>
    <w:rsid w:val="004058DA"/>
    <w:rsid w:val="00405B58"/>
    <w:rsid w:val="00406137"/>
    <w:rsid w:val="00406200"/>
    <w:rsid w:val="0040694C"/>
    <w:rsid w:val="00406D28"/>
    <w:rsid w:val="00407017"/>
    <w:rsid w:val="00407959"/>
    <w:rsid w:val="004079D7"/>
    <w:rsid w:val="00407E77"/>
    <w:rsid w:val="004100D1"/>
    <w:rsid w:val="00410626"/>
    <w:rsid w:val="0041068D"/>
    <w:rsid w:val="00410819"/>
    <w:rsid w:val="0041094B"/>
    <w:rsid w:val="00410CCC"/>
    <w:rsid w:val="00410EC7"/>
    <w:rsid w:val="004111B3"/>
    <w:rsid w:val="0041140E"/>
    <w:rsid w:val="00411704"/>
    <w:rsid w:val="0041198F"/>
    <w:rsid w:val="00411A33"/>
    <w:rsid w:val="00411BD7"/>
    <w:rsid w:val="0041207F"/>
    <w:rsid w:val="00412082"/>
    <w:rsid w:val="00412103"/>
    <w:rsid w:val="004121C2"/>
    <w:rsid w:val="00412508"/>
    <w:rsid w:val="00412566"/>
    <w:rsid w:val="00412998"/>
    <w:rsid w:val="004129EF"/>
    <w:rsid w:val="00412A5D"/>
    <w:rsid w:val="00412C69"/>
    <w:rsid w:val="00412DCE"/>
    <w:rsid w:val="00413AFD"/>
    <w:rsid w:val="00413B1A"/>
    <w:rsid w:val="00413B3E"/>
    <w:rsid w:val="00413B4D"/>
    <w:rsid w:val="00413CFB"/>
    <w:rsid w:val="00413D51"/>
    <w:rsid w:val="00414643"/>
    <w:rsid w:val="00414773"/>
    <w:rsid w:val="00414B14"/>
    <w:rsid w:val="00414B5C"/>
    <w:rsid w:val="00414CA0"/>
    <w:rsid w:val="00414D05"/>
    <w:rsid w:val="00414E90"/>
    <w:rsid w:val="00414EF3"/>
    <w:rsid w:val="00414F3A"/>
    <w:rsid w:val="00414FDA"/>
    <w:rsid w:val="0041518D"/>
    <w:rsid w:val="004157B1"/>
    <w:rsid w:val="0041598B"/>
    <w:rsid w:val="00415A83"/>
    <w:rsid w:val="00415ADD"/>
    <w:rsid w:val="00415CF7"/>
    <w:rsid w:val="00415DCC"/>
    <w:rsid w:val="00415DDD"/>
    <w:rsid w:val="00415FAC"/>
    <w:rsid w:val="00416479"/>
    <w:rsid w:val="00416762"/>
    <w:rsid w:val="004168AE"/>
    <w:rsid w:val="004169E4"/>
    <w:rsid w:val="004169F8"/>
    <w:rsid w:val="00416E55"/>
    <w:rsid w:val="0041700C"/>
    <w:rsid w:val="00417020"/>
    <w:rsid w:val="004171C0"/>
    <w:rsid w:val="0041732A"/>
    <w:rsid w:val="0041733B"/>
    <w:rsid w:val="00417349"/>
    <w:rsid w:val="004173B2"/>
    <w:rsid w:val="00417AA4"/>
    <w:rsid w:val="00417ADB"/>
    <w:rsid w:val="00417B38"/>
    <w:rsid w:val="00417B6A"/>
    <w:rsid w:val="00417C5B"/>
    <w:rsid w:val="00417C88"/>
    <w:rsid w:val="00417D22"/>
    <w:rsid w:val="004201BC"/>
    <w:rsid w:val="0042023D"/>
    <w:rsid w:val="0042032F"/>
    <w:rsid w:val="00420356"/>
    <w:rsid w:val="00420469"/>
    <w:rsid w:val="004204AC"/>
    <w:rsid w:val="0042050F"/>
    <w:rsid w:val="00420638"/>
    <w:rsid w:val="004207A3"/>
    <w:rsid w:val="00420832"/>
    <w:rsid w:val="00420DBE"/>
    <w:rsid w:val="004213FD"/>
    <w:rsid w:val="00421644"/>
    <w:rsid w:val="0042174F"/>
    <w:rsid w:val="0042190D"/>
    <w:rsid w:val="00421955"/>
    <w:rsid w:val="004219F9"/>
    <w:rsid w:val="00421A6E"/>
    <w:rsid w:val="00421B15"/>
    <w:rsid w:val="00421E6A"/>
    <w:rsid w:val="004223B7"/>
    <w:rsid w:val="004224ED"/>
    <w:rsid w:val="00422586"/>
    <w:rsid w:val="004227A2"/>
    <w:rsid w:val="004229DE"/>
    <w:rsid w:val="004229FA"/>
    <w:rsid w:val="00422B68"/>
    <w:rsid w:val="00422B6B"/>
    <w:rsid w:val="00422D17"/>
    <w:rsid w:val="00422F34"/>
    <w:rsid w:val="00422FA6"/>
    <w:rsid w:val="00423372"/>
    <w:rsid w:val="004233A3"/>
    <w:rsid w:val="00423580"/>
    <w:rsid w:val="0042390E"/>
    <w:rsid w:val="00423C05"/>
    <w:rsid w:val="00423C42"/>
    <w:rsid w:val="00423FA4"/>
    <w:rsid w:val="00424117"/>
    <w:rsid w:val="00424148"/>
    <w:rsid w:val="004248D7"/>
    <w:rsid w:val="00425122"/>
    <w:rsid w:val="00425163"/>
    <w:rsid w:val="0042518A"/>
    <w:rsid w:val="004251DB"/>
    <w:rsid w:val="0042566D"/>
    <w:rsid w:val="0042572A"/>
    <w:rsid w:val="0042579C"/>
    <w:rsid w:val="004257EE"/>
    <w:rsid w:val="00425988"/>
    <w:rsid w:val="004259BD"/>
    <w:rsid w:val="004259C0"/>
    <w:rsid w:val="00425BF7"/>
    <w:rsid w:val="00425E8A"/>
    <w:rsid w:val="0042602A"/>
    <w:rsid w:val="004260B1"/>
    <w:rsid w:val="00426505"/>
    <w:rsid w:val="00426AF9"/>
    <w:rsid w:val="00426FC7"/>
    <w:rsid w:val="004271F8"/>
    <w:rsid w:val="004272A8"/>
    <w:rsid w:val="004272D9"/>
    <w:rsid w:val="004272E1"/>
    <w:rsid w:val="0042741E"/>
    <w:rsid w:val="004274BC"/>
    <w:rsid w:val="0042757B"/>
    <w:rsid w:val="004276A0"/>
    <w:rsid w:val="00427D1F"/>
    <w:rsid w:val="00427E92"/>
    <w:rsid w:val="00427EA8"/>
    <w:rsid w:val="00430150"/>
    <w:rsid w:val="00430175"/>
    <w:rsid w:val="00430291"/>
    <w:rsid w:val="0043070A"/>
    <w:rsid w:val="00430A06"/>
    <w:rsid w:val="00430E90"/>
    <w:rsid w:val="00431130"/>
    <w:rsid w:val="00431516"/>
    <w:rsid w:val="00431805"/>
    <w:rsid w:val="00431C18"/>
    <w:rsid w:val="00431C30"/>
    <w:rsid w:val="00431C83"/>
    <w:rsid w:val="00431D8E"/>
    <w:rsid w:val="00432064"/>
    <w:rsid w:val="0043210E"/>
    <w:rsid w:val="00432122"/>
    <w:rsid w:val="0043221D"/>
    <w:rsid w:val="0043229E"/>
    <w:rsid w:val="004322CA"/>
    <w:rsid w:val="0043239B"/>
    <w:rsid w:val="004324F3"/>
    <w:rsid w:val="004329AA"/>
    <w:rsid w:val="00432B58"/>
    <w:rsid w:val="00432BED"/>
    <w:rsid w:val="00432C8F"/>
    <w:rsid w:val="00433092"/>
    <w:rsid w:val="004332A8"/>
    <w:rsid w:val="004335BC"/>
    <w:rsid w:val="00433630"/>
    <w:rsid w:val="004337C8"/>
    <w:rsid w:val="00433EDA"/>
    <w:rsid w:val="00433F0F"/>
    <w:rsid w:val="00434376"/>
    <w:rsid w:val="004344CB"/>
    <w:rsid w:val="00434538"/>
    <w:rsid w:val="004346C3"/>
    <w:rsid w:val="004347C9"/>
    <w:rsid w:val="00434946"/>
    <w:rsid w:val="00434C8B"/>
    <w:rsid w:val="004350E2"/>
    <w:rsid w:val="00435279"/>
    <w:rsid w:val="0043533D"/>
    <w:rsid w:val="004355CD"/>
    <w:rsid w:val="004359AF"/>
    <w:rsid w:val="00435AEB"/>
    <w:rsid w:val="00435BDC"/>
    <w:rsid w:val="00436029"/>
    <w:rsid w:val="004360D7"/>
    <w:rsid w:val="00436126"/>
    <w:rsid w:val="00436283"/>
    <w:rsid w:val="00436442"/>
    <w:rsid w:val="00436593"/>
    <w:rsid w:val="0043664A"/>
    <w:rsid w:val="0043666E"/>
    <w:rsid w:val="00436756"/>
    <w:rsid w:val="004368E1"/>
    <w:rsid w:val="00436D14"/>
    <w:rsid w:val="00437105"/>
    <w:rsid w:val="00437165"/>
    <w:rsid w:val="004371B5"/>
    <w:rsid w:val="0043734F"/>
    <w:rsid w:val="004377F2"/>
    <w:rsid w:val="004379C4"/>
    <w:rsid w:val="00437A2D"/>
    <w:rsid w:val="00437AC0"/>
    <w:rsid w:val="00437C15"/>
    <w:rsid w:val="00437D33"/>
    <w:rsid w:val="0044009E"/>
    <w:rsid w:val="00440298"/>
    <w:rsid w:val="00440326"/>
    <w:rsid w:val="0044038F"/>
    <w:rsid w:val="004404FE"/>
    <w:rsid w:val="00440645"/>
    <w:rsid w:val="0044070B"/>
    <w:rsid w:val="004409C8"/>
    <w:rsid w:val="00440C46"/>
    <w:rsid w:val="00440CE7"/>
    <w:rsid w:val="00440E07"/>
    <w:rsid w:val="00440E23"/>
    <w:rsid w:val="004411F1"/>
    <w:rsid w:val="00441210"/>
    <w:rsid w:val="00441278"/>
    <w:rsid w:val="004413B0"/>
    <w:rsid w:val="00441477"/>
    <w:rsid w:val="004414EA"/>
    <w:rsid w:val="00441653"/>
    <w:rsid w:val="00441A1E"/>
    <w:rsid w:val="00441B53"/>
    <w:rsid w:val="00442195"/>
    <w:rsid w:val="0044220B"/>
    <w:rsid w:val="004425D5"/>
    <w:rsid w:val="004427FD"/>
    <w:rsid w:val="004429CF"/>
    <w:rsid w:val="00442AB5"/>
    <w:rsid w:val="00442AD0"/>
    <w:rsid w:val="00442AEB"/>
    <w:rsid w:val="00442B4C"/>
    <w:rsid w:val="00442EA9"/>
    <w:rsid w:val="00443093"/>
    <w:rsid w:val="0044313F"/>
    <w:rsid w:val="00443457"/>
    <w:rsid w:val="0044378F"/>
    <w:rsid w:val="00443978"/>
    <w:rsid w:val="00443B30"/>
    <w:rsid w:val="00443B4C"/>
    <w:rsid w:val="00443BAE"/>
    <w:rsid w:val="00443C00"/>
    <w:rsid w:val="00443E46"/>
    <w:rsid w:val="004440D8"/>
    <w:rsid w:val="00444202"/>
    <w:rsid w:val="004442D2"/>
    <w:rsid w:val="004443DD"/>
    <w:rsid w:val="00444519"/>
    <w:rsid w:val="00444863"/>
    <w:rsid w:val="00444A63"/>
    <w:rsid w:val="00444CDB"/>
    <w:rsid w:val="00444D0C"/>
    <w:rsid w:val="00444E4D"/>
    <w:rsid w:val="00444ECB"/>
    <w:rsid w:val="00445265"/>
    <w:rsid w:val="004452D4"/>
    <w:rsid w:val="00445379"/>
    <w:rsid w:val="00445684"/>
    <w:rsid w:val="00445A33"/>
    <w:rsid w:val="00445B27"/>
    <w:rsid w:val="00445B2F"/>
    <w:rsid w:val="00445EEE"/>
    <w:rsid w:val="00445F49"/>
    <w:rsid w:val="004466AE"/>
    <w:rsid w:val="004473A8"/>
    <w:rsid w:val="004474D2"/>
    <w:rsid w:val="004476A0"/>
    <w:rsid w:val="00447771"/>
    <w:rsid w:val="00447A12"/>
    <w:rsid w:val="00447A48"/>
    <w:rsid w:val="00447A88"/>
    <w:rsid w:val="00450089"/>
    <w:rsid w:val="004502C1"/>
    <w:rsid w:val="00450EDA"/>
    <w:rsid w:val="00451144"/>
    <w:rsid w:val="004514BC"/>
    <w:rsid w:val="00451667"/>
    <w:rsid w:val="004518ED"/>
    <w:rsid w:val="004519EF"/>
    <w:rsid w:val="00451BE6"/>
    <w:rsid w:val="00451D3A"/>
    <w:rsid w:val="00451D51"/>
    <w:rsid w:val="00451DFF"/>
    <w:rsid w:val="0045205D"/>
    <w:rsid w:val="004524A4"/>
    <w:rsid w:val="004524B7"/>
    <w:rsid w:val="0045250F"/>
    <w:rsid w:val="00452525"/>
    <w:rsid w:val="004527C1"/>
    <w:rsid w:val="00452C40"/>
    <w:rsid w:val="00452C44"/>
    <w:rsid w:val="00452D49"/>
    <w:rsid w:val="00452FD6"/>
    <w:rsid w:val="004531A9"/>
    <w:rsid w:val="004531AE"/>
    <w:rsid w:val="004535DC"/>
    <w:rsid w:val="0045365A"/>
    <w:rsid w:val="00453887"/>
    <w:rsid w:val="00453958"/>
    <w:rsid w:val="004539AB"/>
    <w:rsid w:val="00453BC8"/>
    <w:rsid w:val="00453C62"/>
    <w:rsid w:val="00453EA3"/>
    <w:rsid w:val="00453F2E"/>
    <w:rsid w:val="0045407B"/>
    <w:rsid w:val="004540AD"/>
    <w:rsid w:val="004542A3"/>
    <w:rsid w:val="0045430A"/>
    <w:rsid w:val="0045464C"/>
    <w:rsid w:val="00454705"/>
    <w:rsid w:val="00454A32"/>
    <w:rsid w:val="00454A9A"/>
    <w:rsid w:val="00454D2D"/>
    <w:rsid w:val="00454D82"/>
    <w:rsid w:val="0045564D"/>
    <w:rsid w:val="00455877"/>
    <w:rsid w:val="004559CE"/>
    <w:rsid w:val="00455B80"/>
    <w:rsid w:val="00455C32"/>
    <w:rsid w:val="00455D1E"/>
    <w:rsid w:val="00455DA9"/>
    <w:rsid w:val="00455E65"/>
    <w:rsid w:val="00456182"/>
    <w:rsid w:val="00456194"/>
    <w:rsid w:val="00456232"/>
    <w:rsid w:val="00456411"/>
    <w:rsid w:val="00456513"/>
    <w:rsid w:val="004565F7"/>
    <w:rsid w:val="00456707"/>
    <w:rsid w:val="00456B6B"/>
    <w:rsid w:val="00456FC7"/>
    <w:rsid w:val="00457228"/>
    <w:rsid w:val="004572C0"/>
    <w:rsid w:val="0045733E"/>
    <w:rsid w:val="004576D4"/>
    <w:rsid w:val="004576E9"/>
    <w:rsid w:val="00457FF6"/>
    <w:rsid w:val="004600B4"/>
    <w:rsid w:val="004600EF"/>
    <w:rsid w:val="0046017F"/>
    <w:rsid w:val="00460387"/>
    <w:rsid w:val="004606BC"/>
    <w:rsid w:val="004607A6"/>
    <w:rsid w:val="00460C3E"/>
    <w:rsid w:val="00460D58"/>
    <w:rsid w:val="00460E1A"/>
    <w:rsid w:val="00460E20"/>
    <w:rsid w:val="00460E36"/>
    <w:rsid w:val="00460FBC"/>
    <w:rsid w:val="004610B9"/>
    <w:rsid w:val="004612B7"/>
    <w:rsid w:val="0046133A"/>
    <w:rsid w:val="00461386"/>
    <w:rsid w:val="0046164D"/>
    <w:rsid w:val="0046167A"/>
    <w:rsid w:val="004616D8"/>
    <w:rsid w:val="00461915"/>
    <w:rsid w:val="004621A5"/>
    <w:rsid w:val="004622D6"/>
    <w:rsid w:val="0046248A"/>
    <w:rsid w:val="004624A8"/>
    <w:rsid w:val="00462503"/>
    <w:rsid w:val="00462865"/>
    <w:rsid w:val="00462B0C"/>
    <w:rsid w:val="00462D9D"/>
    <w:rsid w:val="004631F2"/>
    <w:rsid w:val="004632B2"/>
    <w:rsid w:val="00463450"/>
    <w:rsid w:val="00463882"/>
    <w:rsid w:val="00463886"/>
    <w:rsid w:val="00463B0A"/>
    <w:rsid w:val="00463B7A"/>
    <w:rsid w:val="00463BAF"/>
    <w:rsid w:val="00463C01"/>
    <w:rsid w:val="00463DF8"/>
    <w:rsid w:val="00463FF0"/>
    <w:rsid w:val="00464016"/>
    <w:rsid w:val="0046405E"/>
    <w:rsid w:val="0046435F"/>
    <w:rsid w:val="0046448A"/>
    <w:rsid w:val="004645E2"/>
    <w:rsid w:val="00464789"/>
    <w:rsid w:val="004648AC"/>
    <w:rsid w:val="00464929"/>
    <w:rsid w:val="0046498B"/>
    <w:rsid w:val="00464A16"/>
    <w:rsid w:val="00464C7B"/>
    <w:rsid w:val="00464DF5"/>
    <w:rsid w:val="00464EB7"/>
    <w:rsid w:val="00464FF9"/>
    <w:rsid w:val="004656C4"/>
    <w:rsid w:val="00465AE7"/>
    <w:rsid w:val="00465B8A"/>
    <w:rsid w:val="00466280"/>
    <w:rsid w:val="00466489"/>
    <w:rsid w:val="004664C8"/>
    <w:rsid w:val="00466605"/>
    <w:rsid w:val="0046680E"/>
    <w:rsid w:val="004668F1"/>
    <w:rsid w:val="004669E0"/>
    <w:rsid w:val="00466A7B"/>
    <w:rsid w:val="00466B55"/>
    <w:rsid w:val="00466CB2"/>
    <w:rsid w:val="00466F69"/>
    <w:rsid w:val="0046799D"/>
    <w:rsid w:val="00467C9E"/>
    <w:rsid w:val="0047000E"/>
    <w:rsid w:val="004700CF"/>
    <w:rsid w:val="0047030A"/>
    <w:rsid w:val="00470462"/>
    <w:rsid w:val="00470731"/>
    <w:rsid w:val="00470755"/>
    <w:rsid w:val="00470815"/>
    <w:rsid w:val="004709F3"/>
    <w:rsid w:val="00470B74"/>
    <w:rsid w:val="00470E13"/>
    <w:rsid w:val="00470E65"/>
    <w:rsid w:val="004712D5"/>
    <w:rsid w:val="004712DF"/>
    <w:rsid w:val="004714EE"/>
    <w:rsid w:val="004715BF"/>
    <w:rsid w:val="0047178B"/>
    <w:rsid w:val="004717F3"/>
    <w:rsid w:val="00471982"/>
    <w:rsid w:val="00471A2D"/>
    <w:rsid w:val="00471F75"/>
    <w:rsid w:val="00471FA6"/>
    <w:rsid w:val="00471FB3"/>
    <w:rsid w:val="004720FF"/>
    <w:rsid w:val="00472142"/>
    <w:rsid w:val="0047222E"/>
    <w:rsid w:val="004724FB"/>
    <w:rsid w:val="004727DD"/>
    <w:rsid w:val="0047290E"/>
    <w:rsid w:val="00472DCC"/>
    <w:rsid w:val="00472E28"/>
    <w:rsid w:val="00472E80"/>
    <w:rsid w:val="00473307"/>
    <w:rsid w:val="004736D8"/>
    <w:rsid w:val="00473903"/>
    <w:rsid w:val="00473A55"/>
    <w:rsid w:val="0047451D"/>
    <w:rsid w:val="004745FA"/>
    <w:rsid w:val="0047465C"/>
    <w:rsid w:val="00474A01"/>
    <w:rsid w:val="00474EC9"/>
    <w:rsid w:val="00474F4D"/>
    <w:rsid w:val="00475085"/>
    <w:rsid w:val="00475138"/>
    <w:rsid w:val="0047516D"/>
    <w:rsid w:val="0047524F"/>
    <w:rsid w:val="0047543A"/>
    <w:rsid w:val="0047554F"/>
    <w:rsid w:val="0047557F"/>
    <w:rsid w:val="004757FF"/>
    <w:rsid w:val="00475B3B"/>
    <w:rsid w:val="00475BC9"/>
    <w:rsid w:val="00475CE1"/>
    <w:rsid w:val="00475D33"/>
    <w:rsid w:val="00476083"/>
    <w:rsid w:val="004761FA"/>
    <w:rsid w:val="0047649B"/>
    <w:rsid w:val="00476543"/>
    <w:rsid w:val="00476623"/>
    <w:rsid w:val="00476660"/>
    <w:rsid w:val="0047674F"/>
    <w:rsid w:val="004768BF"/>
    <w:rsid w:val="004769A4"/>
    <w:rsid w:val="00476BF0"/>
    <w:rsid w:val="00476BF1"/>
    <w:rsid w:val="00476CF6"/>
    <w:rsid w:val="00476DF1"/>
    <w:rsid w:val="004772B3"/>
    <w:rsid w:val="00477517"/>
    <w:rsid w:val="004776D3"/>
    <w:rsid w:val="004777B5"/>
    <w:rsid w:val="004778EB"/>
    <w:rsid w:val="004779DE"/>
    <w:rsid w:val="00477A61"/>
    <w:rsid w:val="00477AA8"/>
    <w:rsid w:val="00477C55"/>
    <w:rsid w:val="00477C65"/>
    <w:rsid w:val="00477D60"/>
    <w:rsid w:val="00477F69"/>
    <w:rsid w:val="00480290"/>
    <w:rsid w:val="0048038C"/>
    <w:rsid w:val="0048063D"/>
    <w:rsid w:val="0048079F"/>
    <w:rsid w:val="00480A23"/>
    <w:rsid w:val="00480B73"/>
    <w:rsid w:val="00480D71"/>
    <w:rsid w:val="004811F4"/>
    <w:rsid w:val="004814E1"/>
    <w:rsid w:val="004814E8"/>
    <w:rsid w:val="0048175C"/>
    <w:rsid w:val="00481A26"/>
    <w:rsid w:val="00481AD1"/>
    <w:rsid w:val="00481B0D"/>
    <w:rsid w:val="00481C91"/>
    <w:rsid w:val="00481D78"/>
    <w:rsid w:val="004827B5"/>
    <w:rsid w:val="00482C8F"/>
    <w:rsid w:val="00482CFF"/>
    <w:rsid w:val="00482DB5"/>
    <w:rsid w:val="0048301C"/>
    <w:rsid w:val="00483338"/>
    <w:rsid w:val="004833E0"/>
    <w:rsid w:val="00483568"/>
    <w:rsid w:val="004836B7"/>
    <w:rsid w:val="004836DF"/>
    <w:rsid w:val="00483AD9"/>
    <w:rsid w:val="00483AE5"/>
    <w:rsid w:val="00483C05"/>
    <w:rsid w:val="00483CCF"/>
    <w:rsid w:val="00483F12"/>
    <w:rsid w:val="00483F94"/>
    <w:rsid w:val="0048406F"/>
    <w:rsid w:val="004845EB"/>
    <w:rsid w:val="00484EE2"/>
    <w:rsid w:val="00485778"/>
    <w:rsid w:val="00485800"/>
    <w:rsid w:val="00485844"/>
    <w:rsid w:val="004859C0"/>
    <w:rsid w:val="00485A76"/>
    <w:rsid w:val="00485B43"/>
    <w:rsid w:val="00485C87"/>
    <w:rsid w:val="00486108"/>
    <w:rsid w:val="004863A5"/>
    <w:rsid w:val="00486496"/>
    <w:rsid w:val="004864BA"/>
    <w:rsid w:val="00486526"/>
    <w:rsid w:val="00486C79"/>
    <w:rsid w:val="00486C84"/>
    <w:rsid w:val="00486CC3"/>
    <w:rsid w:val="00486F81"/>
    <w:rsid w:val="0048740F"/>
    <w:rsid w:val="00487529"/>
    <w:rsid w:val="004876DF"/>
    <w:rsid w:val="004876FC"/>
    <w:rsid w:val="004877BC"/>
    <w:rsid w:val="00487803"/>
    <w:rsid w:val="00487813"/>
    <w:rsid w:val="00487A46"/>
    <w:rsid w:val="00487BDA"/>
    <w:rsid w:val="00487FA5"/>
    <w:rsid w:val="00487FB0"/>
    <w:rsid w:val="004902D0"/>
    <w:rsid w:val="0049039D"/>
    <w:rsid w:val="0049069B"/>
    <w:rsid w:val="00490974"/>
    <w:rsid w:val="00490C4F"/>
    <w:rsid w:val="00491209"/>
    <w:rsid w:val="00491613"/>
    <w:rsid w:val="004918DD"/>
    <w:rsid w:val="00491980"/>
    <w:rsid w:val="00491CC4"/>
    <w:rsid w:val="00491E34"/>
    <w:rsid w:val="00491FB6"/>
    <w:rsid w:val="00492348"/>
    <w:rsid w:val="00492571"/>
    <w:rsid w:val="004927E6"/>
    <w:rsid w:val="00492A8A"/>
    <w:rsid w:val="00492B27"/>
    <w:rsid w:val="00492E91"/>
    <w:rsid w:val="00492FCB"/>
    <w:rsid w:val="00493527"/>
    <w:rsid w:val="004936B1"/>
    <w:rsid w:val="00493771"/>
    <w:rsid w:val="00494269"/>
    <w:rsid w:val="004948A7"/>
    <w:rsid w:val="004948FA"/>
    <w:rsid w:val="0049490C"/>
    <w:rsid w:val="00494B2E"/>
    <w:rsid w:val="00494C6B"/>
    <w:rsid w:val="00495199"/>
    <w:rsid w:val="004954FA"/>
    <w:rsid w:val="004955E3"/>
    <w:rsid w:val="00495B3B"/>
    <w:rsid w:val="00495FF3"/>
    <w:rsid w:val="004960C6"/>
    <w:rsid w:val="004960D9"/>
    <w:rsid w:val="004968E5"/>
    <w:rsid w:val="0049693B"/>
    <w:rsid w:val="00496F79"/>
    <w:rsid w:val="00496FFC"/>
    <w:rsid w:val="004970DB"/>
    <w:rsid w:val="004971A2"/>
    <w:rsid w:val="004971A4"/>
    <w:rsid w:val="00497D75"/>
    <w:rsid w:val="00497E08"/>
    <w:rsid w:val="00497EC2"/>
    <w:rsid w:val="00497F87"/>
    <w:rsid w:val="00497FB4"/>
    <w:rsid w:val="004A00CA"/>
    <w:rsid w:val="004A0368"/>
    <w:rsid w:val="004A0437"/>
    <w:rsid w:val="004A047A"/>
    <w:rsid w:val="004A0989"/>
    <w:rsid w:val="004A09B9"/>
    <w:rsid w:val="004A0F11"/>
    <w:rsid w:val="004A0F66"/>
    <w:rsid w:val="004A10CD"/>
    <w:rsid w:val="004A115C"/>
    <w:rsid w:val="004A1253"/>
    <w:rsid w:val="004A1422"/>
    <w:rsid w:val="004A1469"/>
    <w:rsid w:val="004A1868"/>
    <w:rsid w:val="004A191E"/>
    <w:rsid w:val="004A1A42"/>
    <w:rsid w:val="004A1B23"/>
    <w:rsid w:val="004A1C23"/>
    <w:rsid w:val="004A1D99"/>
    <w:rsid w:val="004A1F9C"/>
    <w:rsid w:val="004A20A8"/>
    <w:rsid w:val="004A213A"/>
    <w:rsid w:val="004A21E3"/>
    <w:rsid w:val="004A22CD"/>
    <w:rsid w:val="004A2472"/>
    <w:rsid w:val="004A2584"/>
    <w:rsid w:val="004A2AD4"/>
    <w:rsid w:val="004A2FB4"/>
    <w:rsid w:val="004A326A"/>
    <w:rsid w:val="004A32D9"/>
    <w:rsid w:val="004A346E"/>
    <w:rsid w:val="004A34E2"/>
    <w:rsid w:val="004A3579"/>
    <w:rsid w:val="004A3AEC"/>
    <w:rsid w:val="004A3BAA"/>
    <w:rsid w:val="004A3C2C"/>
    <w:rsid w:val="004A3E57"/>
    <w:rsid w:val="004A3EAA"/>
    <w:rsid w:val="004A3F4A"/>
    <w:rsid w:val="004A3FAD"/>
    <w:rsid w:val="004A406B"/>
    <w:rsid w:val="004A41F3"/>
    <w:rsid w:val="004A4415"/>
    <w:rsid w:val="004A4436"/>
    <w:rsid w:val="004A45E9"/>
    <w:rsid w:val="004A49C2"/>
    <w:rsid w:val="004A4A3F"/>
    <w:rsid w:val="004A4D03"/>
    <w:rsid w:val="004A4D42"/>
    <w:rsid w:val="004A50F3"/>
    <w:rsid w:val="004A5747"/>
    <w:rsid w:val="004A58C1"/>
    <w:rsid w:val="004A5B56"/>
    <w:rsid w:val="004A5B85"/>
    <w:rsid w:val="004A5C29"/>
    <w:rsid w:val="004A5F12"/>
    <w:rsid w:val="004A60C9"/>
    <w:rsid w:val="004A661B"/>
    <w:rsid w:val="004A6B00"/>
    <w:rsid w:val="004A6BF0"/>
    <w:rsid w:val="004A6D2A"/>
    <w:rsid w:val="004A6D3C"/>
    <w:rsid w:val="004A6EDF"/>
    <w:rsid w:val="004A7427"/>
    <w:rsid w:val="004A7721"/>
    <w:rsid w:val="004A7B06"/>
    <w:rsid w:val="004A7BD7"/>
    <w:rsid w:val="004A7D45"/>
    <w:rsid w:val="004A7D97"/>
    <w:rsid w:val="004A7DD2"/>
    <w:rsid w:val="004A7F64"/>
    <w:rsid w:val="004B001C"/>
    <w:rsid w:val="004B01DE"/>
    <w:rsid w:val="004B0678"/>
    <w:rsid w:val="004B0965"/>
    <w:rsid w:val="004B0FF9"/>
    <w:rsid w:val="004B12C6"/>
    <w:rsid w:val="004B1384"/>
    <w:rsid w:val="004B1552"/>
    <w:rsid w:val="004B18B4"/>
    <w:rsid w:val="004B1A67"/>
    <w:rsid w:val="004B1A87"/>
    <w:rsid w:val="004B1BF7"/>
    <w:rsid w:val="004B1C59"/>
    <w:rsid w:val="004B1F97"/>
    <w:rsid w:val="004B2087"/>
    <w:rsid w:val="004B21BC"/>
    <w:rsid w:val="004B2568"/>
    <w:rsid w:val="004B25F5"/>
    <w:rsid w:val="004B28F6"/>
    <w:rsid w:val="004B29C7"/>
    <w:rsid w:val="004B2A9E"/>
    <w:rsid w:val="004B2C7C"/>
    <w:rsid w:val="004B2E31"/>
    <w:rsid w:val="004B2F36"/>
    <w:rsid w:val="004B3426"/>
    <w:rsid w:val="004B3827"/>
    <w:rsid w:val="004B3B4D"/>
    <w:rsid w:val="004B3D17"/>
    <w:rsid w:val="004B3F88"/>
    <w:rsid w:val="004B413A"/>
    <w:rsid w:val="004B42C7"/>
    <w:rsid w:val="004B42F0"/>
    <w:rsid w:val="004B456F"/>
    <w:rsid w:val="004B4574"/>
    <w:rsid w:val="004B462C"/>
    <w:rsid w:val="004B4776"/>
    <w:rsid w:val="004B48BB"/>
    <w:rsid w:val="004B4987"/>
    <w:rsid w:val="004B4A8C"/>
    <w:rsid w:val="004B4DF7"/>
    <w:rsid w:val="004B512D"/>
    <w:rsid w:val="004B5133"/>
    <w:rsid w:val="004B53EE"/>
    <w:rsid w:val="004B550E"/>
    <w:rsid w:val="004B551C"/>
    <w:rsid w:val="004B559E"/>
    <w:rsid w:val="004B5672"/>
    <w:rsid w:val="004B59DA"/>
    <w:rsid w:val="004B5A52"/>
    <w:rsid w:val="004B5DE7"/>
    <w:rsid w:val="004B607A"/>
    <w:rsid w:val="004B644A"/>
    <w:rsid w:val="004B64B2"/>
    <w:rsid w:val="004B6790"/>
    <w:rsid w:val="004B6A8A"/>
    <w:rsid w:val="004B6B80"/>
    <w:rsid w:val="004B6E0B"/>
    <w:rsid w:val="004B6EDD"/>
    <w:rsid w:val="004B6F7D"/>
    <w:rsid w:val="004B70C5"/>
    <w:rsid w:val="004B7AD4"/>
    <w:rsid w:val="004B7B86"/>
    <w:rsid w:val="004B7DA6"/>
    <w:rsid w:val="004C0132"/>
    <w:rsid w:val="004C01F6"/>
    <w:rsid w:val="004C0526"/>
    <w:rsid w:val="004C05F7"/>
    <w:rsid w:val="004C0692"/>
    <w:rsid w:val="004C06D7"/>
    <w:rsid w:val="004C09A9"/>
    <w:rsid w:val="004C0C0F"/>
    <w:rsid w:val="004C0E6D"/>
    <w:rsid w:val="004C114B"/>
    <w:rsid w:val="004C1279"/>
    <w:rsid w:val="004C1641"/>
    <w:rsid w:val="004C169B"/>
    <w:rsid w:val="004C17BD"/>
    <w:rsid w:val="004C185D"/>
    <w:rsid w:val="004C1888"/>
    <w:rsid w:val="004C18A9"/>
    <w:rsid w:val="004C18FD"/>
    <w:rsid w:val="004C1AE0"/>
    <w:rsid w:val="004C21EE"/>
    <w:rsid w:val="004C2239"/>
    <w:rsid w:val="004C225E"/>
    <w:rsid w:val="004C2902"/>
    <w:rsid w:val="004C2941"/>
    <w:rsid w:val="004C2C95"/>
    <w:rsid w:val="004C3153"/>
    <w:rsid w:val="004C333E"/>
    <w:rsid w:val="004C34CF"/>
    <w:rsid w:val="004C3769"/>
    <w:rsid w:val="004C397B"/>
    <w:rsid w:val="004C3BDA"/>
    <w:rsid w:val="004C3C99"/>
    <w:rsid w:val="004C3CF1"/>
    <w:rsid w:val="004C41B6"/>
    <w:rsid w:val="004C4225"/>
    <w:rsid w:val="004C4297"/>
    <w:rsid w:val="004C4377"/>
    <w:rsid w:val="004C442C"/>
    <w:rsid w:val="004C481E"/>
    <w:rsid w:val="004C4A38"/>
    <w:rsid w:val="004C4BBB"/>
    <w:rsid w:val="004C4D54"/>
    <w:rsid w:val="004C4ED5"/>
    <w:rsid w:val="004C4FFA"/>
    <w:rsid w:val="004C533F"/>
    <w:rsid w:val="004C5751"/>
    <w:rsid w:val="004C5C2A"/>
    <w:rsid w:val="004C5CD9"/>
    <w:rsid w:val="004C6137"/>
    <w:rsid w:val="004C6205"/>
    <w:rsid w:val="004C63FA"/>
    <w:rsid w:val="004C64CA"/>
    <w:rsid w:val="004C64D2"/>
    <w:rsid w:val="004C655F"/>
    <w:rsid w:val="004C6BBA"/>
    <w:rsid w:val="004C6BCA"/>
    <w:rsid w:val="004C6D5E"/>
    <w:rsid w:val="004C6DE5"/>
    <w:rsid w:val="004C6F44"/>
    <w:rsid w:val="004C7009"/>
    <w:rsid w:val="004C7158"/>
    <w:rsid w:val="004C75CD"/>
    <w:rsid w:val="004C7869"/>
    <w:rsid w:val="004D006C"/>
    <w:rsid w:val="004D00E7"/>
    <w:rsid w:val="004D0363"/>
    <w:rsid w:val="004D036B"/>
    <w:rsid w:val="004D0639"/>
    <w:rsid w:val="004D0732"/>
    <w:rsid w:val="004D075B"/>
    <w:rsid w:val="004D0762"/>
    <w:rsid w:val="004D07DE"/>
    <w:rsid w:val="004D0815"/>
    <w:rsid w:val="004D09C8"/>
    <w:rsid w:val="004D0DE6"/>
    <w:rsid w:val="004D11E5"/>
    <w:rsid w:val="004D1406"/>
    <w:rsid w:val="004D178B"/>
    <w:rsid w:val="004D1923"/>
    <w:rsid w:val="004D1994"/>
    <w:rsid w:val="004D2318"/>
    <w:rsid w:val="004D2546"/>
    <w:rsid w:val="004D2564"/>
    <w:rsid w:val="004D2C03"/>
    <w:rsid w:val="004D2C8A"/>
    <w:rsid w:val="004D2F85"/>
    <w:rsid w:val="004D310D"/>
    <w:rsid w:val="004D3401"/>
    <w:rsid w:val="004D3675"/>
    <w:rsid w:val="004D36A4"/>
    <w:rsid w:val="004D374E"/>
    <w:rsid w:val="004D408E"/>
    <w:rsid w:val="004D4234"/>
    <w:rsid w:val="004D45B4"/>
    <w:rsid w:val="004D45EE"/>
    <w:rsid w:val="004D4652"/>
    <w:rsid w:val="004D469C"/>
    <w:rsid w:val="004D49E7"/>
    <w:rsid w:val="004D4BA1"/>
    <w:rsid w:val="004D4C97"/>
    <w:rsid w:val="004D4E07"/>
    <w:rsid w:val="004D531A"/>
    <w:rsid w:val="004D5434"/>
    <w:rsid w:val="004D5665"/>
    <w:rsid w:val="004D566B"/>
    <w:rsid w:val="004D5685"/>
    <w:rsid w:val="004D57B7"/>
    <w:rsid w:val="004D5850"/>
    <w:rsid w:val="004D5972"/>
    <w:rsid w:val="004D5F48"/>
    <w:rsid w:val="004D66B0"/>
    <w:rsid w:val="004D6775"/>
    <w:rsid w:val="004D6A85"/>
    <w:rsid w:val="004D6AC8"/>
    <w:rsid w:val="004D6D5F"/>
    <w:rsid w:val="004D6E37"/>
    <w:rsid w:val="004D702F"/>
    <w:rsid w:val="004D7336"/>
    <w:rsid w:val="004D77F0"/>
    <w:rsid w:val="004D7844"/>
    <w:rsid w:val="004D7967"/>
    <w:rsid w:val="004D7A1D"/>
    <w:rsid w:val="004D7A6C"/>
    <w:rsid w:val="004D7B1E"/>
    <w:rsid w:val="004D7B51"/>
    <w:rsid w:val="004D7C91"/>
    <w:rsid w:val="004D7EB9"/>
    <w:rsid w:val="004E00EA"/>
    <w:rsid w:val="004E0137"/>
    <w:rsid w:val="004E01E5"/>
    <w:rsid w:val="004E052E"/>
    <w:rsid w:val="004E0547"/>
    <w:rsid w:val="004E091C"/>
    <w:rsid w:val="004E0C1E"/>
    <w:rsid w:val="004E100C"/>
    <w:rsid w:val="004E10CC"/>
    <w:rsid w:val="004E12F5"/>
    <w:rsid w:val="004E1395"/>
    <w:rsid w:val="004E13D9"/>
    <w:rsid w:val="004E1AA0"/>
    <w:rsid w:val="004E1B7A"/>
    <w:rsid w:val="004E1CB5"/>
    <w:rsid w:val="004E1D5F"/>
    <w:rsid w:val="004E2116"/>
    <w:rsid w:val="004E2172"/>
    <w:rsid w:val="004E238E"/>
    <w:rsid w:val="004E25FB"/>
    <w:rsid w:val="004E267C"/>
    <w:rsid w:val="004E27AE"/>
    <w:rsid w:val="004E2811"/>
    <w:rsid w:val="004E2884"/>
    <w:rsid w:val="004E2A21"/>
    <w:rsid w:val="004E2B64"/>
    <w:rsid w:val="004E2BA1"/>
    <w:rsid w:val="004E2D7E"/>
    <w:rsid w:val="004E3D6F"/>
    <w:rsid w:val="004E3D81"/>
    <w:rsid w:val="004E3E0E"/>
    <w:rsid w:val="004E3E7E"/>
    <w:rsid w:val="004E423D"/>
    <w:rsid w:val="004E43CE"/>
    <w:rsid w:val="004E445A"/>
    <w:rsid w:val="004E4538"/>
    <w:rsid w:val="004E45C6"/>
    <w:rsid w:val="004E46F0"/>
    <w:rsid w:val="004E4730"/>
    <w:rsid w:val="004E489A"/>
    <w:rsid w:val="004E4948"/>
    <w:rsid w:val="004E4AF9"/>
    <w:rsid w:val="004E4B70"/>
    <w:rsid w:val="004E4C6D"/>
    <w:rsid w:val="004E4CD1"/>
    <w:rsid w:val="004E4DF7"/>
    <w:rsid w:val="004E4DFD"/>
    <w:rsid w:val="004E4E8E"/>
    <w:rsid w:val="004E4F08"/>
    <w:rsid w:val="004E4FDA"/>
    <w:rsid w:val="004E5543"/>
    <w:rsid w:val="004E56A2"/>
    <w:rsid w:val="004E570F"/>
    <w:rsid w:val="004E5BB7"/>
    <w:rsid w:val="004E5FC9"/>
    <w:rsid w:val="004E607E"/>
    <w:rsid w:val="004E6308"/>
    <w:rsid w:val="004E648C"/>
    <w:rsid w:val="004E656B"/>
    <w:rsid w:val="004E6832"/>
    <w:rsid w:val="004E6990"/>
    <w:rsid w:val="004E6B14"/>
    <w:rsid w:val="004E6D35"/>
    <w:rsid w:val="004E73CF"/>
    <w:rsid w:val="004E7418"/>
    <w:rsid w:val="004E7529"/>
    <w:rsid w:val="004E76B9"/>
    <w:rsid w:val="004E7A76"/>
    <w:rsid w:val="004E7E17"/>
    <w:rsid w:val="004F0268"/>
    <w:rsid w:val="004F03F4"/>
    <w:rsid w:val="004F040E"/>
    <w:rsid w:val="004F0507"/>
    <w:rsid w:val="004F0527"/>
    <w:rsid w:val="004F0819"/>
    <w:rsid w:val="004F08F4"/>
    <w:rsid w:val="004F0A31"/>
    <w:rsid w:val="004F0B03"/>
    <w:rsid w:val="004F0CC6"/>
    <w:rsid w:val="004F0CD3"/>
    <w:rsid w:val="004F0DCC"/>
    <w:rsid w:val="004F0E6A"/>
    <w:rsid w:val="004F11A7"/>
    <w:rsid w:val="004F11BF"/>
    <w:rsid w:val="004F1566"/>
    <w:rsid w:val="004F17E4"/>
    <w:rsid w:val="004F1D8C"/>
    <w:rsid w:val="004F201B"/>
    <w:rsid w:val="004F2120"/>
    <w:rsid w:val="004F25DE"/>
    <w:rsid w:val="004F265F"/>
    <w:rsid w:val="004F26FB"/>
    <w:rsid w:val="004F2828"/>
    <w:rsid w:val="004F28D7"/>
    <w:rsid w:val="004F2B64"/>
    <w:rsid w:val="004F2B97"/>
    <w:rsid w:val="004F2C10"/>
    <w:rsid w:val="004F2D66"/>
    <w:rsid w:val="004F2E0B"/>
    <w:rsid w:val="004F2ED1"/>
    <w:rsid w:val="004F2FCA"/>
    <w:rsid w:val="004F308C"/>
    <w:rsid w:val="004F3195"/>
    <w:rsid w:val="004F33B7"/>
    <w:rsid w:val="004F3436"/>
    <w:rsid w:val="004F345B"/>
    <w:rsid w:val="004F369D"/>
    <w:rsid w:val="004F36DC"/>
    <w:rsid w:val="004F37A4"/>
    <w:rsid w:val="004F38CA"/>
    <w:rsid w:val="004F3939"/>
    <w:rsid w:val="004F3E4E"/>
    <w:rsid w:val="004F3EDB"/>
    <w:rsid w:val="004F408E"/>
    <w:rsid w:val="004F4364"/>
    <w:rsid w:val="004F43B3"/>
    <w:rsid w:val="004F4499"/>
    <w:rsid w:val="004F44E2"/>
    <w:rsid w:val="004F44E5"/>
    <w:rsid w:val="004F44FA"/>
    <w:rsid w:val="004F4570"/>
    <w:rsid w:val="004F474E"/>
    <w:rsid w:val="004F48A0"/>
    <w:rsid w:val="004F498E"/>
    <w:rsid w:val="004F49E6"/>
    <w:rsid w:val="004F4A11"/>
    <w:rsid w:val="004F4A58"/>
    <w:rsid w:val="004F4A79"/>
    <w:rsid w:val="004F4B92"/>
    <w:rsid w:val="004F4E8F"/>
    <w:rsid w:val="004F512B"/>
    <w:rsid w:val="004F51CE"/>
    <w:rsid w:val="004F5328"/>
    <w:rsid w:val="004F544E"/>
    <w:rsid w:val="004F584D"/>
    <w:rsid w:val="004F5B74"/>
    <w:rsid w:val="004F5BF9"/>
    <w:rsid w:val="004F5EA9"/>
    <w:rsid w:val="004F5EB2"/>
    <w:rsid w:val="004F5F3D"/>
    <w:rsid w:val="004F60F1"/>
    <w:rsid w:val="004F64A6"/>
    <w:rsid w:val="004F655F"/>
    <w:rsid w:val="004F65BE"/>
    <w:rsid w:val="004F66E4"/>
    <w:rsid w:val="004F678A"/>
    <w:rsid w:val="004F6951"/>
    <w:rsid w:val="004F6A89"/>
    <w:rsid w:val="004F6E8E"/>
    <w:rsid w:val="004F6FE0"/>
    <w:rsid w:val="004F70DA"/>
    <w:rsid w:val="004F735E"/>
    <w:rsid w:val="004F736F"/>
    <w:rsid w:val="004F7394"/>
    <w:rsid w:val="004F73BE"/>
    <w:rsid w:val="004F740D"/>
    <w:rsid w:val="004F7771"/>
    <w:rsid w:val="004F7772"/>
    <w:rsid w:val="004F798C"/>
    <w:rsid w:val="004F7C30"/>
    <w:rsid w:val="004F7E15"/>
    <w:rsid w:val="004F7FFD"/>
    <w:rsid w:val="005001BD"/>
    <w:rsid w:val="0050058F"/>
    <w:rsid w:val="00500642"/>
    <w:rsid w:val="005007D6"/>
    <w:rsid w:val="0050087F"/>
    <w:rsid w:val="00500A18"/>
    <w:rsid w:val="00500A78"/>
    <w:rsid w:val="00500C8D"/>
    <w:rsid w:val="00500DA5"/>
    <w:rsid w:val="00501062"/>
    <w:rsid w:val="00501205"/>
    <w:rsid w:val="00501277"/>
    <w:rsid w:val="005013B6"/>
    <w:rsid w:val="00501429"/>
    <w:rsid w:val="00501733"/>
    <w:rsid w:val="005017AE"/>
    <w:rsid w:val="00501A5F"/>
    <w:rsid w:val="00501B6C"/>
    <w:rsid w:val="00501B6D"/>
    <w:rsid w:val="00501DE5"/>
    <w:rsid w:val="00501E35"/>
    <w:rsid w:val="00501F69"/>
    <w:rsid w:val="005020C3"/>
    <w:rsid w:val="00502119"/>
    <w:rsid w:val="00502260"/>
    <w:rsid w:val="00502382"/>
    <w:rsid w:val="0050248B"/>
    <w:rsid w:val="00502663"/>
    <w:rsid w:val="00502974"/>
    <w:rsid w:val="00502A9D"/>
    <w:rsid w:val="00502CAA"/>
    <w:rsid w:val="00502EA9"/>
    <w:rsid w:val="00502FA2"/>
    <w:rsid w:val="00503827"/>
    <w:rsid w:val="005038AC"/>
    <w:rsid w:val="00503D19"/>
    <w:rsid w:val="005040E9"/>
    <w:rsid w:val="005041BD"/>
    <w:rsid w:val="00504489"/>
    <w:rsid w:val="00504686"/>
    <w:rsid w:val="005047A1"/>
    <w:rsid w:val="00504A99"/>
    <w:rsid w:val="00504C1E"/>
    <w:rsid w:val="00504E80"/>
    <w:rsid w:val="00505231"/>
    <w:rsid w:val="00505270"/>
    <w:rsid w:val="005052B4"/>
    <w:rsid w:val="005052CE"/>
    <w:rsid w:val="0050548B"/>
    <w:rsid w:val="005054B3"/>
    <w:rsid w:val="00505614"/>
    <w:rsid w:val="00505637"/>
    <w:rsid w:val="00505949"/>
    <w:rsid w:val="00505A05"/>
    <w:rsid w:val="005062A8"/>
    <w:rsid w:val="0050685A"/>
    <w:rsid w:val="005068C7"/>
    <w:rsid w:val="0050696A"/>
    <w:rsid w:val="00506BD4"/>
    <w:rsid w:val="00506D3B"/>
    <w:rsid w:val="00507018"/>
    <w:rsid w:val="0050741F"/>
    <w:rsid w:val="005078D6"/>
    <w:rsid w:val="00507B6B"/>
    <w:rsid w:val="00507D34"/>
    <w:rsid w:val="00507D93"/>
    <w:rsid w:val="00507E9B"/>
    <w:rsid w:val="00510036"/>
    <w:rsid w:val="00510240"/>
    <w:rsid w:val="00510471"/>
    <w:rsid w:val="005104F3"/>
    <w:rsid w:val="0051073B"/>
    <w:rsid w:val="00510D20"/>
    <w:rsid w:val="00511025"/>
    <w:rsid w:val="0051114B"/>
    <w:rsid w:val="005112F5"/>
    <w:rsid w:val="00511898"/>
    <w:rsid w:val="005118C0"/>
    <w:rsid w:val="00511F54"/>
    <w:rsid w:val="00511F8A"/>
    <w:rsid w:val="0051248F"/>
    <w:rsid w:val="00512691"/>
    <w:rsid w:val="005126F0"/>
    <w:rsid w:val="00512962"/>
    <w:rsid w:val="00512BA6"/>
    <w:rsid w:val="00512CC5"/>
    <w:rsid w:val="00512DD0"/>
    <w:rsid w:val="00512DEA"/>
    <w:rsid w:val="00512E29"/>
    <w:rsid w:val="005132D7"/>
    <w:rsid w:val="0051332A"/>
    <w:rsid w:val="005133A2"/>
    <w:rsid w:val="0051346D"/>
    <w:rsid w:val="005134D3"/>
    <w:rsid w:val="0051369B"/>
    <w:rsid w:val="00513939"/>
    <w:rsid w:val="00513C35"/>
    <w:rsid w:val="00513C51"/>
    <w:rsid w:val="00513F69"/>
    <w:rsid w:val="005143FE"/>
    <w:rsid w:val="005147AD"/>
    <w:rsid w:val="00514838"/>
    <w:rsid w:val="005148BA"/>
    <w:rsid w:val="005149EC"/>
    <w:rsid w:val="00514B36"/>
    <w:rsid w:val="00514B77"/>
    <w:rsid w:val="00514F37"/>
    <w:rsid w:val="00515101"/>
    <w:rsid w:val="0051517C"/>
    <w:rsid w:val="005151B8"/>
    <w:rsid w:val="00515262"/>
    <w:rsid w:val="00515320"/>
    <w:rsid w:val="005154B4"/>
    <w:rsid w:val="0051552A"/>
    <w:rsid w:val="00515A03"/>
    <w:rsid w:val="00515C30"/>
    <w:rsid w:val="00515D58"/>
    <w:rsid w:val="00515E24"/>
    <w:rsid w:val="00515F2C"/>
    <w:rsid w:val="00515FA7"/>
    <w:rsid w:val="005163C7"/>
    <w:rsid w:val="005163E3"/>
    <w:rsid w:val="00516785"/>
    <w:rsid w:val="00516819"/>
    <w:rsid w:val="00516BE9"/>
    <w:rsid w:val="00516D78"/>
    <w:rsid w:val="00516DA8"/>
    <w:rsid w:val="00517284"/>
    <w:rsid w:val="005173A3"/>
    <w:rsid w:val="005174DA"/>
    <w:rsid w:val="00517AC0"/>
    <w:rsid w:val="005201E0"/>
    <w:rsid w:val="00520231"/>
    <w:rsid w:val="005205C5"/>
    <w:rsid w:val="0052065A"/>
    <w:rsid w:val="00520696"/>
    <w:rsid w:val="005207E7"/>
    <w:rsid w:val="00520933"/>
    <w:rsid w:val="00520B6E"/>
    <w:rsid w:val="00520F22"/>
    <w:rsid w:val="00520FDE"/>
    <w:rsid w:val="0052150C"/>
    <w:rsid w:val="00521831"/>
    <w:rsid w:val="00521848"/>
    <w:rsid w:val="00521AA7"/>
    <w:rsid w:val="00521B6E"/>
    <w:rsid w:val="00521F56"/>
    <w:rsid w:val="00521F81"/>
    <w:rsid w:val="005221A7"/>
    <w:rsid w:val="0052261F"/>
    <w:rsid w:val="005226B5"/>
    <w:rsid w:val="00522A23"/>
    <w:rsid w:val="00522A7A"/>
    <w:rsid w:val="00522CF0"/>
    <w:rsid w:val="00522DCD"/>
    <w:rsid w:val="00523048"/>
    <w:rsid w:val="005231AE"/>
    <w:rsid w:val="00523567"/>
    <w:rsid w:val="0052381D"/>
    <w:rsid w:val="00523A05"/>
    <w:rsid w:val="00523A4F"/>
    <w:rsid w:val="00523D6A"/>
    <w:rsid w:val="0052419D"/>
    <w:rsid w:val="00524321"/>
    <w:rsid w:val="00524461"/>
    <w:rsid w:val="0052457D"/>
    <w:rsid w:val="00524B27"/>
    <w:rsid w:val="00524B71"/>
    <w:rsid w:val="00524B77"/>
    <w:rsid w:val="00524BA5"/>
    <w:rsid w:val="00524C2B"/>
    <w:rsid w:val="00524FB5"/>
    <w:rsid w:val="005253DA"/>
    <w:rsid w:val="00525421"/>
    <w:rsid w:val="00526133"/>
    <w:rsid w:val="005261FC"/>
    <w:rsid w:val="00526708"/>
    <w:rsid w:val="00526723"/>
    <w:rsid w:val="00526870"/>
    <w:rsid w:val="00526906"/>
    <w:rsid w:val="00526927"/>
    <w:rsid w:val="00526AF0"/>
    <w:rsid w:val="00526CA7"/>
    <w:rsid w:val="00526E95"/>
    <w:rsid w:val="00527293"/>
    <w:rsid w:val="00527745"/>
    <w:rsid w:val="0052796F"/>
    <w:rsid w:val="005279EF"/>
    <w:rsid w:val="00527C58"/>
    <w:rsid w:val="00530041"/>
    <w:rsid w:val="005300B4"/>
    <w:rsid w:val="005300B6"/>
    <w:rsid w:val="005301F8"/>
    <w:rsid w:val="005304FA"/>
    <w:rsid w:val="00530B1B"/>
    <w:rsid w:val="00530D9D"/>
    <w:rsid w:val="00531093"/>
    <w:rsid w:val="00531147"/>
    <w:rsid w:val="005312FC"/>
    <w:rsid w:val="00531439"/>
    <w:rsid w:val="00531684"/>
    <w:rsid w:val="005317D5"/>
    <w:rsid w:val="00531825"/>
    <w:rsid w:val="00531B8A"/>
    <w:rsid w:val="00531F2C"/>
    <w:rsid w:val="005323E2"/>
    <w:rsid w:val="0053240B"/>
    <w:rsid w:val="00532491"/>
    <w:rsid w:val="0053267C"/>
    <w:rsid w:val="0053282C"/>
    <w:rsid w:val="005329D7"/>
    <w:rsid w:val="00532A31"/>
    <w:rsid w:val="00532C6D"/>
    <w:rsid w:val="00532D8F"/>
    <w:rsid w:val="00533145"/>
    <w:rsid w:val="0053330B"/>
    <w:rsid w:val="0053382E"/>
    <w:rsid w:val="00533866"/>
    <w:rsid w:val="00533A49"/>
    <w:rsid w:val="00533A4D"/>
    <w:rsid w:val="00533CF1"/>
    <w:rsid w:val="00533DB7"/>
    <w:rsid w:val="0053406A"/>
    <w:rsid w:val="00534639"/>
    <w:rsid w:val="005347E9"/>
    <w:rsid w:val="00534820"/>
    <w:rsid w:val="0053499A"/>
    <w:rsid w:val="00534B44"/>
    <w:rsid w:val="00534C52"/>
    <w:rsid w:val="00534DEF"/>
    <w:rsid w:val="00534ED5"/>
    <w:rsid w:val="005352FC"/>
    <w:rsid w:val="00535375"/>
    <w:rsid w:val="0053541F"/>
    <w:rsid w:val="0053569E"/>
    <w:rsid w:val="0053590B"/>
    <w:rsid w:val="0053590E"/>
    <w:rsid w:val="00535B55"/>
    <w:rsid w:val="00535B60"/>
    <w:rsid w:val="00535D6E"/>
    <w:rsid w:val="00535E48"/>
    <w:rsid w:val="00535EEC"/>
    <w:rsid w:val="00535F87"/>
    <w:rsid w:val="0053603D"/>
    <w:rsid w:val="005362A3"/>
    <w:rsid w:val="005367D6"/>
    <w:rsid w:val="00536EBC"/>
    <w:rsid w:val="005371C4"/>
    <w:rsid w:val="00537259"/>
    <w:rsid w:val="0053742A"/>
    <w:rsid w:val="00537445"/>
    <w:rsid w:val="0053759B"/>
    <w:rsid w:val="005376A5"/>
    <w:rsid w:val="005377F2"/>
    <w:rsid w:val="005379BB"/>
    <w:rsid w:val="00537C59"/>
    <w:rsid w:val="00537C85"/>
    <w:rsid w:val="00540017"/>
    <w:rsid w:val="005400D6"/>
    <w:rsid w:val="00540178"/>
    <w:rsid w:val="005401D4"/>
    <w:rsid w:val="0054035D"/>
    <w:rsid w:val="005403F2"/>
    <w:rsid w:val="00540716"/>
    <w:rsid w:val="005409DA"/>
    <w:rsid w:val="00540B61"/>
    <w:rsid w:val="00540B83"/>
    <w:rsid w:val="005413F3"/>
    <w:rsid w:val="0054149A"/>
    <w:rsid w:val="00541CD9"/>
    <w:rsid w:val="00541D29"/>
    <w:rsid w:val="00542113"/>
    <w:rsid w:val="00542745"/>
    <w:rsid w:val="00542783"/>
    <w:rsid w:val="0054289C"/>
    <w:rsid w:val="00542933"/>
    <w:rsid w:val="00542AAC"/>
    <w:rsid w:val="00542ADA"/>
    <w:rsid w:val="00542B81"/>
    <w:rsid w:val="00542C0E"/>
    <w:rsid w:val="00542DB7"/>
    <w:rsid w:val="00542E97"/>
    <w:rsid w:val="00542FE9"/>
    <w:rsid w:val="00543257"/>
    <w:rsid w:val="00543319"/>
    <w:rsid w:val="00543809"/>
    <w:rsid w:val="00543D5F"/>
    <w:rsid w:val="00543F23"/>
    <w:rsid w:val="00544292"/>
    <w:rsid w:val="00544428"/>
    <w:rsid w:val="00544454"/>
    <w:rsid w:val="00544B3B"/>
    <w:rsid w:val="00544B43"/>
    <w:rsid w:val="00544EF7"/>
    <w:rsid w:val="0054520C"/>
    <w:rsid w:val="0054522B"/>
    <w:rsid w:val="00545415"/>
    <w:rsid w:val="005455BB"/>
    <w:rsid w:val="005455BE"/>
    <w:rsid w:val="005456A0"/>
    <w:rsid w:val="005458C2"/>
    <w:rsid w:val="005458D6"/>
    <w:rsid w:val="00545B5A"/>
    <w:rsid w:val="00545CF9"/>
    <w:rsid w:val="00545F4F"/>
    <w:rsid w:val="00545FE6"/>
    <w:rsid w:val="00546158"/>
    <w:rsid w:val="005469F3"/>
    <w:rsid w:val="005469FA"/>
    <w:rsid w:val="00546E52"/>
    <w:rsid w:val="005472CD"/>
    <w:rsid w:val="005477F1"/>
    <w:rsid w:val="00547912"/>
    <w:rsid w:val="0054792B"/>
    <w:rsid w:val="00547AB1"/>
    <w:rsid w:val="00547AD3"/>
    <w:rsid w:val="00547CC0"/>
    <w:rsid w:val="00547E92"/>
    <w:rsid w:val="0055014B"/>
    <w:rsid w:val="00550395"/>
    <w:rsid w:val="005505D6"/>
    <w:rsid w:val="00550A7B"/>
    <w:rsid w:val="00550A80"/>
    <w:rsid w:val="00550B10"/>
    <w:rsid w:val="00550DD1"/>
    <w:rsid w:val="00550E54"/>
    <w:rsid w:val="00550EEB"/>
    <w:rsid w:val="00551064"/>
    <w:rsid w:val="0055124C"/>
    <w:rsid w:val="00551513"/>
    <w:rsid w:val="005515A6"/>
    <w:rsid w:val="00551620"/>
    <w:rsid w:val="00551824"/>
    <w:rsid w:val="00551C83"/>
    <w:rsid w:val="00551F42"/>
    <w:rsid w:val="00551F7A"/>
    <w:rsid w:val="00552047"/>
    <w:rsid w:val="005527BD"/>
    <w:rsid w:val="00552C1B"/>
    <w:rsid w:val="005535A8"/>
    <w:rsid w:val="0055365A"/>
    <w:rsid w:val="005536B0"/>
    <w:rsid w:val="005537B9"/>
    <w:rsid w:val="005539F3"/>
    <w:rsid w:val="00553C8E"/>
    <w:rsid w:val="00553F42"/>
    <w:rsid w:val="00553FB3"/>
    <w:rsid w:val="00554000"/>
    <w:rsid w:val="00554915"/>
    <w:rsid w:val="00554C46"/>
    <w:rsid w:val="00554FCB"/>
    <w:rsid w:val="00555230"/>
    <w:rsid w:val="00555255"/>
    <w:rsid w:val="005553A7"/>
    <w:rsid w:val="00555559"/>
    <w:rsid w:val="005556DE"/>
    <w:rsid w:val="005557B6"/>
    <w:rsid w:val="00555925"/>
    <w:rsid w:val="00555A15"/>
    <w:rsid w:val="00555F21"/>
    <w:rsid w:val="00556029"/>
    <w:rsid w:val="0055610E"/>
    <w:rsid w:val="0055650B"/>
    <w:rsid w:val="005566A3"/>
    <w:rsid w:val="00556A45"/>
    <w:rsid w:val="00556B8F"/>
    <w:rsid w:val="00556E1A"/>
    <w:rsid w:val="00556F9C"/>
    <w:rsid w:val="005570F0"/>
    <w:rsid w:val="005570F7"/>
    <w:rsid w:val="005571FF"/>
    <w:rsid w:val="0055729A"/>
    <w:rsid w:val="005573D3"/>
    <w:rsid w:val="005575F0"/>
    <w:rsid w:val="005576B2"/>
    <w:rsid w:val="005576DF"/>
    <w:rsid w:val="005577F6"/>
    <w:rsid w:val="0055799D"/>
    <w:rsid w:val="00560148"/>
    <w:rsid w:val="005603B1"/>
    <w:rsid w:val="0056060E"/>
    <w:rsid w:val="0056066C"/>
    <w:rsid w:val="005607CB"/>
    <w:rsid w:val="005608B1"/>
    <w:rsid w:val="005608D8"/>
    <w:rsid w:val="0056093C"/>
    <w:rsid w:val="00561054"/>
    <w:rsid w:val="005611B8"/>
    <w:rsid w:val="00561309"/>
    <w:rsid w:val="0056139A"/>
    <w:rsid w:val="0056160F"/>
    <w:rsid w:val="005616A3"/>
    <w:rsid w:val="00561828"/>
    <w:rsid w:val="00561A43"/>
    <w:rsid w:val="00561AFE"/>
    <w:rsid w:val="00561B15"/>
    <w:rsid w:val="00561CB0"/>
    <w:rsid w:val="00561E4A"/>
    <w:rsid w:val="00562262"/>
    <w:rsid w:val="0056255A"/>
    <w:rsid w:val="00562598"/>
    <w:rsid w:val="005628D9"/>
    <w:rsid w:val="00562F17"/>
    <w:rsid w:val="00562F49"/>
    <w:rsid w:val="00562F9C"/>
    <w:rsid w:val="005631C4"/>
    <w:rsid w:val="00563448"/>
    <w:rsid w:val="005635DC"/>
    <w:rsid w:val="005639A9"/>
    <w:rsid w:val="005640DF"/>
    <w:rsid w:val="00564C66"/>
    <w:rsid w:val="00564FF0"/>
    <w:rsid w:val="005651C1"/>
    <w:rsid w:val="005652C2"/>
    <w:rsid w:val="00565333"/>
    <w:rsid w:val="0056582C"/>
    <w:rsid w:val="00565AC9"/>
    <w:rsid w:val="00565AD1"/>
    <w:rsid w:val="00565B08"/>
    <w:rsid w:val="00565C98"/>
    <w:rsid w:val="00565D52"/>
    <w:rsid w:val="005661E7"/>
    <w:rsid w:val="0056629A"/>
    <w:rsid w:val="005664B2"/>
    <w:rsid w:val="00566501"/>
    <w:rsid w:val="0056650F"/>
    <w:rsid w:val="005665D4"/>
    <w:rsid w:val="005665EA"/>
    <w:rsid w:val="00566AE4"/>
    <w:rsid w:val="005670CC"/>
    <w:rsid w:val="00567518"/>
    <w:rsid w:val="0056758A"/>
    <w:rsid w:val="00567732"/>
    <w:rsid w:val="005677F6"/>
    <w:rsid w:val="005678E8"/>
    <w:rsid w:val="0056791C"/>
    <w:rsid w:val="00567A81"/>
    <w:rsid w:val="00567B38"/>
    <w:rsid w:val="00567BE3"/>
    <w:rsid w:val="00567CC0"/>
    <w:rsid w:val="00567DD3"/>
    <w:rsid w:val="00567FF3"/>
    <w:rsid w:val="00570118"/>
    <w:rsid w:val="0057013E"/>
    <w:rsid w:val="005701D6"/>
    <w:rsid w:val="005705FD"/>
    <w:rsid w:val="005706BD"/>
    <w:rsid w:val="0057077A"/>
    <w:rsid w:val="00570970"/>
    <w:rsid w:val="00570A34"/>
    <w:rsid w:val="00570B34"/>
    <w:rsid w:val="00570C27"/>
    <w:rsid w:val="00571214"/>
    <w:rsid w:val="005713C6"/>
    <w:rsid w:val="0057141F"/>
    <w:rsid w:val="005716D6"/>
    <w:rsid w:val="00571EFA"/>
    <w:rsid w:val="00572183"/>
    <w:rsid w:val="005721A7"/>
    <w:rsid w:val="005722BA"/>
    <w:rsid w:val="00572426"/>
    <w:rsid w:val="0057250E"/>
    <w:rsid w:val="00572895"/>
    <w:rsid w:val="00572965"/>
    <w:rsid w:val="0057296F"/>
    <w:rsid w:val="0057310D"/>
    <w:rsid w:val="00573649"/>
    <w:rsid w:val="00573978"/>
    <w:rsid w:val="00573BA8"/>
    <w:rsid w:val="00573C01"/>
    <w:rsid w:val="00573FE3"/>
    <w:rsid w:val="00574218"/>
    <w:rsid w:val="00574274"/>
    <w:rsid w:val="00574471"/>
    <w:rsid w:val="00574730"/>
    <w:rsid w:val="00574773"/>
    <w:rsid w:val="005747F7"/>
    <w:rsid w:val="00574C69"/>
    <w:rsid w:val="00574CC1"/>
    <w:rsid w:val="00575208"/>
    <w:rsid w:val="005752B2"/>
    <w:rsid w:val="005754A2"/>
    <w:rsid w:val="005755D3"/>
    <w:rsid w:val="0057560E"/>
    <w:rsid w:val="0057564D"/>
    <w:rsid w:val="00575656"/>
    <w:rsid w:val="005757AA"/>
    <w:rsid w:val="00575AA2"/>
    <w:rsid w:val="00575AFA"/>
    <w:rsid w:val="00575B54"/>
    <w:rsid w:val="00575C02"/>
    <w:rsid w:val="00575CF9"/>
    <w:rsid w:val="00576126"/>
    <w:rsid w:val="0057644B"/>
    <w:rsid w:val="00576482"/>
    <w:rsid w:val="005765E2"/>
    <w:rsid w:val="0057673D"/>
    <w:rsid w:val="00576910"/>
    <w:rsid w:val="005769A7"/>
    <w:rsid w:val="00576CCD"/>
    <w:rsid w:val="00576CD7"/>
    <w:rsid w:val="00576D60"/>
    <w:rsid w:val="00576E42"/>
    <w:rsid w:val="005773AE"/>
    <w:rsid w:val="005773BF"/>
    <w:rsid w:val="00577587"/>
    <w:rsid w:val="0057768B"/>
    <w:rsid w:val="005776B2"/>
    <w:rsid w:val="0057778A"/>
    <w:rsid w:val="00577AB4"/>
    <w:rsid w:val="00577BA3"/>
    <w:rsid w:val="00577C10"/>
    <w:rsid w:val="00577E37"/>
    <w:rsid w:val="005800B0"/>
    <w:rsid w:val="005802EB"/>
    <w:rsid w:val="0058089F"/>
    <w:rsid w:val="0058096F"/>
    <w:rsid w:val="00580EF1"/>
    <w:rsid w:val="00581273"/>
    <w:rsid w:val="00581291"/>
    <w:rsid w:val="0058145E"/>
    <w:rsid w:val="005816ED"/>
    <w:rsid w:val="00581717"/>
    <w:rsid w:val="00581732"/>
    <w:rsid w:val="00581916"/>
    <w:rsid w:val="00581983"/>
    <w:rsid w:val="00581DD1"/>
    <w:rsid w:val="00581E66"/>
    <w:rsid w:val="00581FE1"/>
    <w:rsid w:val="005821DC"/>
    <w:rsid w:val="005821EE"/>
    <w:rsid w:val="00582433"/>
    <w:rsid w:val="005827AA"/>
    <w:rsid w:val="005827AB"/>
    <w:rsid w:val="00582821"/>
    <w:rsid w:val="00582AF1"/>
    <w:rsid w:val="00582B16"/>
    <w:rsid w:val="005837ED"/>
    <w:rsid w:val="00583945"/>
    <w:rsid w:val="00583E3F"/>
    <w:rsid w:val="00584B8A"/>
    <w:rsid w:val="0058503D"/>
    <w:rsid w:val="0058511F"/>
    <w:rsid w:val="0058517E"/>
    <w:rsid w:val="00585365"/>
    <w:rsid w:val="005856AC"/>
    <w:rsid w:val="005856AF"/>
    <w:rsid w:val="00585754"/>
    <w:rsid w:val="005859A4"/>
    <w:rsid w:val="00585ACA"/>
    <w:rsid w:val="00585B91"/>
    <w:rsid w:val="00585C69"/>
    <w:rsid w:val="0058626C"/>
    <w:rsid w:val="005863D1"/>
    <w:rsid w:val="0058645C"/>
    <w:rsid w:val="00586605"/>
    <w:rsid w:val="005868DE"/>
    <w:rsid w:val="00586AB9"/>
    <w:rsid w:val="005870D9"/>
    <w:rsid w:val="0058739B"/>
    <w:rsid w:val="0058766B"/>
    <w:rsid w:val="005876AD"/>
    <w:rsid w:val="005877AC"/>
    <w:rsid w:val="005877B3"/>
    <w:rsid w:val="0058781F"/>
    <w:rsid w:val="00587A59"/>
    <w:rsid w:val="00587EC6"/>
    <w:rsid w:val="0059009C"/>
    <w:rsid w:val="005902C0"/>
    <w:rsid w:val="00590847"/>
    <w:rsid w:val="00590AC7"/>
    <w:rsid w:val="00590C99"/>
    <w:rsid w:val="00590E16"/>
    <w:rsid w:val="00590F3C"/>
    <w:rsid w:val="00591063"/>
    <w:rsid w:val="0059117E"/>
    <w:rsid w:val="00591185"/>
    <w:rsid w:val="00591251"/>
    <w:rsid w:val="005914F6"/>
    <w:rsid w:val="0059192C"/>
    <w:rsid w:val="005919DA"/>
    <w:rsid w:val="00591A66"/>
    <w:rsid w:val="00591BF1"/>
    <w:rsid w:val="00591E48"/>
    <w:rsid w:val="00591F3D"/>
    <w:rsid w:val="00591FA9"/>
    <w:rsid w:val="005921C0"/>
    <w:rsid w:val="005926EF"/>
    <w:rsid w:val="0059283E"/>
    <w:rsid w:val="00592970"/>
    <w:rsid w:val="00592C7F"/>
    <w:rsid w:val="00592CE2"/>
    <w:rsid w:val="00592CE3"/>
    <w:rsid w:val="00592D2C"/>
    <w:rsid w:val="00592DA1"/>
    <w:rsid w:val="00593117"/>
    <w:rsid w:val="005937B8"/>
    <w:rsid w:val="00593FAC"/>
    <w:rsid w:val="0059404D"/>
    <w:rsid w:val="0059408F"/>
    <w:rsid w:val="00594092"/>
    <w:rsid w:val="0059413C"/>
    <w:rsid w:val="0059444B"/>
    <w:rsid w:val="005944C2"/>
    <w:rsid w:val="00594863"/>
    <w:rsid w:val="005948C7"/>
    <w:rsid w:val="00594921"/>
    <w:rsid w:val="00594CDE"/>
    <w:rsid w:val="00594D82"/>
    <w:rsid w:val="00594EB1"/>
    <w:rsid w:val="00595269"/>
    <w:rsid w:val="0059547C"/>
    <w:rsid w:val="00595829"/>
    <w:rsid w:val="0059585D"/>
    <w:rsid w:val="00595915"/>
    <w:rsid w:val="00595AA7"/>
    <w:rsid w:val="00595C37"/>
    <w:rsid w:val="00595C3F"/>
    <w:rsid w:val="00595D83"/>
    <w:rsid w:val="00595DA4"/>
    <w:rsid w:val="00595E90"/>
    <w:rsid w:val="00595F35"/>
    <w:rsid w:val="00595FEA"/>
    <w:rsid w:val="00596247"/>
    <w:rsid w:val="005966B7"/>
    <w:rsid w:val="005966BE"/>
    <w:rsid w:val="00596913"/>
    <w:rsid w:val="00596B4F"/>
    <w:rsid w:val="00596CC5"/>
    <w:rsid w:val="00596CE9"/>
    <w:rsid w:val="00596D22"/>
    <w:rsid w:val="00596D8F"/>
    <w:rsid w:val="00596F32"/>
    <w:rsid w:val="00596F4E"/>
    <w:rsid w:val="00597179"/>
    <w:rsid w:val="005971AA"/>
    <w:rsid w:val="0059728E"/>
    <w:rsid w:val="005979D4"/>
    <w:rsid w:val="005979F1"/>
    <w:rsid w:val="00597AD3"/>
    <w:rsid w:val="00597AFD"/>
    <w:rsid w:val="00597D09"/>
    <w:rsid w:val="005A01E0"/>
    <w:rsid w:val="005A0323"/>
    <w:rsid w:val="005A03B5"/>
    <w:rsid w:val="005A0614"/>
    <w:rsid w:val="005A07C0"/>
    <w:rsid w:val="005A0925"/>
    <w:rsid w:val="005A0AEA"/>
    <w:rsid w:val="005A0DF2"/>
    <w:rsid w:val="005A109A"/>
    <w:rsid w:val="005A10EC"/>
    <w:rsid w:val="005A1231"/>
    <w:rsid w:val="005A1892"/>
    <w:rsid w:val="005A18EE"/>
    <w:rsid w:val="005A1A16"/>
    <w:rsid w:val="005A1DD6"/>
    <w:rsid w:val="005A20F5"/>
    <w:rsid w:val="005A23AD"/>
    <w:rsid w:val="005A265D"/>
    <w:rsid w:val="005A2C3B"/>
    <w:rsid w:val="005A2D81"/>
    <w:rsid w:val="005A2DCC"/>
    <w:rsid w:val="005A2E9D"/>
    <w:rsid w:val="005A2EC1"/>
    <w:rsid w:val="005A3089"/>
    <w:rsid w:val="005A3163"/>
    <w:rsid w:val="005A317B"/>
    <w:rsid w:val="005A3686"/>
    <w:rsid w:val="005A36DD"/>
    <w:rsid w:val="005A37F5"/>
    <w:rsid w:val="005A3967"/>
    <w:rsid w:val="005A39E7"/>
    <w:rsid w:val="005A3A5E"/>
    <w:rsid w:val="005A3CCA"/>
    <w:rsid w:val="005A3D77"/>
    <w:rsid w:val="005A4066"/>
    <w:rsid w:val="005A422D"/>
    <w:rsid w:val="005A443C"/>
    <w:rsid w:val="005A4465"/>
    <w:rsid w:val="005A44E6"/>
    <w:rsid w:val="005A4529"/>
    <w:rsid w:val="005A4533"/>
    <w:rsid w:val="005A4657"/>
    <w:rsid w:val="005A4688"/>
    <w:rsid w:val="005A4869"/>
    <w:rsid w:val="005A490A"/>
    <w:rsid w:val="005A4980"/>
    <w:rsid w:val="005A4A72"/>
    <w:rsid w:val="005A4BB5"/>
    <w:rsid w:val="005A4D80"/>
    <w:rsid w:val="005A5276"/>
    <w:rsid w:val="005A52CB"/>
    <w:rsid w:val="005A5469"/>
    <w:rsid w:val="005A5536"/>
    <w:rsid w:val="005A55BD"/>
    <w:rsid w:val="005A59F8"/>
    <w:rsid w:val="005A5A5F"/>
    <w:rsid w:val="005A5C51"/>
    <w:rsid w:val="005A6816"/>
    <w:rsid w:val="005A691E"/>
    <w:rsid w:val="005A6B02"/>
    <w:rsid w:val="005A6B1F"/>
    <w:rsid w:val="005A6CC8"/>
    <w:rsid w:val="005A6D33"/>
    <w:rsid w:val="005A75C1"/>
    <w:rsid w:val="005A7709"/>
    <w:rsid w:val="005A7B35"/>
    <w:rsid w:val="005B05A0"/>
    <w:rsid w:val="005B05EF"/>
    <w:rsid w:val="005B060F"/>
    <w:rsid w:val="005B0BBC"/>
    <w:rsid w:val="005B0E9F"/>
    <w:rsid w:val="005B0F6D"/>
    <w:rsid w:val="005B10F0"/>
    <w:rsid w:val="005B1471"/>
    <w:rsid w:val="005B177F"/>
    <w:rsid w:val="005B1927"/>
    <w:rsid w:val="005B1A67"/>
    <w:rsid w:val="005B1AD3"/>
    <w:rsid w:val="005B1CCC"/>
    <w:rsid w:val="005B1D3C"/>
    <w:rsid w:val="005B1E87"/>
    <w:rsid w:val="005B1F66"/>
    <w:rsid w:val="005B2010"/>
    <w:rsid w:val="005B2032"/>
    <w:rsid w:val="005B20B8"/>
    <w:rsid w:val="005B218F"/>
    <w:rsid w:val="005B2446"/>
    <w:rsid w:val="005B26C5"/>
    <w:rsid w:val="005B28AD"/>
    <w:rsid w:val="005B28C5"/>
    <w:rsid w:val="005B28D2"/>
    <w:rsid w:val="005B2B65"/>
    <w:rsid w:val="005B32F2"/>
    <w:rsid w:val="005B361A"/>
    <w:rsid w:val="005B36C9"/>
    <w:rsid w:val="005B36F2"/>
    <w:rsid w:val="005B37BE"/>
    <w:rsid w:val="005B3850"/>
    <w:rsid w:val="005B3AE2"/>
    <w:rsid w:val="005B3B32"/>
    <w:rsid w:val="005B3BF9"/>
    <w:rsid w:val="005B3F94"/>
    <w:rsid w:val="005B3FB6"/>
    <w:rsid w:val="005B404C"/>
    <w:rsid w:val="005B4121"/>
    <w:rsid w:val="005B43F1"/>
    <w:rsid w:val="005B446C"/>
    <w:rsid w:val="005B44D1"/>
    <w:rsid w:val="005B48B5"/>
    <w:rsid w:val="005B48DB"/>
    <w:rsid w:val="005B4BC3"/>
    <w:rsid w:val="005B4CED"/>
    <w:rsid w:val="005B4D33"/>
    <w:rsid w:val="005B4DF0"/>
    <w:rsid w:val="005B50FD"/>
    <w:rsid w:val="005B5116"/>
    <w:rsid w:val="005B5254"/>
    <w:rsid w:val="005B52D6"/>
    <w:rsid w:val="005B5530"/>
    <w:rsid w:val="005B57CB"/>
    <w:rsid w:val="005B593D"/>
    <w:rsid w:val="005B5ADD"/>
    <w:rsid w:val="005B5E2A"/>
    <w:rsid w:val="005B5FD1"/>
    <w:rsid w:val="005B6484"/>
    <w:rsid w:val="005B651C"/>
    <w:rsid w:val="005B6545"/>
    <w:rsid w:val="005B681E"/>
    <w:rsid w:val="005B6BDD"/>
    <w:rsid w:val="005B6BEB"/>
    <w:rsid w:val="005B6C56"/>
    <w:rsid w:val="005B6EAA"/>
    <w:rsid w:val="005B6F12"/>
    <w:rsid w:val="005B7033"/>
    <w:rsid w:val="005B7040"/>
    <w:rsid w:val="005B7436"/>
    <w:rsid w:val="005B75D3"/>
    <w:rsid w:val="005B768D"/>
    <w:rsid w:val="005B77D8"/>
    <w:rsid w:val="005B782B"/>
    <w:rsid w:val="005B799B"/>
    <w:rsid w:val="005B7A6B"/>
    <w:rsid w:val="005B7C4D"/>
    <w:rsid w:val="005B7D14"/>
    <w:rsid w:val="005B7EB3"/>
    <w:rsid w:val="005B7ECB"/>
    <w:rsid w:val="005B7ECE"/>
    <w:rsid w:val="005C0130"/>
    <w:rsid w:val="005C02A4"/>
    <w:rsid w:val="005C05C7"/>
    <w:rsid w:val="005C0724"/>
    <w:rsid w:val="005C07F4"/>
    <w:rsid w:val="005C0807"/>
    <w:rsid w:val="005C08F2"/>
    <w:rsid w:val="005C0AD8"/>
    <w:rsid w:val="005C0CCC"/>
    <w:rsid w:val="005C0D78"/>
    <w:rsid w:val="005C0E02"/>
    <w:rsid w:val="005C0E36"/>
    <w:rsid w:val="005C107A"/>
    <w:rsid w:val="005C10EB"/>
    <w:rsid w:val="005C1417"/>
    <w:rsid w:val="005C14D1"/>
    <w:rsid w:val="005C158B"/>
    <w:rsid w:val="005C1654"/>
    <w:rsid w:val="005C1881"/>
    <w:rsid w:val="005C1D44"/>
    <w:rsid w:val="005C1DA0"/>
    <w:rsid w:val="005C1F96"/>
    <w:rsid w:val="005C20C9"/>
    <w:rsid w:val="005C20D2"/>
    <w:rsid w:val="005C2808"/>
    <w:rsid w:val="005C2924"/>
    <w:rsid w:val="005C2AC2"/>
    <w:rsid w:val="005C2B89"/>
    <w:rsid w:val="005C3098"/>
    <w:rsid w:val="005C30D8"/>
    <w:rsid w:val="005C32FE"/>
    <w:rsid w:val="005C3443"/>
    <w:rsid w:val="005C3B5F"/>
    <w:rsid w:val="005C3CED"/>
    <w:rsid w:val="005C3F59"/>
    <w:rsid w:val="005C4172"/>
    <w:rsid w:val="005C428F"/>
    <w:rsid w:val="005C4549"/>
    <w:rsid w:val="005C4976"/>
    <w:rsid w:val="005C4CA8"/>
    <w:rsid w:val="005C4EEF"/>
    <w:rsid w:val="005C503A"/>
    <w:rsid w:val="005C50C1"/>
    <w:rsid w:val="005C5106"/>
    <w:rsid w:val="005C539A"/>
    <w:rsid w:val="005C5592"/>
    <w:rsid w:val="005C5BD1"/>
    <w:rsid w:val="005C5CF4"/>
    <w:rsid w:val="005C5D13"/>
    <w:rsid w:val="005C5F1F"/>
    <w:rsid w:val="005C6152"/>
    <w:rsid w:val="005C63DF"/>
    <w:rsid w:val="005C64E6"/>
    <w:rsid w:val="005C651A"/>
    <w:rsid w:val="005C65C9"/>
    <w:rsid w:val="005C664A"/>
    <w:rsid w:val="005C673A"/>
    <w:rsid w:val="005C6B70"/>
    <w:rsid w:val="005C6C58"/>
    <w:rsid w:val="005C6E0A"/>
    <w:rsid w:val="005C6EF4"/>
    <w:rsid w:val="005C6F30"/>
    <w:rsid w:val="005C7177"/>
    <w:rsid w:val="005C7378"/>
    <w:rsid w:val="005C764C"/>
    <w:rsid w:val="005C7725"/>
    <w:rsid w:val="005C77E9"/>
    <w:rsid w:val="005C7819"/>
    <w:rsid w:val="005C7A85"/>
    <w:rsid w:val="005C7B27"/>
    <w:rsid w:val="005C7D65"/>
    <w:rsid w:val="005D00AF"/>
    <w:rsid w:val="005D024A"/>
    <w:rsid w:val="005D0252"/>
    <w:rsid w:val="005D0320"/>
    <w:rsid w:val="005D038C"/>
    <w:rsid w:val="005D0496"/>
    <w:rsid w:val="005D08CC"/>
    <w:rsid w:val="005D0A05"/>
    <w:rsid w:val="005D0C3D"/>
    <w:rsid w:val="005D13EF"/>
    <w:rsid w:val="005D1857"/>
    <w:rsid w:val="005D19C2"/>
    <w:rsid w:val="005D1C8C"/>
    <w:rsid w:val="005D1CF3"/>
    <w:rsid w:val="005D1DA1"/>
    <w:rsid w:val="005D1E4A"/>
    <w:rsid w:val="005D2466"/>
    <w:rsid w:val="005D29E9"/>
    <w:rsid w:val="005D2A39"/>
    <w:rsid w:val="005D2B0F"/>
    <w:rsid w:val="005D2D9C"/>
    <w:rsid w:val="005D2DBD"/>
    <w:rsid w:val="005D2E78"/>
    <w:rsid w:val="005D2EB2"/>
    <w:rsid w:val="005D30B5"/>
    <w:rsid w:val="005D3149"/>
    <w:rsid w:val="005D316D"/>
    <w:rsid w:val="005D3193"/>
    <w:rsid w:val="005D3249"/>
    <w:rsid w:val="005D3563"/>
    <w:rsid w:val="005D35E6"/>
    <w:rsid w:val="005D3D67"/>
    <w:rsid w:val="005D3D8C"/>
    <w:rsid w:val="005D3E03"/>
    <w:rsid w:val="005D3F9C"/>
    <w:rsid w:val="005D4043"/>
    <w:rsid w:val="005D404E"/>
    <w:rsid w:val="005D4344"/>
    <w:rsid w:val="005D491E"/>
    <w:rsid w:val="005D4CA1"/>
    <w:rsid w:val="005D4FD4"/>
    <w:rsid w:val="005D5284"/>
    <w:rsid w:val="005D55D4"/>
    <w:rsid w:val="005D5970"/>
    <w:rsid w:val="005D5A55"/>
    <w:rsid w:val="005D5A8C"/>
    <w:rsid w:val="005D5CCE"/>
    <w:rsid w:val="005D5E84"/>
    <w:rsid w:val="005D603C"/>
    <w:rsid w:val="005D619B"/>
    <w:rsid w:val="005D62E7"/>
    <w:rsid w:val="005D63DF"/>
    <w:rsid w:val="005D693F"/>
    <w:rsid w:val="005D6AE1"/>
    <w:rsid w:val="005D6BC9"/>
    <w:rsid w:val="005D6BF1"/>
    <w:rsid w:val="005D6D36"/>
    <w:rsid w:val="005D6D64"/>
    <w:rsid w:val="005D6EBA"/>
    <w:rsid w:val="005D7198"/>
    <w:rsid w:val="005D7560"/>
    <w:rsid w:val="005D7686"/>
    <w:rsid w:val="005D7786"/>
    <w:rsid w:val="005D7CAD"/>
    <w:rsid w:val="005D7F08"/>
    <w:rsid w:val="005D7F9F"/>
    <w:rsid w:val="005E00EE"/>
    <w:rsid w:val="005E01A6"/>
    <w:rsid w:val="005E05C3"/>
    <w:rsid w:val="005E06E2"/>
    <w:rsid w:val="005E09FA"/>
    <w:rsid w:val="005E0A2A"/>
    <w:rsid w:val="005E0A53"/>
    <w:rsid w:val="005E0D62"/>
    <w:rsid w:val="005E0E4D"/>
    <w:rsid w:val="005E12F8"/>
    <w:rsid w:val="005E1668"/>
    <w:rsid w:val="005E182F"/>
    <w:rsid w:val="005E18F8"/>
    <w:rsid w:val="005E1DE5"/>
    <w:rsid w:val="005E1DF3"/>
    <w:rsid w:val="005E1E38"/>
    <w:rsid w:val="005E238C"/>
    <w:rsid w:val="005E2395"/>
    <w:rsid w:val="005E2A14"/>
    <w:rsid w:val="005E2F01"/>
    <w:rsid w:val="005E3059"/>
    <w:rsid w:val="005E3175"/>
    <w:rsid w:val="005E38A7"/>
    <w:rsid w:val="005E39A6"/>
    <w:rsid w:val="005E39DC"/>
    <w:rsid w:val="005E3B90"/>
    <w:rsid w:val="005E3BE7"/>
    <w:rsid w:val="005E3EF3"/>
    <w:rsid w:val="005E3F7D"/>
    <w:rsid w:val="005E4015"/>
    <w:rsid w:val="005E423C"/>
    <w:rsid w:val="005E4343"/>
    <w:rsid w:val="005E434C"/>
    <w:rsid w:val="005E4557"/>
    <w:rsid w:val="005E46DD"/>
    <w:rsid w:val="005E46F4"/>
    <w:rsid w:val="005E48CB"/>
    <w:rsid w:val="005E5203"/>
    <w:rsid w:val="005E53B6"/>
    <w:rsid w:val="005E53FE"/>
    <w:rsid w:val="005E5728"/>
    <w:rsid w:val="005E5752"/>
    <w:rsid w:val="005E576F"/>
    <w:rsid w:val="005E582B"/>
    <w:rsid w:val="005E596C"/>
    <w:rsid w:val="005E59F3"/>
    <w:rsid w:val="005E5A45"/>
    <w:rsid w:val="005E5B27"/>
    <w:rsid w:val="005E5D0E"/>
    <w:rsid w:val="005E5E84"/>
    <w:rsid w:val="005E5FFB"/>
    <w:rsid w:val="005E62D8"/>
    <w:rsid w:val="005E666E"/>
    <w:rsid w:val="005E683D"/>
    <w:rsid w:val="005E6AB0"/>
    <w:rsid w:val="005E6B43"/>
    <w:rsid w:val="005E6D63"/>
    <w:rsid w:val="005E6ECD"/>
    <w:rsid w:val="005E713D"/>
    <w:rsid w:val="005E7363"/>
    <w:rsid w:val="005E74F2"/>
    <w:rsid w:val="005E787F"/>
    <w:rsid w:val="005E7980"/>
    <w:rsid w:val="005E79F0"/>
    <w:rsid w:val="005E79FA"/>
    <w:rsid w:val="005E7A57"/>
    <w:rsid w:val="005E7ABF"/>
    <w:rsid w:val="005E7F36"/>
    <w:rsid w:val="005F0316"/>
    <w:rsid w:val="005F038B"/>
    <w:rsid w:val="005F046E"/>
    <w:rsid w:val="005F05A2"/>
    <w:rsid w:val="005F0B8C"/>
    <w:rsid w:val="005F0C5C"/>
    <w:rsid w:val="005F1180"/>
    <w:rsid w:val="005F1276"/>
    <w:rsid w:val="005F15D2"/>
    <w:rsid w:val="005F17C2"/>
    <w:rsid w:val="005F1B7F"/>
    <w:rsid w:val="005F1CD2"/>
    <w:rsid w:val="005F212D"/>
    <w:rsid w:val="005F24D6"/>
    <w:rsid w:val="005F268C"/>
    <w:rsid w:val="005F272F"/>
    <w:rsid w:val="005F2BF0"/>
    <w:rsid w:val="005F2DA6"/>
    <w:rsid w:val="005F2F69"/>
    <w:rsid w:val="005F3452"/>
    <w:rsid w:val="005F36C1"/>
    <w:rsid w:val="005F3731"/>
    <w:rsid w:val="005F37D1"/>
    <w:rsid w:val="005F3D51"/>
    <w:rsid w:val="005F3E18"/>
    <w:rsid w:val="005F3F56"/>
    <w:rsid w:val="005F4099"/>
    <w:rsid w:val="005F40AD"/>
    <w:rsid w:val="005F41B8"/>
    <w:rsid w:val="005F4925"/>
    <w:rsid w:val="005F4FB6"/>
    <w:rsid w:val="005F534C"/>
    <w:rsid w:val="005F55EC"/>
    <w:rsid w:val="005F5BAA"/>
    <w:rsid w:val="005F5CA6"/>
    <w:rsid w:val="005F5DEC"/>
    <w:rsid w:val="005F601E"/>
    <w:rsid w:val="005F61CF"/>
    <w:rsid w:val="005F6332"/>
    <w:rsid w:val="005F65C2"/>
    <w:rsid w:val="005F6602"/>
    <w:rsid w:val="005F6764"/>
    <w:rsid w:val="005F695F"/>
    <w:rsid w:val="005F6ADB"/>
    <w:rsid w:val="005F6CF8"/>
    <w:rsid w:val="005F6FF0"/>
    <w:rsid w:val="005F7186"/>
    <w:rsid w:val="005F74DC"/>
    <w:rsid w:val="005F797A"/>
    <w:rsid w:val="005F7CCE"/>
    <w:rsid w:val="005F7D4E"/>
    <w:rsid w:val="005F7DFF"/>
    <w:rsid w:val="006004AD"/>
    <w:rsid w:val="00600698"/>
    <w:rsid w:val="006006C0"/>
    <w:rsid w:val="006006FE"/>
    <w:rsid w:val="006007FC"/>
    <w:rsid w:val="00600995"/>
    <w:rsid w:val="00600B86"/>
    <w:rsid w:val="00600C30"/>
    <w:rsid w:val="00600CF1"/>
    <w:rsid w:val="00600D0E"/>
    <w:rsid w:val="00600DB4"/>
    <w:rsid w:val="00600E14"/>
    <w:rsid w:val="00601202"/>
    <w:rsid w:val="00601650"/>
    <w:rsid w:val="006016B8"/>
    <w:rsid w:val="00601715"/>
    <w:rsid w:val="0060187E"/>
    <w:rsid w:val="00602059"/>
    <w:rsid w:val="006020F5"/>
    <w:rsid w:val="00602534"/>
    <w:rsid w:val="0060265B"/>
    <w:rsid w:val="00602884"/>
    <w:rsid w:val="00602EE5"/>
    <w:rsid w:val="006032A9"/>
    <w:rsid w:val="00603544"/>
    <w:rsid w:val="00603E9E"/>
    <w:rsid w:val="00603F3B"/>
    <w:rsid w:val="0060428F"/>
    <w:rsid w:val="0060434D"/>
    <w:rsid w:val="0060435F"/>
    <w:rsid w:val="0060450A"/>
    <w:rsid w:val="00604936"/>
    <w:rsid w:val="00604C88"/>
    <w:rsid w:val="00604EEF"/>
    <w:rsid w:val="00605032"/>
    <w:rsid w:val="00605100"/>
    <w:rsid w:val="00605337"/>
    <w:rsid w:val="0060540D"/>
    <w:rsid w:val="006055FF"/>
    <w:rsid w:val="006056A2"/>
    <w:rsid w:val="00605790"/>
    <w:rsid w:val="00605AFD"/>
    <w:rsid w:val="00605B01"/>
    <w:rsid w:val="00605DD8"/>
    <w:rsid w:val="00606012"/>
    <w:rsid w:val="0060622C"/>
    <w:rsid w:val="006062A0"/>
    <w:rsid w:val="0060640E"/>
    <w:rsid w:val="00606453"/>
    <w:rsid w:val="006064B1"/>
    <w:rsid w:val="006067D7"/>
    <w:rsid w:val="00606932"/>
    <w:rsid w:val="00606948"/>
    <w:rsid w:val="00606A00"/>
    <w:rsid w:val="00606B0D"/>
    <w:rsid w:val="00606CC9"/>
    <w:rsid w:val="00606CEF"/>
    <w:rsid w:val="00606F7B"/>
    <w:rsid w:val="00607153"/>
    <w:rsid w:val="00607A1B"/>
    <w:rsid w:val="00607C6F"/>
    <w:rsid w:val="00607D00"/>
    <w:rsid w:val="00607DF1"/>
    <w:rsid w:val="00610088"/>
    <w:rsid w:val="00610118"/>
    <w:rsid w:val="006104B3"/>
    <w:rsid w:val="00610585"/>
    <w:rsid w:val="006105B6"/>
    <w:rsid w:val="00610604"/>
    <w:rsid w:val="0061086C"/>
    <w:rsid w:val="00610ACE"/>
    <w:rsid w:val="00610BC5"/>
    <w:rsid w:val="00610CD9"/>
    <w:rsid w:val="006110A5"/>
    <w:rsid w:val="00611374"/>
    <w:rsid w:val="00611435"/>
    <w:rsid w:val="0061144C"/>
    <w:rsid w:val="006114ED"/>
    <w:rsid w:val="0061153B"/>
    <w:rsid w:val="00611740"/>
    <w:rsid w:val="006118E2"/>
    <w:rsid w:val="00612136"/>
    <w:rsid w:val="006123C3"/>
    <w:rsid w:val="006123D4"/>
    <w:rsid w:val="00612B3E"/>
    <w:rsid w:val="00612F4C"/>
    <w:rsid w:val="00612FA2"/>
    <w:rsid w:val="00613250"/>
    <w:rsid w:val="006134F3"/>
    <w:rsid w:val="00613519"/>
    <w:rsid w:val="006135C7"/>
    <w:rsid w:val="00613934"/>
    <w:rsid w:val="00613E4A"/>
    <w:rsid w:val="006141F4"/>
    <w:rsid w:val="0061445B"/>
    <w:rsid w:val="00614460"/>
    <w:rsid w:val="006145AC"/>
    <w:rsid w:val="006145B2"/>
    <w:rsid w:val="0061468C"/>
    <w:rsid w:val="00614C67"/>
    <w:rsid w:val="00614C7B"/>
    <w:rsid w:val="00614E25"/>
    <w:rsid w:val="00614F10"/>
    <w:rsid w:val="00615156"/>
    <w:rsid w:val="006159C9"/>
    <w:rsid w:val="006159FF"/>
    <w:rsid w:val="00615AD2"/>
    <w:rsid w:val="00615B6F"/>
    <w:rsid w:val="00615C26"/>
    <w:rsid w:val="00615C81"/>
    <w:rsid w:val="00615F9D"/>
    <w:rsid w:val="00616116"/>
    <w:rsid w:val="006161D7"/>
    <w:rsid w:val="006163E5"/>
    <w:rsid w:val="00616509"/>
    <w:rsid w:val="0061661F"/>
    <w:rsid w:val="00616642"/>
    <w:rsid w:val="006169C5"/>
    <w:rsid w:val="00616D8A"/>
    <w:rsid w:val="00616F55"/>
    <w:rsid w:val="0061744F"/>
    <w:rsid w:val="00617B45"/>
    <w:rsid w:val="0062059C"/>
    <w:rsid w:val="00620BE9"/>
    <w:rsid w:val="00620C49"/>
    <w:rsid w:val="00620EA2"/>
    <w:rsid w:val="00621061"/>
    <w:rsid w:val="0062120B"/>
    <w:rsid w:val="006213A8"/>
    <w:rsid w:val="006214B8"/>
    <w:rsid w:val="0062191F"/>
    <w:rsid w:val="00621964"/>
    <w:rsid w:val="00621E3F"/>
    <w:rsid w:val="00621FE6"/>
    <w:rsid w:val="0062204D"/>
    <w:rsid w:val="0062275B"/>
    <w:rsid w:val="006227D9"/>
    <w:rsid w:val="00622B9D"/>
    <w:rsid w:val="006236C3"/>
    <w:rsid w:val="00623935"/>
    <w:rsid w:val="00623A1C"/>
    <w:rsid w:val="00623A50"/>
    <w:rsid w:val="00624098"/>
    <w:rsid w:val="0062412D"/>
    <w:rsid w:val="0062412F"/>
    <w:rsid w:val="00624147"/>
    <w:rsid w:val="00624229"/>
    <w:rsid w:val="0062422A"/>
    <w:rsid w:val="00624325"/>
    <w:rsid w:val="006243E3"/>
    <w:rsid w:val="006244E3"/>
    <w:rsid w:val="00624786"/>
    <w:rsid w:val="00624C4B"/>
    <w:rsid w:val="00624D8F"/>
    <w:rsid w:val="00624FED"/>
    <w:rsid w:val="0062503F"/>
    <w:rsid w:val="0062510A"/>
    <w:rsid w:val="00625511"/>
    <w:rsid w:val="00625D60"/>
    <w:rsid w:val="0062624F"/>
    <w:rsid w:val="006262FB"/>
    <w:rsid w:val="006264B4"/>
    <w:rsid w:val="006267B0"/>
    <w:rsid w:val="006268FB"/>
    <w:rsid w:val="00626A35"/>
    <w:rsid w:val="00626D4D"/>
    <w:rsid w:val="00626DC3"/>
    <w:rsid w:val="00626EF3"/>
    <w:rsid w:val="00626F3F"/>
    <w:rsid w:val="00627014"/>
    <w:rsid w:val="00627173"/>
    <w:rsid w:val="006273C6"/>
    <w:rsid w:val="006273D5"/>
    <w:rsid w:val="00627B6F"/>
    <w:rsid w:val="00627F66"/>
    <w:rsid w:val="006300AB"/>
    <w:rsid w:val="00630450"/>
    <w:rsid w:val="0063068D"/>
    <w:rsid w:val="00630757"/>
    <w:rsid w:val="00630A12"/>
    <w:rsid w:val="00630AE9"/>
    <w:rsid w:val="00630BD0"/>
    <w:rsid w:val="00630DD4"/>
    <w:rsid w:val="00630F02"/>
    <w:rsid w:val="00630F46"/>
    <w:rsid w:val="006311C0"/>
    <w:rsid w:val="00631E96"/>
    <w:rsid w:val="00631F3E"/>
    <w:rsid w:val="0063200C"/>
    <w:rsid w:val="006324DE"/>
    <w:rsid w:val="006326D2"/>
    <w:rsid w:val="00632729"/>
    <w:rsid w:val="00632EDD"/>
    <w:rsid w:val="006330D0"/>
    <w:rsid w:val="00633102"/>
    <w:rsid w:val="0063311F"/>
    <w:rsid w:val="00633215"/>
    <w:rsid w:val="00633478"/>
    <w:rsid w:val="00633526"/>
    <w:rsid w:val="00633724"/>
    <w:rsid w:val="00633A2B"/>
    <w:rsid w:val="00633A47"/>
    <w:rsid w:val="00633BE4"/>
    <w:rsid w:val="00633F9D"/>
    <w:rsid w:val="00634045"/>
    <w:rsid w:val="00634049"/>
    <w:rsid w:val="006340A7"/>
    <w:rsid w:val="006341FF"/>
    <w:rsid w:val="0063420E"/>
    <w:rsid w:val="0063425E"/>
    <w:rsid w:val="006342CC"/>
    <w:rsid w:val="00634767"/>
    <w:rsid w:val="00634E64"/>
    <w:rsid w:val="00635360"/>
    <w:rsid w:val="006354FC"/>
    <w:rsid w:val="0063552D"/>
    <w:rsid w:val="00635610"/>
    <w:rsid w:val="0063564B"/>
    <w:rsid w:val="0063567B"/>
    <w:rsid w:val="0063569C"/>
    <w:rsid w:val="0063575A"/>
    <w:rsid w:val="006357FC"/>
    <w:rsid w:val="00635CD1"/>
    <w:rsid w:val="00635D09"/>
    <w:rsid w:val="00635F64"/>
    <w:rsid w:val="00636140"/>
    <w:rsid w:val="0063617B"/>
    <w:rsid w:val="00636383"/>
    <w:rsid w:val="00636713"/>
    <w:rsid w:val="006368E9"/>
    <w:rsid w:val="00636950"/>
    <w:rsid w:val="00636C08"/>
    <w:rsid w:val="00636C17"/>
    <w:rsid w:val="00636CD6"/>
    <w:rsid w:val="0063719C"/>
    <w:rsid w:val="0063722C"/>
    <w:rsid w:val="00637567"/>
    <w:rsid w:val="0063763B"/>
    <w:rsid w:val="006376C7"/>
    <w:rsid w:val="00637A05"/>
    <w:rsid w:val="00637ACC"/>
    <w:rsid w:val="00637DE7"/>
    <w:rsid w:val="00637ECE"/>
    <w:rsid w:val="0064015B"/>
    <w:rsid w:val="00640374"/>
    <w:rsid w:val="00640520"/>
    <w:rsid w:val="006405C9"/>
    <w:rsid w:val="00640674"/>
    <w:rsid w:val="006407D9"/>
    <w:rsid w:val="006407FA"/>
    <w:rsid w:val="00640B3E"/>
    <w:rsid w:val="00640D37"/>
    <w:rsid w:val="006412A9"/>
    <w:rsid w:val="00641507"/>
    <w:rsid w:val="006416DF"/>
    <w:rsid w:val="0064190B"/>
    <w:rsid w:val="00641928"/>
    <w:rsid w:val="00641A7C"/>
    <w:rsid w:val="00642725"/>
    <w:rsid w:val="00642770"/>
    <w:rsid w:val="006428D6"/>
    <w:rsid w:val="00642922"/>
    <w:rsid w:val="00642CC5"/>
    <w:rsid w:val="00643073"/>
    <w:rsid w:val="0064316E"/>
    <w:rsid w:val="0064350F"/>
    <w:rsid w:val="0064352F"/>
    <w:rsid w:val="00643753"/>
    <w:rsid w:val="0064408C"/>
    <w:rsid w:val="0064408F"/>
    <w:rsid w:val="0064410A"/>
    <w:rsid w:val="006443C7"/>
    <w:rsid w:val="006443DF"/>
    <w:rsid w:val="00644830"/>
    <w:rsid w:val="00644AE3"/>
    <w:rsid w:val="00644AE6"/>
    <w:rsid w:val="00644D5B"/>
    <w:rsid w:val="00644DDC"/>
    <w:rsid w:val="00644EC9"/>
    <w:rsid w:val="00644F2E"/>
    <w:rsid w:val="00645029"/>
    <w:rsid w:val="0064565C"/>
    <w:rsid w:val="006456D2"/>
    <w:rsid w:val="00645DF9"/>
    <w:rsid w:val="00645F6A"/>
    <w:rsid w:val="00645FC0"/>
    <w:rsid w:val="006464F9"/>
    <w:rsid w:val="006469AB"/>
    <w:rsid w:val="006469CC"/>
    <w:rsid w:val="00646ED0"/>
    <w:rsid w:val="006471B9"/>
    <w:rsid w:val="00647442"/>
    <w:rsid w:val="0064769F"/>
    <w:rsid w:val="006478F9"/>
    <w:rsid w:val="00647AC1"/>
    <w:rsid w:val="00647B9C"/>
    <w:rsid w:val="00647C95"/>
    <w:rsid w:val="00647CD4"/>
    <w:rsid w:val="00647DB6"/>
    <w:rsid w:val="00650124"/>
    <w:rsid w:val="006503AA"/>
    <w:rsid w:val="00650622"/>
    <w:rsid w:val="00650BD0"/>
    <w:rsid w:val="0065122A"/>
    <w:rsid w:val="0065130E"/>
    <w:rsid w:val="006514DD"/>
    <w:rsid w:val="006514F4"/>
    <w:rsid w:val="00651817"/>
    <w:rsid w:val="00651B79"/>
    <w:rsid w:val="00651BD6"/>
    <w:rsid w:val="00651CBA"/>
    <w:rsid w:val="00651D57"/>
    <w:rsid w:val="00651DB9"/>
    <w:rsid w:val="00652065"/>
    <w:rsid w:val="0065242D"/>
    <w:rsid w:val="00652541"/>
    <w:rsid w:val="0065255F"/>
    <w:rsid w:val="006525E6"/>
    <w:rsid w:val="00652978"/>
    <w:rsid w:val="0065299E"/>
    <w:rsid w:val="00652B2F"/>
    <w:rsid w:val="00652CCC"/>
    <w:rsid w:val="00652DB9"/>
    <w:rsid w:val="0065308F"/>
    <w:rsid w:val="00653339"/>
    <w:rsid w:val="0065344E"/>
    <w:rsid w:val="0065377F"/>
    <w:rsid w:val="006538FD"/>
    <w:rsid w:val="006541B0"/>
    <w:rsid w:val="00654838"/>
    <w:rsid w:val="00654ABD"/>
    <w:rsid w:val="00654B59"/>
    <w:rsid w:val="00654CDC"/>
    <w:rsid w:val="00654D99"/>
    <w:rsid w:val="00654E34"/>
    <w:rsid w:val="00654E94"/>
    <w:rsid w:val="00655125"/>
    <w:rsid w:val="006554FC"/>
    <w:rsid w:val="0065551B"/>
    <w:rsid w:val="00655707"/>
    <w:rsid w:val="00655B5C"/>
    <w:rsid w:val="00655ED5"/>
    <w:rsid w:val="00655F06"/>
    <w:rsid w:val="006561C1"/>
    <w:rsid w:val="0065624E"/>
    <w:rsid w:val="00656271"/>
    <w:rsid w:val="00656444"/>
    <w:rsid w:val="00656538"/>
    <w:rsid w:val="006565F7"/>
    <w:rsid w:val="00656628"/>
    <w:rsid w:val="00656642"/>
    <w:rsid w:val="0065666C"/>
    <w:rsid w:val="006567F5"/>
    <w:rsid w:val="00656AD4"/>
    <w:rsid w:val="00656F8E"/>
    <w:rsid w:val="006572BF"/>
    <w:rsid w:val="006579CB"/>
    <w:rsid w:val="00657BFA"/>
    <w:rsid w:val="00657DC8"/>
    <w:rsid w:val="00657E29"/>
    <w:rsid w:val="00657F05"/>
    <w:rsid w:val="006603B4"/>
    <w:rsid w:val="0066094E"/>
    <w:rsid w:val="00660ABF"/>
    <w:rsid w:val="00660B3B"/>
    <w:rsid w:val="00660C94"/>
    <w:rsid w:val="00660DBE"/>
    <w:rsid w:val="00660EAE"/>
    <w:rsid w:val="0066109E"/>
    <w:rsid w:val="00661209"/>
    <w:rsid w:val="006612A7"/>
    <w:rsid w:val="0066156E"/>
    <w:rsid w:val="00661E97"/>
    <w:rsid w:val="00662365"/>
    <w:rsid w:val="0066258E"/>
    <w:rsid w:val="006625FD"/>
    <w:rsid w:val="00662628"/>
    <w:rsid w:val="006626C6"/>
    <w:rsid w:val="00662766"/>
    <w:rsid w:val="00662ADF"/>
    <w:rsid w:val="00662D94"/>
    <w:rsid w:val="00663477"/>
    <w:rsid w:val="00663869"/>
    <w:rsid w:val="00663A52"/>
    <w:rsid w:val="00664817"/>
    <w:rsid w:val="006649AC"/>
    <w:rsid w:val="00664C82"/>
    <w:rsid w:val="00664E90"/>
    <w:rsid w:val="00664F20"/>
    <w:rsid w:val="00665220"/>
    <w:rsid w:val="00665351"/>
    <w:rsid w:val="0066550B"/>
    <w:rsid w:val="006657C5"/>
    <w:rsid w:val="0066590F"/>
    <w:rsid w:val="00665BDE"/>
    <w:rsid w:val="00665C3E"/>
    <w:rsid w:val="00665ED3"/>
    <w:rsid w:val="00666017"/>
    <w:rsid w:val="0066613E"/>
    <w:rsid w:val="006663F3"/>
    <w:rsid w:val="0066669F"/>
    <w:rsid w:val="006666F9"/>
    <w:rsid w:val="00666903"/>
    <w:rsid w:val="00666B27"/>
    <w:rsid w:val="00666B44"/>
    <w:rsid w:val="00666C4D"/>
    <w:rsid w:val="00666DAF"/>
    <w:rsid w:val="00666E59"/>
    <w:rsid w:val="00666EAE"/>
    <w:rsid w:val="00666F14"/>
    <w:rsid w:val="00666F36"/>
    <w:rsid w:val="0066715D"/>
    <w:rsid w:val="0066719D"/>
    <w:rsid w:val="0066739D"/>
    <w:rsid w:val="00667679"/>
    <w:rsid w:val="0066775E"/>
    <w:rsid w:val="006678F4"/>
    <w:rsid w:val="00667C7F"/>
    <w:rsid w:val="00667E7A"/>
    <w:rsid w:val="006701FB"/>
    <w:rsid w:val="006702F8"/>
    <w:rsid w:val="006707ED"/>
    <w:rsid w:val="00670C2F"/>
    <w:rsid w:val="00670C92"/>
    <w:rsid w:val="00670E27"/>
    <w:rsid w:val="00670EED"/>
    <w:rsid w:val="00670F14"/>
    <w:rsid w:val="00670F95"/>
    <w:rsid w:val="006710F4"/>
    <w:rsid w:val="006712FC"/>
    <w:rsid w:val="00671547"/>
    <w:rsid w:val="0067166E"/>
    <w:rsid w:val="00671BD3"/>
    <w:rsid w:val="00671C21"/>
    <w:rsid w:val="0067242B"/>
    <w:rsid w:val="006727ED"/>
    <w:rsid w:val="00672B5D"/>
    <w:rsid w:val="00672D01"/>
    <w:rsid w:val="00672DF4"/>
    <w:rsid w:val="00672E79"/>
    <w:rsid w:val="006731C4"/>
    <w:rsid w:val="0067329C"/>
    <w:rsid w:val="00673377"/>
    <w:rsid w:val="0067383E"/>
    <w:rsid w:val="00673C89"/>
    <w:rsid w:val="00673D73"/>
    <w:rsid w:val="00674274"/>
    <w:rsid w:val="0067428D"/>
    <w:rsid w:val="0067438D"/>
    <w:rsid w:val="006743E9"/>
    <w:rsid w:val="006743FA"/>
    <w:rsid w:val="006746F8"/>
    <w:rsid w:val="00674AB0"/>
    <w:rsid w:val="00674E25"/>
    <w:rsid w:val="0067559A"/>
    <w:rsid w:val="006755EC"/>
    <w:rsid w:val="0067571D"/>
    <w:rsid w:val="00675875"/>
    <w:rsid w:val="006759F4"/>
    <w:rsid w:val="00675C53"/>
    <w:rsid w:val="00675F94"/>
    <w:rsid w:val="0067603B"/>
    <w:rsid w:val="0067622C"/>
    <w:rsid w:val="006764A6"/>
    <w:rsid w:val="006764B4"/>
    <w:rsid w:val="006764C1"/>
    <w:rsid w:val="006768F0"/>
    <w:rsid w:val="006768FE"/>
    <w:rsid w:val="00676953"/>
    <w:rsid w:val="0067698B"/>
    <w:rsid w:val="00676C15"/>
    <w:rsid w:val="00676D76"/>
    <w:rsid w:val="00676F18"/>
    <w:rsid w:val="006770B6"/>
    <w:rsid w:val="00677267"/>
    <w:rsid w:val="006774CE"/>
    <w:rsid w:val="00677BCD"/>
    <w:rsid w:val="00677D48"/>
    <w:rsid w:val="00677E24"/>
    <w:rsid w:val="00677F2C"/>
    <w:rsid w:val="006802A3"/>
    <w:rsid w:val="006806CE"/>
    <w:rsid w:val="006809A5"/>
    <w:rsid w:val="00680DBD"/>
    <w:rsid w:val="00680FE5"/>
    <w:rsid w:val="0068105D"/>
    <w:rsid w:val="0068149B"/>
    <w:rsid w:val="0068163C"/>
    <w:rsid w:val="00681736"/>
    <w:rsid w:val="00681819"/>
    <w:rsid w:val="00681826"/>
    <w:rsid w:val="00681844"/>
    <w:rsid w:val="00681948"/>
    <w:rsid w:val="00681C71"/>
    <w:rsid w:val="00681CE9"/>
    <w:rsid w:val="00682143"/>
    <w:rsid w:val="00682249"/>
    <w:rsid w:val="006824BA"/>
    <w:rsid w:val="006827B8"/>
    <w:rsid w:val="006828E8"/>
    <w:rsid w:val="00682DDB"/>
    <w:rsid w:val="00682EF4"/>
    <w:rsid w:val="006831E8"/>
    <w:rsid w:val="006833A6"/>
    <w:rsid w:val="006834D8"/>
    <w:rsid w:val="0068385E"/>
    <w:rsid w:val="00683990"/>
    <w:rsid w:val="00683AFB"/>
    <w:rsid w:val="00683F74"/>
    <w:rsid w:val="00683FA0"/>
    <w:rsid w:val="006841E5"/>
    <w:rsid w:val="00684245"/>
    <w:rsid w:val="006842E4"/>
    <w:rsid w:val="006843A6"/>
    <w:rsid w:val="006844C0"/>
    <w:rsid w:val="00684904"/>
    <w:rsid w:val="006849EE"/>
    <w:rsid w:val="00684A62"/>
    <w:rsid w:val="00684ED8"/>
    <w:rsid w:val="00685061"/>
    <w:rsid w:val="00685350"/>
    <w:rsid w:val="006853A6"/>
    <w:rsid w:val="00685C6B"/>
    <w:rsid w:val="00685CF7"/>
    <w:rsid w:val="00685F4E"/>
    <w:rsid w:val="00685FF0"/>
    <w:rsid w:val="00685FF6"/>
    <w:rsid w:val="006860B5"/>
    <w:rsid w:val="00686165"/>
    <w:rsid w:val="00686273"/>
    <w:rsid w:val="00686341"/>
    <w:rsid w:val="00686382"/>
    <w:rsid w:val="0068642F"/>
    <w:rsid w:val="0068645F"/>
    <w:rsid w:val="00686499"/>
    <w:rsid w:val="006866CB"/>
    <w:rsid w:val="00686905"/>
    <w:rsid w:val="00686CB2"/>
    <w:rsid w:val="00686EF6"/>
    <w:rsid w:val="00687072"/>
    <w:rsid w:val="006872D2"/>
    <w:rsid w:val="00687372"/>
    <w:rsid w:val="006876EE"/>
    <w:rsid w:val="006876F6"/>
    <w:rsid w:val="0068774E"/>
    <w:rsid w:val="006877D4"/>
    <w:rsid w:val="00687994"/>
    <w:rsid w:val="00687B90"/>
    <w:rsid w:val="00687B9F"/>
    <w:rsid w:val="00687CB7"/>
    <w:rsid w:val="00687F8B"/>
    <w:rsid w:val="00687FD0"/>
    <w:rsid w:val="0069015E"/>
    <w:rsid w:val="006902C9"/>
    <w:rsid w:val="006903DD"/>
    <w:rsid w:val="00690663"/>
    <w:rsid w:val="00690ABD"/>
    <w:rsid w:val="00690BAC"/>
    <w:rsid w:val="00690D70"/>
    <w:rsid w:val="00690F80"/>
    <w:rsid w:val="00690FDF"/>
    <w:rsid w:val="00691271"/>
    <w:rsid w:val="00691329"/>
    <w:rsid w:val="00691916"/>
    <w:rsid w:val="00691A24"/>
    <w:rsid w:val="00691CB5"/>
    <w:rsid w:val="00692080"/>
    <w:rsid w:val="00692096"/>
    <w:rsid w:val="00692119"/>
    <w:rsid w:val="006922D8"/>
    <w:rsid w:val="00692335"/>
    <w:rsid w:val="006923DF"/>
    <w:rsid w:val="00692486"/>
    <w:rsid w:val="006928F3"/>
    <w:rsid w:val="006928FE"/>
    <w:rsid w:val="00692A67"/>
    <w:rsid w:val="00692D0F"/>
    <w:rsid w:val="006931B3"/>
    <w:rsid w:val="00693495"/>
    <w:rsid w:val="006936DB"/>
    <w:rsid w:val="00693A0F"/>
    <w:rsid w:val="00693F50"/>
    <w:rsid w:val="00693F85"/>
    <w:rsid w:val="00693FD5"/>
    <w:rsid w:val="00694093"/>
    <w:rsid w:val="0069458E"/>
    <w:rsid w:val="006946E8"/>
    <w:rsid w:val="006946E9"/>
    <w:rsid w:val="00694785"/>
    <w:rsid w:val="006948D1"/>
    <w:rsid w:val="00694BAF"/>
    <w:rsid w:val="00694ED8"/>
    <w:rsid w:val="00694F46"/>
    <w:rsid w:val="00695221"/>
    <w:rsid w:val="00695288"/>
    <w:rsid w:val="00695624"/>
    <w:rsid w:val="0069585D"/>
    <w:rsid w:val="00695DD1"/>
    <w:rsid w:val="00695F8E"/>
    <w:rsid w:val="00695FB8"/>
    <w:rsid w:val="006963CA"/>
    <w:rsid w:val="00696646"/>
    <w:rsid w:val="00696792"/>
    <w:rsid w:val="00696C47"/>
    <w:rsid w:val="00696CA5"/>
    <w:rsid w:val="00696E3F"/>
    <w:rsid w:val="00696F35"/>
    <w:rsid w:val="00697152"/>
    <w:rsid w:val="00697818"/>
    <w:rsid w:val="00697C12"/>
    <w:rsid w:val="00697DCF"/>
    <w:rsid w:val="006A010B"/>
    <w:rsid w:val="006A041B"/>
    <w:rsid w:val="006A05B5"/>
    <w:rsid w:val="006A0E2A"/>
    <w:rsid w:val="006A0EC5"/>
    <w:rsid w:val="006A106E"/>
    <w:rsid w:val="006A144A"/>
    <w:rsid w:val="006A1599"/>
    <w:rsid w:val="006A184F"/>
    <w:rsid w:val="006A19B5"/>
    <w:rsid w:val="006A1ADD"/>
    <w:rsid w:val="006A1BC0"/>
    <w:rsid w:val="006A1DE5"/>
    <w:rsid w:val="006A1E24"/>
    <w:rsid w:val="006A1E37"/>
    <w:rsid w:val="006A2545"/>
    <w:rsid w:val="006A2B2B"/>
    <w:rsid w:val="006A2C31"/>
    <w:rsid w:val="006A2E24"/>
    <w:rsid w:val="006A2EAE"/>
    <w:rsid w:val="006A2EF8"/>
    <w:rsid w:val="006A2FF7"/>
    <w:rsid w:val="006A3351"/>
    <w:rsid w:val="006A355E"/>
    <w:rsid w:val="006A37F5"/>
    <w:rsid w:val="006A3F0B"/>
    <w:rsid w:val="006A40C3"/>
    <w:rsid w:val="006A4152"/>
    <w:rsid w:val="006A4279"/>
    <w:rsid w:val="006A48D2"/>
    <w:rsid w:val="006A493B"/>
    <w:rsid w:val="006A4F22"/>
    <w:rsid w:val="006A5324"/>
    <w:rsid w:val="006A53C4"/>
    <w:rsid w:val="006A550D"/>
    <w:rsid w:val="006A55B0"/>
    <w:rsid w:val="006A55DE"/>
    <w:rsid w:val="006A575C"/>
    <w:rsid w:val="006A576D"/>
    <w:rsid w:val="006A596F"/>
    <w:rsid w:val="006A5A09"/>
    <w:rsid w:val="006A5BE5"/>
    <w:rsid w:val="006A5C45"/>
    <w:rsid w:val="006A5F27"/>
    <w:rsid w:val="006A60A2"/>
    <w:rsid w:val="006A61DB"/>
    <w:rsid w:val="006A62E7"/>
    <w:rsid w:val="006A63CF"/>
    <w:rsid w:val="006A6610"/>
    <w:rsid w:val="006A6654"/>
    <w:rsid w:val="006A67F5"/>
    <w:rsid w:val="006A68BE"/>
    <w:rsid w:val="006A69D5"/>
    <w:rsid w:val="006A6A2F"/>
    <w:rsid w:val="006A6AA7"/>
    <w:rsid w:val="006A6BD7"/>
    <w:rsid w:val="006A6C19"/>
    <w:rsid w:val="006A6C36"/>
    <w:rsid w:val="006A6D12"/>
    <w:rsid w:val="006A6DB8"/>
    <w:rsid w:val="006A6DEE"/>
    <w:rsid w:val="006A6F9B"/>
    <w:rsid w:val="006A71F2"/>
    <w:rsid w:val="006A74BB"/>
    <w:rsid w:val="006A7910"/>
    <w:rsid w:val="006A79E7"/>
    <w:rsid w:val="006A7B84"/>
    <w:rsid w:val="006A7CF3"/>
    <w:rsid w:val="006A7D96"/>
    <w:rsid w:val="006A7EF9"/>
    <w:rsid w:val="006B0106"/>
    <w:rsid w:val="006B06E5"/>
    <w:rsid w:val="006B096C"/>
    <w:rsid w:val="006B0A0D"/>
    <w:rsid w:val="006B0D3C"/>
    <w:rsid w:val="006B1057"/>
    <w:rsid w:val="006B10BA"/>
    <w:rsid w:val="006B12B9"/>
    <w:rsid w:val="006B1666"/>
    <w:rsid w:val="006B17CA"/>
    <w:rsid w:val="006B196F"/>
    <w:rsid w:val="006B1A26"/>
    <w:rsid w:val="006B1B9A"/>
    <w:rsid w:val="006B1E09"/>
    <w:rsid w:val="006B216D"/>
    <w:rsid w:val="006B27BE"/>
    <w:rsid w:val="006B28BA"/>
    <w:rsid w:val="006B2C21"/>
    <w:rsid w:val="006B2C29"/>
    <w:rsid w:val="006B2C76"/>
    <w:rsid w:val="006B2FE8"/>
    <w:rsid w:val="006B3131"/>
    <w:rsid w:val="006B38FF"/>
    <w:rsid w:val="006B3918"/>
    <w:rsid w:val="006B3956"/>
    <w:rsid w:val="006B3B74"/>
    <w:rsid w:val="006B4100"/>
    <w:rsid w:val="006B418C"/>
    <w:rsid w:val="006B41E3"/>
    <w:rsid w:val="006B4429"/>
    <w:rsid w:val="006B4699"/>
    <w:rsid w:val="006B4784"/>
    <w:rsid w:val="006B487F"/>
    <w:rsid w:val="006B4AD4"/>
    <w:rsid w:val="006B4B1D"/>
    <w:rsid w:val="006B4C64"/>
    <w:rsid w:val="006B4F88"/>
    <w:rsid w:val="006B5382"/>
    <w:rsid w:val="006B5582"/>
    <w:rsid w:val="006B5602"/>
    <w:rsid w:val="006B5644"/>
    <w:rsid w:val="006B5672"/>
    <w:rsid w:val="006B6483"/>
    <w:rsid w:val="006B669C"/>
    <w:rsid w:val="006B6A99"/>
    <w:rsid w:val="006B6B91"/>
    <w:rsid w:val="006B6C8B"/>
    <w:rsid w:val="006B6CE7"/>
    <w:rsid w:val="006B6DC0"/>
    <w:rsid w:val="006B6FB1"/>
    <w:rsid w:val="006B7389"/>
    <w:rsid w:val="006B73B0"/>
    <w:rsid w:val="006B74CE"/>
    <w:rsid w:val="006B79DF"/>
    <w:rsid w:val="006B7A35"/>
    <w:rsid w:val="006B7B22"/>
    <w:rsid w:val="006B7C6F"/>
    <w:rsid w:val="006B7D76"/>
    <w:rsid w:val="006C0196"/>
    <w:rsid w:val="006C01D0"/>
    <w:rsid w:val="006C0270"/>
    <w:rsid w:val="006C02A6"/>
    <w:rsid w:val="006C02C9"/>
    <w:rsid w:val="006C0638"/>
    <w:rsid w:val="006C0AC9"/>
    <w:rsid w:val="006C0C2A"/>
    <w:rsid w:val="006C0D0F"/>
    <w:rsid w:val="006C0F23"/>
    <w:rsid w:val="006C116B"/>
    <w:rsid w:val="006C1207"/>
    <w:rsid w:val="006C1514"/>
    <w:rsid w:val="006C1892"/>
    <w:rsid w:val="006C1ABB"/>
    <w:rsid w:val="006C1B92"/>
    <w:rsid w:val="006C1BB2"/>
    <w:rsid w:val="006C1C89"/>
    <w:rsid w:val="006C2A10"/>
    <w:rsid w:val="006C2B49"/>
    <w:rsid w:val="006C2E3E"/>
    <w:rsid w:val="006C304F"/>
    <w:rsid w:val="006C3155"/>
    <w:rsid w:val="006C32A1"/>
    <w:rsid w:val="006C3663"/>
    <w:rsid w:val="006C36A2"/>
    <w:rsid w:val="006C383E"/>
    <w:rsid w:val="006C3C18"/>
    <w:rsid w:val="006C41E3"/>
    <w:rsid w:val="006C44CC"/>
    <w:rsid w:val="006C4D63"/>
    <w:rsid w:val="006C4F4B"/>
    <w:rsid w:val="006C5154"/>
    <w:rsid w:val="006C5368"/>
    <w:rsid w:val="006C540F"/>
    <w:rsid w:val="006C5605"/>
    <w:rsid w:val="006C56A4"/>
    <w:rsid w:val="006C56E7"/>
    <w:rsid w:val="006C5788"/>
    <w:rsid w:val="006C5A29"/>
    <w:rsid w:val="006C5B73"/>
    <w:rsid w:val="006C5C30"/>
    <w:rsid w:val="006C645D"/>
    <w:rsid w:val="006C668F"/>
    <w:rsid w:val="006C6877"/>
    <w:rsid w:val="006C6C74"/>
    <w:rsid w:val="006C6DF7"/>
    <w:rsid w:val="006C703B"/>
    <w:rsid w:val="006C7082"/>
    <w:rsid w:val="006C71D0"/>
    <w:rsid w:val="006C73BA"/>
    <w:rsid w:val="006C77B2"/>
    <w:rsid w:val="006C7893"/>
    <w:rsid w:val="006C7E09"/>
    <w:rsid w:val="006C7ECC"/>
    <w:rsid w:val="006C7EE2"/>
    <w:rsid w:val="006D01DC"/>
    <w:rsid w:val="006D08D0"/>
    <w:rsid w:val="006D08FB"/>
    <w:rsid w:val="006D0BE9"/>
    <w:rsid w:val="006D0C39"/>
    <w:rsid w:val="006D0FB6"/>
    <w:rsid w:val="006D1355"/>
    <w:rsid w:val="006D1721"/>
    <w:rsid w:val="006D1751"/>
    <w:rsid w:val="006D18DF"/>
    <w:rsid w:val="006D1954"/>
    <w:rsid w:val="006D1974"/>
    <w:rsid w:val="006D197A"/>
    <w:rsid w:val="006D19B6"/>
    <w:rsid w:val="006D1A1D"/>
    <w:rsid w:val="006D1CDC"/>
    <w:rsid w:val="006D1CF3"/>
    <w:rsid w:val="006D21F7"/>
    <w:rsid w:val="006D226F"/>
    <w:rsid w:val="006D23E3"/>
    <w:rsid w:val="006D2441"/>
    <w:rsid w:val="006D2477"/>
    <w:rsid w:val="006D2603"/>
    <w:rsid w:val="006D270F"/>
    <w:rsid w:val="006D274D"/>
    <w:rsid w:val="006D275A"/>
    <w:rsid w:val="006D2B84"/>
    <w:rsid w:val="006D2C22"/>
    <w:rsid w:val="006D2C43"/>
    <w:rsid w:val="006D2C72"/>
    <w:rsid w:val="006D2E20"/>
    <w:rsid w:val="006D2F99"/>
    <w:rsid w:val="006D3086"/>
    <w:rsid w:val="006D30B9"/>
    <w:rsid w:val="006D34D1"/>
    <w:rsid w:val="006D3648"/>
    <w:rsid w:val="006D38F3"/>
    <w:rsid w:val="006D3ABD"/>
    <w:rsid w:val="006D3B7F"/>
    <w:rsid w:val="006D3BAA"/>
    <w:rsid w:val="006D3C48"/>
    <w:rsid w:val="006D3F77"/>
    <w:rsid w:val="006D419D"/>
    <w:rsid w:val="006D41F0"/>
    <w:rsid w:val="006D426F"/>
    <w:rsid w:val="006D4489"/>
    <w:rsid w:val="006D44AF"/>
    <w:rsid w:val="006D4589"/>
    <w:rsid w:val="006D4A02"/>
    <w:rsid w:val="006D4D06"/>
    <w:rsid w:val="006D569B"/>
    <w:rsid w:val="006D56C7"/>
    <w:rsid w:val="006D594B"/>
    <w:rsid w:val="006D5961"/>
    <w:rsid w:val="006D5BAC"/>
    <w:rsid w:val="006D5C7E"/>
    <w:rsid w:val="006D5D88"/>
    <w:rsid w:val="006D5F22"/>
    <w:rsid w:val="006D5FC0"/>
    <w:rsid w:val="006D6126"/>
    <w:rsid w:val="006D6789"/>
    <w:rsid w:val="006D6A7A"/>
    <w:rsid w:val="006D6B38"/>
    <w:rsid w:val="006D6D82"/>
    <w:rsid w:val="006D704E"/>
    <w:rsid w:val="006D71F6"/>
    <w:rsid w:val="006D75E8"/>
    <w:rsid w:val="006D760C"/>
    <w:rsid w:val="006D76A6"/>
    <w:rsid w:val="006D77A4"/>
    <w:rsid w:val="006D78A9"/>
    <w:rsid w:val="006D79E9"/>
    <w:rsid w:val="006D7ACC"/>
    <w:rsid w:val="006D7B0D"/>
    <w:rsid w:val="006D7E5B"/>
    <w:rsid w:val="006E053D"/>
    <w:rsid w:val="006E0886"/>
    <w:rsid w:val="006E0A43"/>
    <w:rsid w:val="006E0A71"/>
    <w:rsid w:val="006E0A96"/>
    <w:rsid w:val="006E0B66"/>
    <w:rsid w:val="006E1193"/>
    <w:rsid w:val="006E1258"/>
    <w:rsid w:val="006E1384"/>
    <w:rsid w:val="006E14EB"/>
    <w:rsid w:val="006E1563"/>
    <w:rsid w:val="006E17FB"/>
    <w:rsid w:val="006E1857"/>
    <w:rsid w:val="006E1A81"/>
    <w:rsid w:val="006E1AFA"/>
    <w:rsid w:val="006E1C27"/>
    <w:rsid w:val="006E1DA5"/>
    <w:rsid w:val="006E1E99"/>
    <w:rsid w:val="006E1EC5"/>
    <w:rsid w:val="006E1EE6"/>
    <w:rsid w:val="006E1EFC"/>
    <w:rsid w:val="006E24EB"/>
    <w:rsid w:val="006E2599"/>
    <w:rsid w:val="006E27ED"/>
    <w:rsid w:val="006E2842"/>
    <w:rsid w:val="006E284B"/>
    <w:rsid w:val="006E293A"/>
    <w:rsid w:val="006E2A73"/>
    <w:rsid w:val="006E2A9B"/>
    <w:rsid w:val="006E2B1C"/>
    <w:rsid w:val="006E2D2A"/>
    <w:rsid w:val="006E2DCF"/>
    <w:rsid w:val="006E3211"/>
    <w:rsid w:val="006E32C4"/>
    <w:rsid w:val="006E3668"/>
    <w:rsid w:val="006E377F"/>
    <w:rsid w:val="006E3991"/>
    <w:rsid w:val="006E3B35"/>
    <w:rsid w:val="006E3C61"/>
    <w:rsid w:val="006E3CC3"/>
    <w:rsid w:val="006E3DBB"/>
    <w:rsid w:val="006E3DC6"/>
    <w:rsid w:val="006E3DED"/>
    <w:rsid w:val="006E408A"/>
    <w:rsid w:val="006E46A7"/>
    <w:rsid w:val="006E47BE"/>
    <w:rsid w:val="006E4E32"/>
    <w:rsid w:val="006E4E3D"/>
    <w:rsid w:val="006E4F1A"/>
    <w:rsid w:val="006E505F"/>
    <w:rsid w:val="006E50EA"/>
    <w:rsid w:val="006E52C8"/>
    <w:rsid w:val="006E56C9"/>
    <w:rsid w:val="006E5725"/>
    <w:rsid w:val="006E59A3"/>
    <w:rsid w:val="006E5B69"/>
    <w:rsid w:val="006E5E3A"/>
    <w:rsid w:val="006E5EA2"/>
    <w:rsid w:val="006E6059"/>
    <w:rsid w:val="006E6236"/>
    <w:rsid w:val="006E656F"/>
    <w:rsid w:val="006E6689"/>
    <w:rsid w:val="006E66C1"/>
    <w:rsid w:val="006E6976"/>
    <w:rsid w:val="006E6B2D"/>
    <w:rsid w:val="006E6D25"/>
    <w:rsid w:val="006E6E0E"/>
    <w:rsid w:val="006E6E2A"/>
    <w:rsid w:val="006E6F2D"/>
    <w:rsid w:val="006E71F5"/>
    <w:rsid w:val="006E746A"/>
    <w:rsid w:val="006E77E1"/>
    <w:rsid w:val="006E7831"/>
    <w:rsid w:val="006E7971"/>
    <w:rsid w:val="006E7A2F"/>
    <w:rsid w:val="006E7EF7"/>
    <w:rsid w:val="006E7FA8"/>
    <w:rsid w:val="006F03CE"/>
    <w:rsid w:val="006F05F1"/>
    <w:rsid w:val="006F0674"/>
    <w:rsid w:val="006F0ACB"/>
    <w:rsid w:val="006F0AD8"/>
    <w:rsid w:val="006F0F89"/>
    <w:rsid w:val="006F0FC2"/>
    <w:rsid w:val="006F10B0"/>
    <w:rsid w:val="006F1189"/>
    <w:rsid w:val="006F1819"/>
    <w:rsid w:val="006F187E"/>
    <w:rsid w:val="006F1942"/>
    <w:rsid w:val="006F1EAD"/>
    <w:rsid w:val="006F2153"/>
    <w:rsid w:val="006F2267"/>
    <w:rsid w:val="006F2376"/>
    <w:rsid w:val="006F2527"/>
    <w:rsid w:val="006F25EA"/>
    <w:rsid w:val="006F2880"/>
    <w:rsid w:val="006F2A82"/>
    <w:rsid w:val="006F2B21"/>
    <w:rsid w:val="006F2B58"/>
    <w:rsid w:val="006F2EA2"/>
    <w:rsid w:val="006F2F40"/>
    <w:rsid w:val="006F2FB8"/>
    <w:rsid w:val="006F30ED"/>
    <w:rsid w:val="006F353E"/>
    <w:rsid w:val="006F385A"/>
    <w:rsid w:val="006F3D0A"/>
    <w:rsid w:val="006F3EC4"/>
    <w:rsid w:val="006F3ED0"/>
    <w:rsid w:val="006F4047"/>
    <w:rsid w:val="006F42E8"/>
    <w:rsid w:val="006F44BA"/>
    <w:rsid w:val="006F4546"/>
    <w:rsid w:val="006F4581"/>
    <w:rsid w:val="006F4660"/>
    <w:rsid w:val="006F48FF"/>
    <w:rsid w:val="006F4925"/>
    <w:rsid w:val="006F497C"/>
    <w:rsid w:val="006F4BDE"/>
    <w:rsid w:val="006F4E1E"/>
    <w:rsid w:val="006F4E3A"/>
    <w:rsid w:val="006F4EE0"/>
    <w:rsid w:val="006F4F9A"/>
    <w:rsid w:val="006F512E"/>
    <w:rsid w:val="006F51D9"/>
    <w:rsid w:val="006F53E8"/>
    <w:rsid w:val="006F5445"/>
    <w:rsid w:val="006F55B2"/>
    <w:rsid w:val="006F579D"/>
    <w:rsid w:val="006F5CFE"/>
    <w:rsid w:val="006F5DF8"/>
    <w:rsid w:val="006F603D"/>
    <w:rsid w:val="006F673D"/>
    <w:rsid w:val="006F6AB5"/>
    <w:rsid w:val="006F6C2D"/>
    <w:rsid w:val="006F7569"/>
    <w:rsid w:val="006F79C9"/>
    <w:rsid w:val="006F7A06"/>
    <w:rsid w:val="006F7B67"/>
    <w:rsid w:val="006F7FE5"/>
    <w:rsid w:val="006F7FF1"/>
    <w:rsid w:val="00700015"/>
    <w:rsid w:val="0070009F"/>
    <w:rsid w:val="007000CE"/>
    <w:rsid w:val="007000DF"/>
    <w:rsid w:val="00700501"/>
    <w:rsid w:val="0070050B"/>
    <w:rsid w:val="007006F5"/>
    <w:rsid w:val="007009AC"/>
    <w:rsid w:val="00700AB0"/>
    <w:rsid w:val="00700D2A"/>
    <w:rsid w:val="00700E2C"/>
    <w:rsid w:val="00700F10"/>
    <w:rsid w:val="0070110F"/>
    <w:rsid w:val="00701813"/>
    <w:rsid w:val="0070191E"/>
    <w:rsid w:val="00701DC0"/>
    <w:rsid w:val="00702AC3"/>
    <w:rsid w:val="00702AE4"/>
    <w:rsid w:val="00702B2A"/>
    <w:rsid w:val="00702EA2"/>
    <w:rsid w:val="00703017"/>
    <w:rsid w:val="00703283"/>
    <w:rsid w:val="00703293"/>
    <w:rsid w:val="007032C7"/>
    <w:rsid w:val="0070348C"/>
    <w:rsid w:val="0070355E"/>
    <w:rsid w:val="0070360C"/>
    <w:rsid w:val="00703663"/>
    <w:rsid w:val="00703770"/>
    <w:rsid w:val="00703991"/>
    <w:rsid w:val="00703D1D"/>
    <w:rsid w:val="00703FAD"/>
    <w:rsid w:val="0070406D"/>
    <w:rsid w:val="0070421E"/>
    <w:rsid w:val="007045FC"/>
    <w:rsid w:val="007048C5"/>
    <w:rsid w:val="00704C6B"/>
    <w:rsid w:val="00704C8B"/>
    <w:rsid w:val="00704D82"/>
    <w:rsid w:val="00704E29"/>
    <w:rsid w:val="00705286"/>
    <w:rsid w:val="007053A5"/>
    <w:rsid w:val="00705600"/>
    <w:rsid w:val="007056C5"/>
    <w:rsid w:val="00705A88"/>
    <w:rsid w:val="00705B16"/>
    <w:rsid w:val="00706868"/>
    <w:rsid w:val="007068C6"/>
    <w:rsid w:val="00706A16"/>
    <w:rsid w:val="00706B67"/>
    <w:rsid w:val="00706C71"/>
    <w:rsid w:val="00706E8E"/>
    <w:rsid w:val="00706EC8"/>
    <w:rsid w:val="00706F7E"/>
    <w:rsid w:val="00707113"/>
    <w:rsid w:val="007071A0"/>
    <w:rsid w:val="00707360"/>
    <w:rsid w:val="007073AE"/>
    <w:rsid w:val="007078D3"/>
    <w:rsid w:val="00707BF3"/>
    <w:rsid w:val="00707E66"/>
    <w:rsid w:val="00707EC0"/>
    <w:rsid w:val="00707F0D"/>
    <w:rsid w:val="007101A2"/>
    <w:rsid w:val="0071055D"/>
    <w:rsid w:val="00710FD6"/>
    <w:rsid w:val="007111CD"/>
    <w:rsid w:val="0071125B"/>
    <w:rsid w:val="0071140F"/>
    <w:rsid w:val="007114D1"/>
    <w:rsid w:val="007118EE"/>
    <w:rsid w:val="00711AEC"/>
    <w:rsid w:val="00712081"/>
    <w:rsid w:val="00712274"/>
    <w:rsid w:val="00712ED5"/>
    <w:rsid w:val="007131C3"/>
    <w:rsid w:val="0071320C"/>
    <w:rsid w:val="00713417"/>
    <w:rsid w:val="0071350E"/>
    <w:rsid w:val="00713530"/>
    <w:rsid w:val="0071363E"/>
    <w:rsid w:val="0071403F"/>
    <w:rsid w:val="0071419A"/>
    <w:rsid w:val="00714479"/>
    <w:rsid w:val="0071455D"/>
    <w:rsid w:val="007145F8"/>
    <w:rsid w:val="007147E1"/>
    <w:rsid w:val="00714838"/>
    <w:rsid w:val="00714843"/>
    <w:rsid w:val="00714A57"/>
    <w:rsid w:val="00714EA5"/>
    <w:rsid w:val="00715154"/>
    <w:rsid w:val="00715492"/>
    <w:rsid w:val="007156E7"/>
    <w:rsid w:val="007158A6"/>
    <w:rsid w:val="00715A0C"/>
    <w:rsid w:val="00715B14"/>
    <w:rsid w:val="00715D8C"/>
    <w:rsid w:val="00715FF0"/>
    <w:rsid w:val="007163AB"/>
    <w:rsid w:val="0071662E"/>
    <w:rsid w:val="00716BAA"/>
    <w:rsid w:val="00716F00"/>
    <w:rsid w:val="007170C1"/>
    <w:rsid w:val="007170E8"/>
    <w:rsid w:val="007170EA"/>
    <w:rsid w:val="00717285"/>
    <w:rsid w:val="00717390"/>
    <w:rsid w:val="007175A2"/>
    <w:rsid w:val="00717687"/>
    <w:rsid w:val="00717C3A"/>
    <w:rsid w:val="0072001C"/>
    <w:rsid w:val="007200C4"/>
    <w:rsid w:val="00720513"/>
    <w:rsid w:val="00720862"/>
    <w:rsid w:val="00720F14"/>
    <w:rsid w:val="00721630"/>
    <w:rsid w:val="00721646"/>
    <w:rsid w:val="00721675"/>
    <w:rsid w:val="007216B1"/>
    <w:rsid w:val="007217F3"/>
    <w:rsid w:val="0072185C"/>
    <w:rsid w:val="00721B4C"/>
    <w:rsid w:val="00721E08"/>
    <w:rsid w:val="00721EED"/>
    <w:rsid w:val="00721FFC"/>
    <w:rsid w:val="0072201F"/>
    <w:rsid w:val="00722216"/>
    <w:rsid w:val="00722228"/>
    <w:rsid w:val="00722B15"/>
    <w:rsid w:val="00722B53"/>
    <w:rsid w:val="00722EF4"/>
    <w:rsid w:val="00723020"/>
    <w:rsid w:val="007230FA"/>
    <w:rsid w:val="0072345B"/>
    <w:rsid w:val="007238D8"/>
    <w:rsid w:val="00723934"/>
    <w:rsid w:val="00723B24"/>
    <w:rsid w:val="00723D4E"/>
    <w:rsid w:val="00723EAD"/>
    <w:rsid w:val="007243E7"/>
    <w:rsid w:val="007244D8"/>
    <w:rsid w:val="007245CB"/>
    <w:rsid w:val="007246EE"/>
    <w:rsid w:val="0072473F"/>
    <w:rsid w:val="00724942"/>
    <w:rsid w:val="00725546"/>
    <w:rsid w:val="00725693"/>
    <w:rsid w:val="00725836"/>
    <w:rsid w:val="007258CB"/>
    <w:rsid w:val="007259DF"/>
    <w:rsid w:val="00725D49"/>
    <w:rsid w:val="00726076"/>
    <w:rsid w:val="0072631B"/>
    <w:rsid w:val="00726595"/>
    <w:rsid w:val="007267DA"/>
    <w:rsid w:val="00726BDB"/>
    <w:rsid w:val="00726CC8"/>
    <w:rsid w:val="00726CF4"/>
    <w:rsid w:val="007271A9"/>
    <w:rsid w:val="007271F3"/>
    <w:rsid w:val="00727405"/>
    <w:rsid w:val="007274A4"/>
    <w:rsid w:val="00727A61"/>
    <w:rsid w:val="00727BD6"/>
    <w:rsid w:val="00727D1B"/>
    <w:rsid w:val="00730008"/>
    <w:rsid w:val="00730293"/>
    <w:rsid w:val="007302E3"/>
    <w:rsid w:val="007303DF"/>
    <w:rsid w:val="007304F2"/>
    <w:rsid w:val="0073059F"/>
    <w:rsid w:val="0073075D"/>
    <w:rsid w:val="00730773"/>
    <w:rsid w:val="00730A4D"/>
    <w:rsid w:val="00730AC7"/>
    <w:rsid w:val="00730D4D"/>
    <w:rsid w:val="00730E6E"/>
    <w:rsid w:val="007312EF"/>
    <w:rsid w:val="00731328"/>
    <w:rsid w:val="00731826"/>
    <w:rsid w:val="00731A4E"/>
    <w:rsid w:val="00731A73"/>
    <w:rsid w:val="00731BDB"/>
    <w:rsid w:val="00731E07"/>
    <w:rsid w:val="007323AE"/>
    <w:rsid w:val="007324DA"/>
    <w:rsid w:val="0073268A"/>
    <w:rsid w:val="00732D46"/>
    <w:rsid w:val="00733036"/>
    <w:rsid w:val="007330EB"/>
    <w:rsid w:val="00733217"/>
    <w:rsid w:val="00733371"/>
    <w:rsid w:val="00733666"/>
    <w:rsid w:val="007338A8"/>
    <w:rsid w:val="00733CEE"/>
    <w:rsid w:val="00733E16"/>
    <w:rsid w:val="0073426F"/>
    <w:rsid w:val="0073440D"/>
    <w:rsid w:val="007348B5"/>
    <w:rsid w:val="00734B8B"/>
    <w:rsid w:val="00734E12"/>
    <w:rsid w:val="007355D0"/>
    <w:rsid w:val="0073567E"/>
    <w:rsid w:val="0073580F"/>
    <w:rsid w:val="007359EB"/>
    <w:rsid w:val="00735DE2"/>
    <w:rsid w:val="0073618A"/>
    <w:rsid w:val="007361C6"/>
    <w:rsid w:val="00736206"/>
    <w:rsid w:val="00736270"/>
    <w:rsid w:val="00736420"/>
    <w:rsid w:val="0073658E"/>
    <w:rsid w:val="00736611"/>
    <w:rsid w:val="00736701"/>
    <w:rsid w:val="00736BC5"/>
    <w:rsid w:val="00736C22"/>
    <w:rsid w:val="00736C28"/>
    <w:rsid w:val="00736C85"/>
    <w:rsid w:val="00736CB3"/>
    <w:rsid w:val="00737009"/>
    <w:rsid w:val="00737115"/>
    <w:rsid w:val="00737176"/>
    <w:rsid w:val="0073795C"/>
    <w:rsid w:val="00737ED6"/>
    <w:rsid w:val="00740519"/>
    <w:rsid w:val="0074071C"/>
    <w:rsid w:val="007407F2"/>
    <w:rsid w:val="00740A0C"/>
    <w:rsid w:val="00740C9E"/>
    <w:rsid w:val="00740F49"/>
    <w:rsid w:val="00741192"/>
    <w:rsid w:val="007413CA"/>
    <w:rsid w:val="00742198"/>
    <w:rsid w:val="00742366"/>
    <w:rsid w:val="0074285C"/>
    <w:rsid w:val="007429A9"/>
    <w:rsid w:val="00742A1F"/>
    <w:rsid w:val="00742B8C"/>
    <w:rsid w:val="00742C0E"/>
    <w:rsid w:val="00742C25"/>
    <w:rsid w:val="00742DF8"/>
    <w:rsid w:val="00742E0D"/>
    <w:rsid w:val="00742E78"/>
    <w:rsid w:val="00743104"/>
    <w:rsid w:val="007432E4"/>
    <w:rsid w:val="007434CF"/>
    <w:rsid w:val="0074356D"/>
    <w:rsid w:val="00743898"/>
    <w:rsid w:val="00743B25"/>
    <w:rsid w:val="00743BD2"/>
    <w:rsid w:val="00743FF2"/>
    <w:rsid w:val="00744018"/>
    <w:rsid w:val="0074402D"/>
    <w:rsid w:val="00744331"/>
    <w:rsid w:val="00744356"/>
    <w:rsid w:val="007443CF"/>
    <w:rsid w:val="00744480"/>
    <w:rsid w:val="00744484"/>
    <w:rsid w:val="00744594"/>
    <w:rsid w:val="007449FC"/>
    <w:rsid w:val="00744B67"/>
    <w:rsid w:val="00744FE0"/>
    <w:rsid w:val="007453B2"/>
    <w:rsid w:val="007459A6"/>
    <w:rsid w:val="00745F61"/>
    <w:rsid w:val="0074608F"/>
    <w:rsid w:val="007460D7"/>
    <w:rsid w:val="0074610A"/>
    <w:rsid w:val="0074658E"/>
    <w:rsid w:val="00746619"/>
    <w:rsid w:val="007467EB"/>
    <w:rsid w:val="00746B88"/>
    <w:rsid w:val="00747194"/>
    <w:rsid w:val="007472D0"/>
    <w:rsid w:val="00747672"/>
    <w:rsid w:val="0074795D"/>
    <w:rsid w:val="007479A2"/>
    <w:rsid w:val="00747B15"/>
    <w:rsid w:val="00747B5C"/>
    <w:rsid w:val="00747B6C"/>
    <w:rsid w:val="00747CBF"/>
    <w:rsid w:val="00747D91"/>
    <w:rsid w:val="00747DB3"/>
    <w:rsid w:val="007505AF"/>
    <w:rsid w:val="0075061A"/>
    <w:rsid w:val="0075094C"/>
    <w:rsid w:val="007509DD"/>
    <w:rsid w:val="00750E96"/>
    <w:rsid w:val="0075117D"/>
    <w:rsid w:val="0075132D"/>
    <w:rsid w:val="0075136B"/>
    <w:rsid w:val="00751633"/>
    <w:rsid w:val="00751862"/>
    <w:rsid w:val="007519BB"/>
    <w:rsid w:val="00751B2C"/>
    <w:rsid w:val="00751B3C"/>
    <w:rsid w:val="00751B4A"/>
    <w:rsid w:val="00751EDE"/>
    <w:rsid w:val="00752228"/>
    <w:rsid w:val="00752B7F"/>
    <w:rsid w:val="00752C2E"/>
    <w:rsid w:val="00752D85"/>
    <w:rsid w:val="00752F8B"/>
    <w:rsid w:val="00753012"/>
    <w:rsid w:val="007531EF"/>
    <w:rsid w:val="00753375"/>
    <w:rsid w:val="007533C6"/>
    <w:rsid w:val="00753585"/>
    <w:rsid w:val="00753A2D"/>
    <w:rsid w:val="00753BD7"/>
    <w:rsid w:val="00753EE5"/>
    <w:rsid w:val="00754020"/>
    <w:rsid w:val="0075402D"/>
    <w:rsid w:val="00754047"/>
    <w:rsid w:val="007542A0"/>
    <w:rsid w:val="0075436C"/>
    <w:rsid w:val="007543E7"/>
    <w:rsid w:val="0075449A"/>
    <w:rsid w:val="007546E1"/>
    <w:rsid w:val="00754AA8"/>
    <w:rsid w:val="00755B74"/>
    <w:rsid w:val="00755C81"/>
    <w:rsid w:val="007560C3"/>
    <w:rsid w:val="007561BF"/>
    <w:rsid w:val="00756257"/>
    <w:rsid w:val="0075643B"/>
    <w:rsid w:val="007564E6"/>
    <w:rsid w:val="00756546"/>
    <w:rsid w:val="007566E3"/>
    <w:rsid w:val="00756D8C"/>
    <w:rsid w:val="0075721D"/>
    <w:rsid w:val="007573C8"/>
    <w:rsid w:val="00757401"/>
    <w:rsid w:val="007578DC"/>
    <w:rsid w:val="007579EF"/>
    <w:rsid w:val="00757A9E"/>
    <w:rsid w:val="00757B93"/>
    <w:rsid w:val="00757CDE"/>
    <w:rsid w:val="00757D66"/>
    <w:rsid w:val="00760088"/>
    <w:rsid w:val="00760115"/>
    <w:rsid w:val="00760215"/>
    <w:rsid w:val="0076021C"/>
    <w:rsid w:val="0076027D"/>
    <w:rsid w:val="00760560"/>
    <w:rsid w:val="00760614"/>
    <w:rsid w:val="007609E5"/>
    <w:rsid w:val="00760A93"/>
    <w:rsid w:val="00760B6D"/>
    <w:rsid w:val="007610DC"/>
    <w:rsid w:val="0076124D"/>
    <w:rsid w:val="0076125C"/>
    <w:rsid w:val="00761447"/>
    <w:rsid w:val="0076172B"/>
    <w:rsid w:val="00761D3F"/>
    <w:rsid w:val="00761EBF"/>
    <w:rsid w:val="0076202A"/>
    <w:rsid w:val="0076209D"/>
    <w:rsid w:val="00762776"/>
    <w:rsid w:val="007628B9"/>
    <w:rsid w:val="00762B69"/>
    <w:rsid w:val="00762BCC"/>
    <w:rsid w:val="00762F0B"/>
    <w:rsid w:val="0076311B"/>
    <w:rsid w:val="00763371"/>
    <w:rsid w:val="00763474"/>
    <w:rsid w:val="0076361A"/>
    <w:rsid w:val="007638FC"/>
    <w:rsid w:val="00763A21"/>
    <w:rsid w:val="00763AEB"/>
    <w:rsid w:val="00763B6F"/>
    <w:rsid w:val="00763B83"/>
    <w:rsid w:val="00763BC3"/>
    <w:rsid w:val="00763C91"/>
    <w:rsid w:val="00763FA5"/>
    <w:rsid w:val="007641EC"/>
    <w:rsid w:val="007643FF"/>
    <w:rsid w:val="00764B5A"/>
    <w:rsid w:val="00764C69"/>
    <w:rsid w:val="00765336"/>
    <w:rsid w:val="007653C0"/>
    <w:rsid w:val="007654EC"/>
    <w:rsid w:val="00765754"/>
    <w:rsid w:val="007659A0"/>
    <w:rsid w:val="00765A06"/>
    <w:rsid w:val="00765A6B"/>
    <w:rsid w:val="00765AD3"/>
    <w:rsid w:val="00765B4C"/>
    <w:rsid w:val="00765F21"/>
    <w:rsid w:val="00765F86"/>
    <w:rsid w:val="00766184"/>
    <w:rsid w:val="0076624A"/>
    <w:rsid w:val="007662A7"/>
    <w:rsid w:val="007664B8"/>
    <w:rsid w:val="007665FC"/>
    <w:rsid w:val="00766F56"/>
    <w:rsid w:val="00766F86"/>
    <w:rsid w:val="00767311"/>
    <w:rsid w:val="007673FF"/>
    <w:rsid w:val="007674C0"/>
    <w:rsid w:val="0076776C"/>
    <w:rsid w:val="00767807"/>
    <w:rsid w:val="007678DD"/>
    <w:rsid w:val="00767937"/>
    <w:rsid w:val="00767B23"/>
    <w:rsid w:val="00767B61"/>
    <w:rsid w:val="00767C8B"/>
    <w:rsid w:val="00767E8B"/>
    <w:rsid w:val="00767EEA"/>
    <w:rsid w:val="00770058"/>
    <w:rsid w:val="0077007A"/>
    <w:rsid w:val="007700E1"/>
    <w:rsid w:val="00770107"/>
    <w:rsid w:val="00770357"/>
    <w:rsid w:val="007704DC"/>
    <w:rsid w:val="007706E5"/>
    <w:rsid w:val="00770E42"/>
    <w:rsid w:val="00770FC1"/>
    <w:rsid w:val="00771074"/>
    <w:rsid w:val="00771462"/>
    <w:rsid w:val="007714E0"/>
    <w:rsid w:val="0077162B"/>
    <w:rsid w:val="00771A86"/>
    <w:rsid w:val="00771C28"/>
    <w:rsid w:val="00771D12"/>
    <w:rsid w:val="00772517"/>
    <w:rsid w:val="00772544"/>
    <w:rsid w:val="0077257B"/>
    <w:rsid w:val="007725F5"/>
    <w:rsid w:val="00772683"/>
    <w:rsid w:val="00772698"/>
    <w:rsid w:val="00772A83"/>
    <w:rsid w:val="00772BF9"/>
    <w:rsid w:val="00772FC4"/>
    <w:rsid w:val="007731EA"/>
    <w:rsid w:val="00773211"/>
    <w:rsid w:val="00773294"/>
    <w:rsid w:val="00773664"/>
    <w:rsid w:val="007737E5"/>
    <w:rsid w:val="00773857"/>
    <w:rsid w:val="00773977"/>
    <w:rsid w:val="007739A4"/>
    <w:rsid w:val="00773B1C"/>
    <w:rsid w:val="0077406C"/>
    <w:rsid w:val="00774868"/>
    <w:rsid w:val="00774B2A"/>
    <w:rsid w:val="00774BF3"/>
    <w:rsid w:val="00774F80"/>
    <w:rsid w:val="007755AC"/>
    <w:rsid w:val="0077589E"/>
    <w:rsid w:val="007758F8"/>
    <w:rsid w:val="007759A1"/>
    <w:rsid w:val="00775C8E"/>
    <w:rsid w:val="00775CA6"/>
    <w:rsid w:val="00775F20"/>
    <w:rsid w:val="00776444"/>
    <w:rsid w:val="007767EC"/>
    <w:rsid w:val="00776B1A"/>
    <w:rsid w:val="00776DE0"/>
    <w:rsid w:val="0077714D"/>
    <w:rsid w:val="007772F3"/>
    <w:rsid w:val="007774BD"/>
    <w:rsid w:val="00777592"/>
    <w:rsid w:val="00777610"/>
    <w:rsid w:val="00777667"/>
    <w:rsid w:val="0077792B"/>
    <w:rsid w:val="00777C14"/>
    <w:rsid w:val="00777C16"/>
    <w:rsid w:val="00777D2A"/>
    <w:rsid w:val="00777E86"/>
    <w:rsid w:val="0078017F"/>
    <w:rsid w:val="007801CC"/>
    <w:rsid w:val="00780653"/>
    <w:rsid w:val="007806EE"/>
    <w:rsid w:val="007807E0"/>
    <w:rsid w:val="007808C6"/>
    <w:rsid w:val="00780A43"/>
    <w:rsid w:val="00780AEC"/>
    <w:rsid w:val="00781463"/>
    <w:rsid w:val="007814FD"/>
    <w:rsid w:val="00781EE1"/>
    <w:rsid w:val="007822D0"/>
    <w:rsid w:val="0078234C"/>
    <w:rsid w:val="0078247C"/>
    <w:rsid w:val="0078254F"/>
    <w:rsid w:val="0078257B"/>
    <w:rsid w:val="007825F1"/>
    <w:rsid w:val="0078267F"/>
    <w:rsid w:val="00782819"/>
    <w:rsid w:val="00782873"/>
    <w:rsid w:val="007829A2"/>
    <w:rsid w:val="00782CCC"/>
    <w:rsid w:val="00782D1B"/>
    <w:rsid w:val="00783218"/>
    <w:rsid w:val="00783321"/>
    <w:rsid w:val="00783355"/>
    <w:rsid w:val="007833F4"/>
    <w:rsid w:val="00783711"/>
    <w:rsid w:val="0078382B"/>
    <w:rsid w:val="00783937"/>
    <w:rsid w:val="00783B45"/>
    <w:rsid w:val="00783C83"/>
    <w:rsid w:val="00783CAD"/>
    <w:rsid w:val="00783CD8"/>
    <w:rsid w:val="00783D75"/>
    <w:rsid w:val="00783DD0"/>
    <w:rsid w:val="00783DE4"/>
    <w:rsid w:val="00783F8A"/>
    <w:rsid w:val="00783F9E"/>
    <w:rsid w:val="007841AE"/>
    <w:rsid w:val="00784387"/>
    <w:rsid w:val="0078472D"/>
    <w:rsid w:val="00784762"/>
    <w:rsid w:val="00784C0A"/>
    <w:rsid w:val="00784D49"/>
    <w:rsid w:val="00784DE4"/>
    <w:rsid w:val="00785297"/>
    <w:rsid w:val="00785524"/>
    <w:rsid w:val="00785533"/>
    <w:rsid w:val="00785547"/>
    <w:rsid w:val="0078555F"/>
    <w:rsid w:val="0078595D"/>
    <w:rsid w:val="00785AAB"/>
    <w:rsid w:val="00785BC1"/>
    <w:rsid w:val="00785C42"/>
    <w:rsid w:val="00785D3F"/>
    <w:rsid w:val="00785D94"/>
    <w:rsid w:val="00785EE6"/>
    <w:rsid w:val="00785F83"/>
    <w:rsid w:val="007863C4"/>
    <w:rsid w:val="0078647A"/>
    <w:rsid w:val="00786619"/>
    <w:rsid w:val="00786ACC"/>
    <w:rsid w:val="00786CC6"/>
    <w:rsid w:val="00786F76"/>
    <w:rsid w:val="00787005"/>
    <w:rsid w:val="007870D9"/>
    <w:rsid w:val="00787178"/>
    <w:rsid w:val="00787635"/>
    <w:rsid w:val="00787646"/>
    <w:rsid w:val="00787803"/>
    <w:rsid w:val="00787927"/>
    <w:rsid w:val="00787A7A"/>
    <w:rsid w:val="00790185"/>
    <w:rsid w:val="007904A0"/>
    <w:rsid w:val="007905D5"/>
    <w:rsid w:val="007905EB"/>
    <w:rsid w:val="007909F1"/>
    <w:rsid w:val="00790A7D"/>
    <w:rsid w:val="00790CD3"/>
    <w:rsid w:val="00791755"/>
    <w:rsid w:val="007917C4"/>
    <w:rsid w:val="0079194E"/>
    <w:rsid w:val="00791A7E"/>
    <w:rsid w:val="00791ADC"/>
    <w:rsid w:val="00791BD0"/>
    <w:rsid w:val="00791C8B"/>
    <w:rsid w:val="0079200D"/>
    <w:rsid w:val="007921F7"/>
    <w:rsid w:val="0079222E"/>
    <w:rsid w:val="007922CF"/>
    <w:rsid w:val="007924F8"/>
    <w:rsid w:val="00792697"/>
    <w:rsid w:val="00792980"/>
    <w:rsid w:val="00792C7E"/>
    <w:rsid w:val="00792EE4"/>
    <w:rsid w:val="00792F9B"/>
    <w:rsid w:val="007930C7"/>
    <w:rsid w:val="00793291"/>
    <w:rsid w:val="00793592"/>
    <w:rsid w:val="0079377D"/>
    <w:rsid w:val="00793A25"/>
    <w:rsid w:val="00793CE8"/>
    <w:rsid w:val="00794048"/>
    <w:rsid w:val="00794189"/>
    <w:rsid w:val="007942BC"/>
    <w:rsid w:val="0079439A"/>
    <w:rsid w:val="00794489"/>
    <w:rsid w:val="00794510"/>
    <w:rsid w:val="00794983"/>
    <w:rsid w:val="00794B40"/>
    <w:rsid w:val="00794F43"/>
    <w:rsid w:val="00795123"/>
    <w:rsid w:val="00795340"/>
    <w:rsid w:val="0079551F"/>
    <w:rsid w:val="00795854"/>
    <w:rsid w:val="007959B2"/>
    <w:rsid w:val="00795B0D"/>
    <w:rsid w:val="00795B59"/>
    <w:rsid w:val="00795B6B"/>
    <w:rsid w:val="00795C68"/>
    <w:rsid w:val="00795D89"/>
    <w:rsid w:val="00795DEE"/>
    <w:rsid w:val="00795F02"/>
    <w:rsid w:val="007960C9"/>
    <w:rsid w:val="0079619E"/>
    <w:rsid w:val="0079629C"/>
    <w:rsid w:val="0079633D"/>
    <w:rsid w:val="007965F0"/>
    <w:rsid w:val="0079691B"/>
    <w:rsid w:val="00796A0A"/>
    <w:rsid w:val="00796A9B"/>
    <w:rsid w:val="00796B1F"/>
    <w:rsid w:val="00796E26"/>
    <w:rsid w:val="007970CA"/>
    <w:rsid w:val="007972A1"/>
    <w:rsid w:val="00797329"/>
    <w:rsid w:val="0079734D"/>
    <w:rsid w:val="0079735D"/>
    <w:rsid w:val="0079739E"/>
    <w:rsid w:val="0079746A"/>
    <w:rsid w:val="0079755A"/>
    <w:rsid w:val="00797BC5"/>
    <w:rsid w:val="00797DB6"/>
    <w:rsid w:val="007A0098"/>
    <w:rsid w:val="007A04CC"/>
    <w:rsid w:val="007A08A6"/>
    <w:rsid w:val="007A0B26"/>
    <w:rsid w:val="007A0BB3"/>
    <w:rsid w:val="007A0BE4"/>
    <w:rsid w:val="007A0FAB"/>
    <w:rsid w:val="007A1079"/>
    <w:rsid w:val="007A1163"/>
    <w:rsid w:val="007A12BF"/>
    <w:rsid w:val="007A150B"/>
    <w:rsid w:val="007A1C3A"/>
    <w:rsid w:val="007A1E98"/>
    <w:rsid w:val="007A2026"/>
    <w:rsid w:val="007A2426"/>
    <w:rsid w:val="007A243A"/>
    <w:rsid w:val="007A250D"/>
    <w:rsid w:val="007A2670"/>
    <w:rsid w:val="007A2928"/>
    <w:rsid w:val="007A2B61"/>
    <w:rsid w:val="007A2D00"/>
    <w:rsid w:val="007A2D13"/>
    <w:rsid w:val="007A30A1"/>
    <w:rsid w:val="007A3820"/>
    <w:rsid w:val="007A39D7"/>
    <w:rsid w:val="007A3C11"/>
    <w:rsid w:val="007A3E47"/>
    <w:rsid w:val="007A4254"/>
    <w:rsid w:val="007A42B8"/>
    <w:rsid w:val="007A4327"/>
    <w:rsid w:val="007A44B6"/>
    <w:rsid w:val="007A44D1"/>
    <w:rsid w:val="007A4829"/>
    <w:rsid w:val="007A4A22"/>
    <w:rsid w:val="007A4E37"/>
    <w:rsid w:val="007A4FAD"/>
    <w:rsid w:val="007A5169"/>
    <w:rsid w:val="007A51EC"/>
    <w:rsid w:val="007A5444"/>
    <w:rsid w:val="007A5508"/>
    <w:rsid w:val="007A5EFE"/>
    <w:rsid w:val="007A6420"/>
    <w:rsid w:val="007A6C23"/>
    <w:rsid w:val="007A70F2"/>
    <w:rsid w:val="007A7345"/>
    <w:rsid w:val="007A7618"/>
    <w:rsid w:val="007A7852"/>
    <w:rsid w:val="007A7AF8"/>
    <w:rsid w:val="007A7D9D"/>
    <w:rsid w:val="007B03A2"/>
    <w:rsid w:val="007B0517"/>
    <w:rsid w:val="007B0895"/>
    <w:rsid w:val="007B0D08"/>
    <w:rsid w:val="007B1077"/>
    <w:rsid w:val="007B10B7"/>
    <w:rsid w:val="007B1609"/>
    <w:rsid w:val="007B164A"/>
    <w:rsid w:val="007B1BA7"/>
    <w:rsid w:val="007B1C47"/>
    <w:rsid w:val="007B1E13"/>
    <w:rsid w:val="007B1FA2"/>
    <w:rsid w:val="007B24DC"/>
    <w:rsid w:val="007B24F9"/>
    <w:rsid w:val="007B2612"/>
    <w:rsid w:val="007B2653"/>
    <w:rsid w:val="007B2677"/>
    <w:rsid w:val="007B2900"/>
    <w:rsid w:val="007B2926"/>
    <w:rsid w:val="007B2A6F"/>
    <w:rsid w:val="007B2A8A"/>
    <w:rsid w:val="007B2AFF"/>
    <w:rsid w:val="007B2C72"/>
    <w:rsid w:val="007B2E28"/>
    <w:rsid w:val="007B2EEB"/>
    <w:rsid w:val="007B2FB9"/>
    <w:rsid w:val="007B3390"/>
    <w:rsid w:val="007B340B"/>
    <w:rsid w:val="007B3770"/>
    <w:rsid w:val="007B3875"/>
    <w:rsid w:val="007B38CF"/>
    <w:rsid w:val="007B3D1C"/>
    <w:rsid w:val="007B3D81"/>
    <w:rsid w:val="007B3D87"/>
    <w:rsid w:val="007B3FB4"/>
    <w:rsid w:val="007B41EC"/>
    <w:rsid w:val="007B430B"/>
    <w:rsid w:val="007B4455"/>
    <w:rsid w:val="007B445A"/>
    <w:rsid w:val="007B45B1"/>
    <w:rsid w:val="007B45F1"/>
    <w:rsid w:val="007B4A6D"/>
    <w:rsid w:val="007B4A7A"/>
    <w:rsid w:val="007B4B0B"/>
    <w:rsid w:val="007B5417"/>
    <w:rsid w:val="007B55D9"/>
    <w:rsid w:val="007B564B"/>
    <w:rsid w:val="007B586C"/>
    <w:rsid w:val="007B59ED"/>
    <w:rsid w:val="007B5A27"/>
    <w:rsid w:val="007B5AFA"/>
    <w:rsid w:val="007B5B4C"/>
    <w:rsid w:val="007B5DB9"/>
    <w:rsid w:val="007B5F67"/>
    <w:rsid w:val="007B6189"/>
    <w:rsid w:val="007B6244"/>
    <w:rsid w:val="007B631A"/>
    <w:rsid w:val="007B6501"/>
    <w:rsid w:val="007B6600"/>
    <w:rsid w:val="007B675F"/>
    <w:rsid w:val="007B6919"/>
    <w:rsid w:val="007B6C19"/>
    <w:rsid w:val="007B6C85"/>
    <w:rsid w:val="007B7087"/>
    <w:rsid w:val="007B724E"/>
    <w:rsid w:val="007B73CB"/>
    <w:rsid w:val="007B74A4"/>
    <w:rsid w:val="007B7556"/>
    <w:rsid w:val="007B76AB"/>
    <w:rsid w:val="007B77F6"/>
    <w:rsid w:val="007B7892"/>
    <w:rsid w:val="007B7A53"/>
    <w:rsid w:val="007B7AC1"/>
    <w:rsid w:val="007B7D2A"/>
    <w:rsid w:val="007B7E5A"/>
    <w:rsid w:val="007B7E63"/>
    <w:rsid w:val="007C00A7"/>
    <w:rsid w:val="007C0103"/>
    <w:rsid w:val="007C0119"/>
    <w:rsid w:val="007C0444"/>
    <w:rsid w:val="007C045E"/>
    <w:rsid w:val="007C04A3"/>
    <w:rsid w:val="007C04B6"/>
    <w:rsid w:val="007C07B0"/>
    <w:rsid w:val="007C08F4"/>
    <w:rsid w:val="007C0B0E"/>
    <w:rsid w:val="007C0D15"/>
    <w:rsid w:val="007C10DF"/>
    <w:rsid w:val="007C10F5"/>
    <w:rsid w:val="007C11EC"/>
    <w:rsid w:val="007C14A7"/>
    <w:rsid w:val="007C17DF"/>
    <w:rsid w:val="007C18B0"/>
    <w:rsid w:val="007C1935"/>
    <w:rsid w:val="007C19FC"/>
    <w:rsid w:val="007C1B29"/>
    <w:rsid w:val="007C1E8A"/>
    <w:rsid w:val="007C22C5"/>
    <w:rsid w:val="007C22DC"/>
    <w:rsid w:val="007C2396"/>
    <w:rsid w:val="007C2424"/>
    <w:rsid w:val="007C2B64"/>
    <w:rsid w:val="007C2F6C"/>
    <w:rsid w:val="007C306A"/>
    <w:rsid w:val="007C33D0"/>
    <w:rsid w:val="007C35D3"/>
    <w:rsid w:val="007C3667"/>
    <w:rsid w:val="007C367C"/>
    <w:rsid w:val="007C3715"/>
    <w:rsid w:val="007C3829"/>
    <w:rsid w:val="007C3A78"/>
    <w:rsid w:val="007C3C0A"/>
    <w:rsid w:val="007C3D66"/>
    <w:rsid w:val="007C3DF4"/>
    <w:rsid w:val="007C403C"/>
    <w:rsid w:val="007C4061"/>
    <w:rsid w:val="007C4097"/>
    <w:rsid w:val="007C424A"/>
    <w:rsid w:val="007C42D7"/>
    <w:rsid w:val="007C43C9"/>
    <w:rsid w:val="007C489E"/>
    <w:rsid w:val="007C48C6"/>
    <w:rsid w:val="007C4D0C"/>
    <w:rsid w:val="007C4FB9"/>
    <w:rsid w:val="007C522A"/>
    <w:rsid w:val="007C5605"/>
    <w:rsid w:val="007C577C"/>
    <w:rsid w:val="007C5828"/>
    <w:rsid w:val="007C60CF"/>
    <w:rsid w:val="007C6284"/>
    <w:rsid w:val="007C63D6"/>
    <w:rsid w:val="007C63F6"/>
    <w:rsid w:val="007C6820"/>
    <w:rsid w:val="007C6D2B"/>
    <w:rsid w:val="007C6E9A"/>
    <w:rsid w:val="007C6FA2"/>
    <w:rsid w:val="007C6FFF"/>
    <w:rsid w:val="007C70F8"/>
    <w:rsid w:val="007C74C4"/>
    <w:rsid w:val="007C74C7"/>
    <w:rsid w:val="007C75B6"/>
    <w:rsid w:val="007C79A3"/>
    <w:rsid w:val="007C7C03"/>
    <w:rsid w:val="007C7C23"/>
    <w:rsid w:val="007C7E4E"/>
    <w:rsid w:val="007D0078"/>
    <w:rsid w:val="007D03E7"/>
    <w:rsid w:val="007D04AB"/>
    <w:rsid w:val="007D0698"/>
    <w:rsid w:val="007D0703"/>
    <w:rsid w:val="007D0914"/>
    <w:rsid w:val="007D09AD"/>
    <w:rsid w:val="007D0B04"/>
    <w:rsid w:val="007D0C2A"/>
    <w:rsid w:val="007D0D54"/>
    <w:rsid w:val="007D0E54"/>
    <w:rsid w:val="007D12E0"/>
    <w:rsid w:val="007D13D1"/>
    <w:rsid w:val="007D1459"/>
    <w:rsid w:val="007D1689"/>
    <w:rsid w:val="007D18C5"/>
    <w:rsid w:val="007D1AA7"/>
    <w:rsid w:val="007D1CA8"/>
    <w:rsid w:val="007D1D81"/>
    <w:rsid w:val="007D22C5"/>
    <w:rsid w:val="007D239B"/>
    <w:rsid w:val="007D23F9"/>
    <w:rsid w:val="007D25BF"/>
    <w:rsid w:val="007D26B8"/>
    <w:rsid w:val="007D2713"/>
    <w:rsid w:val="007D28D6"/>
    <w:rsid w:val="007D2962"/>
    <w:rsid w:val="007D2CF0"/>
    <w:rsid w:val="007D2DEE"/>
    <w:rsid w:val="007D2FD5"/>
    <w:rsid w:val="007D3004"/>
    <w:rsid w:val="007D30E4"/>
    <w:rsid w:val="007D328C"/>
    <w:rsid w:val="007D32CA"/>
    <w:rsid w:val="007D32E3"/>
    <w:rsid w:val="007D34FA"/>
    <w:rsid w:val="007D3588"/>
    <w:rsid w:val="007D374E"/>
    <w:rsid w:val="007D3A7E"/>
    <w:rsid w:val="007D3B72"/>
    <w:rsid w:val="007D3E39"/>
    <w:rsid w:val="007D4228"/>
    <w:rsid w:val="007D424D"/>
    <w:rsid w:val="007D43B4"/>
    <w:rsid w:val="007D44A9"/>
    <w:rsid w:val="007D4B93"/>
    <w:rsid w:val="007D4C6E"/>
    <w:rsid w:val="007D4E8F"/>
    <w:rsid w:val="007D4F10"/>
    <w:rsid w:val="007D50B6"/>
    <w:rsid w:val="007D525E"/>
    <w:rsid w:val="007D5282"/>
    <w:rsid w:val="007D52E2"/>
    <w:rsid w:val="007D5586"/>
    <w:rsid w:val="007D55A3"/>
    <w:rsid w:val="007D592B"/>
    <w:rsid w:val="007D5AA6"/>
    <w:rsid w:val="007D5B05"/>
    <w:rsid w:val="007D5CFD"/>
    <w:rsid w:val="007D6391"/>
    <w:rsid w:val="007D64CE"/>
    <w:rsid w:val="007D67D7"/>
    <w:rsid w:val="007D6823"/>
    <w:rsid w:val="007D6AFF"/>
    <w:rsid w:val="007D6C8C"/>
    <w:rsid w:val="007D6CDE"/>
    <w:rsid w:val="007D6F2B"/>
    <w:rsid w:val="007D728C"/>
    <w:rsid w:val="007D7347"/>
    <w:rsid w:val="007D7543"/>
    <w:rsid w:val="007D773F"/>
    <w:rsid w:val="007D793F"/>
    <w:rsid w:val="007D79C5"/>
    <w:rsid w:val="007D7A91"/>
    <w:rsid w:val="007D7CE0"/>
    <w:rsid w:val="007D7F63"/>
    <w:rsid w:val="007E00E5"/>
    <w:rsid w:val="007E0129"/>
    <w:rsid w:val="007E01F9"/>
    <w:rsid w:val="007E0245"/>
    <w:rsid w:val="007E043B"/>
    <w:rsid w:val="007E04D5"/>
    <w:rsid w:val="007E0683"/>
    <w:rsid w:val="007E0699"/>
    <w:rsid w:val="007E07D7"/>
    <w:rsid w:val="007E0845"/>
    <w:rsid w:val="007E0918"/>
    <w:rsid w:val="007E0990"/>
    <w:rsid w:val="007E0B2D"/>
    <w:rsid w:val="007E0DA5"/>
    <w:rsid w:val="007E0EE7"/>
    <w:rsid w:val="007E166F"/>
    <w:rsid w:val="007E179A"/>
    <w:rsid w:val="007E18D3"/>
    <w:rsid w:val="007E1A7B"/>
    <w:rsid w:val="007E1A91"/>
    <w:rsid w:val="007E1BF8"/>
    <w:rsid w:val="007E1E82"/>
    <w:rsid w:val="007E2D0D"/>
    <w:rsid w:val="007E2FE7"/>
    <w:rsid w:val="007E3532"/>
    <w:rsid w:val="007E37EB"/>
    <w:rsid w:val="007E39F8"/>
    <w:rsid w:val="007E3A1E"/>
    <w:rsid w:val="007E3E2D"/>
    <w:rsid w:val="007E4922"/>
    <w:rsid w:val="007E49BE"/>
    <w:rsid w:val="007E4A8A"/>
    <w:rsid w:val="007E4C26"/>
    <w:rsid w:val="007E4E9B"/>
    <w:rsid w:val="007E5011"/>
    <w:rsid w:val="007E5414"/>
    <w:rsid w:val="007E576A"/>
    <w:rsid w:val="007E5980"/>
    <w:rsid w:val="007E6314"/>
    <w:rsid w:val="007E6456"/>
    <w:rsid w:val="007E65E5"/>
    <w:rsid w:val="007E66B2"/>
    <w:rsid w:val="007E66FA"/>
    <w:rsid w:val="007E699E"/>
    <w:rsid w:val="007E69B5"/>
    <w:rsid w:val="007E69D9"/>
    <w:rsid w:val="007E6D21"/>
    <w:rsid w:val="007E6DB5"/>
    <w:rsid w:val="007E6E57"/>
    <w:rsid w:val="007E7019"/>
    <w:rsid w:val="007E7053"/>
    <w:rsid w:val="007E74D2"/>
    <w:rsid w:val="007E7969"/>
    <w:rsid w:val="007E7F1A"/>
    <w:rsid w:val="007F0009"/>
    <w:rsid w:val="007F001C"/>
    <w:rsid w:val="007F0108"/>
    <w:rsid w:val="007F01B5"/>
    <w:rsid w:val="007F0383"/>
    <w:rsid w:val="007F089F"/>
    <w:rsid w:val="007F08C0"/>
    <w:rsid w:val="007F0B94"/>
    <w:rsid w:val="007F0D5E"/>
    <w:rsid w:val="007F0F4C"/>
    <w:rsid w:val="007F1209"/>
    <w:rsid w:val="007F12C5"/>
    <w:rsid w:val="007F13F2"/>
    <w:rsid w:val="007F16E9"/>
    <w:rsid w:val="007F17CB"/>
    <w:rsid w:val="007F19D1"/>
    <w:rsid w:val="007F1B19"/>
    <w:rsid w:val="007F1C5E"/>
    <w:rsid w:val="007F1EBC"/>
    <w:rsid w:val="007F2059"/>
    <w:rsid w:val="007F2091"/>
    <w:rsid w:val="007F25FC"/>
    <w:rsid w:val="007F270A"/>
    <w:rsid w:val="007F284B"/>
    <w:rsid w:val="007F2993"/>
    <w:rsid w:val="007F2F04"/>
    <w:rsid w:val="007F3261"/>
    <w:rsid w:val="007F327C"/>
    <w:rsid w:val="007F34B5"/>
    <w:rsid w:val="007F357F"/>
    <w:rsid w:val="007F3D19"/>
    <w:rsid w:val="007F3F73"/>
    <w:rsid w:val="007F4064"/>
    <w:rsid w:val="007F41B5"/>
    <w:rsid w:val="007F41F9"/>
    <w:rsid w:val="007F4653"/>
    <w:rsid w:val="007F49B1"/>
    <w:rsid w:val="007F4AF6"/>
    <w:rsid w:val="007F4D91"/>
    <w:rsid w:val="007F50BE"/>
    <w:rsid w:val="007F53D1"/>
    <w:rsid w:val="007F546D"/>
    <w:rsid w:val="007F5610"/>
    <w:rsid w:val="007F5825"/>
    <w:rsid w:val="007F58EA"/>
    <w:rsid w:val="007F5ACF"/>
    <w:rsid w:val="007F5B0B"/>
    <w:rsid w:val="007F5C9B"/>
    <w:rsid w:val="007F5E7E"/>
    <w:rsid w:val="007F60F2"/>
    <w:rsid w:val="007F63E4"/>
    <w:rsid w:val="007F65C0"/>
    <w:rsid w:val="007F6C5F"/>
    <w:rsid w:val="007F7386"/>
    <w:rsid w:val="007F73B8"/>
    <w:rsid w:val="007F7557"/>
    <w:rsid w:val="007F75FA"/>
    <w:rsid w:val="007F7919"/>
    <w:rsid w:val="007F7A09"/>
    <w:rsid w:val="007F7A25"/>
    <w:rsid w:val="007F7ABF"/>
    <w:rsid w:val="007F7B65"/>
    <w:rsid w:val="007F7CE9"/>
    <w:rsid w:val="007F7E2A"/>
    <w:rsid w:val="00800072"/>
    <w:rsid w:val="008000E3"/>
    <w:rsid w:val="00800292"/>
    <w:rsid w:val="00800415"/>
    <w:rsid w:val="008005D2"/>
    <w:rsid w:val="0080088D"/>
    <w:rsid w:val="008009B1"/>
    <w:rsid w:val="008009BB"/>
    <w:rsid w:val="00800A88"/>
    <w:rsid w:val="00800DFD"/>
    <w:rsid w:val="00800EC3"/>
    <w:rsid w:val="00800F44"/>
    <w:rsid w:val="00800FD5"/>
    <w:rsid w:val="0080101F"/>
    <w:rsid w:val="00801078"/>
    <w:rsid w:val="00801400"/>
    <w:rsid w:val="008016A5"/>
    <w:rsid w:val="008017DB"/>
    <w:rsid w:val="008018EB"/>
    <w:rsid w:val="00801B23"/>
    <w:rsid w:val="00801F30"/>
    <w:rsid w:val="0080215B"/>
    <w:rsid w:val="008021B7"/>
    <w:rsid w:val="008024AC"/>
    <w:rsid w:val="0080258A"/>
    <w:rsid w:val="008026AC"/>
    <w:rsid w:val="00802880"/>
    <w:rsid w:val="00802926"/>
    <w:rsid w:val="008029D1"/>
    <w:rsid w:val="00802C0C"/>
    <w:rsid w:val="0080310F"/>
    <w:rsid w:val="008032DA"/>
    <w:rsid w:val="0080385D"/>
    <w:rsid w:val="00803FDD"/>
    <w:rsid w:val="00804245"/>
    <w:rsid w:val="00804280"/>
    <w:rsid w:val="008047A7"/>
    <w:rsid w:val="008047CA"/>
    <w:rsid w:val="008048F7"/>
    <w:rsid w:val="00804A1B"/>
    <w:rsid w:val="00804CFD"/>
    <w:rsid w:val="00804E63"/>
    <w:rsid w:val="00805650"/>
    <w:rsid w:val="008057DD"/>
    <w:rsid w:val="00805A5E"/>
    <w:rsid w:val="00805D58"/>
    <w:rsid w:val="00805FCA"/>
    <w:rsid w:val="0080670F"/>
    <w:rsid w:val="00806779"/>
    <w:rsid w:val="00806AE1"/>
    <w:rsid w:val="0080707B"/>
    <w:rsid w:val="00807613"/>
    <w:rsid w:val="0080782B"/>
    <w:rsid w:val="00807B82"/>
    <w:rsid w:val="00807CAF"/>
    <w:rsid w:val="00807EB4"/>
    <w:rsid w:val="0081083E"/>
    <w:rsid w:val="00810A46"/>
    <w:rsid w:val="00810BA9"/>
    <w:rsid w:val="00810D31"/>
    <w:rsid w:val="00810E36"/>
    <w:rsid w:val="008111CB"/>
    <w:rsid w:val="00811548"/>
    <w:rsid w:val="008115FB"/>
    <w:rsid w:val="0081167A"/>
    <w:rsid w:val="00811943"/>
    <w:rsid w:val="00811CB3"/>
    <w:rsid w:val="00811D7F"/>
    <w:rsid w:val="0081200B"/>
    <w:rsid w:val="00812081"/>
    <w:rsid w:val="00812122"/>
    <w:rsid w:val="00812337"/>
    <w:rsid w:val="0081256A"/>
    <w:rsid w:val="00812725"/>
    <w:rsid w:val="008127FD"/>
    <w:rsid w:val="008129E4"/>
    <w:rsid w:val="00812F9B"/>
    <w:rsid w:val="00813274"/>
    <w:rsid w:val="008136FA"/>
    <w:rsid w:val="0081397A"/>
    <w:rsid w:val="00813BB2"/>
    <w:rsid w:val="00813D47"/>
    <w:rsid w:val="0081406D"/>
    <w:rsid w:val="008143FE"/>
    <w:rsid w:val="00814435"/>
    <w:rsid w:val="00814A80"/>
    <w:rsid w:val="00814EC6"/>
    <w:rsid w:val="00814F6C"/>
    <w:rsid w:val="00815191"/>
    <w:rsid w:val="00815484"/>
    <w:rsid w:val="0081560E"/>
    <w:rsid w:val="0081581D"/>
    <w:rsid w:val="00815A26"/>
    <w:rsid w:val="00815C81"/>
    <w:rsid w:val="00815D36"/>
    <w:rsid w:val="00815D39"/>
    <w:rsid w:val="00815E3B"/>
    <w:rsid w:val="008161B0"/>
    <w:rsid w:val="008162A3"/>
    <w:rsid w:val="008165A9"/>
    <w:rsid w:val="008167FB"/>
    <w:rsid w:val="0081708D"/>
    <w:rsid w:val="0081751C"/>
    <w:rsid w:val="0081760C"/>
    <w:rsid w:val="008177C2"/>
    <w:rsid w:val="008177C3"/>
    <w:rsid w:val="008177FD"/>
    <w:rsid w:val="00817854"/>
    <w:rsid w:val="00817CE0"/>
    <w:rsid w:val="00817D64"/>
    <w:rsid w:val="00817E73"/>
    <w:rsid w:val="00820038"/>
    <w:rsid w:val="008203F6"/>
    <w:rsid w:val="0082053C"/>
    <w:rsid w:val="00820704"/>
    <w:rsid w:val="00820738"/>
    <w:rsid w:val="00820B88"/>
    <w:rsid w:val="00820BA5"/>
    <w:rsid w:val="00820E8F"/>
    <w:rsid w:val="00820EB6"/>
    <w:rsid w:val="00821247"/>
    <w:rsid w:val="008212DE"/>
    <w:rsid w:val="0082134C"/>
    <w:rsid w:val="0082167F"/>
    <w:rsid w:val="0082175B"/>
    <w:rsid w:val="00821833"/>
    <w:rsid w:val="008218A2"/>
    <w:rsid w:val="00821B41"/>
    <w:rsid w:val="00821DA2"/>
    <w:rsid w:val="00821EEF"/>
    <w:rsid w:val="00821F0B"/>
    <w:rsid w:val="00822264"/>
    <w:rsid w:val="00822317"/>
    <w:rsid w:val="00822464"/>
    <w:rsid w:val="008224B3"/>
    <w:rsid w:val="00822D8D"/>
    <w:rsid w:val="008230ED"/>
    <w:rsid w:val="008231E5"/>
    <w:rsid w:val="00823426"/>
    <w:rsid w:val="008234C1"/>
    <w:rsid w:val="008237E9"/>
    <w:rsid w:val="00823AD3"/>
    <w:rsid w:val="00823BA5"/>
    <w:rsid w:val="00824177"/>
    <w:rsid w:val="00824219"/>
    <w:rsid w:val="0082426D"/>
    <w:rsid w:val="008243B8"/>
    <w:rsid w:val="00824BAF"/>
    <w:rsid w:val="00824DBE"/>
    <w:rsid w:val="00824DD8"/>
    <w:rsid w:val="00824E6D"/>
    <w:rsid w:val="00824EC3"/>
    <w:rsid w:val="0082513B"/>
    <w:rsid w:val="008251F8"/>
    <w:rsid w:val="0082555F"/>
    <w:rsid w:val="0082589F"/>
    <w:rsid w:val="00825969"/>
    <w:rsid w:val="00825DA6"/>
    <w:rsid w:val="00825E4C"/>
    <w:rsid w:val="00826549"/>
    <w:rsid w:val="00826654"/>
    <w:rsid w:val="008266B9"/>
    <w:rsid w:val="008266D7"/>
    <w:rsid w:val="00826AEA"/>
    <w:rsid w:val="00826B06"/>
    <w:rsid w:val="00826B66"/>
    <w:rsid w:val="00826C23"/>
    <w:rsid w:val="00826E34"/>
    <w:rsid w:val="00827105"/>
    <w:rsid w:val="00827248"/>
    <w:rsid w:val="0082749D"/>
    <w:rsid w:val="008274A5"/>
    <w:rsid w:val="0082753B"/>
    <w:rsid w:val="00827992"/>
    <w:rsid w:val="00827D2B"/>
    <w:rsid w:val="00827EF3"/>
    <w:rsid w:val="00830210"/>
    <w:rsid w:val="00830521"/>
    <w:rsid w:val="008305C8"/>
    <w:rsid w:val="00830635"/>
    <w:rsid w:val="00830A7F"/>
    <w:rsid w:val="0083114A"/>
    <w:rsid w:val="00831173"/>
    <w:rsid w:val="008311B8"/>
    <w:rsid w:val="00831526"/>
    <w:rsid w:val="0083154D"/>
    <w:rsid w:val="00831783"/>
    <w:rsid w:val="00831934"/>
    <w:rsid w:val="00831AC8"/>
    <w:rsid w:val="00831ACB"/>
    <w:rsid w:val="0083200B"/>
    <w:rsid w:val="00832127"/>
    <w:rsid w:val="0083241C"/>
    <w:rsid w:val="00832518"/>
    <w:rsid w:val="008325DC"/>
    <w:rsid w:val="0083261B"/>
    <w:rsid w:val="00832762"/>
    <w:rsid w:val="00832785"/>
    <w:rsid w:val="00833307"/>
    <w:rsid w:val="00833607"/>
    <w:rsid w:val="008336A2"/>
    <w:rsid w:val="00833851"/>
    <w:rsid w:val="008339C2"/>
    <w:rsid w:val="00833AF0"/>
    <w:rsid w:val="00833B2E"/>
    <w:rsid w:val="00833C18"/>
    <w:rsid w:val="00833C62"/>
    <w:rsid w:val="00833DB9"/>
    <w:rsid w:val="00833DC3"/>
    <w:rsid w:val="00833F93"/>
    <w:rsid w:val="00834001"/>
    <w:rsid w:val="008340B5"/>
    <w:rsid w:val="00834243"/>
    <w:rsid w:val="0083439D"/>
    <w:rsid w:val="008343C3"/>
    <w:rsid w:val="00834503"/>
    <w:rsid w:val="00834B91"/>
    <w:rsid w:val="0083501E"/>
    <w:rsid w:val="00835314"/>
    <w:rsid w:val="0083575E"/>
    <w:rsid w:val="00835784"/>
    <w:rsid w:val="00835849"/>
    <w:rsid w:val="00835977"/>
    <w:rsid w:val="008359F2"/>
    <w:rsid w:val="00835A9D"/>
    <w:rsid w:val="00835DE5"/>
    <w:rsid w:val="0083613B"/>
    <w:rsid w:val="00836588"/>
    <w:rsid w:val="008365E6"/>
    <w:rsid w:val="008366D5"/>
    <w:rsid w:val="0083685A"/>
    <w:rsid w:val="00836950"/>
    <w:rsid w:val="00836989"/>
    <w:rsid w:val="00836B82"/>
    <w:rsid w:val="00837089"/>
    <w:rsid w:val="008370AE"/>
    <w:rsid w:val="00837268"/>
    <w:rsid w:val="008374C4"/>
    <w:rsid w:val="00837A0A"/>
    <w:rsid w:val="00837A71"/>
    <w:rsid w:val="00837D03"/>
    <w:rsid w:val="00837D49"/>
    <w:rsid w:val="00837D86"/>
    <w:rsid w:val="00840067"/>
    <w:rsid w:val="00840400"/>
    <w:rsid w:val="00840459"/>
    <w:rsid w:val="008407E6"/>
    <w:rsid w:val="00840894"/>
    <w:rsid w:val="00840D69"/>
    <w:rsid w:val="00840E55"/>
    <w:rsid w:val="00840F77"/>
    <w:rsid w:val="008410AF"/>
    <w:rsid w:val="008413F9"/>
    <w:rsid w:val="008414D3"/>
    <w:rsid w:val="008415D7"/>
    <w:rsid w:val="008417E3"/>
    <w:rsid w:val="00841983"/>
    <w:rsid w:val="00841C12"/>
    <w:rsid w:val="00841DC7"/>
    <w:rsid w:val="00841F4B"/>
    <w:rsid w:val="00842283"/>
    <w:rsid w:val="0084231B"/>
    <w:rsid w:val="008423AD"/>
    <w:rsid w:val="008424D9"/>
    <w:rsid w:val="0084267F"/>
    <w:rsid w:val="008427F3"/>
    <w:rsid w:val="00842CA6"/>
    <w:rsid w:val="00842CDF"/>
    <w:rsid w:val="00842E6E"/>
    <w:rsid w:val="00842FE4"/>
    <w:rsid w:val="0084341B"/>
    <w:rsid w:val="008434BD"/>
    <w:rsid w:val="00843AD7"/>
    <w:rsid w:val="00843DB9"/>
    <w:rsid w:val="00843E23"/>
    <w:rsid w:val="00843E46"/>
    <w:rsid w:val="00843F95"/>
    <w:rsid w:val="00844320"/>
    <w:rsid w:val="00844354"/>
    <w:rsid w:val="008447A4"/>
    <w:rsid w:val="008447E9"/>
    <w:rsid w:val="00845001"/>
    <w:rsid w:val="0084537A"/>
    <w:rsid w:val="0084560E"/>
    <w:rsid w:val="00845686"/>
    <w:rsid w:val="0084569A"/>
    <w:rsid w:val="00845776"/>
    <w:rsid w:val="008457D4"/>
    <w:rsid w:val="008457F3"/>
    <w:rsid w:val="008458BE"/>
    <w:rsid w:val="008458EB"/>
    <w:rsid w:val="00845BDA"/>
    <w:rsid w:val="00845D43"/>
    <w:rsid w:val="00845E85"/>
    <w:rsid w:val="00845FC4"/>
    <w:rsid w:val="00845FD5"/>
    <w:rsid w:val="008462CB"/>
    <w:rsid w:val="00846490"/>
    <w:rsid w:val="008464C5"/>
    <w:rsid w:val="008464E8"/>
    <w:rsid w:val="008465B7"/>
    <w:rsid w:val="0084679A"/>
    <w:rsid w:val="008468B4"/>
    <w:rsid w:val="00846921"/>
    <w:rsid w:val="008469C9"/>
    <w:rsid w:val="00846C2E"/>
    <w:rsid w:val="0084722B"/>
    <w:rsid w:val="008472D4"/>
    <w:rsid w:val="00847790"/>
    <w:rsid w:val="008479C1"/>
    <w:rsid w:val="00847F21"/>
    <w:rsid w:val="00850016"/>
    <w:rsid w:val="0085016F"/>
    <w:rsid w:val="00850633"/>
    <w:rsid w:val="008507EE"/>
    <w:rsid w:val="00850C21"/>
    <w:rsid w:val="00850F19"/>
    <w:rsid w:val="008513B3"/>
    <w:rsid w:val="008514F9"/>
    <w:rsid w:val="0085171D"/>
    <w:rsid w:val="0085172E"/>
    <w:rsid w:val="0085172F"/>
    <w:rsid w:val="00851788"/>
    <w:rsid w:val="00851D21"/>
    <w:rsid w:val="00851DC5"/>
    <w:rsid w:val="00851EEA"/>
    <w:rsid w:val="00852085"/>
    <w:rsid w:val="00852127"/>
    <w:rsid w:val="008522D3"/>
    <w:rsid w:val="0085275C"/>
    <w:rsid w:val="0085281D"/>
    <w:rsid w:val="0085287A"/>
    <w:rsid w:val="008529DD"/>
    <w:rsid w:val="00852DF5"/>
    <w:rsid w:val="00852E24"/>
    <w:rsid w:val="00852E7C"/>
    <w:rsid w:val="00852EB9"/>
    <w:rsid w:val="008531BC"/>
    <w:rsid w:val="008532E2"/>
    <w:rsid w:val="008533DB"/>
    <w:rsid w:val="00853760"/>
    <w:rsid w:val="00853BA9"/>
    <w:rsid w:val="00853BF6"/>
    <w:rsid w:val="00853BFE"/>
    <w:rsid w:val="00853D1D"/>
    <w:rsid w:val="00853F8F"/>
    <w:rsid w:val="00853FC5"/>
    <w:rsid w:val="008544CB"/>
    <w:rsid w:val="008546AE"/>
    <w:rsid w:val="008548DE"/>
    <w:rsid w:val="00854C04"/>
    <w:rsid w:val="00854C99"/>
    <w:rsid w:val="00854D89"/>
    <w:rsid w:val="00854D8C"/>
    <w:rsid w:val="00854F84"/>
    <w:rsid w:val="00855026"/>
    <w:rsid w:val="0085508B"/>
    <w:rsid w:val="00855188"/>
    <w:rsid w:val="0085530D"/>
    <w:rsid w:val="0085553E"/>
    <w:rsid w:val="00855739"/>
    <w:rsid w:val="00855A74"/>
    <w:rsid w:val="00855BCD"/>
    <w:rsid w:val="00855BFA"/>
    <w:rsid w:val="00855CE1"/>
    <w:rsid w:val="00855E98"/>
    <w:rsid w:val="00855EA8"/>
    <w:rsid w:val="00856429"/>
    <w:rsid w:val="00856554"/>
    <w:rsid w:val="0085672D"/>
    <w:rsid w:val="008567BD"/>
    <w:rsid w:val="00856B66"/>
    <w:rsid w:val="00856BC4"/>
    <w:rsid w:val="00856F1C"/>
    <w:rsid w:val="008571B2"/>
    <w:rsid w:val="008571BC"/>
    <w:rsid w:val="0085725E"/>
    <w:rsid w:val="008578FE"/>
    <w:rsid w:val="00857969"/>
    <w:rsid w:val="00857C0D"/>
    <w:rsid w:val="00857D39"/>
    <w:rsid w:val="00857EAC"/>
    <w:rsid w:val="0086021A"/>
    <w:rsid w:val="008605AD"/>
    <w:rsid w:val="00860656"/>
    <w:rsid w:val="008606A2"/>
    <w:rsid w:val="00860A7E"/>
    <w:rsid w:val="00860D10"/>
    <w:rsid w:val="00860D17"/>
    <w:rsid w:val="008611B2"/>
    <w:rsid w:val="00861206"/>
    <w:rsid w:val="00861755"/>
    <w:rsid w:val="00861ABE"/>
    <w:rsid w:val="00861D64"/>
    <w:rsid w:val="00861F3E"/>
    <w:rsid w:val="00862054"/>
    <w:rsid w:val="008620FE"/>
    <w:rsid w:val="00862134"/>
    <w:rsid w:val="00862273"/>
    <w:rsid w:val="00862411"/>
    <w:rsid w:val="00862659"/>
    <w:rsid w:val="008626E9"/>
    <w:rsid w:val="0086285E"/>
    <w:rsid w:val="00862878"/>
    <w:rsid w:val="008628E1"/>
    <w:rsid w:val="00862AA2"/>
    <w:rsid w:val="00862C29"/>
    <w:rsid w:val="00862D23"/>
    <w:rsid w:val="00862EBD"/>
    <w:rsid w:val="00862EE6"/>
    <w:rsid w:val="00862F09"/>
    <w:rsid w:val="00862F31"/>
    <w:rsid w:val="00863010"/>
    <w:rsid w:val="0086305E"/>
    <w:rsid w:val="00863169"/>
    <w:rsid w:val="0086347D"/>
    <w:rsid w:val="00863650"/>
    <w:rsid w:val="008639A1"/>
    <w:rsid w:val="00863AA1"/>
    <w:rsid w:val="00863B0C"/>
    <w:rsid w:val="00863B5A"/>
    <w:rsid w:val="00863DC6"/>
    <w:rsid w:val="00863EFC"/>
    <w:rsid w:val="0086444D"/>
    <w:rsid w:val="00864598"/>
    <w:rsid w:val="008648EA"/>
    <w:rsid w:val="00864941"/>
    <w:rsid w:val="00864A6D"/>
    <w:rsid w:val="00864CDC"/>
    <w:rsid w:val="00864F7E"/>
    <w:rsid w:val="008658A4"/>
    <w:rsid w:val="00865C89"/>
    <w:rsid w:val="00865CA5"/>
    <w:rsid w:val="008660CB"/>
    <w:rsid w:val="00866242"/>
    <w:rsid w:val="008665B3"/>
    <w:rsid w:val="008665D6"/>
    <w:rsid w:val="00866687"/>
    <w:rsid w:val="008668D8"/>
    <w:rsid w:val="0086697E"/>
    <w:rsid w:val="00866AC8"/>
    <w:rsid w:val="00866BD8"/>
    <w:rsid w:val="00866DCB"/>
    <w:rsid w:val="00866DE8"/>
    <w:rsid w:val="00866F31"/>
    <w:rsid w:val="008672C7"/>
    <w:rsid w:val="008674A6"/>
    <w:rsid w:val="00867B5D"/>
    <w:rsid w:val="00867DB1"/>
    <w:rsid w:val="00867DF8"/>
    <w:rsid w:val="00870111"/>
    <w:rsid w:val="0087066D"/>
    <w:rsid w:val="008709A0"/>
    <w:rsid w:val="00870EA0"/>
    <w:rsid w:val="008714B2"/>
    <w:rsid w:val="00871876"/>
    <w:rsid w:val="00871940"/>
    <w:rsid w:val="008719A6"/>
    <w:rsid w:val="00871A9D"/>
    <w:rsid w:val="00871C5D"/>
    <w:rsid w:val="00871C9A"/>
    <w:rsid w:val="00871EF2"/>
    <w:rsid w:val="00872031"/>
    <w:rsid w:val="008721FE"/>
    <w:rsid w:val="00872476"/>
    <w:rsid w:val="00872488"/>
    <w:rsid w:val="00872CBE"/>
    <w:rsid w:val="00872D52"/>
    <w:rsid w:val="00872D99"/>
    <w:rsid w:val="00872E38"/>
    <w:rsid w:val="00872FCB"/>
    <w:rsid w:val="008731A7"/>
    <w:rsid w:val="008732C6"/>
    <w:rsid w:val="00873A70"/>
    <w:rsid w:val="00873AB2"/>
    <w:rsid w:val="00873ADE"/>
    <w:rsid w:val="00873B30"/>
    <w:rsid w:val="00873B93"/>
    <w:rsid w:val="00873EA8"/>
    <w:rsid w:val="00873F3A"/>
    <w:rsid w:val="00873F8A"/>
    <w:rsid w:val="008740F4"/>
    <w:rsid w:val="00874481"/>
    <w:rsid w:val="008745BE"/>
    <w:rsid w:val="0087482A"/>
    <w:rsid w:val="00874B54"/>
    <w:rsid w:val="00874C62"/>
    <w:rsid w:val="00874D6A"/>
    <w:rsid w:val="00874E45"/>
    <w:rsid w:val="0087509E"/>
    <w:rsid w:val="00875276"/>
    <w:rsid w:val="00875447"/>
    <w:rsid w:val="00875536"/>
    <w:rsid w:val="0087555B"/>
    <w:rsid w:val="008756C4"/>
    <w:rsid w:val="00875A8C"/>
    <w:rsid w:val="00875B55"/>
    <w:rsid w:val="00875BC5"/>
    <w:rsid w:val="00875EB2"/>
    <w:rsid w:val="00875FED"/>
    <w:rsid w:val="00876465"/>
    <w:rsid w:val="0087663E"/>
    <w:rsid w:val="00876649"/>
    <w:rsid w:val="00876B63"/>
    <w:rsid w:val="00876BED"/>
    <w:rsid w:val="00876D48"/>
    <w:rsid w:val="00876FA3"/>
    <w:rsid w:val="008770FC"/>
    <w:rsid w:val="00877222"/>
    <w:rsid w:val="008774F8"/>
    <w:rsid w:val="00877888"/>
    <w:rsid w:val="008778D9"/>
    <w:rsid w:val="0087791D"/>
    <w:rsid w:val="00877A16"/>
    <w:rsid w:val="00877A41"/>
    <w:rsid w:val="00877B05"/>
    <w:rsid w:val="00877BDB"/>
    <w:rsid w:val="00877DEC"/>
    <w:rsid w:val="008801B2"/>
    <w:rsid w:val="008802E7"/>
    <w:rsid w:val="008803B8"/>
    <w:rsid w:val="00880618"/>
    <w:rsid w:val="00880756"/>
    <w:rsid w:val="00880939"/>
    <w:rsid w:val="0088095C"/>
    <w:rsid w:val="00880BC8"/>
    <w:rsid w:val="00880CB1"/>
    <w:rsid w:val="00880CF1"/>
    <w:rsid w:val="00880D9A"/>
    <w:rsid w:val="00880FB1"/>
    <w:rsid w:val="00880FB4"/>
    <w:rsid w:val="00881007"/>
    <w:rsid w:val="008814C7"/>
    <w:rsid w:val="00881569"/>
    <w:rsid w:val="0088166E"/>
    <w:rsid w:val="00881873"/>
    <w:rsid w:val="00881987"/>
    <w:rsid w:val="00881A93"/>
    <w:rsid w:val="00881AB6"/>
    <w:rsid w:val="00881BE0"/>
    <w:rsid w:val="00881DC8"/>
    <w:rsid w:val="00882253"/>
    <w:rsid w:val="008824C2"/>
    <w:rsid w:val="00882C10"/>
    <w:rsid w:val="00882CC4"/>
    <w:rsid w:val="00882E94"/>
    <w:rsid w:val="00882F3D"/>
    <w:rsid w:val="008832A5"/>
    <w:rsid w:val="008837EA"/>
    <w:rsid w:val="00883B4D"/>
    <w:rsid w:val="00883BE1"/>
    <w:rsid w:val="00883E97"/>
    <w:rsid w:val="008841C5"/>
    <w:rsid w:val="00884367"/>
    <w:rsid w:val="008843AB"/>
    <w:rsid w:val="008844AC"/>
    <w:rsid w:val="008845DD"/>
    <w:rsid w:val="0088469A"/>
    <w:rsid w:val="00884DBC"/>
    <w:rsid w:val="00884DF6"/>
    <w:rsid w:val="0088542A"/>
    <w:rsid w:val="0088543A"/>
    <w:rsid w:val="00885B71"/>
    <w:rsid w:val="00885D9E"/>
    <w:rsid w:val="00885F71"/>
    <w:rsid w:val="00886366"/>
    <w:rsid w:val="0088685C"/>
    <w:rsid w:val="00886A17"/>
    <w:rsid w:val="00886CBB"/>
    <w:rsid w:val="00886CE0"/>
    <w:rsid w:val="00886CEC"/>
    <w:rsid w:val="00886D02"/>
    <w:rsid w:val="00886D31"/>
    <w:rsid w:val="00886D6A"/>
    <w:rsid w:val="00886FD4"/>
    <w:rsid w:val="0088706D"/>
    <w:rsid w:val="008873F7"/>
    <w:rsid w:val="00887477"/>
    <w:rsid w:val="008877EA"/>
    <w:rsid w:val="00887F82"/>
    <w:rsid w:val="00890381"/>
    <w:rsid w:val="0089039E"/>
    <w:rsid w:val="008903DE"/>
    <w:rsid w:val="00890418"/>
    <w:rsid w:val="00890720"/>
    <w:rsid w:val="00890B78"/>
    <w:rsid w:val="00890C19"/>
    <w:rsid w:val="00890C81"/>
    <w:rsid w:val="00890D4F"/>
    <w:rsid w:val="00890E3B"/>
    <w:rsid w:val="00890F81"/>
    <w:rsid w:val="00891034"/>
    <w:rsid w:val="0089118F"/>
    <w:rsid w:val="008912DA"/>
    <w:rsid w:val="00891626"/>
    <w:rsid w:val="0089176B"/>
    <w:rsid w:val="008918F0"/>
    <w:rsid w:val="008919A5"/>
    <w:rsid w:val="00891BAE"/>
    <w:rsid w:val="00891CAA"/>
    <w:rsid w:val="008920A6"/>
    <w:rsid w:val="00892573"/>
    <w:rsid w:val="00892706"/>
    <w:rsid w:val="0089270A"/>
    <w:rsid w:val="008927C6"/>
    <w:rsid w:val="00892F0E"/>
    <w:rsid w:val="00893706"/>
    <w:rsid w:val="008937CB"/>
    <w:rsid w:val="00893C29"/>
    <w:rsid w:val="00893CF6"/>
    <w:rsid w:val="00894143"/>
    <w:rsid w:val="008942FF"/>
    <w:rsid w:val="0089441D"/>
    <w:rsid w:val="00894563"/>
    <w:rsid w:val="008945D1"/>
    <w:rsid w:val="00894635"/>
    <w:rsid w:val="008948AC"/>
    <w:rsid w:val="00894AF3"/>
    <w:rsid w:val="00894B7D"/>
    <w:rsid w:val="008950CA"/>
    <w:rsid w:val="008950E7"/>
    <w:rsid w:val="00895140"/>
    <w:rsid w:val="0089526C"/>
    <w:rsid w:val="008953F0"/>
    <w:rsid w:val="008956ED"/>
    <w:rsid w:val="00895B45"/>
    <w:rsid w:val="00895D00"/>
    <w:rsid w:val="00895ED4"/>
    <w:rsid w:val="00896045"/>
    <w:rsid w:val="00896122"/>
    <w:rsid w:val="008965F1"/>
    <w:rsid w:val="008968FF"/>
    <w:rsid w:val="00896CE5"/>
    <w:rsid w:val="00896DA2"/>
    <w:rsid w:val="00896DD0"/>
    <w:rsid w:val="00896EE3"/>
    <w:rsid w:val="00897038"/>
    <w:rsid w:val="0089717F"/>
    <w:rsid w:val="00897561"/>
    <w:rsid w:val="008977A0"/>
    <w:rsid w:val="00897844"/>
    <w:rsid w:val="00897CD3"/>
    <w:rsid w:val="00897DF3"/>
    <w:rsid w:val="00897F46"/>
    <w:rsid w:val="008A00E0"/>
    <w:rsid w:val="008A019D"/>
    <w:rsid w:val="008A01FC"/>
    <w:rsid w:val="008A0674"/>
    <w:rsid w:val="008A0BB3"/>
    <w:rsid w:val="008A0E95"/>
    <w:rsid w:val="008A0F1E"/>
    <w:rsid w:val="008A0F23"/>
    <w:rsid w:val="008A0F65"/>
    <w:rsid w:val="008A13A4"/>
    <w:rsid w:val="008A1483"/>
    <w:rsid w:val="008A188D"/>
    <w:rsid w:val="008A1B5F"/>
    <w:rsid w:val="008A1B63"/>
    <w:rsid w:val="008A2233"/>
    <w:rsid w:val="008A22BD"/>
    <w:rsid w:val="008A2339"/>
    <w:rsid w:val="008A296B"/>
    <w:rsid w:val="008A29CF"/>
    <w:rsid w:val="008A2B95"/>
    <w:rsid w:val="008A2CEF"/>
    <w:rsid w:val="008A2E53"/>
    <w:rsid w:val="008A2EF9"/>
    <w:rsid w:val="008A2F7C"/>
    <w:rsid w:val="008A31BB"/>
    <w:rsid w:val="008A353A"/>
    <w:rsid w:val="008A35E5"/>
    <w:rsid w:val="008A3773"/>
    <w:rsid w:val="008A393E"/>
    <w:rsid w:val="008A396C"/>
    <w:rsid w:val="008A3BE6"/>
    <w:rsid w:val="008A3EF6"/>
    <w:rsid w:val="008A3F39"/>
    <w:rsid w:val="008A417E"/>
    <w:rsid w:val="008A41D6"/>
    <w:rsid w:val="008A4526"/>
    <w:rsid w:val="008A4B11"/>
    <w:rsid w:val="008A4D6B"/>
    <w:rsid w:val="008A5382"/>
    <w:rsid w:val="008A55BF"/>
    <w:rsid w:val="008A57A3"/>
    <w:rsid w:val="008A5905"/>
    <w:rsid w:val="008A5C05"/>
    <w:rsid w:val="008A5CE8"/>
    <w:rsid w:val="008A624F"/>
    <w:rsid w:val="008A6354"/>
    <w:rsid w:val="008A638C"/>
    <w:rsid w:val="008A63B7"/>
    <w:rsid w:val="008A65A5"/>
    <w:rsid w:val="008A69DE"/>
    <w:rsid w:val="008A6B14"/>
    <w:rsid w:val="008A6E7A"/>
    <w:rsid w:val="008A6E84"/>
    <w:rsid w:val="008A72B5"/>
    <w:rsid w:val="008A73A5"/>
    <w:rsid w:val="008A73A9"/>
    <w:rsid w:val="008A7649"/>
    <w:rsid w:val="008A7809"/>
    <w:rsid w:val="008A7863"/>
    <w:rsid w:val="008A7C3E"/>
    <w:rsid w:val="008A7CAE"/>
    <w:rsid w:val="008A7D1C"/>
    <w:rsid w:val="008A7D24"/>
    <w:rsid w:val="008A7D6E"/>
    <w:rsid w:val="008A7FDD"/>
    <w:rsid w:val="008B0253"/>
    <w:rsid w:val="008B04CD"/>
    <w:rsid w:val="008B05C8"/>
    <w:rsid w:val="008B0958"/>
    <w:rsid w:val="008B0BF4"/>
    <w:rsid w:val="008B0D97"/>
    <w:rsid w:val="008B0DB7"/>
    <w:rsid w:val="008B0F63"/>
    <w:rsid w:val="008B1464"/>
    <w:rsid w:val="008B14A9"/>
    <w:rsid w:val="008B152F"/>
    <w:rsid w:val="008B20CA"/>
    <w:rsid w:val="008B224E"/>
    <w:rsid w:val="008B26AE"/>
    <w:rsid w:val="008B27C9"/>
    <w:rsid w:val="008B28A5"/>
    <w:rsid w:val="008B2BBE"/>
    <w:rsid w:val="008B2C99"/>
    <w:rsid w:val="008B2CD1"/>
    <w:rsid w:val="008B2DD5"/>
    <w:rsid w:val="008B2E72"/>
    <w:rsid w:val="008B2E81"/>
    <w:rsid w:val="008B307F"/>
    <w:rsid w:val="008B32F1"/>
    <w:rsid w:val="008B3876"/>
    <w:rsid w:val="008B3C8D"/>
    <w:rsid w:val="008B3D8F"/>
    <w:rsid w:val="008B407D"/>
    <w:rsid w:val="008B4340"/>
    <w:rsid w:val="008B4718"/>
    <w:rsid w:val="008B4A9D"/>
    <w:rsid w:val="008B4C98"/>
    <w:rsid w:val="008B5940"/>
    <w:rsid w:val="008B5D50"/>
    <w:rsid w:val="008B5F05"/>
    <w:rsid w:val="008B627A"/>
    <w:rsid w:val="008B6315"/>
    <w:rsid w:val="008B6331"/>
    <w:rsid w:val="008B666F"/>
    <w:rsid w:val="008B682F"/>
    <w:rsid w:val="008B6969"/>
    <w:rsid w:val="008B6A9B"/>
    <w:rsid w:val="008B6BBC"/>
    <w:rsid w:val="008B7053"/>
    <w:rsid w:val="008B7927"/>
    <w:rsid w:val="008B7A0E"/>
    <w:rsid w:val="008B7ADC"/>
    <w:rsid w:val="008C0017"/>
    <w:rsid w:val="008C02C7"/>
    <w:rsid w:val="008C038D"/>
    <w:rsid w:val="008C0464"/>
    <w:rsid w:val="008C05A5"/>
    <w:rsid w:val="008C07E5"/>
    <w:rsid w:val="008C07FC"/>
    <w:rsid w:val="008C0C18"/>
    <w:rsid w:val="008C0DDF"/>
    <w:rsid w:val="008C0DF5"/>
    <w:rsid w:val="008C0EDE"/>
    <w:rsid w:val="008C18E9"/>
    <w:rsid w:val="008C1BC2"/>
    <w:rsid w:val="008C1BC4"/>
    <w:rsid w:val="008C1CD4"/>
    <w:rsid w:val="008C1D84"/>
    <w:rsid w:val="008C1EDA"/>
    <w:rsid w:val="008C2139"/>
    <w:rsid w:val="008C218E"/>
    <w:rsid w:val="008C241B"/>
    <w:rsid w:val="008C27F9"/>
    <w:rsid w:val="008C28FA"/>
    <w:rsid w:val="008C2938"/>
    <w:rsid w:val="008C2C48"/>
    <w:rsid w:val="008C2D55"/>
    <w:rsid w:val="008C3096"/>
    <w:rsid w:val="008C337A"/>
    <w:rsid w:val="008C34C8"/>
    <w:rsid w:val="008C3A59"/>
    <w:rsid w:val="008C3A96"/>
    <w:rsid w:val="008C3A9F"/>
    <w:rsid w:val="008C3EDB"/>
    <w:rsid w:val="008C4054"/>
    <w:rsid w:val="008C40D7"/>
    <w:rsid w:val="008C420F"/>
    <w:rsid w:val="008C4220"/>
    <w:rsid w:val="008C435D"/>
    <w:rsid w:val="008C438A"/>
    <w:rsid w:val="008C46E1"/>
    <w:rsid w:val="008C4878"/>
    <w:rsid w:val="008C496D"/>
    <w:rsid w:val="008C4CCC"/>
    <w:rsid w:val="008C5080"/>
    <w:rsid w:val="008C51A4"/>
    <w:rsid w:val="008C51FE"/>
    <w:rsid w:val="008C530C"/>
    <w:rsid w:val="008C5576"/>
    <w:rsid w:val="008C56B1"/>
    <w:rsid w:val="008C5950"/>
    <w:rsid w:val="008C5CDD"/>
    <w:rsid w:val="008C5EE8"/>
    <w:rsid w:val="008C625C"/>
    <w:rsid w:val="008C64F3"/>
    <w:rsid w:val="008C6737"/>
    <w:rsid w:val="008C6B85"/>
    <w:rsid w:val="008C6D8C"/>
    <w:rsid w:val="008C6DC3"/>
    <w:rsid w:val="008C6EF2"/>
    <w:rsid w:val="008C712D"/>
    <w:rsid w:val="008C7356"/>
    <w:rsid w:val="008C7834"/>
    <w:rsid w:val="008C7845"/>
    <w:rsid w:val="008C7942"/>
    <w:rsid w:val="008C7C72"/>
    <w:rsid w:val="008C7ECF"/>
    <w:rsid w:val="008C7F71"/>
    <w:rsid w:val="008D048F"/>
    <w:rsid w:val="008D04E8"/>
    <w:rsid w:val="008D0585"/>
    <w:rsid w:val="008D0720"/>
    <w:rsid w:val="008D09BB"/>
    <w:rsid w:val="008D0E33"/>
    <w:rsid w:val="008D169E"/>
    <w:rsid w:val="008D1854"/>
    <w:rsid w:val="008D1A53"/>
    <w:rsid w:val="008D1B16"/>
    <w:rsid w:val="008D1BD2"/>
    <w:rsid w:val="008D1EC4"/>
    <w:rsid w:val="008D1F82"/>
    <w:rsid w:val="008D2229"/>
    <w:rsid w:val="008D2357"/>
    <w:rsid w:val="008D2A05"/>
    <w:rsid w:val="008D3398"/>
    <w:rsid w:val="008D339F"/>
    <w:rsid w:val="008D352E"/>
    <w:rsid w:val="008D35B1"/>
    <w:rsid w:val="008D3921"/>
    <w:rsid w:val="008D3A15"/>
    <w:rsid w:val="008D3AF0"/>
    <w:rsid w:val="008D3B11"/>
    <w:rsid w:val="008D3F44"/>
    <w:rsid w:val="008D3F69"/>
    <w:rsid w:val="008D3FB9"/>
    <w:rsid w:val="008D4278"/>
    <w:rsid w:val="008D44F9"/>
    <w:rsid w:val="008D45AE"/>
    <w:rsid w:val="008D4EAD"/>
    <w:rsid w:val="008D50BF"/>
    <w:rsid w:val="008D5ECA"/>
    <w:rsid w:val="008D6208"/>
    <w:rsid w:val="008D6543"/>
    <w:rsid w:val="008D6552"/>
    <w:rsid w:val="008D676C"/>
    <w:rsid w:val="008D6788"/>
    <w:rsid w:val="008D698B"/>
    <w:rsid w:val="008D6B49"/>
    <w:rsid w:val="008D6B54"/>
    <w:rsid w:val="008D6D1E"/>
    <w:rsid w:val="008D7094"/>
    <w:rsid w:val="008D71CB"/>
    <w:rsid w:val="008D77A6"/>
    <w:rsid w:val="008D77CB"/>
    <w:rsid w:val="008D7D7E"/>
    <w:rsid w:val="008D7E12"/>
    <w:rsid w:val="008E038C"/>
    <w:rsid w:val="008E0AB5"/>
    <w:rsid w:val="008E0CA9"/>
    <w:rsid w:val="008E0CEB"/>
    <w:rsid w:val="008E0E29"/>
    <w:rsid w:val="008E102B"/>
    <w:rsid w:val="008E13E4"/>
    <w:rsid w:val="008E163B"/>
    <w:rsid w:val="008E1672"/>
    <w:rsid w:val="008E18E5"/>
    <w:rsid w:val="008E1950"/>
    <w:rsid w:val="008E198A"/>
    <w:rsid w:val="008E2033"/>
    <w:rsid w:val="008E21DB"/>
    <w:rsid w:val="008E2204"/>
    <w:rsid w:val="008E224E"/>
    <w:rsid w:val="008E228C"/>
    <w:rsid w:val="008E24B0"/>
    <w:rsid w:val="008E24D2"/>
    <w:rsid w:val="008E24E9"/>
    <w:rsid w:val="008E2507"/>
    <w:rsid w:val="008E27A4"/>
    <w:rsid w:val="008E2838"/>
    <w:rsid w:val="008E28A0"/>
    <w:rsid w:val="008E2B0C"/>
    <w:rsid w:val="008E30A5"/>
    <w:rsid w:val="008E362E"/>
    <w:rsid w:val="008E363E"/>
    <w:rsid w:val="008E394D"/>
    <w:rsid w:val="008E3985"/>
    <w:rsid w:val="008E3989"/>
    <w:rsid w:val="008E3D6F"/>
    <w:rsid w:val="008E3E8A"/>
    <w:rsid w:val="008E429A"/>
    <w:rsid w:val="008E431C"/>
    <w:rsid w:val="008E434F"/>
    <w:rsid w:val="008E4452"/>
    <w:rsid w:val="008E4459"/>
    <w:rsid w:val="008E4490"/>
    <w:rsid w:val="008E45E1"/>
    <w:rsid w:val="008E4A84"/>
    <w:rsid w:val="008E4C89"/>
    <w:rsid w:val="008E5212"/>
    <w:rsid w:val="008E5315"/>
    <w:rsid w:val="008E53A6"/>
    <w:rsid w:val="008E53DD"/>
    <w:rsid w:val="008E54F0"/>
    <w:rsid w:val="008E55B3"/>
    <w:rsid w:val="008E5BE4"/>
    <w:rsid w:val="008E5C66"/>
    <w:rsid w:val="008E5E5C"/>
    <w:rsid w:val="008E5F7C"/>
    <w:rsid w:val="008E6292"/>
    <w:rsid w:val="008E6823"/>
    <w:rsid w:val="008E6A1E"/>
    <w:rsid w:val="008E6CF6"/>
    <w:rsid w:val="008E701F"/>
    <w:rsid w:val="008E7232"/>
    <w:rsid w:val="008E7316"/>
    <w:rsid w:val="008E7389"/>
    <w:rsid w:val="008E74FC"/>
    <w:rsid w:val="008E75F7"/>
    <w:rsid w:val="008E7747"/>
    <w:rsid w:val="008E79B0"/>
    <w:rsid w:val="008E7B9B"/>
    <w:rsid w:val="008E7D21"/>
    <w:rsid w:val="008E7D5E"/>
    <w:rsid w:val="008E7F21"/>
    <w:rsid w:val="008F018A"/>
    <w:rsid w:val="008F030C"/>
    <w:rsid w:val="008F0650"/>
    <w:rsid w:val="008F0712"/>
    <w:rsid w:val="008F07E9"/>
    <w:rsid w:val="008F07F1"/>
    <w:rsid w:val="008F0894"/>
    <w:rsid w:val="008F0C7C"/>
    <w:rsid w:val="008F0EC4"/>
    <w:rsid w:val="008F0F58"/>
    <w:rsid w:val="008F107A"/>
    <w:rsid w:val="008F1085"/>
    <w:rsid w:val="008F13A4"/>
    <w:rsid w:val="008F1461"/>
    <w:rsid w:val="008F1710"/>
    <w:rsid w:val="008F1988"/>
    <w:rsid w:val="008F1CA0"/>
    <w:rsid w:val="008F1D57"/>
    <w:rsid w:val="008F20E3"/>
    <w:rsid w:val="008F2193"/>
    <w:rsid w:val="008F220C"/>
    <w:rsid w:val="008F238F"/>
    <w:rsid w:val="008F23EB"/>
    <w:rsid w:val="008F26B9"/>
    <w:rsid w:val="008F2986"/>
    <w:rsid w:val="008F2A24"/>
    <w:rsid w:val="008F2D26"/>
    <w:rsid w:val="008F2E48"/>
    <w:rsid w:val="008F2FCB"/>
    <w:rsid w:val="008F3072"/>
    <w:rsid w:val="008F3155"/>
    <w:rsid w:val="008F3513"/>
    <w:rsid w:val="008F406D"/>
    <w:rsid w:val="008F42F1"/>
    <w:rsid w:val="008F441A"/>
    <w:rsid w:val="008F4461"/>
    <w:rsid w:val="008F44BD"/>
    <w:rsid w:val="008F4AC9"/>
    <w:rsid w:val="008F4D34"/>
    <w:rsid w:val="008F4E08"/>
    <w:rsid w:val="008F4E66"/>
    <w:rsid w:val="008F51DE"/>
    <w:rsid w:val="008F55E5"/>
    <w:rsid w:val="008F5620"/>
    <w:rsid w:val="008F5624"/>
    <w:rsid w:val="008F5CB0"/>
    <w:rsid w:val="008F5E5E"/>
    <w:rsid w:val="008F5EAC"/>
    <w:rsid w:val="008F5F59"/>
    <w:rsid w:val="008F6010"/>
    <w:rsid w:val="008F6415"/>
    <w:rsid w:val="008F64AD"/>
    <w:rsid w:val="008F653A"/>
    <w:rsid w:val="008F6596"/>
    <w:rsid w:val="008F6645"/>
    <w:rsid w:val="008F66EA"/>
    <w:rsid w:val="008F68A0"/>
    <w:rsid w:val="008F6900"/>
    <w:rsid w:val="008F6F12"/>
    <w:rsid w:val="008F6F6A"/>
    <w:rsid w:val="008F737E"/>
    <w:rsid w:val="008F75BD"/>
    <w:rsid w:val="008F799F"/>
    <w:rsid w:val="008F7C45"/>
    <w:rsid w:val="00900127"/>
    <w:rsid w:val="00900476"/>
    <w:rsid w:val="00900871"/>
    <w:rsid w:val="00900A86"/>
    <w:rsid w:val="00900A8F"/>
    <w:rsid w:val="00900E59"/>
    <w:rsid w:val="009010B0"/>
    <w:rsid w:val="00901221"/>
    <w:rsid w:val="009015F2"/>
    <w:rsid w:val="0090199C"/>
    <w:rsid w:val="00901A5A"/>
    <w:rsid w:val="00901C3E"/>
    <w:rsid w:val="009020F5"/>
    <w:rsid w:val="00902104"/>
    <w:rsid w:val="0090289D"/>
    <w:rsid w:val="00903328"/>
    <w:rsid w:val="00903347"/>
    <w:rsid w:val="0090347B"/>
    <w:rsid w:val="00903631"/>
    <w:rsid w:val="00903818"/>
    <w:rsid w:val="009038F8"/>
    <w:rsid w:val="00903D02"/>
    <w:rsid w:val="00903E67"/>
    <w:rsid w:val="00903EA3"/>
    <w:rsid w:val="00904149"/>
    <w:rsid w:val="009041BD"/>
    <w:rsid w:val="00904276"/>
    <w:rsid w:val="009043FF"/>
    <w:rsid w:val="009045A1"/>
    <w:rsid w:val="00904846"/>
    <w:rsid w:val="009048C1"/>
    <w:rsid w:val="009048EC"/>
    <w:rsid w:val="00904A63"/>
    <w:rsid w:val="00904B21"/>
    <w:rsid w:val="00904F74"/>
    <w:rsid w:val="009053DA"/>
    <w:rsid w:val="009054DB"/>
    <w:rsid w:val="00905597"/>
    <w:rsid w:val="009055A0"/>
    <w:rsid w:val="00905AC5"/>
    <w:rsid w:val="00905B2D"/>
    <w:rsid w:val="009062CF"/>
    <w:rsid w:val="0090651D"/>
    <w:rsid w:val="00906666"/>
    <w:rsid w:val="00906A4F"/>
    <w:rsid w:val="00906E61"/>
    <w:rsid w:val="00907530"/>
    <w:rsid w:val="009077BD"/>
    <w:rsid w:val="00907B1E"/>
    <w:rsid w:val="00907D59"/>
    <w:rsid w:val="00907E5A"/>
    <w:rsid w:val="00907E7F"/>
    <w:rsid w:val="00907FCB"/>
    <w:rsid w:val="00910169"/>
    <w:rsid w:val="00910B3F"/>
    <w:rsid w:val="00910CF1"/>
    <w:rsid w:val="00910E25"/>
    <w:rsid w:val="00910F52"/>
    <w:rsid w:val="00911349"/>
    <w:rsid w:val="0091147F"/>
    <w:rsid w:val="009115BA"/>
    <w:rsid w:val="00911CE8"/>
    <w:rsid w:val="009121F5"/>
    <w:rsid w:val="009121F6"/>
    <w:rsid w:val="00912424"/>
    <w:rsid w:val="0091269B"/>
    <w:rsid w:val="0091287C"/>
    <w:rsid w:val="00912901"/>
    <w:rsid w:val="009129F1"/>
    <w:rsid w:val="00912FCA"/>
    <w:rsid w:val="0091306C"/>
    <w:rsid w:val="009132CC"/>
    <w:rsid w:val="0091331E"/>
    <w:rsid w:val="00913427"/>
    <w:rsid w:val="0091355D"/>
    <w:rsid w:val="00913C07"/>
    <w:rsid w:val="00913C2B"/>
    <w:rsid w:val="00913ED1"/>
    <w:rsid w:val="0091450C"/>
    <w:rsid w:val="00914C3F"/>
    <w:rsid w:val="00914C94"/>
    <w:rsid w:val="00915063"/>
    <w:rsid w:val="00915144"/>
    <w:rsid w:val="00915348"/>
    <w:rsid w:val="009154EA"/>
    <w:rsid w:val="0091553D"/>
    <w:rsid w:val="00915782"/>
    <w:rsid w:val="00915AFD"/>
    <w:rsid w:val="00915E85"/>
    <w:rsid w:val="0091627A"/>
    <w:rsid w:val="009166DE"/>
    <w:rsid w:val="0091696D"/>
    <w:rsid w:val="00916D40"/>
    <w:rsid w:val="00916DBC"/>
    <w:rsid w:val="00916E17"/>
    <w:rsid w:val="009173B4"/>
    <w:rsid w:val="009176F0"/>
    <w:rsid w:val="00917738"/>
    <w:rsid w:val="00917839"/>
    <w:rsid w:val="009179F7"/>
    <w:rsid w:val="00917C7E"/>
    <w:rsid w:val="00917D36"/>
    <w:rsid w:val="00917E28"/>
    <w:rsid w:val="00917E77"/>
    <w:rsid w:val="00917E84"/>
    <w:rsid w:val="00920258"/>
    <w:rsid w:val="009203A5"/>
    <w:rsid w:val="00920732"/>
    <w:rsid w:val="0092076E"/>
    <w:rsid w:val="009208AD"/>
    <w:rsid w:val="00920971"/>
    <w:rsid w:val="00920B9D"/>
    <w:rsid w:val="00920DD8"/>
    <w:rsid w:val="00920E3D"/>
    <w:rsid w:val="00920EA9"/>
    <w:rsid w:val="009211C7"/>
    <w:rsid w:val="0092123F"/>
    <w:rsid w:val="00921503"/>
    <w:rsid w:val="009215C9"/>
    <w:rsid w:val="00921C98"/>
    <w:rsid w:val="00921EB5"/>
    <w:rsid w:val="009221C8"/>
    <w:rsid w:val="009225E4"/>
    <w:rsid w:val="00922B45"/>
    <w:rsid w:val="00922D37"/>
    <w:rsid w:val="00922E2E"/>
    <w:rsid w:val="00922F42"/>
    <w:rsid w:val="00923116"/>
    <w:rsid w:val="009231C4"/>
    <w:rsid w:val="0092320B"/>
    <w:rsid w:val="0092355D"/>
    <w:rsid w:val="009235D3"/>
    <w:rsid w:val="00923794"/>
    <w:rsid w:val="00923B12"/>
    <w:rsid w:val="009242C3"/>
    <w:rsid w:val="009242EE"/>
    <w:rsid w:val="0092481D"/>
    <w:rsid w:val="00924C76"/>
    <w:rsid w:val="00924C7D"/>
    <w:rsid w:val="00924CBE"/>
    <w:rsid w:val="00924D36"/>
    <w:rsid w:val="00924FAB"/>
    <w:rsid w:val="009255BE"/>
    <w:rsid w:val="00925726"/>
    <w:rsid w:val="009259B7"/>
    <w:rsid w:val="00925AA5"/>
    <w:rsid w:val="00925BDA"/>
    <w:rsid w:val="00925D6F"/>
    <w:rsid w:val="00925E40"/>
    <w:rsid w:val="00926034"/>
    <w:rsid w:val="00926160"/>
    <w:rsid w:val="0092627E"/>
    <w:rsid w:val="009263B3"/>
    <w:rsid w:val="00926A10"/>
    <w:rsid w:val="00926C22"/>
    <w:rsid w:val="00926C63"/>
    <w:rsid w:val="00926C7C"/>
    <w:rsid w:val="00926E75"/>
    <w:rsid w:val="00926F65"/>
    <w:rsid w:val="0092711C"/>
    <w:rsid w:val="009272F4"/>
    <w:rsid w:val="00927349"/>
    <w:rsid w:val="009274BE"/>
    <w:rsid w:val="00927588"/>
    <w:rsid w:val="00927615"/>
    <w:rsid w:val="00927795"/>
    <w:rsid w:val="009277FA"/>
    <w:rsid w:val="00927A46"/>
    <w:rsid w:val="00927D1A"/>
    <w:rsid w:val="00927D56"/>
    <w:rsid w:val="00927DA8"/>
    <w:rsid w:val="00927EA6"/>
    <w:rsid w:val="00927FA9"/>
    <w:rsid w:val="0093005C"/>
    <w:rsid w:val="00930152"/>
    <w:rsid w:val="009302AE"/>
    <w:rsid w:val="00930712"/>
    <w:rsid w:val="00930A35"/>
    <w:rsid w:val="00930F27"/>
    <w:rsid w:val="00930FC5"/>
    <w:rsid w:val="00931217"/>
    <w:rsid w:val="00931408"/>
    <w:rsid w:val="0093149F"/>
    <w:rsid w:val="0093174C"/>
    <w:rsid w:val="00931A1B"/>
    <w:rsid w:val="00931AF6"/>
    <w:rsid w:val="00931C18"/>
    <w:rsid w:val="00931C1F"/>
    <w:rsid w:val="00931CC3"/>
    <w:rsid w:val="00932051"/>
    <w:rsid w:val="0093265C"/>
    <w:rsid w:val="009327BA"/>
    <w:rsid w:val="009327C2"/>
    <w:rsid w:val="00932972"/>
    <w:rsid w:val="00932A19"/>
    <w:rsid w:val="00932E2C"/>
    <w:rsid w:val="00933077"/>
    <w:rsid w:val="00933360"/>
    <w:rsid w:val="00933466"/>
    <w:rsid w:val="009335C6"/>
    <w:rsid w:val="00933F8F"/>
    <w:rsid w:val="00933FA1"/>
    <w:rsid w:val="009341AE"/>
    <w:rsid w:val="009343BB"/>
    <w:rsid w:val="009344BD"/>
    <w:rsid w:val="009346F7"/>
    <w:rsid w:val="009347DB"/>
    <w:rsid w:val="00934807"/>
    <w:rsid w:val="00934ADC"/>
    <w:rsid w:val="00934B47"/>
    <w:rsid w:val="00934DFA"/>
    <w:rsid w:val="0093504D"/>
    <w:rsid w:val="0093540D"/>
    <w:rsid w:val="00935604"/>
    <w:rsid w:val="009358DE"/>
    <w:rsid w:val="0093591C"/>
    <w:rsid w:val="00935E64"/>
    <w:rsid w:val="0093615B"/>
    <w:rsid w:val="009362C1"/>
    <w:rsid w:val="009363A7"/>
    <w:rsid w:val="009366CC"/>
    <w:rsid w:val="00936800"/>
    <w:rsid w:val="009368C5"/>
    <w:rsid w:val="00936D9A"/>
    <w:rsid w:val="00936E11"/>
    <w:rsid w:val="00936F74"/>
    <w:rsid w:val="00937350"/>
    <w:rsid w:val="00937477"/>
    <w:rsid w:val="00937492"/>
    <w:rsid w:val="0093786D"/>
    <w:rsid w:val="009379D0"/>
    <w:rsid w:val="00937B68"/>
    <w:rsid w:val="00937CFB"/>
    <w:rsid w:val="00937DD8"/>
    <w:rsid w:val="00937E88"/>
    <w:rsid w:val="00937FE3"/>
    <w:rsid w:val="009400F7"/>
    <w:rsid w:val="0094019D"/>
    <w:rsid w:val="00940372"/>
    <w:rsid w:val="009406E4"/>
    <w:rsid w:val="00940772"/>
    <w:rsid w:val="00940D6B"/>
    <w:rsid w:val="00940DF7"/>
    <w:rsid w:val="00941051"/>
    <w:rsid w:val="0094160C"/>
    <w:rsid w:val="0094163F"/>
    <w:rsid w:val="009416EC"/>
    <w:rsid w:val="009419D9"/>
    <w:rsid w:val="00941EA7"/>
    <w:rsid w:val="00942099"/>
    <w:rsid w:val="0094253C"/>
    <w:rsid w:val="00942653"/>
    <w:rsid w:val="009427BE"/>
    <w:rsid w:val="0094280F"/>
    <w:rsid w:val="00942A68"/>
    <w:rsid w:val="00942B1B"/>
    <w:rsid w:val="00942B7A"/>
    <w:rsid w:val="00942C11"/>
    <w:rsid w:val="00942E0C"/>
    <w:rsid w:val="00942E6F"/>
    <w:rsid w:val="00943218"/>
    <w:rsid w:val="00943329"/>
    <w:rsid w:val="009433C8"/>
    <w:rsid w:val="00943444"/>
    <w:rsid w:val="0094351F"/>
    <w:rsid w:val="009437EB"/>
    <w:rsid w:val="00943BDC"/>
    <w:rsid w:val="00943DA6"/>
    <w:rsid w:val="00943E3A"/>
    <w:rsid w:val="00943EA4"/>
    <w:rsid w:val="00944116"/>
    <w:rsid w:val="00944242"/>
    <w:rsid w:val="00944285"/>
    <w:rsid w:val="009448DE"/>
    <w:rsid w:val="00944C41"/>
    <w:rsid w:val="00944C42"/>
    <w:rsid w:val="00944CBF"/>
    <w:rsid w:val="00944D8C"/>
    <w:rsid w:val="00944F8A"/>
    <w:rsid w:val="009457AD"/>
    <w:rsid w:val="00945EC3"/>
    <w:rsid w:val="00945FA2"/>
    <w:rsid w:val="00945FFB"/>
    <w:rsid w:val="009461B7"/>
    <w:rsid w:val="009463C4"/>
    <w:rsid w:val="0094645F"/>
    <w:rsid w:val="00946466"/>
    <w:rsid w:val="00946C34"/>
    <w:rsid w:val="00946CCB"/>
    <w:rsid w:val="00946E63"/>
    <w:rsid w:val="00946F3F"/>
    <w:rsid w:val="00947648"/>
    <w:rsid w:val="00947670"/>
    <w:rsid w:val="00947BDF"/>
    <w:rsid w:val="00947E9C"/>
    <w:rsid w:val="009502B9"/>
    <w:rsid w:val="00950343"/>
    <w:rsid w:val="009505BA"/>
    <w:rsid w:val="00950630"/>
    <w:rsid w:val="00950D10"/>
    <w:rsid w:val="00950D3E"/>
    <w:rsid w:val="009518BE"/>
    <w:rsid w:val="00951D16"/>
    <w:rsid w:val="0095201F"/>
    <w:rsid w:val="00952094"/>
    <w:rsid w:val="00952124"/>
    <w:rsid w:val="009524E6"/>
    <w:rsid w:val="009525DA"/>
    <w:rsid w:val="00952677"/>
    <w:rsid w:val="00952A73"/>
    <w:rsid w:val="00952B36"/>
    <w:rsid w:val="00952B3D"/>
    <w:rsid w:val="00952E17"/>
    <w:rsid w:val="00953215"/>
    <w:rsid w:val="00953293"/>
    <w:rsid w:val="00953506"/>
    <w:rsid w:val="00953583"/>
    <w:rsid w:val="0095371B"/>
    <w:rsid w:val="00953743"/>
    <w:rsid w:val="00953903"/>
    <w:rsid w:val="009539FA"/>
    <w:rsid w:val="00953DF0"/>
    <w:rsid w:val="0095400C"/>
    <w:rsid w:val="009542FA"/>
    <w:rsid w:val="009543C7"/>
    <w:rsid w:val="009547F8"/>
    <w:rsid w:val="0095486E"/>
    <w:rsid w:val="00954A55"/>
    <w:rsid w:val="00954A90"/>
    <w:rsid w:val="009556FD"/>
    <w:rsid w:val="00955854"/>
    <w:rsid w:val="00955913"/>
    <w:rsid w:val="00955E39"/>
    <w:rsid w:val="00955EFB"/>
    <w:rsid w:val="00955F11"/>
    <w:rsid w:val="00955F6C"/>
    <w:rsid w:val="009560BF"/>
    <w:rsid w:val="0095647E"/>
    <w:rsid w:val="009564EA"/>
    <w:rsid w:val="009565A5"/>
    <w:rsid w:val="009565C4"/>
    <w:rsid w:val="009566C1"/>
    <w:rsid w:val="0095687C"/>
    <w:rsid w:val="0095694F"/>
    <w:rsid w:val="00956C72"/>
    <w:rsid w:val="00956CD5"/>
    <w:rsid w:val="00956E22"/>
    <w:rsid w:val="00956EE8"/>
    <w:rsid w:val="0095714E"/>
    <w:rsid w:val="00957204"/>
    <w:rsid w:val="00957269"/>
    <w:rsid w:val="009572F9"/>
    <w:rsid w:val="00957318"/>
    <w:rsid w:val="0095738D"/>
    <w:rsid w:val="00957C2B"/>
    <w:rsid w:val="0096024B"/>
    <w:rsid w:val="009602E5"/>
    <w:rsid w:val="00960556"/>
    <w:rsid w:val="0096055E"/>
    <w:rsid w:val="00960575"/>
    <w:rsid w:val="0096084C"/>
    <w:rsid w:val="00960F28"/>
    <w:rsid w:val="00960F4C"/>
    <w:rsid w:val="00961002"/>
    <w:rsid w:val="00961461"/>
    <w:rsid w:val="009616CB"/>
    <w:rsid w:val="00961881"/>
    <w:rsid w:val="00961896"/>
    <w:rsid w:val="0096195A"/>
    <w:rsid w:val="00961BB8"/>
    <w:rsid w:val="00961CE6"/>
    <w:rsid w:val="00961CFC"/>
    <w:rsid w:val="00961D27"/>
    <w:rsid w:val="00961D7C"/>
    <w:rsid w:val="0096241A"/>
    <w:rsid w:val="0096244F"/>
    <w:rsid w:val="009626DD"/>
    <w:rsid w:val="00962AC6"/>
    <w:rsid w:val="00962ACF"/>
    <w:rsid w:val="00962CAD"/>
    <w:rsid w:val="00962D14"/>
    <w:rsid w:val="00962D92"/>
    <w:rsid w:val="009630A1"/>
    <w:rsid w:val="00963132"/>
    <w:rsid w:val="0096319C"/>
    <w:rsid w:val="0096331E"/>
    <w:rsid w:val="009634B8"/>
    <w:rsid w:val="0096360D"/>
    <w:rsid w:val="0096392E"/>
    <w:rsid w:val="009639FB"/>
    <w:rsid w:val="00963BD6"/>
    <w:rsid w:val="00963CF8"/>
    <w:rsid w:val="00963E88"/>
    <w:rsid w:val="0096432D"/>
    <w:rsid w:val="009644F8"/>
    <w:rsid w:val="0096452E"/>
    <w:rsid w:val="009646A0"/>
    <w:rsid w:val="00964825"/>
    <w:rsid w:val="00964846"/>
    <w:rsid w:val="0096498D"/>
    <w:rsid w:val="00964A43"/>
    <w:rsid w:val="00964CA1"/>
    <w:rsid w:val="00964D23"/>
    <w:rsid w:val="0096529D"/>
    <w:rsid w:val="009652DD"/>
    <w:rsid w:val="00965306"/>
    <w:rsid w:val="00965366"/>
    <w:rsid w:val="00965A41"/>
    <w:rsid w:val="00965A57"/>
    <w:rsid w:val="00965AFC"/>
    <w:rsid w:val="00965B12"/>
    <w:rsid w:val="0096616E"/>
    <w:rsid w:val="00966A12"/>
    <w:rsid w:val="00966AA9"/>
    <w:rsid w:val="00966B31"/>
    <w:rsid w:val="009670EC"/>
    <w:rsid w:val="0096710E"/>
    <w:rsid w:val="009676B0"/>
    <w:rsid w:val="00967771"/>
    <w:rsid w:val="00967B14"/>
    <w:rsid w:val="00967EFC"/>
    <w:rsid w:val="00967F35"/>
    <w:rsid w:val="0097039C"/>
    <w:rsid w:val="009703FA"/>
    <w:rsid w:val="00970634"/>
    <w:rsid w:val="009706B6"/>
    <w:rsid w:val="009707A6"/>
    <w:rsid w:val="00970C81"/>
    <w:rsid w:val="00970DE2"/>
    <w:rsid w:val="00970EBC"/>
    <w:rsid w:val="00970F8C"/>
    <w:rsid w:val="00971350"/>
    <w:rsid w:val="009713B1"/>
    <w:rsid w:val="009713FB"/>
    <w:rsid w:val="00971575"/>
    <w:rsid w:val="009716FD"/>
    <w:rsid w:val="009719B5"/>
    <w:rsid w:val="00971B01"/>
    <w:rsid w:val="00971C00"/>
    <w:rsid w:val="00971D05"/>
    <w:rsid w:val="00972082"/>
    <w:rsid w:val="009720BC"/>
    <w:rsid w:val="0097224E"/>
    <w:rsid w:val="00972423"/>
    <w:rsid w:val="0097265A"/>
    <w:rsid w:val="009726E1"/>
    <w:rsid w:val="00972871"/>
    <w:rsid w:val="00972997"/>
    <w:rsid w:val="009729D4"/>
    <w:rsid w:val="00972AC4"/>
    <w:rsid w:val="00972BF0"/>
    <w:rsid w:val="00972F11"/>
    <w:rsid w:val="00972FC4"/>
    <w:rsid w:val="009730EB"/>
    <w:rsid w:val="00973531"/>
    <w:rsid w:val="0097374A"/>
    <w:rsid w:val="00973D39"/>
    <w:rsid w:val="00973FC8"/>
    <w:rsid w:val="00973FFB"/>
    <w:rsid w:val="0097423E"/>
    <w:rsid w:val="009743AF"/>
    <w:rsid w:val="00974794"/>
    <w:rsid w:val="00974839"/>
    <w:rsid w:val="00974B4E"/>
    <w:rsid w:val="00974C04"/>
    <w:rsid w:val="00974C2B"/>
    <w:rsid w:val="00974F73"/>
    <w:rsid w:val="009755AC"/>
    <w:rsid w:val="009755C8"/>
    <w:rsid w:val="00975644"/>
    <w:rsid w:val="009756F5"/>
    <w:rsid w:val="00975780"/>
    <w:rsid w:val="00975B9E"/>
    <w:rsid w:val="00975C07"/>
    <w:rsid w:val="00975CFE"/>
    <w:rsid w:val="00975E6D"/>
    <w:rsid w:val="009761F0"/>
    <w:rsid w:val="00976436"/>
    <w:rsid w:val="009768B3"/>
    <w:rsid w:val="0097698F"/>
    <w:rsid w:val="009769EE"/>
    <w:rsid w:val="00976A47"/>
    <w:rsid w:val="00976E24"/>
    <w:rsid w:val="00976E2D"/>
    <w:rsid w:val="00976F9D"/>
    <w:rsid w:val="00977226"/>
    <w:rsid w:val="00977250"/>
    <w:rsid w:val="0097729D"/>
    <w:rsid w:val="0097753C"/>
    <w:rsid w:val="00977617"/>
    <w:rsid w:val="009777E4"/>
    <w:rsid w:val="00977BB0"/>
    <w:rsid w:val="00977D1E"/>
    <w:rsid w:val="0098017C"/>
    <w:rsid w:val="0098017E"/>
    <w:rsid w:val="00980360"/>
    <w:rsid w:val="0098074D"/>
    <w:rsid w:val="00980759"/>
    <w:rsid w:val="00980A57"/>
    <w:rsid w:val="00980C55"/>
    <w:rsid w:val="00980DC8"/>
    <w:rsid w:val="00980F89"/>
    <w:rsid w:val="00980FD4"/>
    <w:rsid w:val="009811A1"/>
    <w:rsid w:val="00981243"/>
    <w:rsid w:val="0098132A"/>
    <w:rsid w:val="009813B2"/>
    <w:rsid w:val="0098143A"/>
    <w:rsid w:val="0098157F"/>
    <w:rsid w:val="009816C2"/>
    <w:rsid w:val="009817B0"/>
    <w:rsid w:val="0098183A"/>
    <w:rsid w:val="009818EC"/>
    <w:rsid w:val="00981B42"/>
    <w:rsid w:val="009821CE"/>
    <w:rsid w:val="009823FB"/>
    <w:rsid w:val="00982440"/>
    <w:rsid w:val="00982792"/>
    <w:rsid w:val="009829F8"/>
    <w:rsid w:val="00982B13"/>
    <w:rsid w:val="00982CC1"/>
    <w:rsid w:val="00982D05"/>
    <w:rsid w:val="00982E24"/>
    <w:rsid w:val="0098317F"/>
    <w:rsid w:val="009832F6"/>
    <w:rsid w:val="009834FC"/>
    <w:rsid w:val="00983567"/>
    <w:rsid w:val="00983AA1"/>
    <w:rsid w:val="00983E98"/>
    <w:rsid w:val="00983F13"/>
    <w:rsid w:val="009841DB"/>
    <w:rsid w:val="009846B2"/>
    <w:rsid w:val="00984764"/>
    <w:rsid w:val="009847A0"/>
    <w:rsid w:val="009847D8"/>
    <w:rsid w:val="00984BBB"/>
    <w:rsid w:val="00984D68"/>
    <w:rsid w:val="00985065"/>
    <w:rsid w:val="009850A8"/>
    <w:rsid w:val="009851BB"/>
    <w:rsid w:val="0098523B"/>
    <w:rsid w:val="009855D6"/>
    <w:rsid w:val="00985638"/>
    <w:rsid w:val="00985667"/>
    <w:rsid w:val="009857A3"/>
    <w:rsid w:val="00985BA1"/>
    <w:rsid w:val="00985C73"/>
    <w:rsid w:val="009866DB"/>
    <w:rsid w:val="009867A4"/>
    <w:rsid w:val="0098689A"/>
    <w:rsid w:val="00986AF3"/>
    <w:rsid w:val="00986D7A"/>
    <w:rsid w:val="009871F3"/>
    <w:rsid w:val="0098722C"/>
    <w:rsid w:val="00987392"/>
    <w:rsid w:val="009873A6"/>
    <w:rsid w:val="00987407"/>
    <w:rsid w:val="009875BD"/>
    <w:rsid w:val="009876A2"/>
    <w:rsid w:val="00987875"/>
    <w:rsid w:val="00987968"/>
    <w:rsid w:val="00987BA7"/>
    <w:rsid w:val="00987C72"/>
    <w:rsid w:val="00987ECE"/>
    <w:rsid w:val="0099025B"/>
    <w:rsid w:val="0099045B"/>
    <w:rsid w:val="009906F2"/>
    <w:rsid w:val="0099082E"/>
    <w:rsid w:val="009908B2"/>
    <w:rsid w:val="00990930"/>
    <w:rsid w:val="0099096A"/>
    <w:rsid w:val="00990C64"/>
    <w:rsid w:val="00990EB4"/>
    <w:rsid w:val="0099151B"/>
    <w:rsid w:val="009916F6"/>
    <w:rsid w:val="009917E8"/>
    <w:rsid w:val="00991A64"/>
    <w:rsid w:val="00991AC4"/>
    <w:rsid w:val="00991B96"/>
    <w:rsid w:val="00991CDA"/>
    <w:rsid w:val="00991D1D"/>
    <w:rsid w:val="009920C4"/>
    <w:rsid w:val="009921E3"/>
    <w:rsid w:val="009922C9"/>
    <w:rsid w:val="0099231F"/>
    <w:rsid w:val="00992427"/>
    <w:rsid w:val="009926D0"/>
    <w:rsid w:val="00992855"/>
    <w:rsid w:val="009928CB"/>
    <w:rsid w:val="00992969"/>
    <w:rsid w:val="009929DB"/>
    <w:rsid w:val="00992C01"/>
    <w:rsid w:val="00992DB1"/>
    <w:rsid w:val="00992DB5"/>
    <w:rsid w:val="00992FD0"/>
    <w:rsid w:val="00992FE4"/>
    <w:rsid w:val="0099303B"/>
    <w:rsid w:val="00993238"/>
    <w:rsid w:val="0099364F"/>
    <w:rsid w:val="00993BDD"/>
    <w:rsid w:val="00993D5C"/>
    <w:rsid w:val="00993EA0"/>
    <w:rsid w:val="00993F93"/>
    <w:rsid w:val="00994190"/>
    <w:rsid w:val="009941C9"/>
    <w:rsid w:val="0099436B"/>
    <w:rsid w:val="009947D3"/>
    <w:rsid w:val="009947D6"/>
    <w:rsid w:val="0099483E"/>
    <w:rsid w:val="009948ED"/>
    <w:rsid w:val="00994D94"/>
    <w:rsid w:val="0099508B"/>
    <w:rsid w:val="00995632"/>
    <w:rsid w:val="00995954"/>
    <w:rsid w:val="00995C19"/>
    <w:rsid w:val="00995F55"/>
    <w:rsid w:val="00996130"/>
    <w:rsid w:val="009961E6"/>
    <w:rsid w:val="00996260"/>
    <w:rsid w:val="0099627E"/>
    <w:rsid w:val="00996316"/>
    <w:rsid w:val="00996386"/>
    <w:rsid w:val="009965EA"/>
    <w:rsid w:val="009969FD"/>
    <w:rsid w:val="00996D72"/>
    <w:rsid w:val="00996D99"/>
    <w:rsid w:val="00996FE1"/>
    <w:rsid w:val="009971DB"/>
    <w:rsid w:val="00997357"/>
    <w:rsid w:val="00997457"/>
    <w:rsid w:val="0099785A"/>
    <w:rsid w:val="0099785E"/>
    <w:rsid w:val="009979B7"/>
    <w:rsid w:val="009979C0"/>
    <w:rsid w:val="00997BDF"/>
    <w:rsid w:val="00997BE7"/>
    <w:rsid w:val="009A0514"/>
    <w:rsid w:val="009A0820"/>
    <w:rsid w:val="009A0AC4"/>
    <w:rsid w:val="009A0C3A"/>
    <w:rsid w:val="009A0C5C"/>
    <w:rsid w:val="009A0CFA"/>
    <w:rsid w:val="009A0F3B"/>
    <w:rsid w:val="009A113C"/>
    <w:rsid w:val="009A13DD"/>
    <w:rsid w:val="009A16A8"/>
    <w:rsid w:val="009A16FC"/>
    <w:rsid w:val="009A1778"/>
    <w:rsid w:val="009A187B"/>
    <w:rsid w:val="009A1FAD"/>
    <w:rsid w:val="009A2018"/>
    <w:rsid w:val="009A2675"/>
    <w:rsid w:val="009A277C"/>
    <w:rsid w:val="009A27C1"/>
    <w:rsid w:val="009A2879"/>
    <w:rsid w:val="009A28B6"/>
    <w:rsid w:val="009A2962"/>
    <w:rsid w:val="009A2D75"/>
    <w:rsid w:val="009A2D7F"/>
    <w:rsid w:val="009A30FF"/>
    <w:rsid w:val="009A3186"/>
    <w:rsid w:val="009A355A"/>
    <w:rsid w:val="009A43B1"/>
    <w:rsid w:val="009A440C"/>
    <w:rsid w:val="009A457E"/>
    <w:rsid w:val="009A482F"/>
    <w:rsid w:val="009A4B05"/>
    <w:rsid w:val="009A4B61"/>
    <w:rsid w:val="009A4BCE"/>
    <w:rsid w:val="009A4BEA"/>
    <w:rsid w:val="009A4CBB"/>
    <w:rsid w:val="009A4CF8"/>
    <w:rsid w:val="009A4EF7"/>
    <w:rsid w:val="009A529C"/>
    <w:rsid w:val="009A543B"/>
    <w:rsid w:val="009A5597"/>
    <w:rsid w:val="009A5AA9"/>
    <w:rsid w:val="009A5BC3"/>
    <w:rsid w:val="009A5C77"/>
    <w:rsid w:val="009A5D65"/>
    <w:rsid w:val="009A5EAE"/>
    <w:rsid w:val="009A5F06"/>
    <w:rsid w:val="009A5F1F"/>
    <w:rsid w:val="009A5F42"/>
    <w:rsid w:val="009A60F4"/>
    <w:rsid w:val="009A613F"/>
    <w:rsid w:val="009A6225"/>
    <w:rsid w:val="009A64F0"/>
    <w:rsid w:val="009A658F"/>
    <w:rsid w:val="009A6ACC"/>
    <w:rsid w:val="009A6C1F"/>
    <w:rsid w:val="009A70A5"/>
    <w:rsid w:val="009A7236"/>
    <w:rsid w:val="009A7268"/>
    <w:rsid w:val="009A73DE"/>
    <w:rsid w:val="009A78CB"/>
    <w:rsid w:val="009A7A7E"/>
    <w:rsid w:val="009A7AEE"/>
    <w:rsid w:val="009A7B28"/>
    <w:rsid w:val="009A7D01"/>
    <w:rsid w:val="009A7D25"/>
    <w:rsid w:val="009B0075"/>
    <w:rsid w:val="009B0572"/>
    <w:rsid w:val="009B088F"/>
    <w:rsid w:val="009B0B06"/>
    <w:rsid w:val="009B0C1D"/>
    <w:rsid w:val="009B0C2B"/>
    <w:rsid w:val="009B0CB5"/>
    <w:rsid w:val="009B0CF1"/>
    <w:rsid w:val="009B0F23"/>
    <w:rsid w:val="009B0F80"/>
    <w:rsid w:val="009B0FA7"/>
    <w:rsid w:val="009B12BC"/>
    <w:rsid w:val="009B171A"/>
    <w:rsid w:val="009B1887"/>
    <w:rsid w:val="009B1930"/>
    <w:rsid w:val="009B1F8C"/>
    <w:rsid w:val="009B2061"/>
    <w:rsid w:val="009B2243"/>
    <w:rsid w:val="009B2249"/>
    <w:rsid w:val="009B227A"/>
    <w:rsid w:val="009B2303"/>
    <w:rsid w:val="009B245D"/>
    <w:rsid w:val="009B25D5"/>
    <w:rsid w:val="009B2949"/>
    <w:rsid w:val="009B296C"/>
    <w:rsid w:val="009B2B87"/>
    <w:rsid w:val="009B2E10"/>
    <w:rsid w:val="009B2E93"/>
    <w:rsid w:val="009B2EE0"/>
    <w:rsid w:val="009B31B0"/>
    <w:rsid w:val="009B33DE"/>
    <w:rsid w:val="009B3DAC"/>
    <w:rsid w:val="009B41A6"/>
    <w:rsid w:val="009B4436"/>
    <w:rsid w:val="009B4544"/>
    <w:rsid w:val="009B4612"/>
    <w:rsid w:val="009B4780"/>
    <w:rsid w:val="009B47C7"/>
    <w:rsid w:val="009B4978"/>
    <w:rsid w:val="009B4AE1"/>
    <w:rsid w:val="009B503A"/>
    <w:rsid w:val="009B50DB"/>
    <w:rsid w:val="009B5181"/>
    <w:rsid w:val="009B52D4"/>
    <w:rsid w:val="009B558E"/>
    <w:rsid w:val="009B560F"/>
    <w:rsid w:val="009B5767"/>
    <w:rsid w:val="009B5878"/>
    <w:rsid w:val="009B598E"/>
    <w:rsid w:val="009B5A86"/>
    <w:rsid w:val="009B5CA8"/>
    <w:rsid w:val="009B5DB3"/>
    <w:rsid w:val="009B6085"/>
    <w:rsid w:val="009B64F7"/>
    <w:rsid w:val="009B6A9B"/>
    <w:rsid w:val="009B72E5"/>
    <w:rsid w:val="009B7415"/>
    <w:rsid w:val="009B7622"/>
    <w:rsid w:val="009B76A5"/>
    <w:rsid w:val="009B76C9"/>
    <w:rsid w:val="009B7ACB"/>
    <w:rsid w:val="009C0362"/>
    <w:rsid w:val="009C04A6"/>
    <w:rsid w:val="009C07A7"/>
    <w:rsid w:val="009C07B8"/>
    <w:rsid w:val="009C0B7D"/>
    <w:rsid w:val="009C0D98"/>
    <w:rsid w:val="009C0DDB"/>
    <w:rsid w:val="009C0F9D"/>
    <w:rsid w:val="009C12A2"/>
    <w:rsid w:val="009C132D"/>
    <w:rsid w:val="009C14B1"/>
    <w:rsid w:val="009C1552"/>
    <w:rsid w:val="009C1796"/>
    <w:rsid w:val="009C18DB"/>
    <w:rsid w:val="009C1DB2"/>
    <w:rsid w:val="009C2014"/>
    <w:rsid w:val="009C21A1"/>
    <w:rsid w:val="009C23BA"/>
    <w:rsid w:val="009C27F7"/>
    <w:rsid w:val="009C285D"/>
    <w:rsid w:val="009C2982"/>
    <w:rsid w:val="009C2A8A"/>
    <w:rsid w:val="009C2BC7"/>
    <w:rsid w:val="009C2C6C"/>
    <w:rsid w:val="009C2EAA"/>
    <w:rsid w:val="009C2F5C"/>
    <w:rsid w:val="009C33D9"/>
    <w:rsid w:val="009C37E8"/>
    <w:rsid w:val="009C3A21"/>
    <w:rsid w:val="009C3B69"/>
    <w:rsid w:val="009C46A2"/>
    <w:rsid w:val="009C48EB"/>
    <w:rsid w:val="009C4949"/>
    <w:rsid w:val="009C4FE4"/>
    <w:rsid w:val="009C51DE"/>
    <w:rsid w:val="009C52E2"/>
    <w:rsid w:val="009C54D3"/>
    <w:rsid w:val="009C5629"/>
    <w:rsid w:val="009C59A4"/>
    <w:rsid w:val="009C5AB3"/>
    <w:rsid w:val="009C5CF0"/>
    <w:rsid w:val="009C5DCF"/>
    <w:rsid w:val="009C6147"/>
    <w:rsid w:val="009C61E3"/>
    <w:rsid w:val="009C6605"/>
    <w:rsid w:val="009C6669"/>
    <w:rsid w:val="009C6806"/>
    <w:rsid w:val="009C6BE5"/>
    <w:rsid w:val="009C6C3E"/>
    <w:rsid w:val="009C6EFF"/>
    <w:rsid w:val="009C6F69"/>
    <w:rsid w:val="009C6FD6"/>
    <w:rsid w:val="009C70D8"/>
    <w:rsid w:val="009C717D"/>
    <w:rsid w:val="009C7504"/>
    <w:rsid w:val="009C7ACF"/>
    <w:rsid w:val="009C7D1D"/>
    <w:rsid w:val="009C7E79"/>
    <w:rsid w:val="009D0183"/>
    <w:rsid w:val="009D05F7"/>
    <w:rsid w:val="009D081A"/>
    <w:rsid w:val="009D09A8"/>
    <w:rsid w:val="009D0D44"/>
    <w:rsid w:val="009D0DB9"/>
    <w:rsid w:val="009D0E18"/>
    <w:rsid w:val="009D0E7E"/>
    <w:rsid w:val="009D0F5C"/>
    <w:rsid w:val="009D1034"/>
    <w:rsid w:val="009D1474"/>
    <w:rsid w:val="009D14B3"/>
    <w:rsid w:val="009D15BE"/>
    <w:rsid w:val="009D1881"/>
    <w:rsid w:val="009D190D"/>
    <w:rsid w:val="009D1D4D"/>
    <w:rsid w:val="009D1E9D"/>
    <w:rsid w:val="009D204B"/>
    <w:rsid w:val="009D2289"/>
    <w:rsid w:val="009D22F6"/>
    <w:rsid w:val="009D2419"/>
    <w:rsid w:val="009D246E"/>
    <w:rsid w:val="009D2477"/>
    <w:rsid w:val="009D2870"/>
    <w:rsid w:val="009D2CFF"/>
    <w:rsid w:val="009D2E89"/>
    <w:rsid w:val="009D30D1"/>
    <w:rsid w:val="009D3151"/>
    <w:rsid w:val="009D32A5"/>
    <w:rsid w:val="009D34A5"/>
    <w:rsid w:val="009D36CE"/>
    <w:rsid w:val="009D3AD0"/>
    <w:rsid w:val="009D3B6B"/>
    <w:rsid w:val="009D3F09"/>
    <w:rsid w:val="009D3FE3"/>
    <w:rsid w:val="009D4437"/>
    <w:rsid w:val="009D446A"/>
    <w:rsid w:val="009D4535"/>
    <w:rsid w:val="009D46C6"/>
    <w:rsid w:val="009D4ABA"/>
    <w:rsid w:val="009D4C40"/>
    <w:rsid w:val="009D4E08"/>
    <w:rsid w:val="009D4F45"/>
    <w:rsid w:val="009D5214"/>
    <w:rsid w:val="009D55F6"/>
    <w:rsid w:val="009D5625"/>
    <w:rsid w:val="009D564A"/>
    <w:rsid w:val="009D573B"/>
    <w:rsid w:val="009D5B30"/>
    <w:rsid w:val="009D5CF9"/>
    <w:rsid w:val="009D5FB6"/>
    <w:rsid w:val="009D602E"/>
    <w:rsid w:val="009D62B4"/>
    <w:rsid w:val="009D63AB"/>
    <w:rsid w:val="009D6558"/>
    <w:rsid w:val="009D672C"/>
    <w:rsid w:val="009D67F5"/>
    <w:rsid w:val="009D68E3"/>
    <w:rsid w:val="009D6968"/>
    <w:rsid w:val="009D6C03"/>
    <w:rsid w:val="009D6D11"/>
    <w:rsid w:val="009D71AB"/>
    <w:rsid w:val="009D71BE"/>
    <w:rsid w:val="009D7868"/>
    <w:rsid w:val="009D7877"/>
    <w:rsid w:val="009D7CD0"/>
    <w:rsid w:val="009E00DF"/>
    <w:rsid w:val="009E0174"/>
    <w:rsid w:val="009E0187"/>
    <w:rsid w:val="009E0499"/>
    <w:rsid w:val="009E0684"/>
    <w:rsid w:val="009E080D"/>
    <w:rsid w:val="009E0BD0"/>
    <w:rsid w:val="009E0CA5"/>
    <w:rsid w:val="009E0E09"/>
    <w:rsid w:val="009E0F0A"/>
    <w:rsid w:val="009E0FBC"/>
    <w:rsid w:val="009E1271"/>
    <w:rsid w:val="009E1310"/>
    <w:rsid w:val="009E149B"/>
    <w:rsid w:val="009E1658"/>
    <w:rsid w:val="009E171B"/>
    <w:rsid w:val="009E19B6"/>
    <w:rsid w:val="009E1B42"/>
    <w:rsid w:val="009E1B79"/>
    <w:rsid w:val="009E1F37"/>
    <w:rsid w:val="009E22F6"/>
    <w:rsid w:val="009E25DF"/>
    <w:rsid w:val="009E2BE2"/>
    <w:rsid w:val="009E2E09"/>
    <w:rsid w:val="009E2F77"/>
    <w:rsid w:val="009E3053"/>
    <w:rsid w:val="009E327E"/>
    <w:rsid w:val="009E333C"/>
    <w:rsid w:val="009E35EA"/>
    <w:rsid w:val="009E36AB"/>
    <w:rsid w:val="009E3E20"/>
    <w:rsid w:val="009E4468"/>
    <w:rsid w:val="009E4572"/>
    <w:rsid w:val="009E474B"/>
    <w:rsid w:val="009E4784"/>
    <w:rsid w:val="009E4DA5"/>
    <w:rsid w:val="009E4DAA"/>
    <w:rsid w:val="009E5014"/>
    <w:rsid w:val="009E53B0"/>
    <w:rsid w:val="009E597F"/>
    <w:rsid w:val="009E59E0"/>
    <w:rsid w:val="009E5E84"/>
    <w:rsid w:val="009E6213"/>
    <w:rsid w:val="009E628E"/>
    <w:rsid w:val="009E6366"/>
    <w:rsid w:val="009E6413"/>
    <w:rsid w:val="009E67F3"/>
    <w:rsid w:val="009E67FD"/>
    <w:rsid w:val="009E6887"/>
    <w:rsid w:val="009E6CB6"/>
    <w:rsid w:val="009E7496"/>
    <w:rsid w:val="009E752B"/>
    <w:rsid w:val="009E75F0"/>
    <w:rsid w:val="009E763B"/>
    <w:rsid w:val="009E7C77"/>
    <w:rsid w:val="009E7DE0"/>
    <w:rsid w:val="009F0058"/>
    <w:rsid w:val="009F00D7"/>
    <w:rsid w:val="009F026A"/>
    <w:rsid w:val="009F05C5"/>
    <w:rsid w:val="009F072F"/>
    <w:rsid w:val="009F0B20"/>
    <w:rsid w:val="009F0C0E"/>
    <w:rsid w:val="009F0C9A"/>
    <w:rsid w:val="009F11AB"/>
    <w:rsid w:val="009F153A"/>
    <w:rsid w:val="009F172A"/>
    <w:rsid w:val="009F174A"/>
    <w:rsid w:val="009F1799"/>
    <w:rsid w:val="009F18F0"/>
    <w:rsid w:val="009F197E"/>
    <w:rsid w:val="009F1DB5"/>
    <w:rsid w:val="009F232B"/>
    <w:rsid w:val="009F2CB6"/>
    <w:rsid w:val="009F2E64"/>
    <w:rsid w:val="009F2F2F"/>
    <w:rsid w:val="009F32FE"/>
    <w:rsid w:val="009F34C8"/>
    <w:rsid w:val="009F35DB"/>
    <w:rsid w:val="009F360D"/>
    <w:rsid w:val="009F3B0B"/>
    <w:rsid w:val="009F3EFE"/>
    <w:rsid w:val="009F3F20"/>
    <w:rsid w:val="009F40A4"/>
    <w:rsid w:val="009F40F0"/>
    <w:rsid w:val="009F4184"/>
    <w:rsid w:val="009F44C6"/>
    <w:rsid w:val="009F4542"/>
    <w:rsid w:val="009F4703"/>
    <w:rsid w:val="009F4920"/>
    <w:rsid w:val="009F498E"/>
    <w:rsid w:val="009F4DBD"/>
    <w:rsid w:val="009F4DF8"/>
    <w:rsid w:val="009F4F96"/>
    <w:rsid w:val="009F5194"/>
    <w:rsid w:val="009F5308"/>
    <w:rsid w:val="009F532D"/>
    <w:rsid w:val="009F5389"/>
    <w:rsid w:val="009F54A0"/>
    <w:rsid w:val="009F553C"/>
    <w:rsid w:val="009F570D"/>
    <w:rsid w:val="009F57BE"/>
    <w:rsid w:val="009F5B2E"/>
    <w:rsid w:val="009F5D42"/>
    <w:rsid w:val="009F5DCE"/>
    <w:rsid w:val="009F6275"/>
    <w:rsid w:val="009F677A"/>
    <w:rsid w:val="009F6980"/>
    <w:rsid w:val="009F698E"/>
    <w:rsid w:val="009F6AAD"/>
    <w:rsid w:val="009F6B68"/>
    <w:rsid w:val="009F6D00"/>
    <w:rsid w:val="009F6E54"/>
    <w:rsid w:val="009F740E"/>
    <w:rsid w:val="009F75A3"/>
    <w:rsid w:val="009F774C"/>
    <w:rsid w:val="009F7969"/>
    <w:rsid w:val="009F7E66"/>
    <w:rsid w:val="009F7F3B"/>
    <w:rsid w:val="00A0025A"/>
    <w:rsid w:val="00A0029E"/>
    <w:rsid w:val="00A006F9"/>
    <w:rsid w:val="00A00999"/>
    <w:rsid w:val="00A00A61"/>
    <w:rsid w:val="00A00B65"/>
    <w:rsid w:val="00A00FEC"/>
    <w:rsid w:val="00A011CC"/>
    <w:rsid w:val="00A014F6"/>
    <w:rsid w:val="00A015E8"/>
    <w:rsid w:val="00A01723"/>
    <w:rsid w:val="00A018CC"/>
    <w:rsid w:val="00A01B0B"/>
    <w:rsid w:val="00A01D7D"/>
    <w:rsid w:val="00A01F75"/>
    <w:rsid w:val="00A024AC"/>
    <w:rsid w:val="00A02746"/>
    <w:rsid w:val="00A0279E"/>
    <w:rsid w:val="00A02B1D"/>
    <w:rsid w:val="00A02B57"/>
    <w:rsid w:val="00A0303D"/>
    <w:rsid w:val="00A03397"/>
    <w:rsid w:val="00A035F5"/>
    <w:rsid w:val="00A038A9"/>
    <w:rsid w:val="00A03C68"/>
    <w:rsid w:val="00A03D65"/>
    <w:rsid w:val="00A03DD5"/>
    <w:rsid w:val="00A03FE5"/>
    <w:rsid w:val="00A04139"/>
    <w:rsid w:val="00A04201"/>
    <w:rsid w:val="00A04416"/>
    <w:rsid w:val="00A0443B"/>
    <w:rsid w:val="00A0452A"/>
    <w:rsid w:val="00A04609"/>
    <w:rsid w:val="00A04751"/>
    <w:rsid w:val="00A04887"/>
    <w:rsid w:val="00A048B2"/>
    <w:rsid w:val="00A0496E"/>
    <w:rsid w:val="00A04C1D"/>
    <w:rsid w:val="00A04DF1"/>
    <w:rsid w:val="00A04E3B"/>
    <w:rsid w:val="00A04EA8"/>
    <w:rsid w:val="00A04FB2"/>
    <w:rsid w:val="00A05092"/>
    <w:rsid w:val="00A0529C"/>
    <w:rsid w:val="00A0556F"/>
    <w:rsid w:val="00A055F9"/>
    <w:rsid w:val="00A05912"/>
    <w:rsid w:val="00A05E18"/>
    <w:rsid w:val="00A06175"/>
    <w:rsid w:val="00A06477"/>
    <w:rsid w:val="00A06480"/>
    <w:rsid w:val="00A06986"/>
    <w:rsid w:val="00A06D21"/>
    <w:rsid w:val="00A06E2E"/>
    <w:rsid w:val="00A06EA8"/>
    <w:rsid w:val="00A06F79"/>
    <w:rsid w:val="00A0718E"/>
    <w:rsid w:val="00A075A2"/>
    <w:rsid w:val="00A079B8"/>
    <w:rsid w:val="00A07D47"/>
    <w:rsid w:val="00A07D90"/>
    <w:rsid w:val="00A07E1F"/>
    <w:rsid w:val="00A07E2C"/>
    <w:rsid w:val="00A07F2E"/>
    <w:rsid w:val="00A10028"/>
    <w:rsid w:val="00A10178"/>
    <w:rsid w:val="00A10190"/>
    <w:rsid w:val="00A10593"/>
    <w:rsid w:val="00A10783"/>
    <w:rsid w:val="00A107DD"/>
    <w:rsid w:val="00A10B2E"/>
    <w:rsid w:val="00A11464"/>
    <w:rsid w:val="00A114E3"/>
    <w:rsid w:val="00A1153C"/>
    <w:rsid w:val="00A116BE"/>
    <w:rsid w:val="00A11804"/>
    <w:rsid w:val="00A11809"/>
    <w:rsid w:val="00A11AD4"/>
    <w:rsid w:val="00A1223F"/>
    <w:rsid w:val="00A123EA"/>
    <w:rsid w:val="00A1240C"/>
    <w:rsid w:val="00A124F4"/>
    <w:rsid w:val="00A12907"/>
    <w:rsid w:val="00A12F62"/>
    <w:rsid w:val="00A131E0"/>
    <w:rsid w:val="00A131E7"/>
    <w:rsid w:val="00A13849"/>
    <w:rsid w:val="00A1395B"/>
    <w:rsid w:val="00A139C7"/>
    <w:rsid w:val="00A13AFA"/>
    <w:rsid w:val="00A13E73"/>
    <w:rsid w:val="00A14199"/>
    <w:rsid w:val="00A14384"/>
    <w:rsid w:val="00A1455A"/>
    <w:rsid w:val="00A14753"/>
    <w:rsid w:val="00A14888"/>
    <w:rsid w:val="00A148D3"/>
    <w:rsid w:val="00A1495E"/>
    <w:rsid w:val="00A14D6E"/>
    <w:rsid w:val="00A14FAA"/>
    <w:rsid w:val="00A14FE0"/>
    <w:rsid w:val="00A14FE9"/>
    <w:rsid w:val="00A150CD"/>
    <w:rsid w:val="00A150CE"/>
    <w:rsid w:val="00A15177"/>
    <w:rsid w:val="00A153B3"/>
    <w:rsid w:val="00A154EB"/>
    <w:rsid w:val="00A155C5"/>
    <w:rsid w:val="00A155F0"/>
    <w:rsid w:val="00A15AA0"/>
    <w:rsid w:val="00A15C0E"/>
    <w:rsid w:val="00A1620D"/>
    <w:rsid w:val="00A16256"/>
    <w:rsid w:val="00A16550"/>
    <w:rsid w:val="00A1659D"/>
    <w:rsid w:val="00A166F5"/>
    <w:rsid w:val="00A1679F"/>
    <w:rsid w:val="00A1681D"/>
    <w:rsid w:val="00A1683D"/>
    <w:rsid w:val="00A16845"/>
    <w:rsid w:val="00A168D4"/>
    <w:rsid w:val="00A169F5"/>
    <w:rsid w:val="00A16EF6"/>
    <w:rsid w:val="00A16EFF"/>
    <w:rsid w:val="00A16F91"/>
    <w:rsid w:val="00A17044"/>
    <w:rsid w:val="00A1751A"/>
    <w:rsid w:val="00A1775D"/>
    <w:rsid w:val="00A17774"/>
    <w:rsid w:val="00A1792C"/>
    <w:rsid w:val="00A2019B"/>
    <w:rsid w:val="00A2066C"/>
    <w:rsid w:val="00A207F1"/>
    <w:rsid w:val="00A20AAC"/>
    <w:rsid w:val="00A20C4D"/>
    <w:rsid w:val="00A20C5B"/>
    <w:rsid w:val="00A21182"/>
    <w:rsid w:val="00A21340"/>
    <w:rsid w:val="00A21357"/>
    <w:rsid w:val="00A213C2"/>
    <w:rsid w:val="00A21402"/>
    <w:rsid w:val="00A2150C"/>
    <w:rsid w:val="00A21845"/>
    <w:rsid w:val="00A218CC"/>
    <w:rsid w:val="00A218DA"/>
    <w:rsid w:val="00A21A09"/>
    <w:rsid w:val="00A21CD5"/>
    <w:rsid w:val="00A223A9"/>
    <w:rsid w:val="00A22F5B"/>
    <w:rsid w:val="00A230DA"/>
    <w:rsid w:val="00A23270"/>
    <w:rsid w:val="00A2342C"/>
    <w:rsid w:val="00A23488"/>
    <w:rsid w:val="00A2351C"/>
    <w:rsid w:val="00A23668"/>
    <w:rsid w:val="00A237C1"/>
    <w:rsid w:val="00A237DE"/>
    <w:rsid w:val="00A23880"/>
    <w:rsid w:val="00A23897"/>
    <w:rsid w:val="00A2396B"/>
    <w:rsid w:val="00A23993"/>
    <w:rsid w:val="00A23AA8"/>
    <w:rsid w:val="00A23AEB"/>
    <w:rsid w:val="00A23C7E"/>
    <w:rsid w:val="00A23D5F"/>
    <w:rsid w:val="00A24078"/>
    <w:rsid w:val="00A2489E"/>
    <w:rsid w:val="00A2494A"/>
    <w:rsid w:val="00A24D08"/>
    <w:rsid w:val="00A24EEE"/>
    <w:rsid w:val="00A251CB"/>
    <w:rsid w:val="00A251CF"/>
    <w:rsid w:val="00A257A7"/>
    <w:rsid w:val="00A25980"/>
    <w:rsid w:val="00A25A1A"/>
    <w:rsid w:val="00A25B9E"/>
    <w:rsid w:val="00A25EA9"/>
    <w:rsid w:val="00A25F7B"/>
    <w:rsid w:val="00A26007"/>
    <w:rsid w:val="00A261BD"/>
    <w:rsid w:val="00A26460"/>
    <w:rsid w:val="00A26704"/>
    <w:rsid w:val="00A268AB"/>
    <w:rsid w:val="00A26939"/>
    <w:rsid w:val="00A26997"/>
    <w:rsid w:val="00A26A85"/>
    <w:rsid w:val="00A26AE0"/>
    <w:rsid w:val="00A26C39"/>
    <w:rsid w:val="00A26DCD"/>
    <w:rsid w:val="00A26EDD"/>
    <w:rsid w:val="00A26FB1"/>
    <w:rsid w:val="00A2700C"/>
    <w:rsid w:val="00A27049"/>
    <w:rsid w:val="00A27127"/>
    <w:rsid w:val="00A271B1"/>
    <w:rsid w:val="00A27608"/>
    <w:rsid w:val="00A277A6"/>
    <w:rsid w:val="00A27E54"/>
    <w:rsid w:val="00A301C6"/>
    <w:rsid w:val="00A30372"/>
    <w:rsid w:val="00A304E0"/>
    <w:rsid w:val="00A30793"/>
    <w:rsid w:val="00A30E29"/>
    <w:rsid w:val="00A30F68"/>
    <w:rsid w:val="00A30FE8"/>
    <w:rsid w:val="00A31245"/>
    <w:rsid w:val="00A3128F"/>
    <w:rsid w:val="00A31326"/>
    <w:rsid w:val="00A313F6"/>
    <w:rsid w:val="00A31631"/>
    <w:rsid w:val="00A31872"/>
    <w:rsid w:val="00A319E5"/>
    <w:rsid w:val="00A31B79"/>
    <w:rsid w:val="00A31C97"/>
    <w:rsid w:val="00A321CB"/>
    <w:rsid w:val="00A32277"/>
    <w:rsid w:val="00A322DD"/>
    <w:rsid w:val="00A32309"/>
    <w:rsid w:val="00A3241C"/>
    <w:rsid w:val="00A32785"/>
    <w:rsid w:val="00A32A8E"/>
    <w:rsid w:val="00A32F7A"/>
    <w:rsid w:val="00A3331A"/>
    <w:rsid w:val="00A3339F"/>
    <w:rsid w:val="00A33420"/>
    <w:rsid w:val="00A3359C"/>
    <w:rsid w:val="00A33883"/>
    <w:rsid w:val="00A339FC"/>
    <w:rsid w:val="00A33F2A"/>
    <w:rsid w:val="00A341AF"/>
    <w:rsid w:val="00A34269"/>
    <w:rsid w:val="00A347FC"/>
    <w:rsid w:val="00A34893"/>
    <w:rsid w:val="00A348ED"/>
    <w:rsid w:val="00A34E28"/>
    <w:rsid w:val="00A34F85"/>
    <w:rsid w:val="00A35030"/>
    <w:rsid w:val="00A350FE"/>
    <w:rsid w:val="00A355E9"/>
    <w:rsid w:val="00A35B92"/>
    <w:rsid w:val="00A3611D"/>
    <w:rsid w:val="00A362DA"/>
    <w:rsid w:val="00A366C2"/>
    <w:rsid w:val="00A36D80"/>
    <w:rsid w:val="00A3749B"/>
    <w:rsid w:val="00A375F0"/>
    <w:rsid w:val="00A377C3"/>
    <w:rsid w:val="00A3788D"/>
    <w:rsid w:val="00A37905"/>
    <w:rsid w:val="00A379F0"/>
    <w:rsid w:val="00A37D87"/>
    <w:rsid w:val="00A40225"/>
    <w:rsid w:val="00A405F2"/>
    <w:rsid w:val="00A406E1"/>
    <w:rsid w:val="00A40855"/>
    <w:rsid w:val="00A40A09"/>
    <w:rsid w:val="00A40EEA"/>
    <w:rsid w:val="00A40FF4"/>
    <w:rsid w:val="00A411D5"/>
    <w:rsid w:val="00A411EB"/>
    <w:rsid w:val="00A414B0"/>
    <w:rsid w:val="00A416E1"/>
    <w:rsid w:val="00A41851"/>
    <w:rsid w:val="00A41AD5"/>
    <w:rsid w:val="00A41C6B"/>
    <w:rsid w:val="00A41CC4"/>
    <w:rsid w:val="00A41DDE"/>
    <w:rsid w:val="00A41E9F"/>
    <w:rsid w:val="00A424C9"/>
    <w:rsid w:val="00A42517"/>
    <w:rsid w:val="00A428C2"/>
    <w:rsid w:val="00A42A29"/>
    <w:rsid w:val="00A42CCB"/>
    <w:rsid w:val="00A42D90"/>
    <w:rsid w:val="00A42E20"/>
    <w:rsid w:val="00A4308C"/>
    <w:rsid w:val="00A43563"/>
    <w:rsid w:val="00A43A90"/>
    <w:rsid w:val="00A43D66"/>
    <w:rsid w:val="00A43DAE"/>
    <w:rsid w:val="00A43FE7"/>
    <w:rsid w:val="00A44010"/>
    <w:rsid w:val="00A44059"/>
    <w:rsid w:val="00A4408D"/>
    <w:rsid w:val="00A44549"/>
    <w:rsid w:val="00A44738"/>
    <w:rsid w:val="00A44919"/>
    <w:rsid w:val="00A44952"/>
    <w:rsid w:val="00A449C5"/>
    <w:rsid w:val="00A44C0D"/>
    <w:rsid w:val="00A44DAF"/>
    <w:rsid w:val="00A44FA2"/>
    <w:rsid w:val="00A450C4"/>
    <w:rsid w:val="00A45141"/>
    <w:rsid w:val="00A451DE"/>
    <w:rsid w:val="00A452AB"/>
    <w:rsid w:val="00A45349"/>
    <w:rsid w:val="00A4555F"/>
    <w:rsid w:val="00A45719"/>
    <w:rsid w:val="00A4571B"/>
    <w:rsid w:val="00A45777"/>
    <w:rsid w:val="00A45927"/>
    <w:rsid w:val="00A45D08"/>
    <w:rsid w:val="00A45D37"/>
    <w:rsid w:val="00A45FB7"/>
    <w:rsid w:val="00A46058"/>
    <w:rsid w:val="00A460C1"/>
    <w:rsid w:val="00A462B6"/>
    <w:rsid w:val="00A46362"/>
    <w:rsid w:val="00A4640A"/>
    <w:rsid w:val="00A465FD"/>
    <w:rsid w:val="00A46A3E"/>
    <w:rsid w:val="00A46AC9"/>
    <w:rsid w:val="00A46C99"/>
    <w:rsid w:val="00A4707E"/>
    <w:rsid w:val="00A4734E"/>
    <w:rsid w:val="00A47433"/>
    <w:rsid w:val="00A474F6"/>
    <w:rsid w:val="00A475BA"/>
    <w:rsid w:val="00A47743"/>
    <w:rsid w:val="00A47B1F"/>
    <w:rsid w:val="00A47ED2"/>
    <w:rsid w:val="00A50620"/>
    <w:rsid w:val="00A50A71"/>
    <w:rsid w:val="00A50D88"/>
    <w:rsid w:val="00A50FE4"/>
    <w:rsid w:val="00A51132"/>
    <w:rsid w:val="00A5163E"/>
    <w:rsid w:val="00A51797"/>
    <w:rsid w:val="00A51881"/>
    <w:rsid w:val="00A5188D"/>
    <w:rsid w:val="00A5194E"/>
    <w:rsid w:val="00A51A2A"/>
    <w:rsid w:val="00A51C28"/>
    <w:rsid w:val="00A51D97"/>
    <w:rsid w:val="00A51F21"/>
    <w:rsid w:val="00A520BA"/>
    <w:rsid w:val="00A52123"/>
    <w:rsid w:val="00A5228A"/>
    <w:rsid w:val="00A5240C"/>
    <w:rsid w:val="00A529A4"/>
    <w:rsid w:val="00A52BBD"/>
    <w:rsid w:val="00A52D78"/>
    <w:rsid w:val="00A52D9B"/>
    <w:rsid w:val="00A52F7B"/>
    <w:rsid w:val="00A53097"/>
    <w:rsid w:val="00A53154"/>
    <w:rsid w:val="00A532AA"/>
    <w:rsid w:val="00A534B5"/>
    <w:rsid w:val="00A53A94"/>
    <w:rsid w:val="00A53E55"/>
    <w:rsid w:val="00A53E92"/>
    <w:rsid w:val="00A53F10"/>
    <w:rsid w:val="00A53FF3"/>
    <w:rsid w:val="00A542AE"/>
    <w:rsid w:val="00A5445A"/>
    <w:rsid w:val="00A5461A"/>
    <w:rsid w:val="00A54654"/>
    <w:rsid w:val="00A54764"/>
    <w:rsid w:val="00A54BA6"/>
    <w:rsid w:val="00A54BE7"/>
    <w:rsid w:val="00A54BE8"/>
    <w:rsid w:val="00A54E57"/>
    <w:rsid w:val="00A54E75"/>
    <w:rsid w:val="00A54EB7"/>
    <w:rsid w:val="00A54EC4"/>
    <w:rsid w:val="00A54FB0"/>
    <w:rsid w:val="00A55066"/>
    <w:rsid w:val="00A55147"/>
    <w:rsid w:val="00A5523A"/>
    <w:rsid w:val="00A553BC"/>
    <w:rsid w:val="00A554A7"/>
    <w:rsid w:val="00A554B2"/>
    <w:rsid w:val="00A555EB"/>
    <w:rsid w:val="00A556A2"/>
    <w:rsid w:val="00A55710"/>
    <w:rsid w:val="00A558A6"/>
    <w:rsid w:val="00A55BFC"/>
    <w:rsid w:val="00A55D50"/>
    <w:rsid w:val="00A55F17"/>
    <w:rsid w:val="00A56104"/>
    <w:rsid w:val="00A5612A"/>
    <w:rsid w:val="00A561C0"/>
    <w:rsid w:val="00A564C5"/>
    <w:rsid w:val="00A565BE"/>
    <w:rsid w:val="00A568C3"/>
    <w:rsid w:val="00A56923"/>
    <w:rsid w:val="00A569DC"/>
    <w:rsid w:val="00A56E5C"/>
    <w:rsid w:val="00A56F0B"/>
    <w:rsid w:val="00A56F9B"/>
    <w:rsid w:val="00A57067"/>
    <w:rsid w:val="00A5709C"/>
    <w:rsid w:val="00A574D1"/>
    <w:rsid w:val="00A57D3D"/>
    <w:rsid w:val="00A60250"/>
    <w:rsid w:val="00A60391"/>
    <w:rsid w:val="00A604A4"/>
    <w:rsid w:val="00A6090B"/>
    <w:rsid w:val="00A609DD"/>
    <w:rsid w:val="00A60CED"/>
    <w:rsid w:val="00A60DD4"/>
    <w:rsid w:val="00A61121"/>
    <w:rsid w:val="00A612B7"/>
    <w:rsid w:val="00A6139D"/>
    <w:rsid w:val="00A616CC"/>
    <w:rsid w:val="00A61787"/>
    <w:rsid w:val="00A617AD"/>
    <w:rsid w:val="00A61B56"/>
    <w:rsid w:val="00A61C2E"/>
    <w:rsid w:val="00A61D64"/>
    <w:rsid w:val="00A61FED"/>
    <w:rsid w:val="00A620AB"/>
    <w:rsid w:val="00A620B9"/>
    <w:rsid w:val="00A62236"/>
    <w:rsid w:val="00A622E0"/>
    <w:rsid w:val="00A622E1"/>
    <w:rsid w:val="00A62456"/>
    <w:rsid w:val="00A6257E"/>
    <w:rsid w:val="00A625E0"/>
    <w:rsid w:val="00A626A4"/>
    <w:rsid w:val="00A62970"/>
    <w:rsid w:val="00A62E42"/>
    <w:rsid w:val="00A63392"/>
    <w:rsid w:val="00A6397C"/>
    <w:rsid w:val="00A63B18"/>
    <w:rsid w:val="00A63B1E"/>
    <w:rsid w:val="00A63C92"/>
    <w:rsid w:val="00A63E15"/>
    <w:rsid w:val="00A640EB"/>
    <w:rsid w:val="00A64355"/>
    <w:rsid w:val="00A64436"/>
    <w:rsid w:val="00A64712"/>
    <w:rsid w:val="00A64767"/>
    <w:rsid w:val="00A64A71"/>
    <w:rsid w:val="00A64FC2"/>
    <w:rsid w:val="00A65039"/>
    <w:rsid w:val="00A650F7"/>
    <w:rsid w:val="00A65177"/>
    <w:rsid w:val="00A6529D"/>
    <w:rsid w:val="00A65549"/>
    <w:rsid w:val="00A65770"/>
    <w:rsid w:val="00A6595D"/>
    <w:rsid w:val="00A65B2F"/>
    <w:rsid w:val="00A65BFE"/>
    <w:rsid w:val="00A65E11"/>
    <w:rsid w:val="00A66066"/>
    <w:rsid w:val="00A663AE"/>
    <w:rsid w:val="00A66506"/>
    <w:rsid w:val="00A66657"/>
    <w:rsid w:val="00A668BC"/>
    <w:rsid w:val="00A6692A"/>
    <w:rsid w:val="00A66BF7"/>
    <w:rsid w:val="00A66D96"/>
    <w:rsid w:val="00A67507"/>
    <w:rsid w:val="00A67657"/>
    <w:rsid w:val="00A67813"/>
    <w:rsid w:val="00A678F7"/>
    <w:rsid w:val="00A67980"/>
    <w:rsid w:val="00A67992"/>
    <w:rsid w:val="00A67B79"/>
    <w:rsid w:val="00A67E63"/>
    <w:rsid w:val="00A67FC4"/>
    <w:rsid w:val="00A7002F"/>
    <w:rsid w:val="00A70049"/>
    <w:rsid w:val="00A70155"/>
    <w:rsid w:val="00A701E4"/>
    <w:rsid w:val="00A704DD"/>
    <w:rsid w:val="00A705C1"/>
    <w:rsid w:val="00A708E7"/>
    <w:rsid w:val="00A70C51"/>
    <w:rsid w:val="00A70EA0"/>
    <w:rsid w:val="00A7105C"/>
    <w:rsid w:val="00A7163A"/>
    <w:rsid w:val="00A716A3"/>
    <w:rsid w:val="00A71986"/>
    <w:rsid w:val="00A71C88"/>
    <w:rsid w:val="00A72159"/>
    <w:rsid w:val="00A72160"/>
    <w:rsid w:val="00A72173"/>
    <w:rsid w:val="00A722BE"/>
    <w:rsid w:val="00A7236C"/>
    <w:rsid w:val="00A72960"/>
    <w:rsid w:val="00A72A25"/>
    <w:rsid w:val="00A72A71"/>
    <w:rsid w:val="00A72AFA"/>
    <w:rsid w:val="00A72C98"/>
    <w:rsid w:val="00A72D21"/>
    <w:rsid w:val="00A72D8F"/>
    <w:rsid w:val="00A72E2C"/>
    <w:rsid w:val="00A72F5E"/>
    <w:rsid w:val="00A73156"/>
    <w:rsid w:val="00A734A9"/>
    <w:rsid w:val="00A734B5"/>
    <w:rsid w:val="00A7356C"/>
    <w:rsid w:val="00A7360B"/>
    <w:rsid w:val="00A736AC"/>
    <w:rsid w:val="00A736DB"/>
    <w:rsid w:val="00A73778"/>
    <w:rsid w:val="00A73CA9"/>
    <w:rsid w:val="00A73CCE"/>
    <w:rsid w:val="00A73CDC"/>
    <w:rsid w:val="00A73D69"/>
    <w:rsid w:val="00A7412E"/>
    <w:rsid w:val="00A7432F"/>
    <w:rsid w:val="00A7446D"/>
    <w:rsid w:val="00A74815"/>
    <w:rsid w:val="00A74887"/>
    <w:rsid w:val="00A74B0D"/>
    <w:rsid w:val="00A74BBB"/>
    <w:rsid w:val="00A74BC2"/>
    <w:rsid w:val="00A74D92"/>
    <w:rsid w:val="00A74FE0"/>
    <w:rsid w:val="00A7512B"/>
    <w:rsid w:val="00A753FC"/>
    <w:rsid w:val="00A75520"/>
    <w:rsid w:val="00A75547"/>
    <w:rsid w:val="00A7564D"/>
    <w:rsid w:val="00A7598D"/>
    <w:rsid w:val="00A75B7B"/>
    <w:rsid w:val="00A75ED6"/>
    <w:rsid w:val="00A76016"/>
    <w:rsid w:val="00A76062"/>
    <w:rsid w:val="00A76198"/>
    <w:rsid w:val="00A7675B"/>
    <w:rsid w:val="00A76AEE"/>
    <w:rsid w:val="00A76BD5"/>
    <w:rsid w:val="00A76D1B"/>
    <w:rsid w:val="00A76D23"/>
    <w:rsid w:val="00A76D89"/>
    <w:rsid w:val="00A76E44"/>
    <w:rsid w:val="00A76EBB"/>
    <w:rsid w:val="00A7703D"/>
    <w:rsid w:val="00A77824"/>
    <w:rsid w:val="00A779A6"/>
    <w:rsid w:val="00A77B64"/>
    <w:rsid w:val="00A8026A"/>
    <w:rsid w:val="00A80422"/>
    <w:rsid w:val="00A80483"/>
    <w:rsid w:val="00A805E5"/>
    <w:rsid w:val="00A80CA4"/>
    <w:rsid w:val="00A811F6"/>
    <w:rsid w:val="00A8129C"/>
    <w:rsid w:val="00A816C2"/>
    <w:rsid w:val="00A81BC2"/>
    <w:rsid w:val="00A81D73"/>
    <w:rsid w:val="00A81D7F"/>
    <w:rsid w:val="00A81E5A"/>
    <w:rsid w:val="00A81F45"/>
    <w:rsid w:val="00A8214E"/>
    <w:rsid w:val="00A8228F"/>
    <w:rsid w:val="00A826C3"/>
    <w:rsid w:val="00A82868"/>
    <w:rsid w:val="00A82E59"/>
    <w:rsid w:val="00A8332E"/>
    <w:rsid w:val="00A836CF"/>
    <w:rsid w:val="00A83BCE"/>
    <w:rsid w:val="00A83C79"/>
    <w:rsid w:val="00A84071"/>
    <w:rsid w:val="00A8424B"/>
    <w:rsid w:val="00A843EC"/>
    <w:rsid w:val="00A8453B"/>
    <w:rsid w:val="00A846D5"/>
    <w:rsid w:val="00A849CC"/>
    <w:rsid w:val="00A849E9"/>
    <w:rsid w:val="00A849EA"/>
    <w:rsid w:val="00A84A7C"/>
    <w:rsid w:val="00A84B72"/>
    <w:rsid w:val="00A84F3C"/>
    <w:rsid w:val="00A850E8"/>
    <w:rsid w:val="00A852E3"/>
    <w:rsid w:val="00A85384"/>
    <w:rsid w:val="00A853B3"/>
    <w:rsid w:val="00A854F4"/>
    <w:rsid w:val="00A85961"/>
    <w:rsid w:val="00A86085"/>
    <w:rsid w:val="00A86109"/>
    <w:rsid w:val="00A86231"/>
    <w:rsid w:val="00A863D2"/>
    <w:rsid w:val="00A8660E"/>
    <w:rsid w:val="00A86941"/>
    <w:rsid w:val="00A86A2E"/>
    <w:rsid w:val="00A86B51"/>
    <w:rsid w:val="00A86C43"/>
    <w:rsid w:val="00A86FBC"/>
    <w:rsid w:val="00A873E4"/>
    <w:rsid w:val="00A877FC"/>
    <w:rsid w:val="00A879E4"/>
    <w:rsid w:val="00A87A3E"/>
    <w:rsid w:val="00A907FD"/>
    <w:rsid w:val="00A90899"/>
    <w:rsid w:val="00A90A8C"/>
    <w:rsid w:val="00A90D50"/>
    <w:rsid w:val="00A910D2"/>
    <w:rsid w:val="00A9139C"/>
    <w:rsid w:val="00A91CA6"/>
    <w:rsid w:val="00A91DC9"/>
    <w:rsid w:val="00A92201"/>
    <w:rsid w:val="00A922CD"/>
    <w:rsid w:val="00A9232F"/>
    <w:rsid w:val="00A9267C"/>
    <w:rsid w:val="00A927A8"/>
    <w:rsid w:val="00A9288B"/>
    <w:rsid w:val="00A92AF4"/>
    <w:rsid w:val="00A92B9A"/>
    <w:rsid w:val="00A92EAB"/>
    <w:rsid w:val="00A93178"/>
    <w:rsid w:val="00A9328E"/>
    <w:rsid w:val="00A933BC"/>
    <w:rsid w:val="00A93401"/>
    <w:rsid w:val="00A935A6"/>
    <w:rsid w:val="00A938C6"/>
    <w:rsid w:val="00A9393A"/>
    <w:rsid w:val="00A93B90"/>
    <w:rsid w:val="00A93D8B"/>
    <w:rsid w:val="00A93F39"/>
    <w:rsid w:val="00A9406F"/>
    <w:rsid w:val="00A9442F"/>
    <w:rsid w:val="00A9471D"/>
    <w:rsid w:val="00A948EE"/>
    <w:rsid w:val="00A94967"/>
    <w:rsid w:val="00A949BB"/>
    <w:rsid w:val="00A94A7E"/>
    <w:rsid w:val="00A94D29"/>
    <w:rsid w:val="00A94ED0"/>
    <w:rsid w:val="00A95154"/>
    <w:rsid w:val="00A951C4"/>
    <w:rsid w:val="00A95226"/>
    <w:rsid w:val="00A9528C"/>
    <w:rsid w:val="00A95407"/>
    <w:rsid w:val="00A9544C"/>
    <w:rsid w:val="00A956BE"/>
    <w:rsid w:val="00A958B7"/>
    <w:rsid w:val="00A959D0"/>
    <w:rsid w:val="00A96033"/>
    <w:rsid w:val="00A96258"/>
    <w:rsid w:val="00A967D9"/>
    <w:rsid w:val="00A96CFB"/>
    <w:rsid w:val="00A97013"/>
    <w:rsid w:val="00A970E8"/>
    <w:rsid w:val="00A97160"/>
    <w:rsid w:val="00A97188"/>
    <w:rsid w:val="00A976D0"/>
    <w:rsid w:val="00A976DF"/>
    <w:rsid w:val="00A978BE"/>
    <w:rsid w:val="00A97AAB"/>
    <w:rsid w:val="00A97C61"/>
    <w:rsid w:val="00A97F13"/>
    <w:rsid w:val="00AA04E2"/>
    <w:rsid w:val="00AA0767"/>
    <w:rsid w:val="00AA084A"/>
    <w:rsid w:val="00AA0A35"/>
    <w:rsid w:val="00AA0C40"/>
    <w:rsid w:val="00AA1416"/>
    <w:rsid w:val="00AA15B9"/>
    <w:rsid w:val="00AA16B7"/>
    <w:rsid w:val="00AA16FD"/>
    <w:rsid w:val="00AA1BD9"/>
    <w:rsid w:val="00AA203C"/>
    <w:rsid w:val="00AA265B"/>
    <w:rsid w:val="00AA286C"/>
    <w:rsid w:val="00AA290B"/>
    <w:rsid w:val="00AA2ACA"/>
    <w:rsid w:val="00AA2BAC"/>
    <w:rsid w:val="00AA2F9E"/>
    <w:rsid w:val="00AA32FC"/>
    <w:rsid w:val="00AA3341"/>
    <w:rsid w:val="00AA35A9"/>
    <w:rsid w:val="00AA39B4"/>
    <w:rsid w:val="00AA3BE1"/>
    <w:rsid w:val="00AA475B"/>
    <w:rsid w:val="00AA4921"/>
    <w:rsid w:val="00AA4A32"/>
    <w:rsid w:val="00AA4D2E"/>
    <w:rsid w:val="00AA53DB"/>
    <w:rsid w:val="00AA547D"/>
    <w:rsid w:val="00AA561B"/>
    <w:rsid w:val="00AA5888"/>
    <w:rsid w:val="00AA5A1A"/>
    <w:rsid w:val="00AA5CAD"/>
    <w:rsid w:val="00AA5DAE"/>
    <w:rsid w:val="00AA6560"/>
    <w:rsid w:val="00AA6861"/>
    <w:rsid w:val="00AA6893"/>
    <w:rsid w:val="00AA68A0"/>
    <w:rsid w:val="00AA690B"/>
    <w:rsid w:val="00AA698C"/>
    <w:rsid w:val="00AA6B7F"/>
    <w:rsid w:val="00AA6E4F"/>
    <w:rsid w:val="00AA6F5B"/>
    <w:rsid w:val="00AA7181"/>
    <w:rsid w:val="00AA73D7"/>
    <w:rsid w:val="00AA7831"/>
    <w:rsid w:val="00AA7BE5"/>
    <w:rsid w:val="00AA7C9D"/>
    <w:rsid w:val="00AA7D0D"/>
    <w:rsid w:val="00AA7FCE"/>
    <w:rsid w:val="00AA7FDC"/>
    <w:rsid w:val="00AB0215"/>
    <w:rsid w:val="00AB0337"/>
    <w:rsid w:val="00AB0347"/>
    <w:rsid w:val="00AB039D"/>
    <w:rsid w:val="00AB047E"/>
    <w:rsid w:val="00AB05FA"/>
    <w:rsid w:val="00AB060F"/>
    <w:rsid w:val="00AB0A40"/>
    <w:rsid w:val="00AB0A67"/>
    <w:rsid w:val="00AB11DA"/>
    <w:rsid w:val="00AB126B"/>
    <w:rsid w:val="00AB19E5"/>
    <w:rsid w:val="00AB1CF2"/>
    <w:rsid w:val="00AB1D56"/>
    <w:rsid w:val="00AB1DC2"/>
    <w:rsid w:val="00AB1F43"/>
    <w:rsid w:val="00AB2318"/>
    <w:rsid w:val="00AB2354"/>
    <w:rsid w:val="00AB252F"/>
    <w:rsid w:val="00AB254B"/>
    <w:rsid w:val="00AB25BA"/>
    <w:rsid w:val="00AB278C"/>
    <w:rsid w:val="00AB2800"/>
    <w:rsid w:val="00AB291E"/>
    <w:rsid w:val="00AB29AB"/>
    <w:rsid w:val="00AB319E"/>
    <w:rsid w:val="00AB32F4"/>
    <w:rsid w:val="00AB3406"/>
    <w:rsid w:val="00AB3580"/>
    <w:rsid w:val="00AB3583"/>
    <w:rsid w:val="00AB360C"/>
    <w:rsid w:val="00AB37E1"/>
    <w:rsid w:val="00AB3C0C"/>
    <w:rsid w:val="00AB3DB1"/>
    <w:rsid w:val="00AB3F2A"/>
    <w:rsid w:val="00AB3FE5"/>
    <w:rsid w:val="00AB40AD"/>
    <w:rsid w:val="00AB41BD"/>
    <w:rsid w:val="00AB43B4"/>
    <w:rsid w:val="00AB44A2"/>
    <w:rsid w:val="00AB467C"/>
    <w:rsid w:val="00AB46CB"/>
    <w:rsid w:val="00AB47FB"/>
    <w:rsid w:val="00AB48E6"/>
    <w:rsid w:val="00AB4C69"/>
    <w:rsid w:val="00AB4D9F"/>
    <w:rsid w:val="00AB4EBC"/>
    <w:rsid w:val="00AB5015"/>
    <w:rsid w:val="00AB528B"/>
    <w:rsid w:val="00AB55F2"/>
    <w:rsid w:val="00AB58B7"/>
    <w:rsid w:val="00AB598F"/>
    <w:rsid w:val="00AB5A97"/>
    <w:rsid w:val="00AB5D81"/>
    <w:rsid w:val="00AB6015"/>
    <w:rsid w:val="00AB6303"/>
    <w:rsid w:val="00AB651D"/>
    <w:rsid w:val="00AB6913"/>
    <w:rsid w:val="00AB6A3E"/>
    <w:rsid w:val="00AB6AED"/>
    <w:rsid w:val="00AB6B75"/>
    <w:rsid w:val="00AB6B78"/>
    <w:rsid w:val="00AB6DB9"/>
    <w:rsid w:val="00AB6F77"/>
    <w:rsid w:val="00AB742D"/>
    <w:rsid w:val="00AB75EE"/>
    <w:rsid w:val="00AB790C"/>
    <w:rsid w:val="00AB7C5D"/>
    <w:rsid w:val="00AB7E6A"/>
    <w:rsid w:val="00AC0137"/>
    <w:rsid w:val="00AC0B72"/>
    <w:rsid w:val="00AC0C70"/>
    <w:rsid w:val="00AC0E7A"/>
    <w:rsid w:val="00AC0F49"/>
    <w:rsid w:val="00AC1048"/>
    <w:rsid w:val="00AC1116"/>
    <w:rsid w:val="00AC13E4"/>
    <w:rsid w:val="00AC1584"/>
    <w:rsid w:val="00AC16D7"/>
    <w:rsid w:val="00AC1AE2"/>
    <w:rsid w:val="00AC1B2B"/>
    <w:rsid w:val="00AC1E32"/>
    <w:rsid w:val="00AC1E57"/>
    <w:rsid w:val="00AC1F2A"/>
    <w:rsid w:val="00AC21A4"/>
    <w:rsid w:val="00AC23EF"/>
    <w:rsid w:val="00AC28A8"/>
    <w:rsid w:val="00AC2ABA"/>
    <w:rsid w:val="00AC2B00"/>
    <w:rsid w:val="00AC2B80"/>
    <w:rsid w:val="00AC30DE"/>
    <w:rsid w:val="00AC312C"/>
    <w:rsid w:val="00AC3196"/>
    <w:rsid w:val="00AC360E"/>
    <w:rsid w:val="00AC39DF"/>
    <w:rsid w:val="00AC3B15"/>
    <w:rsid w:val="00AC4065"/>
    <w:rsid w:val="00AC4174"/>
    <w:rsid w:val="00AC4252"/>
    <w:rsid w:val="00AC4751"/>
    <w:rsid w:val="00AC4850"/>
    <w:rsid w:val="00AC48CF"/>
    <w:rsid w:val="00AC48E4"/>
    <w:rsid w:val="00AC4B7F"/>
    <w:rsid w:val="00AC4D83"/>
    <w:rsid w:val="00AC4DE1"/>
    <w:rsid w:val="00AC4DED"/>
    <w:rsid w:val="00AC4FDA"/>
    <w:rsid w:val="00AC517E"/>
    <w:rsid w:val="00AC5427"/>
    <w:rsid w:val="00AC5659"/>
    <w:rsid w:val="00AC5BC7"/>
    <w:rsid w:val="00AC608E"/>
    <w:rsid w:val="00AC6211"/>
    <w:rsid w:val="00AC6292"/>
    <w:rsid w:val="00AC637F"/>
    <w:rsid w:val="00AC6731"/>
    <w:rsid w:val="00AC67EC"/>
    <w:rsid w:val="00AC68E4"/>
    <w:rsid w:val="00AC6A96"/>
    <w:rsid w:val="00AC6DF3"/>
    <w:rsid w:val="00AC6FAA"/>
    <w:rsid w:val="00AC7065"/>
    <w:rsid w:val="00AC7192"/>
    <w:rsid w:val="00AC73BD"/>
    <w:rsid w:val="00AC75E2"/>
    <w:rsid w:val="00AC762F"/>
    <w:rsid w:val="00AC7652"/>
    <w:rsid w:val="00AC772C"/>
    <w:rsid w:val="00AC79B6"/>
    <w:rsid w:val="00AC7A5A"/>
    <w:rsid w:val="00AC7B4A"/>
    <w:rsid w:val="00AC7C59"/>
    <w:rsid w:val="00AC7C98"/>
    <w:rsid w:val="00AC7E64"/>
    <w:rsid w:val="00AC7EA1"/>
    <w:rsid w:val="00AD00EC"/>
    <w:rsid w:val="00AD01EF"/>
    <w:rsid w:val="00AD0219"/>
    <w:rsid w:val="00AD022F"/>
    <w:rsid w:val="00AD0382"/>
    <w:rsid w:val="00AD053E"/>
    <w:rsid w:val="00AD0569"/>
    <w:rsid w:val="00AD0599"/>
    <w:rsid w:val="00AD05EA"/>
    <w:rsid w:val="00AD0789"/>
    <w:rsid w:val="00AD0B7E"/>
    <w:rsid w:val="00AD1013"/>
    <w:rsid w:val="00AD1082"/>
    <w:rsid w:val="00AD12E4"/>
    <w:rsid w:val="00AD1302"/>
    <w:rsid w:val="00AD14B3"/>
    <w:rsid w:val="00AD1571"/>
    <w:rsid w:val="00AD197B"/>
    <w:rsid w:val="00AD1CE4"/>
    <w:rsid w:val="00AD1EF9"/>
    <w:rsid w:val="00AD1FA2"/>
    <w:rsid w:val="00AD1FC6"/>
    <w:rsid w:val="00AD23C0"/>
    <w:rsid w:val="00AD25E2"/>
    <w:rsid w:val="00AD2875"/>
    <w:rsid w:val="00AD28BE"/>
    <w:rsid w:val="00AD29A2"/>
    <w:rsid w:val="00AD2A35"/>
    <w:rsid w:val="00AD2CD2"/>
    <w:rsid w:val="00AD2CF3"/>
    <w:rsid w:val="00AD2D21"/>
    <w:rsid w:val="00AD2EC3"/>
    <w:rsid w:val="00AD382C"/>
    <w:rsid w:val="00AD3986"/>
    <w:rsid w:val="00AD3AC7"/>
    <w:rsid w:val="00AD3C9C"/>
    <w:rsid w:val="00AD3E0E"/>
    <w:rsid w:val="00AD3E81"/>
    <w:rsid w:val="00AD3F4B"/>
    <w:rsid w:val="00AD413E"/>
    <w:rsid w:val="00AD442B"/>
    <w:rsid w:val="00AD46B3"/>
    <w:rsid w:val="00AD49B2"/>
    <w:rsid w:val="00AD4F7E"/>
    <w:rsid w:val="00AD50FC"/>
    <w:rsid w:val="00AD523E"/>
    <w:rsid w:val="00AD5733"/>
    <w:rsid w:val="00AD59D6"/>
    <w:rsid w:val="00AD59F6"/>
    <w:rsid w:val="00AD5D1F"/>
    <w:rsid w:val="00AD5E7A"/>
    <w:rsid w:val="00AD6008"/>
    <w:rsid w:val="00AD6056"/>
    <w:rsid w:val="00AD6471"/>
    <w:rsid w:val="00AD6783"/>
    <w:rsid w:val="00AD68CF"/>
    <w:rsid w:val="00AD6ABB"/>
    <w:rsid w:val="00AD6AC8"/>
    <w:rsid w:val="00AD6C1F"/>
    <w:rsid w:val="00AD6D4B"/>
    <w:rsid w:val="00AD741D"/>
    <w:rsid w:val="00AD74C1"/>
    <w:rsid w:val="00AD7557"/>
    <w:rsid w:val="00AD75F7"/>
    <w:rsid w:val="00AD79F3"/>
    <w:rsid w:val="00AD7B3F"/>
    <w:rsid w:val="00AD7EE6"/>
    <w:rsid w:val="00AE02E4"/>
    <w:rsid w:val="00AE02EA"/>
    <w:rsid w:val="00AE045C"/>
    <w:rsid w:val="00AE06DB"/>
    <w:rsid w:val="00AE06E3"/>
    <w:rsid w:val="00AE08C5"/>
    <w:rsid w:val="00AE0C91"/>
    <w:rsid w:val="00AE0CDA"/>
    <w:rsid w:val="00AE0F3D"/>
    <w:rsid w:val="00AE111C"/>
    <w:rsid w:val="00AE1149"/>
    <w:rsid w:val="00AE12D3"/>
    <w:rsid w:val="00AE1339"/>
    <w:rsid w:val="00AE1385"/>
    <w:rsid w:val="00AE17E4"/>
    <w:rsid w:val="00AE1A2E"/>
    <w:rsid w:val="00AE1BBE"/>
    <w:rsid w:val="00AE2014"/>
    <w:rsid w:val="00AE2231"/>
    <w:rsid w:val="00AE22EE"/>
    <w:rsid w:val="00AE2398"/>
    <w:rsid w:val="00AE265B"/>
    <w:rsid w:val="00AE26F1"/>
    <w:rsid w:val="00AE27B5"/>
    <w:rsid w:val="00AE2B22"/>
    <w:rsid w:val="00AE2BF0"/>
    <w:rsid w:val="00AE2F90"/>
    <w:rsid w:val="00AE322C"/>
    <w:rsid w:val="00AE32AC"/>
    <w:rsid w:val="00AE33D7"/>
    <w:rsid w:val="00AE3406"/>
    <w:rsid w:val="00AE345D"/>
    <w:rsid w:val="00AE396E"/>
    <w:rsid w:val="00AE399F"/>
    <w:rsid w:val="00AE39C8"/>
    <w:rsid w:val="00AE4019"/>
    <w:rsid w:val="00AE4552"/>
    <w:rsid w:val="00AE45F3"/>
    <w:rsid w:val="00AE486B"/>
    <w:rsid w:val="00AE48A0"/>
    <w:rsid w:val="00AE4AB7"/>
    <w:rsid w:val="00AE4E60"/>
    <w:rsid w:val="00AE4EE3"/>
    <w:rsid w:val="00AE5576"/>
    <w:rsid w:val="00AE5975"/>
    <w:rsid w:val="00AE5BF2"/>
    <w:rsid w:val="00AE5EB8"/>
    <w:rsid w:val="00AE62AC"/>
    <w:rsid w:val="00AE6349"/>
    <w:rsid w:val="00AE64E4"/>
    <w:rsid w:val="00AE691A"/>
    <w:rsid w:val="00AE74F8"/>
    <w:rsid w:val="00AE759D"/>
    <w:rsid w:val="00AE75F4"/>
    <w:rsid w:val="00AE785A"/>
    <w:rsid w:val="00AE7E47"/>
    <w:rsid w:val="00AF0007"/>
    <w:rsid w:val="00AF03A4"/>
    <w:rsid w:val="00AF0638"/>
    <w:rsid w:val="00AF06BB"/>
    <w:rsid w:val="00AF07F8"/>
    <w:rsid w:val="00AF0821"/>
    <w:rsid w:val="00AF0979"/>
    <w:rsid w:val="00AF0A09"/>
    <w:rsid w:val="00AF0C06"/>
    <w:rsid w:val="00AF0EBD"/>
    <w:rsid w:val="00AF1328"/>
    <w:rsid w:val="00AF136E"/>
    <w:rsid w:val="00AF13B8"/>
    <w:rsid w:val="00AF1636"/>
    <w:rsid w:val="00AF16FE"/>
    <w:rsid w:val="00AF1765"/>
    <w:rsid w:val="00AF1C13"/>
    <w:rsid w:val="00AF1DF7"/>
    <w:rsid w:val="00AF1E09"/>
    <w:rsid w:val="00AF25B6"/>
    <w:rsid w:val="00AF268E"/>
    <w:rsid w:val="00AF272B"/>
    <w:rsid w:val="00AF2CAB"/>
    <w:rsid w:val="00AF2CD0"/>
    <w:rsid w:val="00AF2EC2"/>
    <w:rsid w:val="00AF2F4A"/>
    <w:rsid w:val="00AF2FAB"/>
    <w:rsid w:val="00AF31F6"/>
    <w:rsid w:val="00AF32BB"/>
    <w:rsid w:val="00AF33BE"/>
    <w:rsid w:val="00AF3402"/>
    <w:rsid w:val="00AF3422"/>
    <w:rsid w:val="00AF34A8"/>
    <w:rsid w:val="00AF3546"/>
    <w:rsid w:val="00AF37AB"/>
    <w:rsid w:val="00AF382E"/>
    <w:rsid w:val="00AF3C2F"/>
    <w:rsid w:val="00AF3D24"/>
    <w:rsid w:val="00AF3E5B"/>
    <w:rsid w:val="00AF4087"/>
    <w:rsid w:val="00AF40D4"/>
    <w:rsid w:val="00AF4155"/>
    <w:rsid w:val="00AF417C"/>
    <w:rsid w:val="00AF4293"/>
    <w:rsid w:val="00AF4686"/>
    <w:rsid w:val="00AF46F8"/>
    <w:rsid w:val="00AF4784"/>
    <w:rsid w:val="00AF4839"/>
    <w:rsid w:val="00AF48E3"/>
    <w:rsid w:val="00AF4B7F"/>
    <w:rsid w:val="00AF506C"/>
    <w:rsid w:val="00AF50F3"/>
    <w:rsid w:val="00AF51A3"/>
    <w:rsid w:val="00AF5422"/>
    <w:rsid w:val="00AF5579"/>
    <w:rsid w:val="00AF587C"/>
    <w:rsid w:val="00AF58EF"/>
    <w:rsid w:val="00AF5DD2"/>
    <w:rsid w:val="00AF5EB0"/>
    <w:rsid w:val="00AF5F63"/>
    <w:rsid w:val="00AF61B5"/>
    <w:rsid w:val="00AF65FC"/>
    <w:rsid w:val="00AF6602"/>
    <w:rsid w:val="00AF66E2"/>
    <w:rsid w:val="00AF6AFD"/>
    <w:rsid w:val="00AF6D6C"/>
    <w:rsid w:val="00AF7109"/>
    <w:rsid w:val="00AF712A"/>
    <w:rsid w:val="00AF7366"/>
    <w:rsid w:val="00AF7913"/>
    <w:rsid w:val="00AF7946"/>
    <w:rsid w:val="00AF7A1A"/>
    <w:rsid w:val="00AF7A30"/>
    <w:rsid w:val="00AF7A88"/>
    <w:rsid w:val="00AF7B61"/>
    <w:rsid w:val="00AF7C4D"/>
    <w:rsid w:val="00AF7E59"/>
    <w:rsid w:val="00AF7F5A"/>
    <w:rsid w:val="00B001CA"/>
    <w:rsid w:val="00B00282"/>
    <w:rsid w:val="00B00547"/>
    <w:rsid w:val="00B006BE"/>
    <w:rsid w:val="00B007F3"/>
    <w:rsid w:val="00B00822"/>
    <w:rsid w:val="00B00D37"/>
    <w:rsid w:val="00B00E03"/>
    <w:rsid w:val="00B0105B"/>
    <w:rsid w:val="00B016FB"/>
    <w:rsid w:val="00B017C7"/>
    <w:rsid w:val="00B017F4"/>
    <w:rsid w:val="00B01B2E"/>
    <w:rsid w:val="00B020A3"/>
    <w:rsid w:val="00B02184"/>
    <w:rsid w:val="00B021E9"/>
    <w:rsid w:val="00B022AD"/>
    <w:rsid w:val="00B02449"/>
    <w:rsid w:val="00B024C4"/>
    <w:rsid w:val="00B025B3"/>
    <w:rsid w:val="00B025DD"/>
    <w:rsid w:val="00B02604"/>
    <w:rsid w:val="00B028D8"/>
    <w:rsid w:val="00B02BCF"/>
    <w:rsid w:val="00B02C9E"/>
    <w:rsid w:val="00B02DA8"/>
    <w:rsid w:val="00B02DD4"/>
    <w:rsid w:val="00B02E37"/>
    <w:rsid w:val="00B0305F"/>
    <w:rsid w:val="00B032E3"/>
    <w:rsid w:val="00B0330D"/>
    <w:rsid w:val="00B033B0"/>
    <w:rsid w:val="00B033DE"/>
    <w:rsid w:val="00B0350D"/>
    <w:rsid w:val="00B03565"/>
    <w:rsid w:val="00B0361E"/>
    <w:rsid w:val="00B036CC"/>
    <w:rsid w:val="00B03864"/>
    <w:rsid w:val="00B0391B"/>
    <w:rsid w:val="00B03961"/>
    <w:rsid w:val="00B03A12"/>
    <w:rsid w:val="00B03C52"/>
    <w:rsid w:val="00B03D16"/>
    <w:rsid w:val="00B03D41"/>
    <w:rsid w:val="00B03D59"/>
    <w:rsid w:val="00B03D83"/>
    <w:rsid w:val="00B03D8B"/>
    <w:rsid w:val="00B03DD6"/>
    <w:rsid w:val="00B04011"/>
    <w:rsid w:val="00B0417A"/>
    <w:rsid w:val="00B0467F"/>
    <w:rsid w:val="00B04892"/>
    <w:rsid w:val="00B04BA1"/>
    <w:rsid w:val="00B04F51"/>
    <w:rsid w:val="00B04FFF"/>
    <w:rsid w:val="00B053C0"/>
    <w:rsid w:val="00B055D6"/>
    <w:rsid w:val="00B057C3"/>
    <w:rsid w:val="00B0591A"/>
    <w:rsid w:val="00B059EA"/>
    <w:rsid w:val="00B05BDE"/>
    <w:rsid w:val="00B05DA8"/>
    <w:rsid w:val="00B0617E"/>
    <w:rsid w:val="00B06268"/>
    <w:rsid w:val="00B062DA"/>
    <w:rsid w:val="00B06351"/>
    <w:rsid w:val="00B0638B"/>
    <w:rsid w:val="00B06888"/>
    <w:rsid w:val="00B06E8D"/>
    <w:rsid w:val="00B06FAA"/>
    <w:rsid w:val="00B07145"/>
    <w:rsid w:val="00B078FA"/>
    <w:rsid w:val="00B07C00"/>
    <w:rsid w:val="00B07C13"/>
    <w:rsid w:val="00B07DD6"/>
    <w:rsid w:val="00B07E8F"/>
    <w:rsid w:val="00B07EAF"/>
    <w:rsid w:val="00B07F12"/>
    <w:rsid w:val="00B103CE"/>
    <w:rsid w:val="00B10696"/>
    <w:rsid w:val="00B107F8"/>
    <w:rsid w:val="00B10A03"/>
    <w:rsid w:val="00B10AAD"/>
    <w:rsid w:val="00B10CDA"/>
    <w:rsid w:val="00B10DA6"/>
    <w:rsid w:val="00B10DD3"/>
    <w:rsid w:val="00B10FBD"/>
    <w:rsid w:val="00B110AD"/>
    <w:rsid w:val="00B1141F"/>
    <w:rsid w:val="00B11609"/>
    <w:rsid w:val="00B1174C"/>
    <w:rsid w:val="00B117D1"/>
    <w:rsid w:val="00B11C3A"/>
    <w:rsid w:val="00B11D04"/>
    <w:rsid w:val="00B11D6D"/>
    <w:rsid w:val="00B11E2C"/>
    <w:rsid w:val="00B11E50"/>
    <w:rsid w:val="00B1206F"/>
    <w:rsid w:val="00B123F7"/>
    <w:rsid w:val="00B12475"/>
    <w:rsid w:val="00B126E9"/>
    <w:rsid w:val="00B127C7"/>
    <w:rsid w:val="00B12CCF"/>
    <w:rsid w:val="00B12F69"/>
    <w:rsid w:val="00B1313D"/>
    <w:rsid w:val="00B13324"/>
    <w:rsid w:val="00B1346F"/>
    <w:rsid w:val="00B134AD"/>
    <w:rsid w:val="00B134B8"/>
    <w:rsid w:val="00B13501"/>
    <w:rsid w:val="00B1369D"/>
    <w:rsid w:val="00B13C9A"/>
    <w:rsid w:val="00B13E75"/>
    <w:rsid w:val="00B141CE"/>
    <w:rsid w:val="00B14379"/>
    <w:rsid w:val="00B14570"/>
    <w:rsid w:val="00B14632"/>
    <w:rsid w:val="00B147E9"/>
    <w:rsid w:val="00B148DD"/>
    <w:rsid w:val="00B14979"/>
    <w:rsid w:val="00B14A58"/>
    <w:rsid w:val="00B14D83"/>
    <w:rsid w:val="00B152E9"/>
    <w:rsid w:val="00B154A6"/>
    <w:rsid w:val="00B15721"/>
    <w:rsid w:val="00B15912"/>
    <w:rsid w:val="00B15AC8"/>
    <w:rsid w:val="00B15E8F"/>
    <w:rsid w:val="00B16110"/>
    <w:rsid w:val="00B162E9"/>
    <w:rsid w:val="00B16404"/>
    <w:rsid w:val="00B169B4"/>
    <w:rsid w:val="00B16DCF"/>
    <w:rsid w:val="00B17446"/>
    <w:rsid w:val="00B1758C"/>
    <w:rsid w:val="00B176DD"/>
    <w:rsid w:val="00B178F5"/>
    <w:rsid w:val="00B1796B"/>
    <w:rsid w:val="00B17A0B"/>
    <w:rsid w:val="00B17B44"/>
    <w:rsid w:val="00B17CCB"/>
    <w:rsid w:val="00B17FFC"/>
    <w:rsid w:val="00B20061"/>
    <w:rsid w:val="00B2042F"/>
    <w:rsid w:val="00B206A9"/>
    <w:rsid w:val="00B2078C"/>
    <w:rsid w:val="00B20AE3"/>
    <w:rsid w:val="00B20AFF"/>
    <w:rsid w:val="00B20B48"/>
    <w:rsid w:val="00B20EB7"/>
    <w:rsid w:val="00B21164"/>
    <w:rsid w:val="00B21213"/>
    <w:rsid w:val="00B214C6"/>
    <w:rsid w:val="00B2150A"/>
    <w:rsid w:val="00B216A5"/>
    <w:rsid w:val="00B21850"/>
    <w:rsid w:val="00B219ED"/>
    <w:rsid w:val="00B2223E"/>
    <w:rsid w:val="00B23168"/>
    <w:rsid w:val="00B231AC"/>
    <w:rsid w:val="00B2350B"/>
    <w:rsid w:val="00B237BD"/>
    <w:rsid w:val="00B23AD1"/>
    <w:rsid w:val="00B23AEA"/>
    <w:rsid w:val="00B23B2D"/>
    <w:rsid w:val="00B23BE0"/>
    <w:rsid w:val="00B23D32"/>
    <w:rsid w:val="00B2440E"/>
    <w:rsid w:val="00B2451E"/>
    <w:rsid w:val="00B246C0"/>
    <w:rsid w:val="00B247BE"/>
    <w:rsid w:val="00B24858"/>
    <w:rsid w:val="00B24C43"/>
    <w:rsid w:val="00B24CE7"/>
    <w:rsid w:val="00B24CEF"/>
    <w:rsid w:val="00B24F45"/>
    <w:rsid w:val="00B25091"/>
    <w:rsid w:val="00B25143"/>
    <w:rsid w:val="00B252C3"/>
    <w:rsid w:val="00B259E5"/>
    <w:rsid w:val="00B26082"/>
    <w:rsid w:val="00B26195"/>
    <w:rsid w:val="00B26678"/>
    <w:rsid w:val="00B266E3"/>
    <w:rsid w:val="00B26CA9"/>
    <w:rsid w:val="00B26CD4"/>
    <w:rsid w:val="00B26FCA"/>
    <w:rsid w:val="00B270BD"/>
    <w:rsid w:val="00B27431"/>
    <w:rsid w:val="00B27512"/>
    <w:rsid w:val="00B27862"/>
    <w:rsid w:val="00B27D15"/>
    <w:rsid w:val="00B27DE7"/>
    <w:rsid w:val="00B27EB0"/>
    <w:rsid w:val="00B302AE"/>
    <w:rsid w:val="00B302EE"/>
    <w:rsid w:val="00B303BD"/>
    <w:rsid w:val="00B3048C"/>
    <w:rsid w:val="00B304C8"/>
    <w:rsid w:val="00B3084D"/>
    <w:rsid w:val="00B3090A"/>
    <w:rsid w:val="00B30D9A"/>
    <w:rsid w:val="00B30DD6"/>
    <w:rsid w:val="00B30F87"/>
    <w:rsid w:val="00B3140F"/>
    <w:rsid w:val="00B315FE"/>
    <w:rsid w:val="00B3160C"/>
    <w:rsid w:val="00B3161D"/>
    <w:rsid w:val="00B31634"/>
    <w:rsid w:val="00B31761"/>
    <w:rsid w:val="00B318F1"/>
    <w:rsid w:val="00B31A27"/>
    <w:rsid w:val="00B31D3D"/>
    <w:rsid w:val="00B31FF8"/>
    <w:rsid w:val="00B321D6"/>
    <w:rsid w:val="00B322D9"/>
    <w:rsid w:val="00B32409"/>
    <w:rsid w:val="00B32727"/>
    <w:rsid w:val="00B32816"/>
    <w:rsid w:val="00B328F1"/>
    <w:rsid w:val="00B32CFF"/>
    <w:rsid w:val="00B331B3"/>
    <w:rsid w:val="00B335CA"/>
    <w:rsid w:val="00B33A09"/>
    <w:rsid w:val="00B33AD1"/>
    <w:rsid w:val="00B33DDD"/>
    <w:rsid w:val="00B33F7A"/>
    <w:rsid w:val="00B3410D"/>
    <w:rsid w:val="00B34C55"/>
    <w:rsid w:val="00B34D62"/>
    <w:rsid w:val="00B3506E"/>
    <w:rsid w:val="00B35089"/>
    <w:rsid w:val="00B350B6"/>
    <w:rsid w:val="00B35133"/>
    <w:rsid w:val="00B35143"/>
    <w:rsid w:val="00B3517E"/>
    <w:rsid w:val="00B353EE"/>
    <w:rsid w:val="00B35548"/>
    <w:rsid w:val="00B35556"/>
    <w:rsid w:val="00B355F6"/>
    <w:rsid w:val="00B35668"/>
    <w:rsid w:val="00B35710"/>
    <w:rsid w:val="00B3583B"/>
    <w:rsid w:val="00B35952"/>
    <w:rsid w:val="00B35A2E"/>
    <w:rsid w:val="00B35C5B"/>
    <w:rsid w:val="00B35D69"/>
    <w:rsid w:val="00B36064"/>
    <w:rsid w:val="00B36486"/>
    <w:rsid w:val="00B3663B"/>
    <w:rsid w:val="00B36869"/>
    <w:rsid w:val="00B3687F"/>
    <w:rsid w:val="00B3695A"/>
    <w:rsid w:val="00B36B69"/>
    <w:rsid w:val="00B36B70"/>
    <w:rsid w:val="00B36E2D"/>
    <w:rsid w:val="00B36E7E"/>
    <w:rsid w:val="00B37083"/>
    <w:rsid w:val="00B370FE"/>
    <w:rsid w:val="00B372C0"/>
    <w:rsid w:val="00B37307"/>
    <w:rsid w:val="00B3736E"/>
    <w:rsid w:val="00B37481"/>
    <w:rsid w:val="00B37629"/>
    <w:rsid w:val="00B379DF"/>
    <w:rsid w:val="00B37A8F"/>
    <w:rsid w:val="00B37CF6"/>
    <w:rsid w:val="00B37FAC"/>
    <w:rsid w:val="00B401DE"/>
    <w:rsid w:val="00B40238"/>
    <w:rsid w:val="00B403F0"/>
    <w:rsid w:val="00B407C5"/>
    <w:rsid w:val="00B40FC6"/>
    <w:rsid w:val="00B41000"/>
    <w:rsid w:val="00B4126F"/>
    <w:rsid w:val="00B416EF"/>
    <w:rsid w:val="00B41A05"/>
    <w:rsid w:val="00B41AB4"/>
    <w:rsid w:val="00B41B04"/>
    <w:rsid w:val="00B41B9C"/>
    <w:rsid w:val="00B41E17"/>
    <w:rsid w:val="00B424B0"/>
    <w:rsid w:val="00B425FC"/>
    <w:rsid w:val="00B42A2A"/>
    <w:rsid w:val="00B42AF2"/>
    <w:rsid w:val="00B42BEF"/>
    <w:rsid w:val="00B42DE0"/>
    <w:rsid w:val="00B43067"/>
    <w:rsid w:val="00B43624"/>
    <w:rsid w:val="00B436C3"/>
    <w:rsid w:val="00B43726"/>
    <w:rsid w:val="00B43A05"/>
    <w:rsid w:val="00B43CE0"/>
    <w:rsid w:val="00B43D69"/>
    <w:rsid w:val="00B43ED1"/>
    <w:rsid w:val="00B43F58"/>
    <w:rsid w:val="00B44053"/>
    <w:rsid w:val="00B442C4"/>
    <w:rsid w:val="00B447B4"/>
    <w:rsid w:val="00B4489E"/>
    <w:rsid w:val="00B44A19"/>
    <w:rsid w:val="00B44A66"/>
    <w:rsid w:val="00B44D35"/>
    <w:rsid w:val="00B44D43"/>
    <w:rsid w:val="00B44EF8"/>
    <w:rsid w:val="00B44F40"/>
    <w:rsid w:val="00B44F60"/>
    <w:rsid w:val="00B4540D"/>
    <w:rsid w:val="00B454F2"/>
    <w:rsid w:val="00B45882"/>
    <w:rsid w:val="00B45BF6"/>
    <w:rsid w:val="00B45DD0"/>
    <w:rsid w:val="00B460F1"/>
    <w:rsid w:val="00B46624"/>
    <w:rsid w:val="00B4667E"/>
    <w:rsid w:val="00B46829"/>
    <w:rsid w:val="00B46C47"/>
    <w:rsid w:val="00B46CA6"/>
    <w:rsid w:val="00B46FD1"/>
    <w:rsid w:val="00B47002"/>
    <w:rsid w:val="00B472C1"/>
    <w:rsid w:val="00B4750A"/>
    <w:rsid w:val="00B47977"/>
    <w:rsid w:val="00B47D67"/>
    <w:rsid w:val="00B47D97"/>
    <w:rsid w:val="00B47FE6"/>
    <w:rsid w:val="00B50032"/>
    <w:rsid w:val="00B500B7"/>
    <w:rsid w:val="00B503B2"/>
    <w:rsid w:val="00B506B2"/>
    <w:rsid w:val="00B506DA"/>
    <w:rsid w:val="00B5073A"/>
    <w:rsid w:val="00B50C6B"/>
    <w:rsid w:val="00B50CE6"/>
    <w:rsid w:val="00B51041"/>
    <w:rsid w:val="00B51396"/>
    <w:rsid w:val="00B513C0"/>
    <w:rsid w:val="00B51562"/>
    <w:rsid w:val="00B51635"/>
    <w:rsid w:val="00B51676"/>
    <w:rsid w:val="00B5193C"/>
    <w:rsid w:val="00B522C7"/>
    <w:rsid w:val="00B524C4"/>
    <w:rsid w:val="00B5266D"/>
    <w:rsid w:val="00B5271B"/>
    <w:rsid w:val="00B528DA"/>
    <w:rsid w:val="00B52C35"/>
    <w:rsid w:val="00B52D77"/>
    <w:rsid w:val="00B52F7A"/>
    <w:rsid w:val="00B53040"/>
    <w:rsid w:val="00B532E5"/>
    <w:rsid w:val="00B533AC"/>
    <w:rsid w:val="00B538CA"/>
    <w:rsid w:val="00B53949"/>
    <w:rsid w:val="00B53A49"/>
    <w:rsid w:val="00B53A4D"/>
    <w:rsid w:val="00B53C5F"/>
    <w:rsid w:val="00B53DC8"/>
    <w:rsid w:val="00B53F01"/>
    <w:rsid w:val="00B53F2F"/>
    <w:rsid w:val="00B5401A"/>
    <w:rsid w:val="00B5490D"/>
    <w:rsid w:val="00B54C34"/>
    <w:rsid w:val="00B54D04"/>
    <w:rsid w:val="00B54E51"/>
    <w:rsid w:val="00B54E94"/>
    <w:rsid w:val="00B5517E"/>
    <w:rsid w:val="00B554A1"/>
    <w:rsid w:val="00B55822"/>
    <w:rsid w:val="00B55B04"/>
    <w:rsid w:val="00B55C50"/>
    <w:rsid w:val="00B55DFA"/>
    <w:rsid w:val="00B561DA"/>
    <w:rsid w:val="00B56233"/>
    <w:rsid w:val="00B5652E"/>
    <w:rsid w:val="00B5694D"/>
    <w:rsid w:val="00B569D7"/>
    <w:rsid w:val="00B56A18"/>
    <w:rsid w:val="00B56A76"/>
    <w:rsid w:val="00B56CD1"/>
    <w:rsid w:val="00B56D41"/>
    <w:rsid w:val="00B5705A"/>
    <w:rsid w:val="00B5708C"/>
    <w:rsid w:val="00B57544"/>
    <w:rsid w:val="00B5767C"/>
    <w:rsid w:val="00B5776A"/>
    <w:rsid w:val="00B5791E"/>
    <w:rsid w:val="00B57930"/>
    <w:rsid w:val="00B57A4A"/>
    <w:rsid w:val="00B57ADA"/>
    <w:rsid w:val="00B6001B"/>
    <w:rsid w:val="00B60393"/>
    <w:rsid w:val="00B606D1"/>
    <w:rsid w:val="00B60710"/>
    <w:rsid w:val="00B60813"/>
    <w:rsid w:val="00B60882"/>
    <w:rsid w:val="00B608A9"/>
    <w:rsid w:val="00B6093A"/>
    <w:rsid w:val="00B609C8"/>
    <w:rsid w:val="00B60CC9"/>
    <w:rsid w:val="00B60D0A"/>
    <w:rsid w:val="00B60E64"/>
    <w:rsid w:val="00B60E7B"/>
    <w:rsid w:val="00B60EDC"/>
    <w:rsid w:val="00B6106B"/>
    <w:rsid w:val="00B613B6"/>
    <w:rsid w:val="00B61F3C"/>
    <w:rsid w:val="00B6227A"/>
    <w:rsid w:val="00B6251C"/>
    <w:rsid w:val="00B62ABC"/>
    <w:rsid w:val="00B62B04"/>
    <w:rsid w:val="00B62BA7"/>
    <w:rsid w:val="00B62CCA"/>
    <w:rsid w:val="00B62EA9"/>
    <w:rsid w:val="00B62EEF"/>
    <w:rsid w:val="00B6374C"/>
    <w:rsid w:val="00B63877"/>
    <w:rsid w:val="00B63A3F"/>
    <w:rsid w:val="00B63BC4"/>
    <w:rsid w:val="00B63C18"/>
    <w:rsid w:val="00B63CE5"/>
    <w:rsid w:val="00B63D0B"/>
    <w:rsid w:val="00B64069"/>
    <w:rsid w:val="00B6412F"/>
    <w:rsid w:val="00B6416A"/>
    <w:rsid w:val="00B64179"/>
    <w:rsid w:val="00B6481A"/>
    <w:rsid w:val="00B64BDF"/>
    <w:rsid w:val="00B64DB9"/>
    <w:rsid w:val="00B64DD0"/>
    <w:rsid w:val="00B64F98"/>
    <w:rsid w:val="00B6530F"/>
    <w:rsid w:val="00B65347"/>
    <w:rsid w:val="00B655F4"/>
    <w:rsid w:val="00B658BD"/>
    <w:rsid w:val="00B65D7F"/>
    <w:rsid w:val="00B65DE1"/>
    <w:rsid w:val="00B65E6B"/>
    <w:rsid w:val="00B66150"/>
    <w:rsid w:val="00B66595"/>
    <w:rsid w:val="00B66993"/>
    <w:rsid w:val="00B669BF"/>
    <w:rsid w:val="00B66A3E"/>
    <w:rsid w:val="00B66C47"/>
    <w:rsid w:val="00B66CC0"/>
    <w:rsid w:val="00B66DC3"/>
    <w:rsid w:val="00B67036"/>
    <w:rsid w:val="00B6764E"/>
    <w:rsid w:val="00B676F6"/>
    <w:rsid w:val="00B6772B"/>
    <w:rsid w:val="00B67743"/>
    <w:rsid w:val="00B677D1"/>
    <w:rsid w:val="00B677FF"/>
    <w:rsid w:val="00B67807"/>
    <w:rsid w:val="00B67B1D"/>
    <w:rsid w:val="00B70075"/>
    <w:rsid w:val="00B70166"/>
    <w:rsid w:val="00B702BC"/>
    <w:rsid w:val="00B702DB"/>
    <w:rsid w:val="00B7032E"/>
    <w:rsid w:val="00B70AE1"/>
    <w:rsid w:val="00B70B42"/>
    <w:rsid w:val="00B70CDA"/>
    <w:rsid w:val="00B70DD9"/>
    <w:rsid w:val="00B70F9E"/>
    <w:rsid w:val="00B712FB"/>
    <w:rsid w:val="00B71349"/>
    <w:rsid w:val="00B7145A"/>
    <w:rsid w:val="00B714EF"/>
    <w:rsid w:val="00B71AA9"/>
    <w:rsid w:val="00B71BBB"/>
    <w:rsid w:val="00B71E09"/>
    <w:rsid w:val="00B71E64"/>
    <w:rsid w:val="00B720BF"/>
    <w:rsid w:val="00B7248C"/>
    <w:rsid w:val="00B724A5"/>
    <w:rsid w:val="00B72AF0"/>
    <w:rsid w:val="00B72C1A"/>
    <w:rsid w:val="00B73002"/>
    <w:rsid w:val="00B731B4"/>
    <w:rsid w:val="00B734D3"/>
    <w:rsid w:val="00B737EB"/>
    <w:rsid w:val="00B7380B"/>
    <w:rsid w:val="00B73A9E"/>
    <w:rsid w:val="00B73E62"/>
    <w:rsid w:val="00B73E6A"/>
    <w:rsid w:val="00B742E9"/>
    <w:rsid w:val="00B7433F"/>
    <w:rsid w:val="00B7471D"/>
    <w:rsid w:val="00B74778"/>
    <w:rsid w:val="00B748CB"/>
    <w:rsid w:val="00B74C76"/>
    <w:rsid w:val="00B74D54"/>
    <w:rsid w:val="00B74E2C"/>
    <w:rsid w:val="00B75063"/>
    <w:rsid w:val="00B7525E"/>
    <w:rsid w:val="00B75546"/>
    <w:rsid w:val="00B75981"/>
    <w:rsid w:val="00B759F9"/>
    <w:rsid w:val="00B75BAC"/>
    <w:rsid w:val="00B75CAB"/>
    <w:rsid w:val="00B75E61"/>
    <w:rsid w:val="00B76119"/>
    <w:rsid w:val="00B76184"/>
    <w:rsid w:val="00B761C7"/>
    <w:rsid w:val="00B766E8"/>
    <w:rsid w:val="00B7670C"/>
    <w:rsid w:val="00B7712C"/>
    <w:rsid w:val="00B7716E"/>
    <w:rsid w:val="00B771D3"/>
    <w:rsid w:val="00B77596"/>
    <w:rsid w:val="00B775EE"/>
    <w:rsid w:val="00B776F6"/>
    <w:rsid w:val="00B77B46"/>
    <w:rsid w:val="00B77D21"/>
    <w:rsid w:val="00B800E6"/>
    <w:rsid w:val="00B80219"/>
    <w:rsid w:val="00B8022D"/>
    <w:rsid w:val="00B80408"/>
    <w:rsid w:val="00B80778"/>
    <w:rsid w:val="00B80848"/>
    <w:rsid w:val="00B80B5B"/>
    <w:rsid w:val="00B80BDF"/>
    <w:rsid w:val="00B80C3A"/>
    <w:rsid w:val="00B80CB0"/>
    <w:rsid w:val="00B80E63"/>
    <w:rsid w:val="00B80F43"/>
    <w:rsid w:val="00B80FAE"/>
    <w:rsid w:val="00B810E3"/>
    <w:rsid w:val="00B81287"/>
    <w:rsid w:val="00B81316"/>
    <w:rsid w:val="00B81518"/>
    <w:rsid w:val="00B815EB"/>
    <w:rsid w:val="00B816BD"/>
    <w:rsid w:val="00B81715"/>
    <w:rsid w:val="00B81773"/>
    <w:rsid w:val="00B81959"/>
    <w:rsid w:val="00B81B3D"/>
    <w:rsid w:val="00B81FBD"/>
    <w:rsid w:val="00B81FF3"/>
    <w:rsid w:val="00B82360"/>
    <w:rsid w:val="00B8272B"/>
    <w:rsid w:val="00B8298D"/>
    <w:rsid w:val="00B82C0A"/>
    <w:rsid w:val="00B82CB6"/>
    <w:rsid w:val="00B82E0E"/>
    <w:rsid w:val="00B835B8"/>
    <w:rsid w:val="00B8386B"/>
    <w:rsid w:val="00B83B1D"/>
    <w:rsid w:val="00B83B70"/>
    <w:rsid w:val="00B83C0A"/>
    <w:rsid w:val="00B83F78"/>
    <w:rsid w:val="00B84140"/>
    <w:rsid w:val="00B84986"/>
    <w:rsid w:val="00B84A8A"/>
    <w:rsid w:val="00B84E5F"/>
    <w:rsid w:val="00B852FD"/>
    <w:rsid w:val="00B854D9"/>
    <w:rsid w:val="00B85512"/>
    <w:rsid w:val="00B858A3"/>
    <w:rsid w:val="00B85B38"/>
    <w:rsid w:val="00B85FDE"/>
    <w:rsid w:val="00B86188"/>
    <w:rsid w:val="00B8651A"/>
    <w:rsid w:val="00B865DF"/>
    <w:rsid w:val="00B865E9"/>
    <w:rsid w:val="00B86728"/>
    <w:rsid w:val="00B86AF6"/>
    <w:rsid w:val="00B86E08"/>
    <w:rsid w:val="00B86FD1"/>
    <w:rsid w:val="00B8713F"/>
    <w:rsid w:val="00B8714A"/>
    <w:rsid w:val="00B8722E"/>
    <w:rsid w:val="00B87299"/>
    <w:rsid w:val="00B8729F"/>
    <w:rsid w:val="00B87342"/>
    <w:rsid w:val="00B87457"/>
    <w:rsid w:val="00B87574"/>
    <w:rsid w:val="00B875C9"/>
    <w:rsid w:val="00B87609"/>
    <w:rsid w:val="00B87630"/>
    <w:rsid w:val="00B87927"/>
    <w:rsid w:val="00B879FC"/>
    <w:rsid w:val="00B87D69"/>
    <w:rsid w:val="00B9003D"/>
    <w:rsid w:val="00B903F4"/>
    <w:rsid w:val="00B90431"/>
    <w:rsid w:val="00B90779"/>
    <w:rsid w:val="00B90784"/>
    <w:rsid w:val="00B9080E"/>
    <w:rsid w:val="00B909C1"/>
    <w:rsid w:val="00B90EE1"/>
    <w:rsid w:val="00B910AA"/>
    <w:rsid w:val="00B91285"/>
    <w:rsid w:val="00B9182B"/>
    <w:rsid w:val="00B9198B"/>
    <w:rsid w:val="00B91BCF"/>
    <w:rsid w:val="00B91DBC"/>
    <w:rsid w:val="00B91E7F"/>
    <w:rsid w:val="00B91EA9"/>
    <w:rsid w:val="00B92074"/>
    <w:rsid w:val="00B92102"/>
    <w:rsid w:val="00B92190"/>
    <w:rsid w:val="00B925E7"/>
    <w:rsid w:val="00B9279E"/>
    <w:rsid w:val="00B9291D"/>
    <w:rsid w:val="00B92B72"/>
    <w:rsid w:val="00B931A1"/>
    <w:rsid w:val="00B931A7"/>
    <w:rsid w:val="00B93465"/>
    <w:rsid w:val="00B93468"/>
    <w:rsid w:val="00B934DA"/>
    <w:rsid w:val="00B93B83"/>
    <w:rsid w:val="00B93B97"/>
    <w:rsid w:val="00B93DA8"/>
    <w:rsid w:val="00B9402A"/>
    <w:rsid w:val="00B94207"/>
    <w:rsid w:val="00B942F1"/>
    <w:rsid w:val="00B947B9"/>
    <w:rsid w:val="00B94895"/>
    <w:rsid w:val="00B94C6C"/>
    <w:rsid w:val="00B94EC1"/>
    <w:rsid w:val="00B954F5"/>
    <w:rsid w:val="00B9550C"/>
    <w:rsid w:val="00B95E64"/>
    <w:rsid w:val="00B95F03"/>
    <w:rsid w:val="00B95FB9"/>
    <w:rsid w:val="00B96344"/>
    <w:rsid w:val="00B96435"/>
    <w:rsid w:val="00B96475"/>
    <w:rsid w:val="00B96778"/>
    <w:rsid w:val="00B967F1"/>
    <w:rsid w:val="00B96BF4"/>
    <w:rsid w:val="00B96D20"/>
    <w:rsid w:val="00B97057"/>
    <w:rsid w:val="00B9709D"/>
    <w:rsid w:val="00B9718B"/>
    <w:rsid w:val="00B97367"/>
    <w:rsid w:val="00B975BD"/>
    <w:rsid w:val="00B97727"/>
    <w:rsid w:val="00B9772D"/>
    <w:rsid w:val="00BA0171"/>
    <w:rsid w:val="00BA0926"/>
    <w:rsid w:val="00BA0BB6"/>
    <w:rsid w:val="00BA0C24"/>
    <w:rsid w:val="00BA0DFD"/>
    <w:rsid w:val="00BA1054"/>
    <w:rsid w:val="00BA1473"/>
    <w:rsid w:val="00BA14AB"/>
    <w:rsid w:val="00BA1798"/>
    <w:rsid w:val="00BA19EE"/>
    <w:rsid w:val="00BA1BD6"/>
    <w:rsid w:val="00BA22CA"/>
    <w:rsid w:val="00BA22F6"/>
    <w:rsid w:val="00BA27E5"/>
    <w:rsid w:val="00BA290C"/>
    <w:rsid w:val="00BA295D"/>
    <w:rsid w:val="00BA2B1E"/>
    <w:rsid w:val="00BA2BAC"/>
    <w:rsid w:val="00BA2C59"/>
    <w:rsid w:val="00BA2F21"/>
    <w:rsid w:val="00BA3041"/>
    <w:rsid w:val="00BA3094"/>
    <w:rsid w:val="00BA31EB"/>
    <w:rsid w:val="00BA32D4"/>
    <w:rsid w:val="00BA3820"/>
    <w:rsid w:val="00BA3B0A"/>
    <w:rsid w:val="00BA3EB3"/>
    <w:rsid w:val="00BA3F38"/>
    <w:rsid w:val="00BA4013"/>
    <w:rsid w:val="00BA41D1"/>
    <w:rsid w:val="00BA421A"/>
    <w:rsid w:val="00BA4355"/>
    <w:rsid w:val="00BA45A0"/>
    <w:rsid w:val="00BA4690"/>
    <w:rsid w:val="00BA4760"/>
    <w:rsid w:val="00BA49C6"/>
    <w:rsid w:val="00BA4B71"/>
    <w:rsid w:val="00BA4D58"/>
    <w:rsid w:val="00BA4DC3"/>
    <w:rsid w:val="00BA5254"/>
    <w:rsid w:val="00BA5272"/>
    <w:rsid w:val="00BA566F"/>
    <w:rsid w:val="00BA573A"/>
    <w:rsid w:val="00BA5B5A"/>
    <w:rsid w:val="00BA5C79"/>
    <w:rsid w:val="00BA5CCF"/>
    <w:rsid w:val="00BA5D12"/>
    <w:rsid w:val="00BA6073"/>
    <w:rsid w:val="00BA61F5"/>
    <w:rsid w:val="00BA683E"/>
    <w:rsid w:val="00BA68A1"/>
    <w:rsid w:val="00BA69A7"/>
    <w:rsid w:val="00BA6E4B"/>
    <w:rsid w:val="00BA6F78"/>
    <w:rsid w:val="00BA7653"/>
    <w:rsid w:val="00BA772F"/>
    <w:rsid w:val="00BA78CC"/>
    <w:rsid w:val="00BA7B27"/>
    <w:rsid w:val="00BA7B29"/>
    <w:rsid w:val="00BA7CDA"/>
    <w:rsid w:val="00BA7D44"/>
    <w:rsid w:val="00BA7F4A"/>
    <w:rsid w:val="00BB00F3"/>
    <w:rsid w:val="00BB0163"/>
    <w:rsid w:val="00BB01DB"/>
    <w:rsid w:val="00BB07E3"/>
    <w:rsid w:val="00BB07F8"/>
    <w:rsid w:val="00BB09A7"/>
    <w:rsid w:val="00BB09B8"/>
    <w:rsid w:val="00BB0BE4"/>
    <w:rsid w:val="00BB0CE9"/>
    <w:rsid w:val="00BB0CED"/>
    <w:rsid w:val="00BB111D"/>
    <w:rsid w:val="00BB13C1"/>
    <w:rsid w:val="00BB1645"/>
    <w:rsid w:val="00BB1776"/>
    <w:rsid w:val="00BB1A83"/>
    <w:rsid w:val="00BB1AFE"/>
    <w:rsid w:val="00BB1B7A"/>
    <w:rsid w:val="00BB1C47"/>
    <w:rsid w:val="00BB1CC1"/>
    <w:rsid w:val="00BB2054"/>
    <w:rsid w:val="00BB21F0"/>
    <w:rsid w:val="00BB239E"/>
    <w:rsid w:val="00BB249E"/>
    <w:rsid w:val="00BB24C9"/>
    <w:rsid w:val="00BB264E"/>
    <w:rsid w:val="00BB2AAF"/>
    <w:rsid w:val="00BB2B2C"/>
    <w:rsid w:val="00BB2C6B"/>
    <w:rsid w:val="00BB2E75"/>
    <w:rsid w:val="00BB2EE2"/>
    <w:rsid w:val="00BB2FA6"/>
    <w:rsid w:val="00BB31CB"/>
    <w:rsid w:val="00BB3514"/>
    <w:rsid w:val="00BB3528"/>
    <w:rsid w:val="00BB360B"/>
    <w:rsid w:val="00BB38E3"/>
    <w:rsid w:val="00BB3A65"/>
    <w:rsid w:val="00BB3A6D"/>
    <w:rsid w:val="00BB3AC9"/>
    <w:rsid w:val="00BB40F4"/>
    <w:rsid w:val="00BB425C"/>
    <w:rsid w:val="00BB42FB"/>
    <w:rsid w:val="00BB43DF"/>
    <w:rsid w:val="00BB44E4"/>
    <w:rsid w:val="00BB4781"/>
    <w:rsid w:val="00BB4A0E"/>
    <w:rsid w:val="00BB4C6A"/>
    <w:rsid w:val="00BB50FD"/>
    <w:rsid w:val="00BB5380"/>
    <w:rsid w:val="00BB53DF"/>
    <w:rsid w:val="00BB5495"/>
    <w:rsid w:val="00BB55AA"/>
    <w:rsid w:val="00BB58E0"/>
    <w:rsid w:val="00BB5950"/>
    <w:rsid w:val="00BB5E17"/>
    <w:rsid w:val="00BB6040"/>
    <w:rsid w:val="00BB60F4"/>
    <w:rsid w:val="00BB6594"/>
    <w:rsid w:val="00BB68ED"/>
    <w:rsid w:val="00BB6960"/>
    <w:rsid w:val="00BB6A71"/>
    <w:rsid w:val="00BB6A89"/>
    <w:rsid w:val="00BB6E54"/>
    <w:rsid w:val="00BB7101"/>
    <w:rsid w:val="00BB77D7"/>
    <w:rsid w:val="00BB790D"/>
    <w:rsid w:val="00BB798E"/>
    <w:rsid w:val="00BB7A71"/>
    <w:rsid w:val="00BB7CA9"/>
    <w:rsid w:val="00BB7D7A"/>
    <w:rsid w:val="00BB7EED"/>
    <w:rsid w:val="00BC009D"/>
    <w:rsid w:val="00BC02B7"/>
    <w:rsid w:val="00BC0653"/>
    <w:rsid w:val="00BC0716"/>
    <w:rsid w:val="00BC0D41"/>
    <w:rsid w:val="00BC0EA6"/>
    <w:rsid w:val="00BC113B"/>
    <w:rsid w:val="00BC118C"/>
    <w:rsid w:val="00BC1197"/>
    <w:rsid w:val="00BC1225"/>
    <w:rsid w:val="00BC13FF"/>
    <w:rsid w:val="00BC1534"/>
    <w:rsid w:val="00BC16A4"/>
    <w:rsid w:val="00BC16E8"/>
    <w:rsid w:val="00BC1E81"/>
    <w:rsid w:val="00BC20C8"/>
    <w:rsid w:val="00BC2451"/>
    <w:rsid w:val="00BC25A2"/>
    <w:rsid w:val="00BC2614"/>
    <w:rsid w:val="00BC267F"/>
    <w:rsid w:val="00BC2859"/>
    <w:rsid w:val="00BC2C4F"/>
    <w:rsid w:val="00BC2E25"/>
    <w:rsid w:val="00BC2F0F"/>
    <w:rsid w:val="00BC3060"/>
    <w:rsid w:val="00BC322B"/>
    <w:rsid w:val="00BC36E1"/>
    <w:rsid w:val="00BC371B"/>
    <w:rsid w:val="00BC3A31"/>
    <w:rsid w:val="00BC3EC6"/>
    <w:rsid w:val="00BC3FC0"/>
    <w:rsid w:val="00BC42B7"/>
    <w:rsid w:val="00BC4546"/>
    <w:rsid w:val="00BC4896"/>
    <w:rsid w:val="00BC4980"/>
    <w:rsid w:val="00BC4C5E"/>
    <w:rsid w:val="00BC4F9E"/>
    <w:rsid w:val="00BC5343"/>
    <w:rsid w:val="00BC5759"/>
    <w:rsid w:val="00BC592E"/>
    <w:rsid w:val="00BC5C1B"/>
    <w:rsid w:val="00BC5CB9"/>
    <w:rsid w:val="00BC5CE9"/>
    <w:rsid w:val="00BC6293"/>
    <w:rsid w:val="00BC6631"/>
    <w:rsid w:val="00BC6E69"/>
    <w:rsid w:val="00BC7045"/>
    <w:rsid w:val="00BC71A6"/>
    <w:rsid w:val="00BC743D"/>
    <w:rsid w:val="00BC770C"/>
    <w:rsid w:val="00BC7752"/>
    <w:rsid w:val="00BD00D0"/>
    <w:rsid w:val="00BD0104"/>
    <w:rsid w:val="00BD0166"/>
    <w:rsid w:val="00BD050F"/>
    <w:rsid w:val="00BD0585"/>
    <w:rsid w:val="00BD079B"/>
    <w:rsid w:val="00BD09AE"/>
    <w:rsid w:val="00BD0CCD"/>
    <w:rsid w:val="00BD0D1B"/>
    <w:rsid w:val="00BD1240"/>
    <w:rsid w:val="00BD1677"/>
    <w:rsid w:val="00BD16BE"/>
    <w:rsid w:val="00BD184F"/>
    <w:rsid w:val="00BD18B3"/>
    <w:rsid w:val="00BD1A8B"/>
    <w:rsid w:val="00BD1AED"/>
    <w:rsid w:val="00BD23FB"/>
    <w:rsid w:val="00BD2512"/>
    <w:rsid w:val="00BD2614"/>
    <w:rsid w:val="00BD26AA"/>
    <w:rsid w:val="00BD286E"/>
    <w:rsid w:val="00BD2914"/>
    <w:rsid w:val="00BD2A00"/>
    <w:rsid w:val="00BD2B12"/>
    <w:rsid w:val="00BD2E92"/>
    <w:rsid w:val="00BD2EC9"/>
    <w:rsid w:val="00BD3031"/>
    <w:rsid w:val="00BD31F7"/>
    <w:rsid w:val="00BD33E2"/>
    <w:rsid w:val="00BD344B"/>
    <w:rsid w:val="00BD353A"/>
    <w:rsid w:val="00BD358F"/>
    <w:rsid w:val="00BD3886"/>
    <w:rsid w:val="00BD3BA3"/>
    <w:rsid w:val="00BD3C06"/>
    <w:rsid w:val="00BD3D0B"/>
    <w:rsid w:val="00BD3FAB"/>
    <w:rsid w:val="00BD431C"/>
    <w:rsid w:val="00BD454F"/>
    <w:rsid w:val="00BD4A6B"/>
    <w:rsid w:val="00BD4B2C"/>
    <w:rsid w:val="00BD4ECF"/>
    <w:rsid w:val="00BD4F57"/>
    <w:rsid w:val="00BD50E1"/>
    <w:rsid w:val="00BD52EB"/>
    <w:rsid w:val="00BD599F"/>
    <w:rsid w:val="00BD5A9F"/>
    <w:rsid w:val="00BD658A"/>
    <w:rsid w:val="00BD66A2"/>
    <w:rsid w:val="00BD67CD"/>
    <w:rsid w:val="00BD6988"/>
    <w:rsid w:val="00BD6CBB"/>
    <w:rsid w:val="00BD6F5C"/>
    <w:rsid w:val="00BD70DD"/>
    <w:rsid w:val="00BD7170"/>
    <w:rsid w:val="00BD71B3"/>
    <w:rsid w:val="00BD72F0"/>
    <w:rsid w:val="00BD76EE"/>
    <w:rsid w:val="00BD7709"/>
    <w:rsid w:val="00BD7A77"/>
    <w:rsid w:val="00BD7AD4"/>
    <w:rsid w:val="00BD7B56"/>
    <w:rsid w:val="00BD7B9A"/>
    <w:rsid w:val="00BD7DFD"/>
    <w:rsid w:val="00BD7EF8"/>
    <w:rsid w:val="00BD7EFD"/>
    <w:rsid w:val="00BD7FFE"/>
    <w:rsid w:val="00BE0392"/>
    <w:rsid w:val="00BE0689"/>
    <w:rsid w:val="00BE07BC"/>
    <w:rsid w:val="00BE07F2"/>
    <w:rsid w:val="00BE0C56"/>
    <w:rsid w:val="00BE1623"/>
    <w:rsid w:val="00BE167A"/>
    <w:rsid w:val="00BE1864"/>
    <w:rsid w:val="00BE2198"/>
    <w:rsid w:val="00BE21AC"/>
    <w:rsid w:val="00BE2494"/>
    <w:rsid w:val="00BE2506"/>
    <w:rsid w:val="00BE2853"/>
    <w:rsid w:val="00BE2AF1"/>
    <w:rsid w:val="00BE2B0F"/>
    <w:rsid w:val="00BE2B3A"/>
    <w:rsid w:val="00BE2E51"/>
    <w:rsid w:val="00BE2FF2"/>
    <w:rsid w:val="00BE314E"/>
    <w:rsid w:val="00BE3359"/>
    <w:rsid w:val="00BE351F"/>
    <w:rsid w:val="00BE357F"/>
    <w:rsid w:val="00BE3728"/>
    <w:rsid w:val="00BE377B"/>
    <w:rsid w:val="00BE3896"/>
    <w:rsid w:val="00BE38BF"/>
    <w:rsid w:val="00BE3916"/>
    <w:rsid w:val="00BE3AA4"/>
    <w:rsid w:val="00BE3C9E"/>
    <w:rsid w:val="00BE43E7"/>
    <w:rsid w:val="00BE4797"/>
    <w:rsid w:val="00BE490E"/>
    <w:rsid w:val="00BE4AB3"/>
    <w:rsid w:val="00BE4B31"/>
    <w:rsid w:val="00BE4C49"/>
    <w:rsid w:val="00BE4CC1"/>
    <w:rsid w:val="00BE502C"/>
    <w:rsid w:val="00BE502E"/>
    <w:rsid w:val="00BE5038"/>
    <w:rsid w:val="00BE5282"/>
    <w:rsid w:val="00BE5580"/>
    <w:rsid w:val="00BE566C"/>
    <w:rsid w:val="00BE5686"/>
    <w:rsid w:val="00BE57E7"/>
    <w:rsid w:val="00BE59FD"/>
    <w:rsid w:val="00BE5B1D"/>
    <w:rsid w:val="00BE5DA8"/>
    <w:rsid w:val="00BE5FC2"/>
    <w:rsid w:val="00BE6456"/>
    <w:rsid w:val="00BE6578"/>
    <w:rsid w:val="00BE6E59"/>
    <w:rsid w:val="00BE707C"/>
    <w:rsid w:val="00BE71C9"/>
    <w:rsid w:val="00BE7229"/>
    <w:rsid w:val="00BE7257"/>
    <w:rsid w:val="00BE73A1"/>
    <w:rsid w:val="00BE74A7"/>
    <w:rsid w:val="00BE74DE"/>
    <w:rsid w:val="00BE760C"/>
    <w:rsid w:val="00BE770D"/>
    <w:rsid w:val="00BE77FC"/>
    <w:rsid w:val="00BE787E"/>
    <w:rsid w:val="00BE79E8"/>
    <w:rsid w:val="00BE7BB4"/>
    <w:rsid w:val="00BE7C25"/>
    <w:rsid w:val="00BE7EA5"/>
    <w:rsid w:val="00BF0244"/>
    <w:rsid w:val="00BF0497"/>
    <w:rsid w:val="00BF04C8"/>
    <w:rsid w:val="00BF08B7"/>
    <w:rsid w:val="00BF0A10"/>
    <w:rsid w:val="00BF0DF7"/>
    <w:rsid w:val="00BF148A"/>
    <w:rsid w:val="00BF18DF"/>
    <w:rsid w:val="00BF1ABD"/>
    <w:rsid w:val="00BF1AFD"/>
    <w:rsid w:val="00BF1B95"/>
    <w:rsid w:val="00BF1E80"/>
    <w:rsid w:val="00BF1EDE"/>
    <w:rsid w:val="00BF2058"/>
    <w:rsid w:val="00BF2673"/>
    <w:rsid w:val="00BF2700"/>
    <w:rsid w:val="00BF2714"/>
    <w:rsid w:val="00BF29D1"/>
    <w:rsid w:val="00BF2BB0"/>
    <w:rsid w:val="00BF2D65"/>
    <w:rsid w:val="00BF30B1"/>
    <w:rsid w:val="00BF3126"/>
    <w:rsid w:val="00BF31F7"/>
    <w:rsid w:val="00BF3426"/>
    <w:rsid w:val="00BF3A52"/>
    <w:rsid w:val="00BF3E49"/>
    <w:rsid w:val="00BF3F08"/>
    <w:rsid w:val="00BF41F9"/>
    <w:rsid w:val="00BF420A"/>
    <w:rsid w:val="00BF440C"/>
    <w:rsid w:val="00BF447E"/>
    <w:rsid w:val="00BF460A"/>
    <w:rsid w:val="00BF4C0D"/>
    <w:rsid w:val="00BF4E56"/>
    <w:rsid w:val="00BF50A5"/>
    <w:rsid w:val="00BF5162"/>
    <w:rsid w:val="00BF54B5"/>
    <w:rsid w:val="00BF5584"/>
    <w:rsid w:val="00BF58D2"/>
    <w:rsid w:val="00BF5900"/>
    <w:rsid w:val="00BF5C2E"/>
    <w:rsid w:val="00BF5CAA"/>
    <w:rsid w:val="00BF6008"/>
    <w:rsid w:val="00BF640E"/>
    <w:rsid w:val="00BF6A94"/>
    <w:rsid w:val="00BF6ABC"/>
    <w:rsid w:val="00BF6CAE"/>
    <w:rsid w:val="00BF6CFB"/>
    <w:rsid w:val="00BF6D1A"/>
    <w:rsid w:val="00BF6E9C"/>
    <w:rsid w:val="00BF6FB0"/>
    <w:rsid w:val="00BF6FCA"/>
    <w:rsid w:val="00BF74CE"/>
    <w:rsid w:val="00BF7705"/>
    <w:rsid w:val="00BF7759"/>
    <w:rsid w:val="00BF779F"/>
    <w:rsid w:val="00BF79E7"/>
    <w:rsid w:val="00BF7DD3"/>
    <w:rsid w:val="00BF7DE1"/>
    <w:rsid w:val="00BF7E14"/>
    <w:rsid w:val="00C000F2"/>
    <w:rsid w:val="00C00141"/>
    <w:rsid w:val="00C00280"/>
    <w:rsid w:val="00C0038A"/>
    <w:rsid w:val="00C003C0"/>
    <w:rsid w:val="00C0048B"/>
    <w:rsid w:val="00C0057C"/>
    <w:rsid w:val="00C00C53"/>
    <w:rsid w:val="00C00E50"/>
    <w:rsid w:val="00C00E90"/>
    <w:rsid w:val="00C00EB6"/>
    <w:rsid w:val="00C0114B"/>
    <w:rsid w:val="00C014D4"/>
    <w:rsid w:val="00C01510"/>
    <w:rsid w:val="00C0159B"/>
    <w:rsid w:val="00C01959"/>
    <w:rsid w:val="00C019D2"/>
    <w:rsid w:val="00C01AB0"/>
    <w:rsid w:val="00C01C13"/>
    <w:rsid w:val="00C01DCC"/>
    <w:rsid w:val="00C0205D"/>
    <w:rsid w:val="00C021BB"/>
    <w:rsid w:val="00C021C4"/>
    <w:rsid w:val="00C022FA"/>
    <w:rsid w:val="00C0246D"/>
    <w:rsid w:val="00C0280D"/>
    <w:rsid w:val="00C029B5"/>
    <w:rsid w:val="00C029DB"/>
    <w:rsid w:val="00C02C2E"/>
    <w:rsid w:val="00C02D1A"/>
    <w:rsid w:val="00C02F0A"/>
    <w:rsid w:val="00C0315D"/>
    <w:rsid w:val="00C032AD"/>
    <w:rsid w:val="00C0332C"/>
    <w:rsid w:val="00C03376"/>
    <w:rsid w:val="00C034C0"/>
    <w:rsid w:val="00C03827"/>
    <w:rsid w:val="00C0388F"/>
    <w:rsid w:val="00C038F7"/>
    <w:rsid w:val="00C0394A"/>
    <w:rsid w:val="00C0395D"/>
    <w:rsid w:val="00C03A96"/>
    <w:rsid w:val="00C04144"/>
    <w:rsid w:val="00C0418B"/>
    <w:rsid w:val="00C041FD"/>
    <w:rsid w:val="00C045E7"/>
    <w:rsid w:val="00C04B50"/>
    <w:rsid w:val="00C04D3A"/>
    <w:rsid w:val="00C04FC6"/>
    <w:rsid w:val="00C050B4"/>
    <w:rsid w:val="00C0534A"/>
    <w:rsid w:val="00C053B9"/>
    <w:rsid w:val="00C053D9"/>
    <w:rsid w:val="00C05514"/>
    <w:rsid w:val="00C05542"/>
    <w:rsid w:val="00C05892"/>
    <w:rsid w:val="00C05B13"/>
    <w:rsid w:val="00C05D13"/>
    <w:rsid w:val="00C05E3D"/>
    <w:rsid w:val="00C05F22"/>
    <w:rsid w:val="00C05FC8"/>
    <w:rsid w:val="00C0652C"/>
    <w:rsid w:val="00C066C3"/>
    <w:rsid w:val="00C06C7A"/>
    <w:rsid w:val="00C0712D"/>
    <w:rsid w:val="00C07B57"/>
    <w:rsid w:val="00C07BB2"/>
    <w:rsid w:val="00C100E3"/>
    <w:rsid w:val="00C100FA"/>
    <w:rsid w:val="00C1012F"/>
    <w:rsid w:val="00C1021B"/>
    <w:rsid w:val="00C10280"/>
    <w:rsid w:val="00C105A9"/>
    <w:rsid w:val="00C10618"/>
    <w:rsid w:val="00C1062C"/>
    <w:rsid w:val="00C10801"/>
    <w:rsid w:val="00C109D2"/>
    <w:rsid w:val="00C10B09"/>
    <w:rsid w:val="00C10B0B"/>
    <w:rsid w:val="00C10C3B"/>
    <w:rsid w:val="00C11375"/>
    <w:rsid w:val="00C113D9"/>
    <w:rsid w:val="00C114A6"/>
    <w:rsid w:val="00C11827"/>
    <w:rsid w:val="00C11879"/>
    <w:rsid w:val="00C118E3"/>
    <w:rsid w:val="00C11A18"/>
    <w:rsid w:val="00C11A64"/>
    <w:rsid w:val="00C11E82"/>
    <w:rsid w:val="00C1231F"/>
    <w:rsid w:val="00C12413"/>
    <w:rsid w:val="00C12654"/>
    <w:rsid w:val="00C12774"/>
    <w:rsid w:val="00C12A85"/>
    <w:rsid w:val="00C12AC9"/>
    <w:rsid w:val="00C13083"/>
    <w:rsid w:val="00C131D0"/>
    <w:rsid w:val="00C13297"/>
    <w:rsid w:val="00C1336F"/>
    <w:rsid w:val="00C13901"/>
    <w:rsid w:val="00C13D2E"/>
    <w:rsid w:val="00C13DCF"/>
    <w:rsid w:val="00C13E7A"/>
    <w:rsid w:val="00C144B6"/>
    <w:rsid w:val="00C145E3"/>
    <w:rsid w:val="00C14E55"/>
    <w:rsid w:val="00C14F3D"/>
    <w:rsid w:val="00C15515"/>
    <w:rsid w:val="00C155FE"/>
    <w:rsid w:val="00C1563A"/>
    <w:rsid w:val="00C156F6"/>
    <w:rsid w:val="00C15717"/>
    <w:rsid w:val="00C15A45"/>
    <w:rsid w:val="00C15B04"/>
    <w:rsid w:val="00C15DAE"/>
    <w:rsid w:val="00C15EBD"/>
    <w:rsid w:val="00C15FB8"/>
    <w:rsid w:val="00C16184"/>
    <w:rsid w:val="00C16696"/>
    <w:rsid w:val="00C16ADA"/>
    <w:rsid w:val="00C16D0C"/>
    <w:rsid w:val="00C16D82"/>
    <w:rsid w:val="00C16E1A"/>
    <w:rsid w:val="00C16F87"/>
    <w:rsid w:val="00C176A6"/>
    <w:rsid w:val="00C17739"/>
    <w:rsid w:val="00C178DE"/>
    <w:rsid w:val="00C179A4"/>
    <w:rsid w:val="00C17A04"/>
    <w:rsid w:val="00C17A39"/>
    <w:rsid w:val="00C17CFA"/>
    <w:rsid w:val="00C17F4E"/>
    <w:rsid w:val="00C17FD7"/>
    <w:rsid w:val="00C17FF1"/>
    <w:rsid w:val="00C20058"/>
    <w:rsid w:val="00C202B3"/>
    <w:rsid w:val="00C20395"/>
    <w:rsid w:val="00C20464"/>
    <w:rsid w:val="00C20571"/>
    <w:rsid w:val="00C20736"/>
    <w:rsid w:val="00C207FB"/>
    <w:rsid w:val="00C208D9"/>
    <w:rsid w:val="00C20AED"/>
    <w:rsid w:val="00C20C2F"/>
    <w:rsid w:val="00C20DD3"/>
    <w:rsid w:val="00C20F8E"/>
    <w:rsid w:val="00C214C7"/>
    <w:rsid w:val="00C215EF"/>
    <w:rsid w:val="00C218D5"/>
    <w:rsid w:val="00C218F1"/>
    <w:rsid w:val="00C21E7B"/>
    <w:rsid w:val="00C21EE0"/>
    <w:rsid w:val="00C22487"/>
    <w:rsid w:val="00C2252F"/>
    <w:rsid w:val="00C227EA"/>
    <w:rsid w:val="00C22D44"/>
    <w:rsid w:val="00C2319F"/>
    <w:rsid w:val="00C232F8"/>
    <w:rsid w:val="00C2353E"/>
    <w:rsid w:val="00C2368E"/>
    <w:rsid w:val="00C2371A"/>
    <w:rsid w:val="00C23849"/>
    <w:rsid w:val="00C238D3"/>
    <w:rsid w:val="00C23B59"/>
    <w:rsid w:val="00C23E55"/>
    <w:rsid w:val="00C23F9F"/>
    <w:rsid w:val="00C24281"/>
    <w:rsid w:val="00C24884"/>
    <w:rsid w:val="00C24947"/>
    <w:rsid w:val="00C249CE"/>
    <w:rsid w:val="00C249E8"/>
    <w:rsid w:val="00C24AA8"/>
    <w:rsid w:val="00C24C2B"/>
    <w:rsid w:val="00C24C3D"/>
    <w:rsid w:val="00C24F5B"/>
    <w:rsid w:val="00C25515"/>
    <w:rsid w:val="00C25695"/>
    <w:rsid w:val="00C25710"/>
    <w:rsid w:val="00C25735"/>
    <w:rsid w:val="00C25847"/>
    <w:rsid w:val="00C25A0F"/>
    <w:rsid w:val="00C25AB1"/>
    <w:rsid w:val="00C25F80"/>
    <w:rsid w:val="00C260B0"/>
    <w:rsid w:val="00C26145"/>
    <w:rsid w:val="00C26146"/>
    <w:rsid w:val="00C26235"/>
    <w:rsid w:val="00C263C3"/>
    <w:rsid w:val="00C26417"/>
    <w:rsid w:val="00C269BA"/>
    <w:rsid w:val="00C26D25"/>
    <w:rsid w:val="00C26E38"/>
    <w:rsid w:val="00C26FF4"/>
    <w:rsid w:val="00C27137"/>
    <w:rsid w:val="00C271A6"/>
    <w:rsid w:val="00C275C2"/>
    <w:rsid w:val="00C275C6"/>
    <w:rsid w:val="00C2763A"/>
    <w:rsid w:val="00C27E7A"/>
    <w:rsid w:val="00C27F81"/>
    <w:rsid w:val="00C27FDD"/>
    <w:rsid w:val="00C301FC"/>
    <w:rsid w:val="00C30297"/>
    <w:rsid w:val="00C304E8"/>
    <w:rsid w:val="00C30559"/>
    <w:rsid w:val="00C3074F"/>
    <w:rsid w:val="00C3080C"/>
    <w:rsid w:val="00C308C7"/>
    <w:rsid w:val="00C3099B"/>
    <w:rsid w:val="00C30A82"/>
    <w:rsid w:val="00C30DA0"/>
    <w:rsid w:val="00C30E61"/>
    <w:rsid w:val="00C31353"/>
    <w:rsid w:val="00C3136B"/>
    <w:rsid w:val="00C31441"/>
    <w:rsid w:val="00C3154C"/>
    <w:rsid w:val="00C31CC3"/>
    <w:rsid w:val="00C31DB3"/>
    <w:rsid w:val="00C31FD9"/>
    <w:rsid w:val="00C31FF5"/>
    <w:rsid w:val="00C3213F"/>
    <w:rsid w:val="00C3215F"/>
    <w:rsid w:val="00C321D8"/>
    <w:rsid w:val="00C32A09"/>
    <w:rsid w:val="00C32AC1"/>
    <w:rsid w:val="00C32BFC"/>
    <w:rsid w:val="00C32D69"/>
    <w:rsid w:val="00C32DEA"/>
    <w:rsid w:val="00C32DF6"/>
    <w:rsid w:val="00C32FEC"/>
    <w:rsid w:val="00C33235"/>
    <w:rsid w:val="00C334C6"/>
    <w:rsid w:val="00C3352E"/>
    <w:rsid w:val="00C33560"/>
    <w:rsid w:val="00C3361C"/>
    <w:rsid w:val="00C3364F"/>
    <w:rsid w:val="00C336A2"/>
    <w:rsid w:val="00C33A50"/>
    <w:rsid w:val="00C33F9C"/>
    <w:rsid w:val="00C343E5"/>
    <w:rsid w:val="00C3447C"/>
    <w:rsid w:val="00C34A19"/>
    <w:rsid w:val="00C34F56"/>
    <w:rsid w:val="00C35632"/>
    <w:rsid w:val="00C356F6"/>
    <w:rsid w:val="00C356FA"/>
    <w:rsid w:val="00C357C1"/>
    <w:rsid w:val="00C35CEB"/>
    <w:rsid w:val="00C35D66"/>
    <w:rsid w:val="00C35F42"/>
    <w:rsid w:val="00C36009"/>
    <w:rsid w:val="00C36199"/>
    <w:rsid w:val="00C3658A"/>
    <w:rsid w:val="00C36BF4"/>
    <w:rsid w:val="00C36C0D"/>
    <w:rsid w:val="00C36C20"/>
    <w:rsid w:val="00C36D60"/>
    <w:rsid w:val="00C36F47"/>
    <w:rsid w:val="00C3700C"/>
    <w:rsid w:val="00C37066"/>
    <w:rsid w:val="00C370C7"/>
    <w:rsid w:val="00C3711C"/>
    <w:rsid w:val="00C37636"/>
    <w:rsid w:val="00C3785B"/>
    <w:rsid w:val="00C37B0B"/>
    <w:rsid w:val="00C37B27"/>
    <w:rsid w:val="00C4012E"/>
    <w:rsid w:val="00C402B0"/>
    <w:rsid w:val="00C408B1"/>
    <w:rsid w:val="00C409DE"/>
    <w:rsid w:val="00C40DA8"/>
    <w:rsid w:val="00C40DD6"/>
    <w:rsid w:val="00C40E5E"/>
    <w:rsid w:val="00C4103F"/>
    <w:rsid w:val="00C4137F"/>
    <w:rsid w:val="00C41660"/>
    <w:rsid w:val="00C416A2"/>
    <w:rsid w:val="00C41967"/>
    <w:rsid w:val="00C41A4E"/>
    <w:rsid w:val="00C41BE6"/>
    <w:rsid w:val="00C41CDC"/>
    <w:rsid w:val="00C4244B"/>
    <w:rsid w:val="00C42463"/>
    <w:rsid w:val="00C42B60"/>
    <w:rsid w:val="00C42B99"/>
    <w:rsid w:val="00C42DCB"/>
    <w:rsid w:val="00C42E6D"/>
    <w:rsid w:val="00C42E96"/>
    <w:rsid w:val="00C42EC9"/>
    <w:rsid w:val="00C42FAD"/>
    <w:rsid w:val="00C4319C"/>
    <w:rsid w:val="00C433B0"/>
    <w:rsid w:val="00C43411"/>
    <w:rsid w:val="00C43448"/>
    <w:rsid w:val="00C43899"/>
    <w:rsid w:val="00C43971"/>
    <w:rsid w:val="00C43DC4"/>
    <w:rsid w:val="00C43E53"/>
    <w:rsid w:val="00C43EDF"/>
    <w:rsid w:val="00C442BA"/>
    <w:rsid w:val="00C442CF"/>
    <w:rsid w:val="00C443B6"/>
    <w:rsid w:val="00C44526"/>
    <w:rsid w:val="00C4460B"/>
    <w:rsid w:val="00C446AA"/>
    <w:rsid w:val="00C44849"/>
    <w:rsid w:val="00C449BF"/>
    <w:rsid w:val="00C45091"/>
    <w:rsid w:val="00C4513E"/>
    <w:rsid w:val="00C45565"/>
    <w:rsid w:val="00C457CA"/>
    <w:rsid w:val="00C45860"/>
    <w:rsid w:val="00C45900"/>
    <w:rsid w:val="00C4593F"/>
    <w:rsid w:val="00C45B29"/>
    <w:rsid w:val="00C45D48"/>
    <w:rsid w:val="00C45D93"/>
    <w:rsid w:val="00C46159"/>
    <w:rsid w:val="00C46395"/>
    <w:rsid w:val="00C464E9"/>
    <w:rsid w:val="00C464FE"/>
    <w:rsid w:val="00C46839"/>
    <w:rsid w:val="00C46A8C"/>
    <w:rsid w:val="00C46AD0"/>
    <w:rsid w:val="00C46CB1"/>
    <w:rsid w:val="00C46CF6"/>
    <w:rsid w:val="00C46D24"/>
    <w:rsid w:val="00C470F4"/>
    <w:rsid w:val="00C4787D"/>
    <w:rsid w:val="00C47B00"/>
    <w:rsid w:val="00C47E02"/>
    <w:rsid w:val="00C47F3F"/>
    <w:rsid w:val="00C503A1"/>
    <w:rsid w:val="00C503F6"/>
    <w:rsid w:val="00C5049D"/>
    <w:rsid w:val="00C5085D"/>
    <w:rsid w:val="00C508E6"/>
    <w:rsid w:val="00C508E8"/>
    <w:rsid w:val="00C50933"/>
    <w:rsid w:val="00C5094E"/>
    <w:rsid w:val="00C50AEA"/>
    <w:rsid w:val="00C50B1D"/>
    <w:rsid w:val="00C50B48"/>
    <w:rsid w:val="00C50BAF"/>
    <w:rsid w:val="00C50C56"/>
    <w:rsid w:val="00C50CE7"/>
    <w:rsid w:val="00C50FCD"/>
    <w:rsid w:val="00C5127B"/>
    <w:rsid w:val="00C5132A"/>
    <w:rsid w:val="00C51406"/>
    <w:rsid w:val="00C5157A"/>
    <w:rsid w:val="00C515EC"/>
    <w:rsid w:val="00C51611"/>
    <w:rsid w:val="00C5167A"/>
    <w:rsid w:val="00C5174A"/>
    <w:rsid w:val="00C51796"/>
    <w:rsid w:val="00C517D4"/>
    <w:rsid w:val="00C5191C"/>
    <w:rsid w:val="00C51ABC"/>
    <w:rsid w:val="00C51B50"/>
    <w:rsid w:val="00C52040"/>
    <w:rsid w:val="00C52064"/>
    <w:rsid w:val="00C521A6"/>
    <w:rsid w:val="00C522BA"/>
    <w:rsid w:val="00C523F1"/>
    <w:rsid w:val="00C523F7"/>
    <w:rsid w:val="00C524FE"/>
    <w:rsid w:val="00C526FF"/>
    <w:rsid w:val="00C52712"/>
    <w:rsid w:val="00C52768"/>
    <w:rsid w:val="00C52C83"/>
    <w:rsid w:val="00C52E09"/>
    <w:rsid w:val="00C5305A"/>
    <w:rsid w:val="00C53119"/>
    <w:rsid w:val="00C53195"/>
    <w:rsid w:val="00C53266"/>
    <w:rsid w:val="00C535BF"/>
    <w:rsid w:val="00C5362D"/>
    <w:rsid w:val="00C53856"/>
    <w:rsid w:val="00C538B6"/>
    <w:rsid w:val="00C53B00"/>
    <w:rsid w:val="00C53C14"/>
    <w:rsid w:val="00C53C7A"/>
    <w:rsid w:val="00C53D25"/>
    <w:rsid w:val="00C53DF7"/>
    <w:rsid w:val="00C53E49"/>
    <w:rsid w:val="00C54028"/>
    <w:rsid w:val="00C542F8"/>
    <w:rsid w:val="00C544B0"/>
    <w:rsid w:val="00C5458E"/>
    <w:rsid w:val="00C54765"/>
    <w:rsid w:val="00C548C9"/>
    <w:rsid w:val="00C54B01"/>
    <w:rsid w:val="00C54C13"/>
    <w:rsid w:val="00C54CD3"/>
    <w:rsid w:val="00C54F9D"/>
    <w:rsid w:val="00C551EF"/>
    <w:rsid w:val="00C5524C"/>
    <w:rsid w:val="00C55298"/>
    <w:rsid w:val="00C555AC"/>
    <w:rsid w:val="00C557FF"/>
    <w:rsid w:val="00C55A7C"/>
    <w:rsid w:val="00C55D33"/>
    <w:rsid w:val="00C56123"/>
    <w:rsid w:val="00C56452"/>
    <w:rsid w:val="00C56945"/>
    <w:rsid w:val="00C56CAF"/>
    <w:rsid w:val="00C57302"/>
    <w:rsid w:val="00C57461"/>
    <w:rsid w:val="00C5748E"/>
    <w:rsid w:val="00C57653"/>
    <w:rsid w:val="00C57679"/>
    <w:rsid w:val="00C57F68"/>
    <w:rsid w:val="00C60031"/>
    <w:rsid w:val="00C600AB"/>
    <w:rsid w:val="00C600E2"/>
    <w:rsid w:val="00C60217"/>
    <w:rsid w:val="00C604E1"/>
    <w:rsid w:val="00C60609"/>
    <w:rsid w:val="00C609D0"/>
    <w:rsid w:val="00C60C32"/>
    <w:rsid w:val="00C60C61"/>
    <w:rsid w:val="00C60E15"/>
    <w:rsid w:val="00C60FFE"/>
    <w:rsid w:val="00C61382"/>
    <w:rsid w:val="00C619FF"/>
    <w:rsid w:val="00C61CEE"/>
    <w:rsid w:val="00C6273D"/>
    <w:rsid w:val="00C62873"/>
    <w:rsid w:val="00C62D71"/>
    <w:rsid w:val="00C6328E"/>
    <w:rsid w:val="00C63451"/>
    <w:rsid w:val="00C636A2"/>
    <w:rsid w:val="00C637A2"/>
    <w:rsid w:val="00C637D6"/>
    <w:rsid w:val="00C63865"/>
    <w:rsid w:val="00C63EBF"/>
    <w:rsid w:val="00C640D7"/>
    <w:rsid w:val="00C643E4"/>
    <w:rsid w:val="00C64457"/>
    <w:rsid w:val="00C64558"/>
    <w:rsid w:val="00C64CFD"/>
    <w:rsid w:val="00C6505C"/>
    <w:rsid w:val="00C65345"/>
    <w:rsid w:val="00C655ED"/>
    <w:rsid w:val="00C657CC"/>
    <w:rsid w:val="00C65B8C"/>
    <w:rsid w:val="00C65EA8"/>
    <w:rsid w:val="00C65F02"/>
    <w:rsid w:val="00C65F17"/>
    <w:rsid w:val="00C66062"/>
    <w:rsid w:val="00C6618F"/>
    <w:rsid w:val="00C664DD"/>
    <w:rsid w:val="00C66512"/>
    <w:rsid w:val="00C665E1"/>
    <w:rsid w:val="00C66610"/>
    <w:rsid w:val="00C66B4A"/>
    <w:rsid w:val="00C66CA7"/>
    <w:rsid w:val="00C6729A"/>
    <w:rsid w:val="00C673F2"/>
    <w:rsid w:val="00C675C0"/>
    <w:rsid w:val="00C6773D"/>
    <w:rsid w:val="00C67828"/>
    <w:rsid w:val="00C6795C"/>
    <w:rsid w:val="00C679B6"/>
    <w:rsid w:val="00C679D7"/>
    <w:rsid w:val="00C67A51"/>
    <w:rsid w:val="00C67B79"/>
    <w:rsid w:val="00C67BC1"/>
    <w:rsid w:val="00C67F61"/>
    <w:rsid w:val="00C70005"/>
    <w:rsid w:val="00C7000E"/>
    <w:rsid w:val="00C70080"/>
    <w:rsid w:val="00C705EF"/>
    <w:rsid w:val="00C706A8"/>
    <w:rsid w:val="00C707F6"/>
    <w:rsid w:val="00C7082B"/>
    <w:rsid w:val="00C70964"/>
    <w:rsid w:val="00C70968"/>
    <w:rsid w:val="00C709F3"/>
    <w:rsid w:val="00C71106"/>
    <w:rsid w:val="00C71213"/>
    <w:rsid w:val="00C712EC"/>
    <w:rsid w:val="00C713E2"/>
    <w:rsid w:val="00C713ED"/>
    <w:rsid w:val="00C71604"/>
    <w:rsid w:val="00C71784"/>
    <w:rsid w:val="00C7181B"/>
    <w:rsid w:val="00C718EE"/>
    <w:rsid w:val="00C71A7C"/>
    <w:rsid w:val="00C71D11"/>
    <w:rsid w:val="00C71F3F"/>
    <w:rsid w:val="00C71F5D"/>
    <w:rsid w:val="00C71F62"/>
    <w:rsid w:val="00C71F8A"/>
    <w:rsid w:val="00C720D5"/>
    <w:rsid w:val="00C721D8"/>
    <w:rsid w:val="00C72318"/>
    <w:rsid w:val="00C7234C"/>
    <w:rsid w:val="00C72402"/>
    <w:rsid w:val="00C724E6"/>
    <w:rsid w:val="00C725B4"/>
    <w:rsid w:val="00C726BD"/>
    <w:rsid w:val="00C7298D"/>
    <w:rsid w:val="00C72A9C"/>
    <w:rsid w:val="00C72CE1"/>
    <w:rsid w:val="00C72DF1"/>
    <w:rsid w:val="00C73007"/>
    <w:rsid w:val="00C73083"/>
    <w:rsid w:val="00C73168"/>
    <w:rsid w:val="00C731A4"/>
    <w:rsid w:val="00C73345"/>
    <w:rsid w:val="00C73894"/>
    <w:rsid w:val="00C73972"/>
    <w:rsid w:val="00C741F3"/>
    <w:rsid w:val="00C747A5"/>
    <w:rsid w:val="00C74BE9"/>
    <w:rsid w:val="00C74C71"/>
    <w:rsid w:val="00C74E54"/>
    <w:rsid w:val="00C752D3"/>
    <w:rsid w:val="00C754E8"/>
    <w:rsid w:val="00C75717"/>
    <w:rsid w:val="00C7572A"/>
    <w:rsid w:val="00C75847"/>
    <w:rsid w:val="00C7589B"/>
    <w:rsid w:val="00C75AF8"/>
    <w:rsid w:val="00C75C08"/>
    <w:rsid w:val="00C75C8F"/>
    <w:rsid w:val="00C75D54"/>
    <w:rsid w:val="00C75F05"/>
    <w:rsid w:val="00C75F50"/>
    <w:rsid w:val="00C75FB1"/>
    <w:rsid w:val="00C76216"/>
    <w:rsid w:val="00C7634F"/>
    <w:rsid w:val="00C76458"/>
    <w:rsid w:val="00C76488"/>
    <w:rsid w:val="00C767EB"/>
    <w:rsid w:val="00C76C23"/>
    <w:rsid w:val="00C76D76"/>
    <w:rsid w:val="00C76F2F"/>
    <w:rsid w:val="00C77074"/>
    <w:rsid w:val="00C771C1"/>
    <w:rsid w:val="00C771FF"/>
    <w:rsid w:val="00C77295"/>
    <w:rsid w:val="00C777F5"/>
    <w:rsid w:val="00C77870"/>
    <w:rsid w:val="00C778C0"/>
    <w:rsid w:val="00C77FB3"/>
    <w:rsid w:val="00C800F1"/>
    <w:rsid w:val="00C805F8"/>
    <w:rsid w:val="00C8065E"/>
    <w:rsid w:val="00C80C38"/>
    <w:rsid w:val="00C810A2"/>
    <w:rsid w:val="00C81423"/>
    <w:rsid w:val="00C81821"/>
    <w:rsid w:val="00C8192D"/>
    <w:rsid w:val="00C819DB"/>
    <w:rsid w:val="00C81CE2"/>
    <w:rsid w:val="00C81D83"/>
    <w:rsid w:val="00C81EFF"/>
    <w:rsid w:val="00C82252"/>
    <w:rsid w:val="00C822C0"/>
    <w:rsid w:val="00C82302"/>
    <w:rsid w:val="00C82526"/>
    <w:rsid w:val="00C829AB"/>
    <w:rsid w:val="00C82A1F"/>
    <w:rsid w:val="00C82A25"/>
    <w:rsid w:val="00C82E88"/>
    <w:rsid w:val="00C83574"/>
    <w:rsid w:val="00C8373B"/>
    <w:rsid w:val="00C83779"/>
    <w:rsid w:val="00C83994"/>
    <w:rsid w:val="00C839EB"/>
    <w:rsid w:val="00C83D6F"/>
    <w:rsid w:val="00C84136"/>
    <w:rsid w:val="00C844A9"/>
    <w:rsid w:val="00C84694"/>
    <w:rsid w:val="00C847EF"/>
    <w:rsid w:val="00C848FA"/>
    <w:rsid w:val="00C84BB1"/>
    <w:rsid w:val="00C84CF7"/>
    <w:rsid w:val="00C84E3E"/>
    <w:rsid w:val="00C84EAF"/>
    <w:rsid w:val="00C84EEA"/>
    <w:rsid w:val="00C8501E"/>
    <w:rsid w:val="00C851E6"/>
    <w:rsid w:val="00C85314"/>
    <w:rsid w:val="00C85350"/>
    <w:rsid w:val="00C85485"/>
    <w:rsid w:val="00C85BEF"/>
    <w:rsid w:val="00C85C89"/>
    <w:rsid w:val="00C85E14"/>
    <w:rsid w:val="00C860A8"/>
    <w:rsid w:val="00C861B5"/>
    <w:rsid w:val="00C863C1"/>
    <w:rsid w:val="00C86437"/>
    <w:rsid w:val="00C8680A"/>
    <w:rsid w:val="00C868BD"/>
    <w:rsid w:val="00C86981"/>
    <w:rsid w:val="00C86CAF"/>
    <w:rsid w:val="00C86CFD"/>
    <w:rsid w:val="00C86DB3"/>
    <w:rsid w:val="00C87046"/>
    <w:rsid w:val="00C871CF"/>
    <w:rsid w:val="00C87721"/>
    <w:rsid w:val="00C87AC3"/>
    <w:rsid w:val="00C87D3A"/>
    <w:rsid w:val="00C9011C"/>
    <w:rsid w:val="00C90191"/>
    <w:rsid w:val="00C90529"/>
    <w:rsid w:val="00C906FC"/>
    <w:rsid w:val="00C9071F"/>
    <w:rsid w:val="00C90829"/>
    <w:rsid w:val="00C90D23"/>
    <w:rsid w:val="00C90DB7"/>
    <w:rsid w:val="00C90EC3"/>
    <w:rsid w:val="00C90F4E"/>
    <w:rsid w:val="00C9117D"/>
    <w:rsid w:val="00C911A0"/>
    <w:rsid w:val="00C914E8"/>
    <w:rsid w:val="00C9153D"/>
    <w:rsid w:val="00C917E9"/>
    <w:rsid w:val="00C91877"/>
    <w:rsid w:val="00C9192C"/>
    <w:rsid w:val="00C91DA7"/>
    <w:rsid w:val="00C9205D"/>
    <w:rsid w:val="00C921FC"/>
    <w:rsid w:val="00C922FB"/>
    <w:rsid w:val="00C925E7"/>
    <w:rsid w:val="00C9269C"/>
    <w:rsid w:val="00C93233"/>
    <w:rsid w:val="00C93599"/>
    <w:rsid w:val="00C9369D"/>
    <w:rsid w:val="00C936EE"/>
    <w:rsid w:val="00C937DF"/>
    <w:rsid w:val="00C9382D"/>
    <w:rsid w:val="00C93A5F"/>
    <w:rsid w:val="00C93D3C"/>
    <w:rsid w:val="00C94064"/>
    <w:rsid w:val="00C94276"/>
    <w:rsid w:val="00C944BB"/>
    <w:rsid w:val="00C94505"/>
    <w:rsid w:val="00C94556"/>
    <w:rsid w:val="00C94679"/>
    <w:rsid w:val="00C9485D"/>
    <w:rsid w:val="00C94867"/>
    <w:rsid w:val="00C94B22"/>
    <w:rsid w:val="00C94B75"/>
    <w:rsid w:val="00C94C5F"/>
    <w:rsid w:val="00C94C6D"/>
    <w:rsid w:val="00C94F31"/>
    <w:rsid w:val="00C94FC6"/>
    <w:rsid w:val="00C9508C"/>
    <w:rsid w:val="00C955D4"/>
    <w:rsid w:val="00C95619"/>
    <w:rsid w:val="00C956F4"/>
    <w:rsid w:val="00C95780"/>
    <w:rsid w:val="00C959E9"/>
    <w:rsid w:val="00C95DE0"/>
    <w:rsid w:val="00C95FA6"/>
    <w:rsid w:val="00C96013"/>
    <w:rsid w:val="00C960FD"/>
    <w:rsid w:val="00C964E0"/>
    <w:rsid w:val="00C9659B"/>
    <w:rsid w:val="00C96A11"/>
    <w:rsid w:val="00C96D8D"/>
    <w:rsid w:val="00C96FB3"/>
    <w:rsid w:val="00C97214"/>
    <w:rsid w:val="00C97334"/>
    <w:rsid w:val="00C97534"/>
    <w:rsid w:val="00C97772"/>
    <w:rsid w:val="00C97858"/>
    <w:rsid w:val="00C97C8C"/>
    <w:rsid w:val="00CA001B"/>
    <w:rsid w:val="00CA0084"/>
    <w:rsid w:val="00CA0116"/>
    <w:rsid w:val="00CA0497"/>
    <w:rsid w:val="00CA04C2"/>
    <w:rsid w:val="00CA0753"/>
    <w:rsid w:val="00CA0ABA"/>
    <w:rsid w:val="00CA0B6C"/>
    <w:rsid w:val="00CA0C3F"/>
    <w:rsid w:val="00CA0DE2"/>
    <w:rsid w:val="00CA0E86"/>
    <w:rsid w:val="00CA1084"/>
    <w:rsid w:val="00CA1326"/>
    <w:rsid w:val="00CA135E"/>
    <w:rsid w:val="00CA16D9"/>
    <w:rsid w:val="00CA1972"/>
    <w:rsid w:val="00CA19C6"/>
    <w:rsid w:val="00CA1D64"/>
    <w:rsid w:val="00CA203C"/>
    <w:rsid w:val="00CA2460"/>
    <w:rsid w:val="00CA26B9"/>
    <w:rsid w:val="00CA298C"/>
    <w:rsid w:val="00CA29AB"/>
    <w:rsid w:val="00CA2AC0"/>
    <w:rsid w:val="00CA2B18"/>
    <w:rsid w:val="00CA3289"/>
    <w:rsid w:val="00CA39C2"/>
    <w:rsid w:val="00CA3B66"/>
    <w:rsid w:val="00CA3B6C"/>
    <w:rsid w:val="00CA3BE6"/>
    <w:rsid w:val="00CA4169"/>
    <w:rsid w:val="00CA4445"/>
    <w:rsid w:val="00CA45ED"/>
    <w:rsid w:val="00CA46E7"/>
    <w:rsid w:val="00CA4B3B"/>
    <w:rsid w:val="00CA4BC0"/>
    <w:rsid w:val="00CA4D6C"/>
    <w:rsid w:val="00CA4E90"/>
    <w:rsid w:val="00CA558E"/>
    <w:rsid w:val="00CA572D"/>
    <w:rsid w:val="00CA5797"/>
    <w:rsid w:val="00CA58F9"/>
    <w:rsid w:val="00CA5991"/>
    <w:rsid w:val="00CA5BD1"/>
    <w:rsid w:val="00CA5CA8"/>
    <w:rsid w:val="00CA5D0F"/>
    <w:rsid w:val="00CA62A8"/>
    <w:rsid w:val="00CA6331"/>
    <w:rsid w:val="00CA63A4"/>
    <w:rsid w:val="00CA63EC"/>
    <w:rsid w:val="00CA6680"/>
    <w:rsid w:val="00CA6735"/>
    <w:rsid w:val="00CA6B35"/>
    <w:rsid w:val="00CA6C53"/>
    <w:rsid w:val="00CA6DB3"/>
    <w:rsid w:val="00CA6E44"/>
    <w:rsid w:val="00CA703F"/>
    <w:rsid w:val="00CA73CF"/>
    <w:rsid w:val="00CA73E8"/>
    <w:rsid w:val="00CA751B"/>
    <w:rsid w:val="00CA78A4"/>
    <w:rsid w:val="00CA7914"/>
    <w:rsid w:val="00CA7938"/>
    <w:rsid w:val="00CA7A53"/>
    <w:rsid w:val="00CA7D43"/>
    <w:rsid w:val="00CA7E26"/>
    <w:rsid w:val="00CA7E8E"/>
    <w:rsid w:val="00CA7FB3"/>
    <w:rsid w:val="00CB0157"/>
    <w:rsid w:val="00CB0161"/>
    <w:rsid w:val="00CB0239"/>
    <w:rsid w:val="00CB0427"/>
    <w:rsid w:val="00CB045C"/>
    <w:rsid w:val="00CB04F8"/>
    <w:rsid w:val="00CB070C"/>
    <w:rsid w:val="00CB0743"/>
    <w:rsid w:val="00CB0973"/>
    <w:rsid w:val="00CB0BEE"/>
    <w:rsid w:val="00CB0EC0"/>
    <w:rsid w:val="00CB1219"/>
    <w:rsid w:val="00CB12FA"/>
    <w:rsid w:val="00CB14B0"/>
    <w:rsid w:val="00CB160D"/>
    <w:rsid w:val="00CB1651"/>
    <w:rsid w:val="00CB1670"/>
    <w:rsid w:val="00CB17CA"/>
    <w:rsid w:val="00CB17FD"/>
    <w:rsid w:val="00CB1A3F"/>
    <w:rsid w:val="00CB1A53"/>
    <w:rsid w:val="00CB1A6A"/>
    <w:rsid w:val="00CB1E9F"/>
    <w:rsid w:val="00CB1ED8"/>
    <w:rsid w:val="00CB1F86"/>
    <w:rsid w:val="00CB20A0"/>
    <w:rsid w:val="00CB214D"/>
    <w:rsid w:val="00CB217E"/>
    <w:rsid w:val="00CB25B4"/>
    <w:rsid w:val="00CB27A6"/>
    <w:rsid w:val="00CB28E9"/>
    <w:rsid w:val="00CB2DEB"/>
    <w:rsid w:val="00CB2E6A"/>
    <w:rsid w:val="00CB2EB9"/>
    <w:rsid w:val="00CB320C"/>
    <w:rsid w:val="00CB3248"/>
    <w:rsid w:val="00CB32B4"/>
    <w:rsid w:val="00CB3829"/>
    <w:rsid w:val="00CB3A4E"/>
    <w:rsid w:val="00CB3B41"/>
    <w:rsid w:val="00CB3C66"/>
    <w:rsid w:val="00CB42A2"/>
    <w:rsid w:val="00CB42E0"/>
    <w:rsid w:val="00CB43CB"/>
    <w:rsid w:val="00CB440D"/>
    <w:rsid w:val="00CB44EA"/>
    <w:rsid w:val="00CB47AC"/>
    <w:rsid w:val="00CB499A"/>
    <w:rsid w:val="00CB4BCF"/>
    <w:rsid w:val="00CB4D64"/>
    <w:rsid w:val="00CB4D6B"/>
    <w:rsid w:val="00CB5049"/>
    <w:rsid w:val="00CB5126"/>
    <w:rsid w:val="00CB5205"/>
    <w:rsid w:val="00CB52C3"/>
    <w:rsid w:val="00CB52C8"/>
    <w:rsid w:val="00CB5440"/>
    <w:rsid w:val="00CB5860"/>
    <w:rsid w:val="00CB5871"/>
    <w:rsid w:val="00CB5904"/>
    <w:rsid w:val="00CB5A8D"/>
    <w:rsid w:val="00CB5C1D"/>
    <w:rsid w:val="00CB5C41"/>
    <w:rsid w:val="00CB5D02"/>
    <w:rsid w:val="00CB5E4C"/>
    <w:rsid w:val="00CB5ED9"/>
    <w:rsid w:val="00CB5F00"/>
    <w:rsid w:val="00CB5FF2"/>
    <w:rsid w:val="00CB618E"/>
    <w:rsid w:val="00CB670D"/>
    <w:rsid w:val="00CB67B3"/>
    <w:rsid w:val="00CB689B"/>
    <w:rsid w:val="00CB6DC6"/>
    <w:rsid w:val="00CB6DF0"/>
    <w:rsid w:val="00CB6F78"/>
    <w:rsid w:val="00CB71DB"/>
    <w:rsid w:val="00CB7257"/>
    <w:rsid w:val="00CB73B0"/>
    <w:rsid w:val="00CB74E4"/>
    <w:rsid w:val="00CB7865"/>
    <w:rsid w:val="00CB7991"/>
    <w:rsid w:val="00CB7BD8"/>
    <w:rsid w:val="00CB7C43"/>
    <w:rsid w:val="00CB7EB6"/>
    <w:rsid w:val="00CB7F97"/>
    <w:rsid w:val="00CB7FD9"/>
    <w:rsid w:val="00CC024A"/>
    <w:rsid w:val="00CC04D9"/>
    <w:rsid w:val="00CC0660"/>
    <w:rsid w:val="00CC06B8"/>
    <w:rsid w:val="00CC0706"/>
    <w:rsid w:val="00CC0DDD"/>
    <w:rsid w:val="00CC1091"/>
    <w:rsid w:val="00CC116A"/>
    <w:rsid w:val="00CC12EF"/>
    <w:rsid w:val="00CC18AD"/>
    <w:rsid w:val="00CC192F"/>
    <w:rsid w:val="00CC1A6E"/>
    <w:rsid w:val="00CC1AE0"/>
    <w:rsid w:val="00CC1BB8"/>
    <w:rsid w:val="00CC1CE7"/>
    <w:rsid w:val="00CC1D6A"/>
    <w:rsid w:val="00CC3127"/>
    <w:rsid w:val="00CC31F9"/>
    <w:rsid w:val="00CC3212"/>
    <w:rsid w:val="00CC3224"/>
    <w:rsid w:val="00CC3378"/>
    <w:rsid w:val="00CC34A0"/>
    <w:rsid w:val="00CC36E7"/>
    <w:rsid w:val="00CC38AC"/>
    <w:rsid w:val="00CC3D55"/>
    <w:rsid w:val="00CC3FAE"/>
    <w:rsid w:val="00CC46FA"/>
    <w:rsid w:val="00CC483A"/>
    <w:rsid w:val="00CC48E5"/>
    <w:rsid w:val="00CC49D2"/>
    <w:rsid w:val="00CC4DAB"/>
    <w:rsid w:val="00CC51D9"/>
    <w:rsid w:val="00CC5569"/>
    <w:rsid w:val="00CC559D"/>
    <w:rsid w:val="00CC5B3F"/>
    <w:rsid w:val="00CC5B86"/>
    <w:rsid w:val="00CC5C71"/>
    <w:rsid w:val="00CC5D86"/>
    <w:rsid w:val="00CC5DB5"/>
    <w:rsid w:val="00CC5E0F"/>
    <w:rsid w:val="00CC5E12"/>
    <w:rsid w:val="00CC5F37"/>
    <w:rsid w:val="00CC60D1"/>
    <w:rsid w:val="00CC6594"/>
    <w:rsid w:val="00CC6642"/>
    <w:rsid w:val="00CC68E4"/>
    <w:rsid w:val="00CC69BF"/>
    <w:rsid w:val="00CC6D4B"/>
    <w:rsid w:val="00CC6D95"/>
    <w:rsid w:val="00CC6DDF"/>
    <w:rsid w:val="00CC6E03"/>
    <w:rsid w:val="00CC71BF"/>
    <w:rsid w:val="00CC7591"/>
    <w:rsid w:val="00CC7798"/>
    <w:rsid w:val="00CC7889"/>
    <w:rsid w:val="00CC7A2C"/>
    <w:rsid w:val="00CC7CAE"/>
    <w:rsid w:val="00CC7E89"/>
    <w:rsid w:val="00CD07BB"/>
    <w:rsid w:val="00CD08EA"/>
    <w:rsid w:val="00CD0939"/>
    <w:rsid w:val="00CD0C13"/>
    <w:rsid w:val="00CD11C4"/>
    <w:rsid w:val="00CD17BD"/>
    <w:rsid w:val="00CD1944"/>
    <w:rsid w:val="00CD1B0C"/>
    <w:rsid w:val="00CD1BD9"/>
    <w:rsid w:val="00CD1E83"/>
    <w:rsid w:val="00CD209E"/>
    <w:rsid w:val="00CD2131"/>
    <w:rsid w:val="00CD2368"/>
    <w:rsid w:val="00CD2415"/>
    <w:rsid w:val="00CD243E"/>
    <w:rsid w:val="00CD2462"/>
    <w:rsid w:val="00CD2663"/>
    <w:rsid w:val="00CD281B"/>
    <w:rsid w:val="00CD2843"/>
    <w:rsid w:val="00CD2919"/>
    <w:rsid w:val="00CD2A00"/>
    <w:rsid w:val="00CD2C1E"/>
    <w:rsid w:val="00CD2CED"/>
    <w:rsid w:val="00CD2F64"/>
    <w:rsid w:val="00CD30BD"/>
    <w:rsid w:val="00CD3111"/>
    <w:rsid w:val="00CD335D"/>
    <w:rsid w:val="00CD3E2D"/>
    <w:rsid w:val="00CD4307"/>
    <w:rsid w:val="00CD433D"/>
    <w:rsid w:val="00CD44CE"/>
    <w:rsid w:val="00CD4600"/>
    <w:rsid w:val="00CD4B80"/>
    <w:rsid w:val="00CD4D74"/>
    <w:rsid w:val="00CD4E35"/>
    <w:rsid w:val="00CD4F73"/>
    <w:rsid w:val="00CD4F94"/>
    <w:rsid w:val="00CD4FD2"/>
    <w:rsid w:val="00CD5411"/>
    <w:rsid w:val="00CD54F0"/>
    <w:rsid w:val="00CD558E"/>
    <w:rsid w:val="00CD56EE"/>
    <w:rsid w:val="00CD58E6"/>
    <w:rsid w:val="00CD594E"/>
    <w:rsid w:val="00CD5A6D"/>
    <w:rsid w:val="00CD5E18"/>
    <w:rsid w:val="00CD5F42"/>
    <w:rsid w:val="00CD6028"/>
    <w:rsid w:val="00CD611B"/>
    <w:rsid w:val="00CD63DA"/>
    <w:rsid w:val="00CD63F0"/>
    <w:rsid w:val="00CD6510"/>
    <w:rsid w:val="00CD654B"/>
    <w:rsid w:val="00CD658E"/>
    <w:rsid w:val="00CD6735"/>
    <w:rsid w:val="00CD68C5"/>
    <w:rsid w:val="00CD6AA1"/>
    <w:rsid w:val="00CD6ED8"/>
    <w:rsid w:val="00CD70BB"/>
    <w:rsid w:val="00CD738B"/>
    <w:rsid w:val="00CD7513"/>
    <w:rsid w:val="00CD751C"/>
    <w:rsid w:val="00CD756F"/>
    <w:rsid w:val="00CD77D9"/>
    <w:rsid w:val="00CD7842"/>
    <w:rsid w:val="00CE0028"/>
    <w:rsid w:val="00CE00EB"/>
    <w:rsid w:val="00CE0397"/>
    <w:rsid w:val="00CE05C5"/>
    <w:rsid w:val="00CE05DC"/>
    <w:rsid w:val="00CE09F5"/>
    <w:rsid w:val="00CE1030"/>
    <w:rsid w:val="00CE1181"/>
    <w:rsid w:val="00CE11FD"/>
    <w:rsid w:val="00CE14B3"/>
    <w:rsid w:val="00CE1554"/>
    <w:rsid w:val="00CE1C82"/>
    <w:rsid w:val="00CE1F72"/>
    <w:rsid w:val="00CE223E"/>
    <w:rsid w:val="00CE22AD"/>
    <w:rsid w:val="00CE242A"/>
    <w:rsid w:val="00CE2630"/>
    <w:rsid w:val="00CE2741"/>
    <w:rsid w:val="00CE28AC"/>
    <w:rsid w:val="00CE2D2F"/>
    <w:rsid w:val="00CE2EBA"/>
    <w:rsid w:val="00CE31CD"/>
    <w:rsid w:val="00CE350A"/>
    <w:rsid w:val="00CE3559"/>
    <w:rsid w:val="00CE3A02"/>
    <w:rsid w:val="00CE3FF9"/>
    <w:rsid w:val="00CE4215"/>
    <w:rsid w:val="00CE421E"/>
    <w:rsid w:val="00CE4433"/>
    <w:rsid w:val="00CE44A8"/>
    <w:rsid w:val="00CE47DC"/>
    <w:rsid w:val="00CE4999"/>
    <w:rsid w:val="00CE4D0D"/>
    <w:rsid w:val="00CE4E22"/>
    <w:rsid w:val="00CE5364"/>
    <w:rsid w:val="00CE5535"/>
    <w:rsid w:val="00CE55C6"/>
    <w:rsid w:val="00CE56A8"/>
    <w:rsid w:val="00CE56FA"/>
    <w:rsid w:val="00CE5B95"/>
    <w:rsid w:val="00CE5FBE"/>
    <w:rsid w:val="00CE600E"/>
    <w:rsid w:val="00CE60A3"/>
    <w:rsid w:val="00CE6257"/>
    <w:rsid w:val="00CE662F"/>
    <w:rsid w:val="00CE6733"/>
    <w:rsid w:val="00CE6B3C"/>
    <w:rsid w:val="00CE6B45"/>
    <w:rsid w:val="00CE735B"/>
    <w:rsid w:val="00CE73ED"/>
    <w:rsid w:val="00CE756C"/>
    <w:rsid w:val="00CE7A13"/>
    <w:rsid w:val="00CE7A45"/>
    <w:rsid w:val="00CE7AB2"/>
    <w:rsid w:val="00CE7B3A"/>
    <w:rsid w:val="00CE7E12"/>
    <w:rsid w:val="00CF0061"/>
    <w:rsid w:val="00CF00FD"/>
    <w:rsid w:val="00CF0157"/>
    <w:rsid w:val="00CF0228"/>
    <w:rsid w:val="00CF02A0"/>
    <w:rsid w:val="00CF02AE"/>
    <w:rsid w:val="00CF0319"/>
    <w:rsid w:val="00CF05FB"/>
    <w:rsid w:val="00CF0677"/>
    <w:rsid w:val="00CF0797"/>
    <w:rsid w:val="00CF07F1"/>
    <w:rsid w:val="00CF0AFF"/>
    <w:rsid w:val="00CF0B5A"/>
    <w:rsid w:val="00CF0E18"/>
    <w:rsid w:val="00CF0E91"/>
    <w:rsid w:val="00CF0F25"/>
    <w:rsid w:val="00CF0F88"/>
    <w:rsid w:val="00CF0FE2"/>
    <w:rsid w:val="00CF1241"/>
    <w:rsid w:val="00CF1248"/>
    <w:rsid w:val="00CF128C"/>
    <w:rsid w:val="00CF1349"/>
    <w:rsid w:val="00CF14D9"/>
    <w:rsid w:val="00CF14DD"/>
    <w:rsid w:val="00CF19D9"/>
    <w:rsid w:val="00CF2414"/>
    <w:rsid w:val="00CF2AB5"/>
    <w:rsid w:val="00CF2B72"/>
    <w:rsid w:val="00CF2B94"/>
    <w:rsid w:val="00CF2C7D"/>
    <w:rsid w:val="00CF37DF"/>
    <w:rsid w:val="00CF3812"/>
    <w:rsid w:val="00CF3841"/>
    <w:rsid w:val="00CF39B8"/>
    <w:rsid w:val="00CF3A79"/>
    <w:rsid w:val="00CF3B2E"/>
    <w:rsid w:val="00CF3F0D"/>
    <w:rsid w:val="00CF3F4A"/>
    <w:rsid w:val="00CF3FDB"/>
    <w:rsid w:val="00CF4037"/>
    <w:rsid w:val="00CF42D2"/>
    <w:rsid w:val="00CF439C"/>
    <w:rsid w:val="00CF44ED"/>
    <w:rsid w:val="00CF451C"/>
    <w:rsid w:val="00CF4DAD"/>
    <w:rsid w:val="00CF4E61"/>
    <w:rsid w:val="00CF5006"/>
    <w:rsid w:val="00CF504A"/>
    <w:rsid w:val="00CF5203"/>
    <w:rsid w:val="00CF5241"/>
    <w:rsid w:val="00CF549C"/>
    <w:rsid w:val="00CF5572"/>
    <w:rsid w:val="00CF5952"/>
    <w:rsid w:val="00CF5B5E"/>
    <w:rsid w:val="00CF5B93"/>
    <w:rsid w:val="00CF5FAA"/>
    <w:rsid w:val="00CF631E"/>
    <w:rsid w:val="00CF6351"/>
    <w:rsid w:val="00CF63D1"/>
    <w:rsid w:val="00CF6440"/>
    <w:rsid w:val="00CF6581"/>
    <w:rsid w:val="00CF65A5"/>
    <w:rsid w:val="00CF6DD4"/>
    <w:rsid w:val="00CF6F4C"/>
    <w:rsid w:val="00CF733B"/>
    <w:rsid w:val="00CF73F1"/>
    <w:rsid w:val="00CF75AE"/>
    <w:rsid w:val="00CF7801"/>
    <w:rsid w:val="00CF79DD"/>
    <w:rsid w:val="00CF7B14"/>
    <w:rsid w:val="00CF7D6E"/>
    <w:rsid w:val="00CF7DCC"/>
    <w:rsid w:val="00D00465"/>
    <w:rsid w:val="00D00952"/>
    <w:rsid w:val="00D00AFA"/>
    <w:rsid w:val="00D00EFB"/>
    <w:rsid w:val="00D01178"/>
    <w:rsid w:val="00D01378"/>
    <w:rsid w:val="00D0140B"/>
    <w:rsid w:val="00D0141D"/>
    <w:rsid w:val="00D01557"/>
    <w:rsid w:val="00D015C2"/>
    <w:rsid w:val="00D0182D"/>
    <w:rsid w:val="00D01949"/>
    <w:rsid w:val="00D01F35"/>
    <w:rsid w:val="00D01FB3"/>
    <w:rsid w:val="00D01FFB"/>
    <w:rsid w:val="00D022C5"/>
    <w:rsid w:val="00D024B2"/>
    <w:rsid w:val="00D02540"/>
    <w:rsid w:val="00D02796"/>
    <w:rsid w:val="00D02E7F"/>
    <w:rsid w:val="00D03081"/>
    <w:rsid w:val="00D03381"/>
    <w:rsid w:val="00D033EB"/>
    <w:rsid w:val="00D03427"/>
    <w:rsid w:val="00D03429"/>
    <w:rsid w:val="00D03442"/>
    <w:rsid w:val="00D03570"/>
    <w:rsid w:val="00D03C91"/>
    <w:rsid w:val="00D03CAA"/>
    <w:rsid w:val="00D03DF4"/>
    <w:rsid w:val="00D03E68"/>
    <w:rsid w:val="00D03F6E"/>
    <w:rsid w:val="00D03FB3"/>
    <w:rsid w:val="00D0411E"/>
    <w:rsid w:val="00D04238"/>
    <w:rsid w:val="00D0425B"/>
    <w:rsid w:val="00D043CD"/>
    <w:rsid w:val="00D0452D"/>
    <w:rsid w:val="00D047B5"/>
    <w:rsid w:val="00D04AD2"/>
    <w:rsid w:val="00D04D22"/>
    <w:rsid w:val="00D04D74"/>
    <w:rsid w:val="00D04DAE"/>
    <w:rsid w:val="00D04DFB"/>
    <w:rsid w:val="00D05383"/>
    <w:rsid w:val="00D054A1"/>
    <w:rsid w:val="00D054D9"/>
    <w:rsid w:val="00D05619"/>
    <w:rsid w:val="00D05ADB"/>
    <w:rsid w:val="00D06107"/>
    <w:rsid w:val="00D06112"/>
    <w:rsid w:val="00D06280"/>
    <w:rsid w:val="00D064B0"/>
    <w:rsid w:val="00D06697"/>
    <w:rsid w:val="00D0669B"/>
    <w:rsid w:val="00D067DB"/>
    <w:rsid w:val="00D068A3"/>
    <w:rsid w:val="00D069FC"/>
    <w:rsid w:val="00D06BE7"/>
    <w:rsid w:val="00D06E2C"/>
    <w:rsid w:val="00D06E7A"/>
    <w:rsid w:val="00D072BE"/>
    <w:rsid w:val="00D075EA"/>
    <w:rsid w:val="00D0799F"/>
    <w:rsid w:val="00D07B7B"/>
    <w:rsid w:val="00D07C28"/>
    <w:rsid w:val="00D07D57"/>
    <w:rsid w:val="00D07E48"/>
    <w:rsid w:val="00D1002F"/>
    <w:rsid w:val="00D100F5"/>
    <w:rsid w:val="00D10101"/>
    <w:rsid w:val="00D101F7"/>
    <w:rsid w:val="00D1053F"/>
    <w:rsid w:val="00D10582"/>
    <w:rsid w:val="00D1071B"/>
    <w:rsid w:val="00D10748"/>
    <w:rsid w:val="00D10DFA"/>
    <w:rsid w:val="00D11518"/>
    <w:rsid w:val="00D11CFE"/>
    <w:rsid w:val="00D11D0B"/>
    <w:rsid w:val="00D120F0"/>
    <w:rsid w:val="00D1225F"/>
    <w:rsid w:val="00D124B9"/>
    <w:rsid w:val="00D12543"/>
    <w:rsid w:val="00D125FC"/>
    <w:rsid w:val="00D1288B"/>
    <w:rsid w:val="00D12E2D"/>
    <w:rsid w:val="00D13058"/>
    <w:rsid w:val="00D13066"/>
    <w:rsid w:val="00D13C2A"/>
    <w:rsid w:val="00D14218"/>
    <w:rsid w:val="00D143C6"/>
    <w:rsid w:val="00D14565"/>
    <w:rsid w:val="00D145F5"/>
    <w:rsid w:val="00D14A0A"/>
    <w:rsid w:val="00D14AB5"/>
    <w:rsid w:val="00D14B62"/>
    <w:rsid w:val="00D14C26"/>
    <w:rsid w:val="00D14FEE"/>
    <w:rsid w:val="00D1539F"/>
    <w:rsid w:val="00D15414"/>
    <w:rsid w:val="00D155FA"/>
    <w:rsid w:val="00D1564B"/>
    <w:rsid w:val="00D15F1F"/>
    <w:rsid w:val="00D15F72"/>
    <w:rsid w:val="00D1609B"/>
    <w:rsid w:val="00D163A2"/>
    <w:rsid w:val="00D1643D"/>
    <w:rsid w:val="00D165F8"/>
    <w:rsid w:val="00D167C7"/>
    <w:rsid w:val="00D16808"/>
    <w:rsid w:val="00D16F9F"/>
    <w:rsid w:val="00D17085"/>
    <w:rsid w:val="00D172BE"/>
    <w:rsid w:val="00D172F6"/>
    <w:rsid w:val="00D17962"/>
    <w:rsid w:val="00D17CB5"/>
    <w:rsid w:val="00D17E35"/>
    <w:rsid w:val="00D17E4D"/>
    <w:rsid w:val="00D20172"/>
    <w:rsid w:val="00D201D0"/>
    <w:rsid w:val="00D206F2"/>
    <w:rsid w:val="00D20765"/>
    <w:rsid w:val="00D209CB"/>
    <w:rsid w:val="00D20A50"/>
    <w:rsid w:val="00D20A9C"/>
    <w:rsid w:val="00D20AC1"/>
    <w:rsid w:val="00D20C8B"/>
    <w:rsid w:val="00D20EB1"/>
    <w:rsid w:val="00D21346"/>
    <w:rsid w:val="00D21349"/>
    <w:rsid w:val="00D21378"/>
    <w:rsid w:val="00D21467"/>
    <w:rsid w:val="00D215E0"/>
    <w:rsid w:val="00D216D6"/>
    <w:rsid w:val="00D2177B"/>
    <w:rsid w:val="00D21BD1"/>
    <w:rsid w:val="00D21CC3"/>
    <w:rsid w:val="00D2228F"/>
    <w:rsid w:val="00D22610"/>
    <w:rsid w:val="00D22692"/>
    <w:rsid w:val="00D226D1"/>
    <w:rsid w:val="00D22A13"/>
    <w:rsid w:val="00D23AE2"/>
    <w:rsid w:val="00D23C3A"/>
    <w:rsid w:val="00D23E75"/>
    <w:rsid w:val="00D23FDC"/>
    <w:rsid w:val="00D241C0"/>
    <w:rsid w:val="00D2436B"/>
    <w:rsid w:val="00D246F3"/>
    <w:rsid w:val="00D24778"/>
    <w:rsid w:val="00D24AEE"/>
    <w:rsid w:val="00D24E9C"/>
    <w:rsid w:val="00D250A6"/>
    <w:rsid w:val="00D25424"/>
    <w:rsid w:val="00D2551B"/>
    <w:rsid w:val="00D25592"/>
    <w:rsid w:val="00D255DF"/>
    <w:rsid w:val="00D25722"/>
    <w:rsid w:val="00D25A26"/>
    <w:rsid w:val="00D25BA5"/>
    <w:rsid w:val="00D25CB8"/>
    <w:rsid w:val="00D26056"/>
    <w:rsid w:val="00D26263"/>
    <w:rsid w:val="00D266EF"/>
    <w:rsid w:val="00D26708"/>
    <w:rsid w:val="00D2679A"/>
    <w:rsid w:val="00D26C03"/>
    <w:rsid w:val="00D26D9D"/>
    <w:rsid w:val="00D26DF2"/>
    <w:rsid w:val="00D26EB8"/>
    <w:rsid w:val="00D27046"/>
    <w:rsid w:val="00D27218"/>
    <w:rsid w:val="00D2733F"/>
    <w:rsid w:val="00D27415"/>
    <w:rsid w:val="00D27543"/>
    <w:rsid w:val="00D27FB0"/>
    <w:rsid w:val="00D30090"/>
    <w:rsid w:val="00D304B4"/>
    <w:rsid w:val="00D30C66"/>
    <w:rsid w:val="00D30D1F"/>
    <w:rsid w:val="00D30E3C"/>
    <w:rsid w:val="00D31122"/>
    <w:rsid w:val="00D311EB"/>
    <w:rsid w:val="00D31229"/>
    <w:rsid w:val="00D31475"/>
    <w:rsid w:val="00D316A1"/>
    <w:rsid w:val="00D31849"/>
    <w:rsid w:val="00D31AE9"/>
    <w:rsid w:val="00D31E21"/>
    <w:rsid w:val="00D31E5C"/>
    <w:rsid w:val="00D3228F"/>
    <w:rsid w:val="00D324C2"/>
    <w:rsid w:val="00D326F3"/>
    <w:rsid w:val="00D32709"/>
    <w:rsid w:val="00D327B5"/>
    <w:rsid w:val="00D327D6"/>
    <w:rsid w:val="00D329F1"/>
    <w:rsid w:val="00D32E50"/>
    <w:rsid w:val="00D32EB8"/>
    <w:rsid w:val="00D32FC2"/>
    <w:rsid w:val="00D32FE7"/>
    <w:rsid w:val="00D33029"/>
    <w:rsid w:val="00D33063"/>
    <w:rsid w:val="00D332A7"/>
    <w:rsid w:val="00D33327"/>
    <w:rsid w:val="00D33541"/>
    <w:rsid w:val="00D33619"/>
    <w:rsid w:val="00D336C4"/>
    <w:rsid w:val="00D33701"/>
    <w:rsid w:val="00D33944"/>
    <w:rsid w:val="00D33960"/>
    <w:rsid w:val="00D33AB8"/>
    <w:rsid w:val="00D33C60"/>
    <w:rsid w:val="00D33C76"/>
    <w:rsid w:val="00D33D3C"/>
    <w:rsid w:val="00D33E9B"/>
    <w:rsid w:val="00D33F81"/>
    <w:rsid w:val="00D340EF"/>
    <w:rsid w:val="00D34276"/>
    <w:rsid w:val="00D34585"/>
    <w:rsid w:val="00D345A0"/>
    <w:rsid w:val="00D3478C"/>
    <w:rsid w:val="00D34839"/>
    <w:rsid w:val="00D34D5B"/>
    <w:rsid w:val="00D34F31"/>
    <w:rsid w:val="00D355F0"/>
    <w:rsid w:val="00D3561A"/>
    <w:rsid w:val="00D35656"/>
    <w:rsid w:val="00D360B0"/>
    <w:rsid w:val="00D3612D"/>
    <w:rsid w:val="00D36291"/>
    <w:rsid w:val="00D36620"/>
    <w:rsid w:val="00D36B53"/>
    <w:rsid w:val="00D36F6B"/>
    <w:rsid w:val="00D3704C"/>
    <w:rsid w:val="00D37379"/>
    <w:rsid w:val="00D37594"/>
    <w:rsid w:val="00D376F1"/>
    <w:rsid w:val="00D37766"/>
    <w:rsid w:val="00D37893"/>
    <w:rsid w:val="00D37983"/>
    <w:rsid w:val="00D379E7"/>
    <w:rsid w:val="00D37C07"/>
    <w:rsid w:val="00D37E35"/>
    <w:rsid w:val="00D37F7B"/>
    <w:rsid w:val="00D40518"/>
    <w:rsid w:val="00D40651"/>
    <w:rsid w:val="00D40725"/>
    <w:rsid w:val="00D40A54"/>
    <w:rsid w:val="00D40CCD"/>
    <w:rsid w:val="00D41010"/>
    <w:rsid w:val="00D41032"/>
    <w:rsid w:val="00D41323"/>
    <w:rsid w:val="00D4150C"/>
    <w:rsid w:val="00D41539"/>
    <w:rsid w:val="00D41F20"/>
    <w:rsid w:val="00D426A5"/>
    <w:rsid w:val="00D42C1C"/>
    <w:rsid w:val="00D42CC0"/>
    <w:rsid w:val="00D42E70"/>
    <w:rsid w:val="00D4304D"/>
    <w:rsid w:val="00D43AC8"/>
    <w:rsid w:val="00D43F5B"/>
    <w:rsid w:val="00D43FBD"/>
    <w:rsid w:val="00D440E8"/>
    <w:rsid w:val="00D448CA"/>
    <w:rsid w:val="00D449F5"/>
    <w:rsid w:val="00D44DE4"/>
    <w:rsid w:val="00D44F0B"/>
    <w:rsid w:val="00D4527B"/>
    <w:rsid w:val="00D45285"/>
    <w:rsid w:val="00D4560F"/>
    <w:rsid w:val="00D456DD"/>
    <w:rsid w:val="00D458CB"/>
    <w:rsid w:val="00D45A42"/>
    <w:rsid w:val="00D45C19"/>
    <w:rsid w:val="00D45C46"/>
    <w:rsid w:val="00D45D6C"/>
    <w:rsid w:val="00D4608C"/>
    <w:rsid w:val="00D463C5"/>
    <w:rsid w:val="00D46486"/>
    <w:rsid w:val="00D46889"/>
    <w:rsid w:val="00D46A87"/>
    <w:rsid w:val="00D46AED"/>
    <w:rsid w:val="00D46F5F"/>
    <w:rsid w:val="00D46FF1"/>
    <w:rsid w:val="00D47060"/>
    <w:rsid w:val="00D470B5"/>
    <w:rsid w:val="00D47554"/>
    <w:rsid w:val="00D475FA"/>
    <w:rsid w:val="00D475FF"/>
    <w:rsid w:val="00D4797B"/>
    <w:rsid w:val="00D47D01"/>
    <w:rsid w:val="00D47D52"/>
    <w:rsid w:val="00D47F8F"/>
    <w:rsid w:val="00D5009D"/>
    <w:rsid w:val="00D50269"/>
    <w:rsid w:val="00D50373"/>
    <w:rsid w:val="00D50692"/>
    <w:rsid w:val="00D50879"/>
    <w:rsid w:val="00D508F6"/>
    <w:rsid w:val="00D50910"/>
    <w:rsid w:val="00D50C2F"/>
    <w:rsid w:val="00D50CD6"/>
    <w:rsid w:val="00D50CDA"/>
    <w:rsid w:val="00D50E2C"/>
    <w:rsid w:val="00D50E6D"/>
    <w:rsid w:val="00D51190"/>
    <w:rsid w:val="00D51354"/>
    <w:rsid w:val="00D51610"/>
    <w:rsid w:val="00D51969"/>
    <w:rsid w:val="00D51A32"/>
    <w:rsid w:val="00D51A45"/>
    <w:rsid w:val="00D51A52"/>
    <w:rsid w:val="00D51C65"/>
    <w:rsid w:val="00D51F36"/>
    <w:rsid w:val="00D5216E"/>
    <w:rsid w:val="00D52332"/>
    <w:rsid w:val="00D5246C"/>
    <w:rsid w:val="00D52A5E"/>
    <w:rsid w:val="00D52A9D"/>
    <w:rsid w:val="00D52DEE"/>
    <w:rsid w:val="00D53011"/>
    <w:rsid w:val="00D530AA"/>
    <w:rsid w:val="00D530BA"/>
    <w:rsid w:val="00D531DC"/>
    <w:rsid w:val="00D53524"/>
    <w:rsid w:val="00D53627"/>
    <w:rsid w:val="00D536DA"/>
    <w:rsid w:val="00D536E5"/>
    <w:rsid w:val="00D53759"/>
    <w:rsid w:val="00D537D4"/>
    <w:rsid w:val="00D53891"/>
    <w:rsid w:val="00D53DCD"/>
    <w:rsid w:val="00D53F78"/>
    <w:rsid w:val="00D5418D"/>
    <w:rsid w:val="00D54364"/>
    <w:rsid w:val="00D54602"/>
    <w:rsid w:val="00D54648"/>
    <w:rsid w:val="00D546A4"/>
    <w:rsid w:val="00D5490A"/>
    <w:rsid w:val="00D54B5F"/>
    <w:rsid w:val="00D54B60"/>
    <w:rsid w:val="00D54BE1"/>
    <w:rsid w:val="00D54D1D"/>
    <w:rsid w:val="00D54D54"/>
    <w:rsid w:val="00D54F33"/>
    <w:rsid w:val="00D54FFD"/>
    <w:rsid w:val="00D553DE"/>
    <w:rsid w:val="00D55477"/>
    <w:rsid w:val="00D5549F"/>
    <w:rsid w:val="00D55932"/>
    <w:rsid w:val="00D55FEF"/>
    <w:rsid w:val="00D56113"/>
    <w:rsid w:val="00D56227"/>
    <w:rsid w:val="00D56245"/>
    <w:rsid w:val="00D5631B"/>
    <w:rsid w:val="00D565BB"/>
    <w:rsid w:val="00D566A7"/>
    <w:rsid w:val="00D56908"/>
    <w:rsid w:val="00D56911"/>
    <w:rsid w:val="00D56A6E"/>
    <w:rsid w:val="00D56B0C"/>
    <w:rsid w:val="00D57142"/>
    <w:rsid w:val="00D57147"/>
    <w:rsid w:val="00D573B4"/>
    <w:rsid w:val="00D57C55"/>
    <w:rsid w:val="00D57F9B"/>
    <w:rsid w:val="00D6016D"/>
    <w:rsid w:val="00D6025D"/>
    <w:rsid w:val="00D603E7"/>
    <w:rsid w:val="00D60466"/>
    <w:rsid w:val="00D604B3"/>
    <w:rsid w:val="00D60D55"/>
    <w:rsid w:val="00D60E7A"/>
    <w:rsid w:val="00D60EB2"/>
    <w:rsid w:val="00D6125D"/>
    <w:rsid w:val="00D612CF"/>
    <w:rsid w:val="00D613A8"/>
    <w:rsid w:val="00D614BB"/>
    <w:rsid w:val="00D615EA"/>
    <w:rsid w:val="00D61647"/>
    <w:rsid w:val="00D619C8"/>
    <w:rsid w:val="00D619D7"/>
    <w:rsid w:val="00D61B95"/>
    <w:rsid w:val="00D61D57"/>
    <w:rsid w:val="00D620D0"/>
    <w:rsid w:val="00D62125"/>
    <w:rsid w:val="00D62292"/>
    <w:rsid w:val="00D622B0"/>
    <w:rsid w:val="00D62414"/>
    <w:rsid w:val="00D6246D"/>
    <w:rsid w:val="00D62486"/>
    <w:rsid w:val="00D62499"/>
    <w:rsid w:val="00D6254E"/>
    <w:rsid w:val="00D62C4E"/>
    <w:rsid w:val="00D62D57"/>
    <w:rsid w:val="00D62F46"/>
    <w:rsid w:val="00D6308A"/>
    <w:rsid w:val="00D630CD"/>
    <w:rsid w:val="00D63130"/>
    <w:rsid w:val="00D6329D"/>
    <w:rsid w:val="00D6341A"/>
    <w:rsid w:val="00D637DB"/>
    <w:rsid w:val="00D63BFE"/>
    <w:rsid w:val="00D63E81"/>
    <w:rsid w:val="00D63F46"/>
    <w:rsid w:val="00D6402B"/>
    <w:rsid w:val="00D6415C"/>
    <w:rsid w:val="00D643F4"/>
    <w:rsid w:val="00D644F5"/>
    <w:rsid w:val="00D6491C"/>
    <w:rsid w:val="00D64C8B"/>
    <w:rsid w:val="00D64CEC"/>
    <w:rsid w:val="00D64DEE"/>
    <w:rsid w:val="00D64E19"/>
    <w:rsid w:val="00D652DB"/>
    <w:rsid w:val="00D653E4"/>
    <w:rsid w:val="00D6548A"/>
    <w:rsid w:val="00D654E8"/>
    <w:rsid w:val="00D65652"/>
    <w:rsid w:val="00D6567B"/>
    <w:rsid w:val="00D656B0"/>
    <w:rsid w:val="00D65CBB"/>
    <w:rsid w:val="00D65D66"/>
    <w:rsid w:val="00D65DEC"/>
    <w:rsid w:val="00D65F8F"/>
    <w:rsid w:val="00D66651"/>
    <w:rsid w:val="00D666D3"/>
    <w:rsid w:val="00D668A4"/>
    <w:rsid w:val="00D66945"/>
    <w:rsid w:val="00D66AAD"/>
    <w:rsid w:val="00D66B66"/>
    <w:rsid w:val="00D66E0B"/>
    <w:rsid w:val="00D66EE0"/>
    <w:rsid w:val="00D66FEB"/>
    <w:rsid w:val="00D6729D"/>
    <w:rsid w:val="00D672BA"/>
    <w:rsid w:val="00D67717"/>
    <w:rsid w:val="00D6794C"/>
    <w:rsid w:val="00D679D3"/>
    <w:rsid w:val="00D67CF1"/>
    <w:rsid w:val="00D67D58"/>
    <w:rsid w:val="00D67F27"/>
    <w:rsid w:val="00D67F3E"/>
    <w:rsid w:val="00D70461"/>
    <w:rsid w:val="00D70658"/>
    <w:rsid w:val="00D709B0"/>
    <w:rsid w:val="00D709CD"/>
    <w:rsid w:val="00D70B4D"/>
    <w:rsid w:val="00D70CD0"/>
    <w:rsid w:val="00D70CFB"/>
    <w:rsid w:val="00D70F4F"/>
    <w:rsid w:val="00D70F66"/>
    <w:rsid w:val="00D712F0"/>
    <w:rsid w:val="00D714C7"/>
    <w:rsid w:val="00D71501"/>
    <w:rsid w:val="00D7153C"/>
    <w:rsid w:val="00D71640"/>
    <w:rsid w:val="00D716A1"/>
    <w:rsid w:val="00D716AC"/>
    <w:rsid w:val="00D717CF"/>
    <w:rsid w:val="00D71D52"/>
    <w:rsid w:val="00D71EFB"/>
    <w:rsid w:val="00D724D9"/>
    <w:rsid w:val="00D72A02"/>
    <w:rsid w:val="00D72AD5"/>
    <w:rsid w:val="00D72E79"/>
    <w:rsid w:val="00D730D1"/>
    <w:rsid w:val="00D73173"/>
    <w:rsid w:val="00D7359A"/>
    <w:rsid w:val="00D738E0"/>
    <w:rsid w:val="00D739B9"/>
    <w:rsid w:val="00D73B14"/>
    <w:rsid w:val="00D73DD0"/>
    <w:rsid w:val="00D740DA"/>
    <w:rsid w:val="00D74122"/>
    <w:rsid w:val="00D74187"/>
    <w:rsid w:val="00D74526"/>
    <w:rsid w:val="00D74631"/>
    <w:rsid w:val="00D74DA0"/>
    <w:rsid w:val="00D74EE6"/>
    <w:rsid w:val="00D7518E"/>
    <w:rsid w:val="00D75308"/>
    <w:rsid w:val="00D7539C"/>
    <w:rsid w:val="00D756D7"/>
    <w:rsid w:val="00D75C3D"/>
    <w:rsid w:val="00D75C8E"/>
    <w:rsid w:val="00D75CBE"/>
    <w:rsid w:val="00D75DD5"/>
    <w:rsid w:val="00D75F81"/>
    <w:rsid w:val="00D75FA7"/>
    <w:rsid w:val="00D75FA9"/>
    <w:rsid w:val="00D762AB"/>
    <w:rsid w:val="00D7635B"/>
    <w:rsid w:val="00D767DC"/>
    <w:rsid w:val="00D76823"/>
    <w:rsid w:val="00D76A96"/>
    <w:rsid w:val="00D76C77"/>
    <w:rsid w:val="00D76FB4"/>
    <w:rsid w:val="00D7701E"/>
    <w:rsid w:val="00D77068"/>
    <w:rsid w:val="00D77668"/>
    <w:rsid w:val="00D7767C"/>
    <w:rsid w:val="00D7788E"/>
    <w:rsid w:val="00D77FDB"/>
    <w:rsid w:val="00D803FE"/>
    <w:rsid w:val="00D80415"/>
    <w:rsid w:val="00D80425"/>
    <w:rsid w:val="00D80773"/>
    <w:rsid w:val="00D808B4"/>
    <w:rsid w:val="00D80A12"/>
    <w:rsid w:val="00D80BC9"/>
    <w:rsid w:val="00D80ED7"/>
    <w:rsid w:val="00D81172"/>
    <w:rsid w:val="00D8175A"/>
    <w:rsid w:val="00D818F8"/>
    <w:rsid w:val="00D819B7"/>
    <w:rsid w:val="00D81A6B"/>
    <w:rsid w:val="00D81B3D"/>
    <w:rsid w:val="00D81BA4"/>
    <w:rsid w:val="00D81DB4"/>
    <w:rsid w:val="00D82050"/>
    <w:rsid w:val="00D82089"/>
    <w:rsid w:val="00D82152"/>
    <w:rsid w:val="00D82421"/>
    <w:rsid w:val="00D82586"/>
    <w:rsid w:val="00D827E0"/>
    <w:rsid w:val="00D829A7"/>
    <w:rsid w:val="00D82AA7"/>
    <w:rsid w:val="00D82D46"/>
    <w:rsid w:val="00D82DA9"/>
    <w:rsid w:val="00D82E45"/>
    <w:rsid w:val="00D82FAF"/>
    <w:rsid w:val="00D830E1"/>
    <w:rsid w:val="00D833D9"/>
    <w:rsid w:val="00D835F2"/>
    <w:rsid w:val="00D83866"/>
    <w:rsid w:val="00D83A6C"/>
    <w:rsid w:val="00D83BD9"/>
    <w:rsid w:val="00D8414F"/>
    <w:rsid w:val="00D84298"/>
    <w:rsid w:val="00D84353"/>
    <w:rsid w:val="00D84532"/>
    <w:rsid w:val="00D846BA"/>
    <w:rsid w:val="00D84708"/>
    <w:rsid w:val="00D84BE3"/>
    <w:rsid w:val="00D84C8B"/>
    <w:rsid w:val="00D84E70"/>
    <w:rsid w:val="00D84F2A"/>
    <w:rsid w:val="00D85191"/>
    <w:rsid w:val="00D85379"/>
    <w:rsid w:val="00D853DB"/>
    <w:rsid w:val="00D855AB"/>
    <w:rsid w:val="00D85D7D"/>
    <w:rsid w:val="00D85E04"/>
    <w:rsid w:val="00D85FE5"/>
    <w:rsid w:val="00D86194"/>
    <w:rsid w:val="00D861E9"/>
    <w:rsid w:val="00D866DC"/>
    <w:rsid w:val="00D86B72"/>
    <w:rsid w:val="00D86FA0"/>
    <w:rsid w:val="00D872D3"/>
    <w:rsid w:val="00D8734F"/>
    <w:rsid w:val="00D873D4"/>
    <w:rsid w:val="00D87529"/>
    <w:rsid w:val="00D8777B"/>
    <w:rsid w:val="00D87782"/>
    <w:rsid w:val="00D87E4F"/>
    <w:rsid w:val="00D90251"/>
    <w:rsid w:val="00D90277"/>
    <w:rsid w:val="00D90308"/>
    <w:rsid w:val="00D90528"/>
    <w:rsid w:val="00D90565"/>
    <w:rsid w:val="00D90626"/>
    <w:rsid w:val="00D90697"/>
    <w:rsid w:val="00D907F8"/>
    <w:rsid w:val="00D90891"/>
    <w:rsid w:val="00D909C5"/>
    <w:rsid w:val="00D90A32"/>
    <w:rsid w:val="00D90AE0"/>
    <w:rsid w:val="00D90B47"/>
    <w:rsid w:val="00D90B5F"/>
    <w:rsid w:val="00D90B81"/>
    <w:rsid w:val="00D90CA8"/>
    <w:rsid w:val="00D90DB7"/>
    <w:rsid w:val="00D90E1F"/>
    <w:rsid w:val="00D90EDB"/>
    <w:rsid w:val="00D90FA7"/>
    <w:rsid w:val="00D90FD6"/>
    <w:rsid w:val="00D911D1"/>
    <w:rsid w:val="00D91523"/>
    <w:rsid w:val="00D917D7"/>
    <w:rsid w:val="00D91A00"/>
    <w:rsid w:val="00D91B3A"/>
    <w:rsid w:val="00D91D35"/>
    <w:rsid w:val="00D920E1"/>
    <w:rsid w:val="00D92426"/>
    <w:rsid w:val="00D924B4"/>
    <w:rsid w:val="00D924CC"/>
    <w:rsid w:val="00D9255D"/>
    <w:rsid w:val="00D92996"/>
    <w:rsid w:val="00D929E7"/>
    <w:rsid w:val="00D929FF"/>
    <w:rsid w:val="00D92AF0"/>
    <w:rsid w:val="00D92BC6"/>
    <w:rsid w:val="00D92C45"/>
    <w:rsid w:val="00D92DA4"/>
    <w:rsid w:val="00D92E8A"/>
    <w:rsid w:val="00D931E6"/>
    <w:rsid w:val="00D933F1"/>
    <w:rsid w:val="00D9342D"/>
    <w:rsid w:val="00D939A5"/>
    <w:rsid w:val="00D93A8B"/>
    <w:rsid w:val="00D93CA0"/>
    <w:rsid w:val="00D945D1"/>
    <w:rsid w:val="00D945D6"/>
    <w:rsid w:val="00D945DC"/>
    <w:rsid w:val="00D94638"/>
    <w:rsid w:val="00D94698"/>
    <w:rsid w:val="00D9477D"/>
    <w:rsid w:val="00D94C37"/>
    <w:rsid w:val="00D94D70"/>
    <w:rsid w:val="00D94DCF"/>
    <w:rsid w:val="00D94E0F"/>
    <w:rsid w:val="00D94EAE"/>
    <w:rsid w:val="00D951E7"/>
    <w:rsid w:val="00D95726"/>
    <w:rsid w:val="00D9578C"/>
    <w:rsid w:val="00D95AA4"/>
    <w:rsid w:val="00D95C74"/>
    <w:rsid w:val="00D95E17"/>
    <w:rsid w:val="00D95E66"/>
    <w:rsid w:val="00D96154"/>
    <w:rsid w:val="00D96CAB"/>
    <w:rsid w:val="00D96D0E"/>
    <w:rsid w:val="00D97691"/>
    <w:rsid w:val="00D97778"/>
    <w:rsid w:val="00D977C2"/>
    <w:rsid w:val="00D977F0"/>
    <w:rsid w:val="00D9799D"/>
    <w:rsid w:val="00D97B29"/>
    <w:rsid w:val="00D97CD7"/>
    <w:rsid w:val="00D97D5A"/>
    <w:rsid w:val="00D97FC9"/>
    <w:rsid w:val="00DA0096"/>
    <w:rsid w:val="00DA020E"/>
    <w:rsid w:val="00DA050A"/>
    <w:rsid w:val="00DA053A"/>
    <w:rsid w:val="00DA0691"/>
    <w:rsid w:val="00DA074F"/>
    <w:rsid w:val="00DA094C"/>
    <w:rsid w:val="00DA09A1"/>
    <w:rsid w:val="00DA0C99"/>
    <w:rsid w:val="00DA10A5"/>
    <w:rsid w:val="00DA114B"/>
    <w:rsid w:val="00DA11BB"/>
    <w:rsid w:val="00DA146D"/>
    <w:rsid w:val="00DA1552"/>
    <w:rsid w:val="00DA1917"/>
    <w:rsid w:val="00DA1A9A"/>
    <w:rsid w:val="00DA1EC9"/>
    <w:rsid w:val="00DA1EED"/>
    <w:rsid w:val="00DA1FC4"/>
    <w:rsid w:val="00DA20DF"/>
    <w:rsid w:val="00DA2201"/>
    <w:rsid w:val="00DA2258"/>
    <w:rsid w:val="00DA2389"/>
    <w:rsid w:val="00DA2620"/>
    <w:rsid w:val="00DA27E1"/>
    <w:rsid w:val="00DA2A94"/>
    <w:rsid w:val="00DA2EC4"/>
    <w:rsid w:val="00DA34A2"/>
    <w:rsid w:val="00DA34DE"/>
    <w:rsid w:val="00DA3523"/>
    <w:rsid w:val="00DA353C"/>
    <w:rsid w:val="00DA3553"/>
    <w:rsid w:val="00DA396D"/>
    <w:rsid w:val="00DA399C"/>
    <w:rsid w:val="00DA3B10"/>
    <w:rsid w:val="00DA3D67"/>
    <w:rsid w:val="00DA4035"/>
    <w:rsid w:val="00DA426B"/>
    <w:rsid w:val="00DA4586"/>
    <w:rsid w:val="00DA47A4"/>
    <w:rsid w:val="00DA490C"/>
    <w:rsid w:val="00DA4A25"/>
    <w:rsid w:val="00DA4CC2"/>
    <w:rsid w:val="00DA5161"/>
    <w:rsid w:val="00DA5218"/>
    <w:rsid w:val="00DA52E0"/>
    <w:rsid w:val="00DA5463"/>
    <w:rsid w:val="00DA562B"/>
    <w:rsid w:val="00DA5826"/>
    <w:rsid w:val="00DA586F"/>
    <w:rsid w:val="00DA59DD"/>
    <w:rsid w:val="00DA5B3D"/>
    <w:rsid w:val="00DA631A"/>
    <w:rsid w:val="00DA63C3"/>
    <w:rsid w:val="00DA6423"/>
    <w:rsid w:val="00DA662F"/>
    <w:rsid w:val="00DA6668"/>
    <w:rsid w:val="00DA6669"/>
    <w:rsid w:val="00DA6887"/>
    <w:rsid w:val="00DA6995"/>
    <w:rsid w:val="00DA6A10"/>
    <w:rsid w:val="00DA6C18"/>
    <w:rsid w:val="00DA6D8D"/>
    <w:rsid w:val="00DA7521"/>
    <w:rsid w:val="00DA75E3"/>
    <w:rsid w:val="00DA769D"/>
    <w:rsid w:val="00DA7875"/>
    <w:rsid w:val="00DB003A"/>
    <w:rsid w:val="00DB007E"/>
    <w:rsid w:val="00DB01DD"/>
    <w:rsid w:val="00DB057B"/>
    <w:rsid w:val="00DB07BD"/>
    <w:rsid w:val="00DB08B2"/>
    <w:rsid w:val="00DB08DA"/>
    <w:rsid w:val="00DB09CA"/>
    <w:rsid w:val="00DB0BA6"/>
    <w:rsid w:val="00DB0C44"/>
    <w:rsid w:val="00DB1137"/>
    <w:rsid w:val="00DB1373"/>
    <w:rsid w:val="00DB1533"/>
    <w:rsid w:val="00DB1651"/>
    <w:rsid w:val="00DB1721"/>
    <w:rsid w:val="00DB1869"/>
    <w:rsid w:val="00DB1EA7"/>
    <w:rsid w:val="00DB1FA5"/>
    <w:rsid w:val="00DB1FFD"/>
    <w:rsid w:val="00DB225D"/>
    <w:rsid w:val="00DB22B3"/>
    <w:rsid w:val="00DB2435"/>
    <w:rsid w:val="00DB257B"/>
    <w:rsid w:val="00DB2699"/>
    <w:rsid w:val="00DB271F"/>
    <w:rsid w:val="00DB295F"/>
    <w:rsid w:val="00DB29FB"/>
    <w:rsid w:val="00DB2B42"/>
    <w:rsid w:val="00DB2BAC"/>
    <w:rsid w:val="00DB2E7B"/>
    <w:rsid w:val="00DB2F85"/>
    <w:rsid w:val="00DB3545"/>
    <w:rsid w:val="00DB3AAA"/>
    <w:rsid w:val="00DB3C8F"/>
    <w:rsid w:val="00DB4141"/>
    <w:rsid w:val="00DB42A2"/>
    <w:rsid w:val="00DB45AA"/>
    <w:rsid w:val="00DB460F"/>
    <w:rsid w:val="00DB461F"/>
    <w:rsid w:val="00DB47AA"/>
    <w:rsid w:val="00DB4DEA"/>
    <w:rsid w:val="00DB4F61"/>
    <w:rsid w:val="00DB52C8"/>
    <w:rsid w:val="00DB53A1"/>
    <w:rsid w:val="00DB585B"/>
    <w:rsid w:val="00DB5873"/>
    <w:rsid w:val="00DB5B66"/>
    <w:rsid w:val="00DB5D78"/>
    <w:rsid w:val="00DB60D9"/>
    <w:rsid w:val="00DB6327"/>
    <w:rsid w:val="00DB656A"/>
    <w:rsid w:val="00DB67EF"/>
    <w:rsid w:val="00DB69AD"/>
    <w:rsid w:val="00DB6AB4"/>
    <w:rsid w:val="00DB6FDB"/>
    <w:rsid w:val="00DB7BEA"/>
    <w:rsid w:val="00DB7EB7"/>
    <w:rsid w:val="00DB7F09"/>
    <w:rsid w:val="00DB7F48"/>
    <w:rsid w:val="00DC00E8"/>
    <w:rsid w:val="00DC02E3"/>
    <w:rsid w:val="00DC02FB"/>
    <w:rsid w:val="00DC06DB"/>
    <w:rsid w:val="00DC0718"/>
    <w:rsid w:val="00DC0736"/>
    <w:rsid w:val="00DC082C"/>
    <w:rsid w:val="00DC0998"/>
    <w:rsid w:val="00DC0CB5"/>
    <w:rsid w:val="00DC0D3A"/>
    <w:rsid w:val="00DC101C"/>
    <w:rsid w:val="00DC145B"/>
    <w:rsid w:val="00DC167C"/>
    <w:rsid w:val="00DC178E"/>
    <w:rsid w:val="00DC1C56"/>
    <w:rsid w:val="00DC1D8A"/>
    <w:rsid w:val="00DC1F68"/>
    <w:rsid w:val="00DC214A"/>
    <w:rsid w:val="00DC2161"/>
    <w:rsid w:val="00DC219F"/>
    <w:rsid w:val="00DC21BB"/>
    <w:rsid w:val="00DC222C"/>
    <w:rsid w:val="00DC22C5"/>
    <w:rsid w:val="00DC250C"/>
    <w:rsid w:val="00DC2641"/>
    <w:rsid w:val="00DC26BB"/>
    <w:rsid w:val="00DC2842"/>
    <w:rsid w:val="00DC2992"/>
    <w:rsid w:val="00DC2A1F"/>
    <w:rsid w:val="00DC2EB5"/>
    <w:rsid w:val="00DC2F0B"/>
    <w:rsid w:val="00DC2F53"/>
    <w:rsid w:val="00DC3349"/>
    <w:rsid w:val="00DC356B"/>
    <w:rsid w:val="00DC35C5"/>
    <w:rsid w:val="00DC36ED"/>
    <w:rsid w:val="00DC3D0D"/>
    <w:rsid w:val="00DC3E93"/>
    <w:rsid w:val="00DC3FB4"/>
    <w:rsid w:val="00DC40B4"/>
    <w:rsid w:val="00DC44D2"/>
    <w:rsid w:val="00DC4598"/>
    <w:rsid w:val="00DC45D6"/>
    <w:rsid w:val="00DC4702"/>
    <w:rsid w:val="00DC4756"/>
    <w:rsid w:val="00DC47D6"/>
    <w:rsid w:val="00DC4B0D"/>
    <w:rsid w:val="00DC4BD8"/>
    <w:rsid w:val="00DC4D15"/>
    <w:rsid w:val="00DC529C"/>
    <w:rsid w:val="00DC55AE"/>
    <w:rsid w:val="00DC5787"/>
    <w:rsid w:val="00DC5A2B"/>
    <w:rsid w:val="00DC5B25"/>
    <w:rsid w:val="00DC5D55"/>
    <w:rsid w:val="00DC5D63"/>
    <w:rsid w:val="00DC5E04"/>
    <w:rsid w:val="00DC5E31"/>
    <w:rsid w:val="00DC5E78"/>
    <w:rsid w:val="00DC5EF3"/>
    <w:rsid w:val="00DC6379"/>
    <w:rsid w:val="00DC63D5"/>
    <w:rsid w:val="00DC6739"/>
    <w:rsid w:val="00DC67B5"/>
    <w:rsid w:val="00DC6906"/>
    <w:rsid w:val="00DC6A53"/>
    <w:rsid w:val="00DC6AAD"/>
    <w:rsid w:val="00DC6BB6"/>
    <w:rsid w:val="00DC6D39"/>
    <w:rsid w:val="00DC6E60"/>
    <w:rsid w:val="00DC6F2C"/>
    <w:rsid w:val="00DC7189"/>
    <w:rsid w:val="00DC72C9"/>
    <w:rsid w:val="00DC755A"/>
    <w:rsid w:val="00DC75EA"/>
    <w:rsid w:val="00DC7601"/>
    <w:rsid w:val="00DC76F1"/>
    <w:rsid w:val="00DC7778"/>
    <w:rsid w:val="00DC7DBC"/>
    <w:rsid w:val="00DC7FEE"/>
    <w:rsid w:val="00DD02CB"/>
    <w:rsid w:val="00DD02E7"/>
    <w:rsid w:val="00DD0316"/>
    <w:rsid w:val="00DD0523"/>
    <w:rsid w:val="00DD064C"/>
    <w:rsid w:val="00DD0F4D"/>
    <w:rsid w:val="00DD122F"/>
    <w:rsid w:val="00DD13BE"/>
    <w:rsid w:val="00DD1579"/>
    <w:rsid w:val="00DD170D"/>
    <w:rsid w:val="00DD17B4"/>
    <w:rsid w:val="00DD1B2E"/>
    <w:rsid w:val="00DD1F06"/>
    <w:rsid w:val="00DD1F42"/>
    <w:rsid w:val="00DD1FCB"/>
    <w:rsid w:val="00DD2306"/>
    <w:rsid w:val="00DD250E"/>
    <w:rsid w:val="00DD2B51"/>
    <w:rsid w:val="00DD2C19"/>
    <w:rsid w:val="00DD30E9"/>
    <w:rsid w:val="00DD3188"/>
    <w:rsid w:val="00DD3197"/>
    <w:rsid w:val="00DD31E2"/>
    <w:rsid w:val="00DD3BAC"/>
    <w:rsid w:val="00DD3C92"/>
    <w:rsid w:val="00DD3CB6"/>
    <w:rsid w:val="00DD3E29"/>
    <w:rsid w:val="00DD4291"/>
    <w:rsid w:val="00DD44EA"/>
    <w:rsid w:val="00DD4758"/>
    <w:rsid w:val="00DD477D"/>
    <w:rsid w:val="00DD4892"/>
    <w:rsid w:val="00DD48A9"/>
    <w:rsid w:val="00DD4914"/>
    <w:rsid w:val="00DD49D2"/>
    <w:rsid w:val="00DD4B09"/>
    <w:rsid w:val="00DD4DBD"/>
    <w:rsid w:val="00DD59EE"/>
    <w:rsid w:val="00DD5B03"/>
    <w:rsid w:val="00DD5B77"/>
    <w:rsid w:val="00DD5DE2"/>
    <w:rsid w:val="00DD5E66"/>
    <w:rsid w:val="00DD5F3D"/>
    <w:rsid w:val="00DD6038"/>
    <w:rsid w:val="00DD61CE"/>
    <w:rsid w:val="00DD64E9"/>
    <w:rsid w:val="00DD67B9"/>
    <w:rsid w:val="00DD6B45"/>
    <w:rsid w:val="00DD6BFD"/>
    <w:rsid w:val="00DD6C19"/>
    <w:rsid w:val="00DD6C69"/>
    <w:rsid w:val="00DD6E81"/>
    <w:rsid w:val="00DD6F39"/>
    <w:rsid w:val="00DD6FDC"/>
    <w:rsid w:val="00DD6FE5"/>
    <w:rsid w:val="00DD7001"/>
    <w:rsid w:val="00DD73F2"/>
    <w:rsid w:val="00DD75B1"/>
    <w:rsid w:val="00DD75BF"/>
    <w:rsid w:val="00DD79E7"/>
    <w:rsid w:val="00DD7AE7"/>
    <w:rsid w:val="00DD7CB3"/>
    <w:rsid w:val="00DD7E52"/>
    <w:rsid w:val="00DD7F30"/>
    <w:rsid w:val="00DD7FCE"/>
    <w:rsid w:val="00DE007C"/>
    <w:rsid w:val="00DE0166"/>
    <w:rsid w:val="00DE0414"/>
    <w:rsid w:val="00DE08AE"/>
    <w:rsid w:val="00DE102B"/>
    <w:rsid w:val="00DE15C3"/>
    <w:rsid w:val="00DE16B4"/>
    <w:rsid w:val="00DE1830"/>
    <w:rsid w:val="00DE1B8E"/>
    <w:rsid w:val="00DE1C2C"/>
    <w:rsid w:val="00DE1CA3"/>
    <w:rsid w:val="00DE2204"/>
    <w:rsid w:val="00DE2302"/>
    <w:rsid w:val="00DE23AE"/>
    <w:rsid w:val="00DE2577"/>
    <w:rsid w:val="00DE2763"/>
    <w:rsid w:val="00DE298F"/>
    <w:rsid w:val="00DE2992"/>
    <w:rsid w:val="00DE2B62"/>
    <w:rsid w:val="00DE2C39"/>
    <w:rsid w:val="00DE2E23"/>
    <w:rsid w:val="00DE301D"/>
    <w:rsid w:val="00DE3021"/>
    <w:rsid w:val="00DE3324"/>
    <w:rsid w:val="00DE3333"/>
    <w:rsid w:val="00DE33F3"/>
    <w:rsid w:val="00DE344A"/>
    <w:rsid w:val="00DE37E6"/>
    <w:rsid w:val="00DE38F4"/>
    <w:rsid w:val="00DE3A53"/>
    <w:rsid w:val="00DE3B18"/>
    <w:rsid w:val="00DE3C20"/>
    <w:rsid w:val="00DE3C22"/>
    <w:rsid w:val="00DE3C64"/>
    <w:rsid w:val="00DE3C77"/>
    <w:rsid w:val="00DE3C83"/>
    <w:rsid w:val="00DE3FD1"/>
    <w:rsid w:val="00DE428B"/>
    <w:rsid w:val="00DE43C4"/>
    <w:rsid w:val="00DE45A2"/>
    <w:rsid w:val="00DE45BA"/>
    <w:rsid w:val="00DE45E5"/>
    <w:rsid w:val="00DE471A"/>
    <w:rsid w:val="00DE471C"/>
    <w:rsid w:val="00DE4809"/>
    <w:rsid w:val="00DE482F"/>
    <w:rsid w:val="00DE4AF1"/>
    <w:rsid w:val="00DE4C85"/>
    <w:rsid w:val="00DE4DA4"/>
    <w:rsid w:val="00DE504B"/>
    <w:rsid w:val="00DE511C"/>
    <w:rsid w:val="00DE539B"/>
    <w:rsid w:val="00DE5520"/>
    <w:rsid w:val="00DE5645"/>
    <w:rsid w:val="00DE5654"/>
    <w:rsid w:val="00DE570B"/>
    <w:rsid w:val="00DE62C0"/>
    <w:rsid w:val="00DE6584"/>
    <w:rsid w:val="00DE6717"/>
    <w:rsid w:val="00DE6791"/>
    <w:rsid w:val="00DE686A"/>
    <w:rsid w:val="00DE6983"/>
    <w:rsid w:val="00DE6DA1"/>
    <w:rsid w:val="00DE6EEE"/>
    <w:rsid w:val="00DE70F1"/>
    <w:rsid w:val="00DE7446"/>
    <w:rsid w:val="00DE757A"/>
    <w:rsid w:val="00DE7928"/>
    <w:rsid w:val="00DE7C0E"/>
    <w:rsid w:val="00DE7C80"/>
    <w:rsid w:val="00DF0126"/>
    <w:rsid w:val="00DF0377"/>
    <w:rsid w:val="00DF098C"/>
    <w:rsid w:val="00DF09F7"/>
    <w:rsid w:val="00DF0AA8"/>
    <w:rsid w:val="00DF0C99"/>
    <w:rsid w:val="00DF1412"/>
    <w:rsid w:val="00DF15E2"/>
    <w:rsid w:val="00DF17F9"/>
    <w:rsid w:val="00DF1F8C"/>
    <w:rsid w:val="00DF2066"/>
    <w:rsid w:val="00DF21B3"/>
    <w:rsid w:val="00DF22B8"/>
    <w:rsid w:val="00DF24E0"/>
    <w:rsid w:val="00DF2646"/>
    <w:rsid w:val="00DF2BE3"/>
    <w:rsid w:val="00DF2C62"/>
    <w:rsid w:val="00DF2E3A"/>
    <w:rsid w:val="00DF32B2"/>
    <w:rsid w:val="00DF3559"/>
    <w:rsid w:val="00DF3A6D"/>
    <w:rsid w:val="00DF3C85"/>
    <w:rsid w:val="00DF3F15"/>
    <w:rsid w:val="00DF4112"/>
    <w:rsid w:val="00DF42E9"/>
    <w:rsid w:val="00DF434D"/>
    <w:rsid w:val="00DF43F0"/>
    <w:rsid w:val="00DF443E"/>
    <w:rsid w:val="00DF44C4"/>
    <w:rsid w:val="00DF44E6"/>
    <w:rsid w:val="00DF4876"/>
    <w:rsid w:val="00DF4916"/>
    <w:rsid w:val="00DF4AD1"/>
    <w:rsid w:val="00DF4CAC"/>
    <w:rsid w:val="00DF4ED9"/>
    <w:rsid w:val="00DF4EF1"/>
    <w:rsid w:val="00DF5267"/>
    <w:rsid w:val="00DF534D"/>
    <w:rsid w:val="00DF5399"/>
    <w:rsid w:val="00DF5886"/>
    <w:rsid w:val="00DF5B06"/>
    <w:rsid w:val="00DF5C76"/>
    <w:rsid w:val="00DF5CED"/>
    <w:rsid w:val="00DF5CFB"/>
    <w:rsid w:val="00DF5E78"/>
    <w:rsid w:val="00DF5F11"/>
    <w:rsid w:val="00DF5FC1"/>
    <w:rsid w:val="00DF6074"/>
    <w:rsid w:val="00DF60EF"/>
    <w:rsid w:val="00DF62A3"/>
    <w:rsid w:val="00DF68CD"/>
    <w:rsid w:val="00DF69B7"/>
    <w:rsid w:val="00DF6A2C"/>
    <w:rsid w:val="00DF6F61"/>
    <w:rsid w:val="00DF7C9B"/>
    <w:rsid w:val="00DF7CBD"/>
    <w:rsid w:val="00DF7D0C"/>
    <w:rsid w:val="00DF7D78"/>
    <w:rsid w:val="00E00186"/>
    <w:rsid w:val="00E00357"/>
    <w:rsid w:val="00E004B0"/>
    <w:rsid w:val="00E006FA"/>
    <w:rsid w:val="00E00816"/>
    <w:rsid w:val="00E00982"/>
    <w:rsid w:val="00E01D97"/>
    <w:rsid w:val="00E02109"/>
    <w:rsid w:val="00E021F0"/>
    <w:rsid w:val="00E023E1"/>
    <w:rsid w:val="00E025F3"/>
    <w:rsid w:val="00E0264D"/>
    <w:rsid w:val="00E026BC"/>
    <w:rsid w:val="00E028FF"/>
    <w:rsid w:val="00E029B3"/>
    <w:rsid w:val="00E02BE2"/>
    <w:rsid w:val="00E02C64"/>
    <w:rsid w:val="00E02D74"/>
    <w:rsid w:val="00E02F98"/>
    <w:rsid w:val="00E02FCF"/>
    <w:rsid w:val="00E0338D"/>
    <w:rsid w:val="00E0366B"/>
    <w:rsid w:val="00E03995"/>
    <w:rsid w:val="00E03D3F"/>
    <w:rsid w:val="00E03F65"/>
    <w:rsid w:val="00E0416C"/>
    <w:rsid w:val="00E0431D"/>
    <w:rsid w:val="00E04842"/>
    <w:rsid w:val="00E04AD6"/>
    <w:rsid w:val="00E04B1D"/>
    <w:rsid w:val="00E04DFC"/>
    <w:rsid w:val="00E04EFB"/>
    <w:rsid w:val="00E05220"/>
    <w:rsid w:val="00E0533D"/>
    <w:rsid w:val="00E0546C"/>
    <w:rsid w:val="00E0590D"/>
    <w:rsid w:val="00E0599E"/>
    <w:rsid w:val="00E059B6"/>
    <w:rsid w:val="00E05B04"/>
    <w:rsid w:val="00E05C80"/>
    <w:rsid w:val="00E05DAC"/>
    <w:rsid w:val="00E05F73"/>
    <w:rsid w:val="00E06305"/>
    <w:rsid w:val="00E06A45"/>
    <w:rsid w:val="00E06AFF"/>
    <w:rsid w:val="00E06D20"/>
    <w:rsid w:val="00E07007"/>
    <w:rsid w:val="00E070C1"/>
    <w:rsid w:val="00E07389"/>
    <w:rsid w:val="00E07899"/>
    <w:rsid w:val="00E079E8"/>
    <w:rsid w:val="00E07C44"/>
    <w:rsid w:val="00E07E58"/>
    <w:rsid w:val="00E07F61"/>
    <w:rsid w:val="00E101C6"/>
    <w:rsid w:val="00E10399"/>
    <w:rsid w:val="00E10417"/>
    <w:rsid w:val="00E105FF"/>
    <w:rsid w:val="00E107DC"/>
    <w:rsid w:val="00E10857"/>
    <w:rsid w:val="00E10BF2"/>
    <w:rsid w:val="00E10CE5"/>
    <w:rsid w:val="00E10D5C"/>
    <w:rsid w:val="00E10E15"/>
    <w:rsid w:val="00E1118B"/>
    <w:rsid w:val="00E11277"/>
    <w:rsid w:val="00E112ED"/>
    <w:rsid w:val="00E11326"/>
    <w:rsid w:val="00E113E7"/>
    <w:rsid w:val="00E11501"/>
    <w:rsid w:val="00E1167E"/>
    <w:rsid w:val="00E11A19"/>
    <w:rsid w:val="00E11D13"/>
    <w:rsid w:val="00E11E54"/>
    <w:rsid w:val="00E12255"/>
    <w:rsid w:val="00E122F2"/>
    <w:rsid w:val="00E12727"/>
    <w:rsid w:val="00E12817"/>
    <w:rsid w:val="00E12889"/>
    <w:rsid w:val="00E12A24"/>
    <w:rsid w:val="00E12D89"/>
    <w:rsid w:val="00E12DEF"/>
    <w:rsid w:val="00E12E4F"/>
    <w:rsid w:val="00E12E88"/>
    <w:rsid w:val="00E12E99"/>
    <w:rsid w:val="00E13320"/>
    <w:rsid w:val="00E1355E"/>
    <w:rsid w:val="00E135FC"/>
    <w:rsid w:val="00E13AEA"/>
    <w:rsid w:val="00E13F71"/>
    <w:rsid w:val="00E14401"/>
    <w:rsid w:val="00E14742"/>
    <w:rsid w:val="00E147F3"/>
    <w:rsid w:val="00E149E3"/>
    <w:rsid w:val="00E14B78"/>
    <w:rsid w:val="00E14CC5"/>
    <w:rsid w:val="00E15158"/>
    <w:rsid w:val="00E1518B"/>
    <w:rsid w:val="00E15200"/>
    <w:rsid w:val="00E154BD"/>
    <w:rsid w:val="00E15532"/>
    <w:rsid w:val="00E158B7"/>
    <w:rsid w:val="00E158F7"/>
    <w:rsid w:val="00E15BB2"/>
    <w:rsid w:val="00E16051"/>
    <w:rsid w:val="00E16287"/>
    <w:rsid w:val="00E16313"/>
    <w:rsid w:val="00E16702"/>
    <w:rsid w:val="00E1670D"/>
    <w:rsid w:val="00E16951"/>
    <w:rsid w:val="00E16F32"/>
    <w:rsid w:val="00E1729C"/>
    <w:rsid w:val="00E174ED"/>
    <w:rsid w:val="00E17749"/>
    <w:rsid w:val="00E17772"/>
    <w:rsid w:val="00E17845"/>
    <w:rsid w:val="00E17AF5"/>
    <w:rsid w:val="00E17E12"/>
    <w:rsid w:val="00E202A6"/>
    <w:rsid w:val="00E204E0"/>
    <w:rsid w:val="00E20903"/>
    <w:rsid w:val="00E20AC0"/>
    <w:rsid w:val="00E20C7E"/>
    <w:rsid w:val="00E20DB4"/>
    <w:rsid w:val="00E20E51"/>
    <w:rsid w:val="00E20F6B"/>
    <w:rsid w:val="00E21396"/>
    <w:rsid w:val="00E215D0"/>
    <w:rsid w:val="00E2177D"/>
    <w:rsid w:val="00E21B8D"/>
    <w:rsid w:val="00E21BB7"/>
    <w:rsid w:val="00E21C4E"/>
    <w:rsid w:val="00E21D69"/>
    <w:rsid w:val="00E21DB9"/>
    <w:rsid w:val="00E21EC5"/>
    <w:rsid w:val="00E21FEE"/>
    <w:rsid w:val="00E2201E"/>
    <w:rsid w:val="00E22184"/>
    <w:rsid w:val="00E221E9"/>
    <w:rsid w:val="00E226C2"/>
    <w:rsid w:val="00E2299C"/>
    <w:rsid w:val="00E22A49"/>
    <w:rsid w:val="00E22C58"/>
    <w:rsid w:val="00E22CDE"/>
    <w:rsid w:val="00E22D51"/>
    <w:rsid w:val="00E22D74"/>
    <w:rsid w:val="00E22DC2"/>
    <w:rsid w:val="00E22E6C"/>
    <w:rsid w:val="00E230BA"/>
    <w:rsid w:val="00E23252"/>
    <w:rsid w:val="00E233C1"/>
    <w:rsid w:val="00E23795"/>
    <w:rsid w:val="00E23818"/>
    <w:rsid w:val="00E2391C"/>
    <w:rsid w:val="00E239D6"/>
    <w:rsid w:val="00E23B52"/>
    <w:rsid w:val="00E242BC"/>
    <w:rsid w:val="00E245F0"/>
    <w:rsid w:val="00E24638"/>
    <w:rsid w:val="00E24669"/>
    <w:rsid w:val="00E2468D"/>
    <w:rsid w:val="00E24984"/>
    <w:rsid w:val="00E24C45"/>
    <w:rsid w:val="00E24DAD"/>
    <w:rsid w:val="00E24F8A"/>
    <w:rsid w:val="00E253AE"/>
    <w:rsid w:val="00E25407"/>
    <w:rsid w:val="00E254E4"/>
    <w:rsid w:val="00E255D2"/>
    <w:rsid w:val="00E2560F"/>
    <w:rsid w:val="00E25611"/>
    <w:rsid w:val="00E25876"/>
    <w:rsid w:val="00E25D96"/>
    <w:rsid w:val="00E25FFC"/>
    <w:rsid w:val="00E2602F"/>
    <w:rsid w:val="00E2647B"/>
    <w:rsid w:val="00E266E5"/>
    <w:rsid w:val="00E26782"/>
    <w:rsid w:val="00E2689D"/>
    <w:rsid w:val="00E26942"/>
    <w:rsid w:val="00E26FBD"/>
    <w:rsid w:val="00E26FF2"/>
    <w:rsid w:val="00E273F9"/>
    <w:rsid w:val="00E275B2"/>
    <w:rsid w:val="00E277D2"/>
    <w:rsid w:val="00E27BE5"/>
    <w:rsid w:val="00E30067"/>
    <w:rsid w:val="00E30199"/>
    <w:rsid w:val="00E3045C"/>
    <w:rsid w:val="00E30749"/>
    <w:rsid w:val="00E30AEB"/>
    <w:rsid w:val="00E30BEC"/>
    <w:rsid w:val="00E30CFD"/>
    <w:rsid w:val="00E30DEB"/>
    <w:rsid w:val="00E30E29"/>
    <w:rsid w:val="00E30F26"/>
    <w:rsid w:val="00E31139"/>
    <w:rsid w:val="00E31170"/>
    <w:rsid w:val="00E3172C"/>
    <w:rsid w:val="00E318E6"/>
    <w:rsid w:val="00E31C81"/>
    <w:rsid w:val="00E3207C"/>
    <w:rsid w:val="00E32129"/>
    <w:rsid w:val="00E326D0"/>
    <w:rsid w:val="00E328EB"/>
    <w:rsid w:val="00E3291C"/>
    <w:rsid w:val="00E32AD5"/>
    <w:rsid w:val="00E32B65"/>
    <w:rsid w:val="00E32CB1"/>
    <w:rsid w:val="00E32D44"/>
    <w:rsid w:val="00E32EE6"/>
    <w:rsid w:val="00E32F2E"/>
    <w:rsid w:val="00E32F71"/>
    <w:rsid w:val="00E332BF"/>
    <w:rsid w:val="00E337FB"/>
    <w:rsid w:val="00E33957"/>
    <w:rsid w:val="00E33AD5"/>
    <w:rsid w:val="00E33B7E"/>
    <w:rsid w:val="00E33C73"/>
    <w:rsid w:val="00E33C8F"/>
    <w:rsid w:val="00E33D51"/>
    <w:rsid w:val="00E33DB8"/>
    <w:rsid w:val="00E33F5B"/>
    <w:rsid w:val="00E3401B"/>
    <w:rsid w:val="00E3410B"/>
    <w:rsid w:val="00E343CD"/>
    <w:rsid w:val="00E346C5"/>
    <w:rsid w:val="00E34990"/>
    <w:rsid w:val="00E349A7"/>
    <w:rsid w:val="00E34A1B"/>
    <w:rsid w:val="00E34A23"/>
    <w:rsid w:val="00E34ADF"/>
    <w:rsid w:val="00E34B46"/>
    <w:rsid w:val="00E34B5F"/>
    <w:rsid w:val="00E34B76"/>
    <w:rsid w:val="00E35462"/>
    <w:rsid w:val="00E3565C"/>
    <w:rsid w:val="00E356F7"/>
    <w:rsid w:val="00E35971"/>
    <w:rsid w:val="00E35B97"/>
    <w:rsid w:val="00E35D96"/>
    <w:rsid w:val="00E35DA2"/>
    <w:rsid w:val="00E35E94"/>
    <w:rsid w:val="00E360D8"/>
    <w:rsid w:val="00E36123"/>
    <w:rsid w:val="00E361BA"/>
    <w:rsid w:val="00E3689C"/>
    <w:rsid w:val="00E36A7B"/>
    <w:rsid w:val="00E36CCA"/>
    <w:rsid w:val="00E36E27"/>
    <w:rsid w:val="00E36F9E"/>
    <w:rsid w:val="00E37531"/>
    <w:rsid w:val="00E3769B"/>
    <w:rsid w:val="00E37733"/>
    <w:rsid w:val="00E377B5"/>
    <w:rsid w:val="00E377FB"/>
    <w:rsid w:val="00E378EA"/>
    <w:rsid w:val="00E379F3"/>
    <w:rsid w:val="00E37AD9"/>
    <w:rsid w:val="00E37B82"/>
    <w:rsid w:val="00E37E2C"/>
    <w:rsid w:val="00E408E0"/>
    <w:rsid w:val="00E40ACC"/>
    <w:rsid w:val="00E40BB7"/>
    <w:rsid w:val="00E41055"/>
    <w:rsid w:val="00E41141"/>
    <w:rsid w:val="00E4129E"/>
    <w:rsid w:val="00E412B1"/>
    <w:rsid w:val="00E4173A"/>
    <w:rsid w:val="00E41A3C"/>
    <w:rsid w:val="00E41AED"/>
    <w:rsid w:val="00E41CCF"/>
    <w:rsid w:val="00E41F56"/>
    <w:rsid w:val="00E42131"/>
    <w:rsid w:val="00E42572"/>
    <w:rsid w:val="00E4296D"/>
    <w:rsid w:val="00E42977"/>
    <w:rsid w:val="00E42B26"/>
    <w:rsid w:val="00E42F2B"/>
    <w:rsid w:val="00E42F37"/>
    <w:rsid w:val="00E42F74"/>
    <w:rsid w:val="00E43043"/>
    <w:rsid w:val="00E4329A"/>
    <w:rsid w:val="00E432F4"/>
    <w:rsid w:val="00E4333F"/>
    <w:rsid w:val="00E438FE"/>
    <w:rsid w:val="00E43B8F"/>
    <w:rsid w:val="00E43C62"/>
    <w:rsid w:val="00E43DA1"/>
    <w:rsid w:val="00E4431A"/>
    <w:rsid w:val="00E44775"/>
    <w:rsid w:val="00E44802"/>
    <w:rsid w:val="00E44927"/>
    <w:rsid w:val="00E44CD0"/>
    <w:rsid w:val="00E44D66"/>
    <w:rsid w:val="00E4503C"/>
    <w:rsid w:val="00E45126"/>
    <w:rsid w:val="00E456B2"/>
    <w:rsid w:val="00E45978"/>
    <w:rsid w:val="00E459B1"/>
    <w:rsid w:val="00E45B5F"/>
    <w:rsid w:val="00E45C81"/>
    <w:rsid w:val="00E45F49"/>
    <w:rsid w:val="00E46011"/>
    <w:rsid w:val="00E46560"/>
    <w:rsid w:val="00E46896"/>
    <w:rsid w:val="00E46933"/>
    <w:rsid w:val="00E471A0"/>
    <w:rsid w:val="00E4720F"/>
    <w:rsid w:val="00E4753A"/>
    <w:rsid w:val="00E478A6"/>
    <w:rsid w:val="00E47977"/>
    <w:rsid w:val="00E47C83"/>
    <w:rsid w:val="00E47CFE"/>
    <w:rsid w:val="00E47D64"/>
    <w:rsid w:val="00E47F10"/>
    <w:rsid w:val="00E47F50"/>
    <w:rsid w:val="00E502CC"/>
    <w:rsid w:val="00E502F2"/>
    <w:rsid w:val="00E503EB"/>
    <w:rsid w:val="00E5041D"/>
    <w:rsid w:val="00E504F6"/>
    <w:rsid w:val="00E50595"/>
    <w:rsid w:val="00E50DC8"/>
    <w:rsid w:val="00E50E7C"/>
    <w:rsid w:val="00E50F0A"/>
    <w:rsid w:val="00E51395"/>
    <w:rsid w:val="00E513BB"/>
    <w:rsid w:val="00E51541"/>
    <w:rsid w:val="00E51545"/>
    <w:rsid w:val="00E5155B"/>
    <w:rsid w:val="00E51D9E"/>
    <w:rsid w:val="00E521EE"/>
    <w:rsid w:val="00E52240"/>
    <w:rsid w:val="00E5224E"/>
    <w:rsid w:val="00E52484"/>
    <w:rsid w:val="00E524E6"/>
    <w:rsid w:val="00E5257A"/>
    <w:rsid w:val="00E52590"/>
    <w:rsid w:val="00E52907"/>
    <w:rsid w:val="00E529C4"/>
    <w:rsid w:val="00E52B8C"/>
    <w:rsid w:val="00E52C97"/>
    <w:rsid w:val="00E530F4"/>
    <w:rsid w:val="00E531B4"/>
    <w:rsid w:val="00E533AD"/>
    <w:rsid w:val="00E53468"/>
    <w:rsid w:val="00E534F9"/>
    <w:rsid w:val="00E53588"/>
    <w:rsid w:val="00E537D1"/>
    <w:rsid w:val="00E537D6"/>
    <w:rsid w:val="00E53983"/>
    <w:rsid w:val="00E53BB1"/>
    <w:rsid w:val="00E53BBE"/>
    <w:rsid w:val="00E53CE2"/>
    <w:rsid w:val="00E53D0B"/>
    <w:rsid w:val="00E53D46"/>
    <w:rsid w:val="00E53E6C"/>
    <w:rsid w:val="00E546DB"/>
    <w:rsid w:val="00E54835"/>
    <w:rsid w:val="00E54B16"/>
    <w:rsid w:val="00E54B5A"/>
    <w:rsid w:val="00E54BAF"/>
    <w:rsid w:val="00E54F9D"/>
    <w:rsid w:val="00E5512E"/>
    <w:rsid w:val="00E551D8"/>
    <w:rsid w:val="00E55316"/>
    <w:rsid w:val="00E554D9"/>
    <w:rsid w:val="00E5568A"/>
    <w:rsid w:val="00E56300"/>
    <w:rsid w:val="00E564D1"/>
    <w:rsid w:val="00E565BA"/>
    <w:rsid w:val="00E565D7"/>
    <w:rsid w:val="00E5679B"/>
    <w:rsid w:val="00E567E6"/>
    <w:rsid w:val="00E56971"/>
    <w:rsid w:val="00E56E07"/>
    <w:rsid w:val="00E57209"/>
    <w:rsid w:val="00E57672"/>
    <w:rsid w:val="00E57A0D"/>
    <w:rsid w:val="00E60080"/>
    <w:rsid w:val="00E601F0"/>
    <w:rsid w:val="00E6022E"/>
    <w:rsid w:val="00E6027C"/>
    <w:rsid w:val="00E60430"/>
    <w:rsid w:val="00E60573"/>
    <w:rsid w:val="00E60698"/>
    <w:rsid w:val="00E60962"/>
    <w:rsid w:val="00E60AEA"/>
    <w:rsid w:val="00E60C0E"/>
    <w:rsid w:val="00E60D89"/>
    <w:rsid w:val="00E60ECF"/>
    <w:rsid w:val="00E61125"/>
    <w:rsid w:val="00E611C6"/>
    <w:rsid w:val="00E61349"/>
    <w:rsid w:val="00E61484"/>
    <w:rsid w:val="00E6154D"/>
    <w:rsid w:val="00E61950"/>
    <w:rsid w:val="00E61A05"/>
    <w:rsid w:val="00E61EDB"/>
    <w:rsid w:val="00E61F3C"/>
    <w:rsid w:val="00E61FCA"/>
    <w:rsid w:val="00E6219A"/>
    <w:rsid w:val="00E6227A"/>
    <w:rsid w:val="00E62355"/>
    <w:rsid w:val="00E62491"/>
    <w:rsid w:val="00E627FF"/>
    <w:rsid w:val="00E62CFF"/>
    <w:rsid w:val="00E62E81"/>
    <w:rsid w:val="00E63084"/>
    <w:rsid w:val="00E63701"/>
    <w:rsid w:val="00E63A32"/>
    <w:rsid w:val="00E63F0D"/>
    <w:rsid w:val="00E649E6"/>
    <w:rsid w:val="00E64A8F"/>
    <w:rsid w:val="00E64D5B"/>
    <w:rsid w:val="00E64DD4"/>
    <w:rsid w:val="00E64E6E"/>
    <w:rsid w:val="00E65154"/>
    <w:rsid w:val="00E651D0"/>
    <w:rsid w:val="00E654D9"/>
    <w:rsid w:val="00E65585"/>
    <w:rsid w:val="00E65CE3"/>
    <w:rsid w:val="00E65D94"/>
    <w:rsid w:val="00E65E51"/>
    <w:rsid w:val="00E661FC"/>
    <w:rsid w:val="00E662C0"/>
    <w:rsid w:val="00E664B5"/>
    <w:rsid w:val="00E6683D"/>
    <w:rsid w:val="00E6684E"/>
    <w:rsid w:val="00E66A92"/>
    <w:rsid w:val="00E66AF2"/>
    <w:rsid w:val="00E66EE2"/>
    <w:rsid w:val="00E670EA"/>
    <w:rsid w:val="00E6720D"/>
    <w:rsid w:val="00E67607"/>
    <w:rsid w:val="00E677B3"/>
    <w:rsid w:val="00E677E8"/>
    <w:rsid w:val="00E67968"/>
    <w:rsid w:val="00E67DE8"/>
    <w:rsid w:val="00E7017C"/>
    <w:rsid w:val="00E701C0"/>
    <w:rsid w:val="00E70223"/>
    <w:rsid w:val="00E70226"/>
    <w:rsid w:val="00E7034D"/>
    <w:rsid w:val="00E705A9"/>
    <w:rsid w:val="00E70608"/>
    <w:rsid w:val="00E70738"/>
    <w:rsid w:val="00E707B6"/>
    <w:rsid w:val="00E70941"/>
    <w:rsid w:val="00E70CD3"/>
    <w:rsid w:val="00E70DE3"/>
    <w:rsid w:val="00E70E80"/>
    <w:rsid w:val="00E711D7"/>
    <w:rsid w:val="00E71576"/>
    <w:rsid w:val="00E717FD"/>
    <w:rsid w:val="00E71915"/>
    <w:rsid w:val="00E719F0"/>
    <w:rsid w:val="00E71A5D"/>
    <w:rsid w:val="00E71B84"/>
    <w:rsid w:val="00E720EB"/>
    <w:rsid w:val="00E720FD"/>
    <w:rsid w:val="00E723E3"/>
    <w:rsid w:val="00E7250E"/>
    <w:rsid w:val="00E72598"/>
    <w:rsid w:val="00E72B0B"/>
    <w:rsid w:val="00E72C20"/>
    <w:rsid w:val="00E72EFF"/>
    <w:rsid w:val="00E73067"/>
    <w:rsid w:val="00E730E2"/>
    <w:rsid w:val="00E739B4"/>
    <w:rsid w:val="00E73C32"/>
    <w:rsid w:val="00E73DEF"/>
    <w:rsid w:val="00E7400B"/>
    <w:rsid w:val="00E7402E"/>
    <w:rsid w:val="00E74C7B"/>
    <w:rsid w:val="00E74E70"/>
    <w:rsid w:val="00E74FC2"/>
    <w:rsid w:val="00E75379"/>
    <w:rsid w:val="00E75734"/>
    <w:rsid w:val="00E758DA"/>
    <w:rsid w:val="00E75AA9"/>
    <w:rsid w:val="00E75D68"/>
    <w:rsid w:val="00E7625D"/>
    <w:rsid w:val="00E76695"/>
    <w:rsid w:val="00E76700"/>
    <w:rsid w:val="00E767E3"/>
    <w:rsid w:val="00E76806"/>
    <w:rsid w:val="00E76CC1"/>
    <w:rsid w:val="00E76D01"/>
    <w:rsid w:val="00E76F3C"/>
    <w:rsid w:val="00E76FA5"/>
    <w:rsid w:val="00E7755C"/>
    <w:rsid w:val="00E7759B"/>
    <w:rsid w:val="00E77A5C"/>
    <w:rsid w:val="00E77ABF"/>
    <w:rsid w:val="00E77DFA"/>
    <w:rsid w:val="00E77EBF"/>
    <w:rsid w:val="00E80085"/>
    <w:rsid w:val="00E801E6"/>
    <w:rsid w:val="00E8046B"/>
    <w:rsid w:val="00E805E1"/>
    <w:rsid w:val="00E80623"/>
    <w:rsid w:val="00E808E2"/>
    <w:rsid w:val="00E808E5"/>
    <w:rsid w:val="00E80906"/>
    <w:rsid w:val="00E80C65"/>
    <w:rsid w:val="00E80C86"/>
    <w:rsid w:val="00E80F36"/>
    <w:rsid w:val="00E80FA6"/>
    <w:rsid w:val="00E814DA"/>
    <w:rsid w:val="00E815C2"/>
    <w:rsid w:val="00E815E1"/>
    <w:rsid w:val="00E81810"/>
    <w:rsid w:val="00E81821"/>
    <w:rsid w:val="00E81919"/>
    <w:rsid w:val="00E81BCE"/>
    <w:rsid w:val="00E81D4D"/>
    <w:rsid w:val="00E81F2A"/>
    <w:rsid w:val="00E821DB"/>
    <w:rsid w:val="00E823C6"/>
    <w:rsid w:val="00E8294B"/>
    <w:rsid w:val="00E82C48"/>
    <w:rsid w:val="00E82E9D"/>
    <w:rsid w:val="00E832BB"/>
    <w:rsid w:val="00E836F2"/>
    <w:rsid w:val="00E83735"/>
    <w:rsid w:val="00E838E3"/>
    <w:rsid w:val="00E83B63"/>
    <w:rsid w:val="00E83C6F"/>
    <w:rsid w:val="00E83D73"/>
    <w:rsid w:val="00E83DFC"/>
    <w:rsid w:val="00E8406B"/>
    <w:rsid w:val="00E84202"/>
    <w:rsid w:val="00E846E6"/>
    <w:rsid w:val="00E848E7"/>
    <w:rsid w:val="00E84961"/>
    <w:rsid w:val="00E84DA2"/>
    <w:rsid w:val="00E84FBB"/>
    <w:rsid w:val="00E8509E"/>
    <w:rsid w:val="00E853F3"/>
    <w:rsid w:val="00E8549A"/>
    <w:rsid w:val="00E85D40"/>
    <w:rsid w:val="00E85E09"/>
    <w:rsid w:val="00E85E37"/>
    <w:rsid w:val="00E8601D"/>
    <w:rsid w:val="00E8612D"/>
    <w:rsid w:val="00E861E3"/>
    <w:rsid w:val="00E862A0"/>
    <w:rsid w:val="00E868C7"/>
    <w:rsid w:val="00E86904"/>
    <w:rsid w:val="00E86989"/>
    <w:rsid w:val="00E86ACB"/>
    <w:rsid w:val="00E86C0F"/>
    <w:rsid w:val="00E86C28"/>
    <w:rsid w:val="00E86C46"/>
    <w:rsid w:val="00E86D5A"/>
    <w:rsid w:val="00E86ECD"/>
    <w:rsid w:val="00E87053"/>
    <w:rsid w:val="00E8752B"/>
    <w:rsid w:val="00E87550"/>
    <w:rsid w:val="00E878FE"/>
    <w:rsid w:val="00E87AB1"/>
    <w:rsid w:val="00E87DD0"/>
    <w:rsid w:val="00E900F4"/>
    <w:rsid w:val="00E902B0"/>
    <w:rsid w:val="00E902E5"/>
    <w:rsid w:val="00E902E8"/>
    <w:rsid w:val="00E90610"/>
    <w:rsid w:val="00E909A8"/>
    <w:rsid w:val="00E90AC3"/>
    <w:rsid w:val="00E90BD8"/>
    <w:rsid w:val="00E90BEF"/>
    <w:rsid w:val="00E90DCE"/>
    <w:rsid w:val="00E91137"/>
    <w:rsid w:val="00E91303"/>
    <w:rsid w:val="00E91483"/>
    <w:rsid w:val="00E91529"/>
    <w:rsid w:val="00E91627"/>
    <w:rsid w:val="00E91A76"/>
    <w:rsid w:val="00E91A82"/>
    <w:rsid w:val="00E91AB1"/>
    <w:rsid w:val="00E91B5A"/>
    <w:rsid w:val="00E91DF6"/>
    <w:rsid w:val="00E91E04"/>
    <w:rsid w:val="00E9204A"/>
    <w:rsid w:val="00E92295"/>
    <w:rsid w:val="00E92525"/>
    <w:rsid w:val="00E9261C"/>
    <w:rsid w:val="00E9281D"/>
    <w:rsid w:val="00E9296B"/>
    <w:rsid w:val="00E92A8D"/>
    <w:rsid w:val="00E92B21"/>
    <w:rsid w:val="00E92C3E"/>
    <w:rsid w:val="00E92FB5"/>
    <w:rsid w:val="00E931E7"/>
    <w:rsid w:val="00E932CA"/>
    <w:rsid w:val="00E939BE"/>
    <w:rsid w:val="00E93ABB"/>
    <w:rsid w:val="00E94151"/>
    <w:rsid w:val="00E946E9"/>
    <w:rsid w:val="00E94859"/>
    <w:rsid w:val="00E948A8"/>
    <w:rsid w:val="00E948CC"/>
    <w:rsid w:val="00E948DC"/>
    <w:rsid w:val="00E94BCA"/>
    <w:rsid w:val="00E94BFE"/>
    <w:rsid w:val="00E94DA8"/>
    <w:rsid w:val="00E94EDC"/>
    <w:rsid w:val="00E95495"/>
    <w:rsid w:val="00E95684"/>
    <w:rsid w:val="00E957C1"/>
    <w:rsid w:val="00E959C1"/>
    <w:rsid w:val="00E95CD5"/>
    <w:rsid w:val="00E95D56"/>
    <w:rsid w:val="00E95F6C"/>
    <w:rsid w:val="00E95FA7"/>
    <w:rsid w:val="00E9625A"/>
    <w:rsid w:val="00E964A1"/>
    <w:rsid w:val="00E967F0"/>
    <w:rsid w:val="00E96910"/>
    <w:rsid w:val="00E96B17"/>
    <w:rsid w:val="00E9726D"/>
    <w:rsid w:val="00E975B9"/>
    <w:rsid w:val="00E976D2"/>
    <w:rsid w:val="00E977D0"/>
    <w:rsid w:val="00E9780A"/>
    <w:rsid w:val="00E9783C"/>
    <w:rsid w:val="00E97923"/>
    <w:rsid w:val="00E97B48"/>
    <w:rsid w:val="00E97C19"/>
    <w:rsid w:val="00E97D0F"/>
    <w:rsid w:val="00E97D1C"/>
    <w:rsid w:val="00E97E0F"/>
    <w:rsid w:val="00E97F94"/>
    <w:rsid w:val="00EA034B"/>
    <w:rsid w:val="00EA04DF"/>
    <w:rsid w:val="00EA05AC"/>
    <w:rsid w:val="00EA0A9D"/>
    <w:rsid w:val="00EA133A"/>
    <w:rsid w:val="00EA1608"/>
    <w:rsid w:val="00EA1A0C"/>
    <w:rsid w:val="00EA1A36"/>
    <w:rsid w:val="00EA1C11"/>
    <w:rsid w:val="00EA1E1F"/>
    <w:rsid w:val="00EA1E92"/>
    <w:rsid w:val="00EA1FC3"/>
    <w:rsid w:val="00EA205D"/>
    <w:rsid w:val="00EA23AC"/>
    <w:rsid w:val="00EA250C"/>
    <w:rsid w:val="00EA2A4D"/>
    <w:rsid w:val="00EA2B8B"/>
    <w:rsid w:val="00EA2C07"/>
    <w:rsid w:val="00EA2C28"/>
    <w:rsid w:val="00EA2D4B"/>
    <w:rsid w:val="00EA2D8E"/>
    <w:rsid w:val="00EA2E07"/>
    <w:rsid w:val="00EA2F2C"/>
    <w:rsid w:val="00EA31EF"/>
    <w:rsid w:val="00EA323E"/>
    <w:rsid w:val="00EA35E0"/>
    <w:rsid w:val="00EA3690"/>
    <w:rsid w:val="00EA3720"/>
    <w:rsid w:val="00EA373A"/>
    <w:rsid w:val="00EA3958"/>
    <w:rsid w:val="00EA398F"/>
    <w:rsid w:val="00EA3CC1"/>
    <w:rsid w:val="00EA3D94"/>
    <w:rsid w:val="00EA3E8D"/>
    <w:rsid w:val="00EA4042"/>
    <w:rsid w:val="00EA426F"/>
    <w:rsid w:val="00EA47DA"/>
    <w:rsid w:val="00EA488D"/>
    <w:rsid w:val="00EA4924"/>
    <w:rsid w:val="00EA4B26"/>
    <w:rsid w:val="00EA4C87"/>
    <w:rsid w:val="00EA4CA8"/>
    <w:rsid w:val="00EA4FF2"/>
    <w:rsid w:val="00EA5403"/>
    <w:rsid w:val="00EA57F6"/>
    <w:rsid w:val="00EA596E"/>
    <w:rsid w:val="00EA5E66"/>
    <w:rsid w:val="00EA5E9C"/>
    <w:rsid w:val="00EA610B"/>
    <w:rsid w:val="00EA61E1"/>
    <w:rsid w:val="00EA67C1"/>
    <w:rsid w:val="00EA6A14"/>
    <w:rsid w:val="00EA6EFB"/>
    <w:rsid w:val="00EA740F"/>
    <w:rsid w:val="00EA74E7"/>
    <w:rsid w:val="00EA789D"/>
    <w:rsid w:val="00EA7956"/>
    <w:rsid w:val="00EA7B35"/>
    <w:rsid w:val="00EA7B45"/>
    <w:rsid w:val="00EA7C3D"/>
    <w:rsid w:val="00EA7DB9"/>
    <w:rsid w:val="00EB01C2"/>
    <w:rsid w:val="00EB01DE"/>
    <w:rsid w:val="00EB023D"/>
    <w:rsid w:val="00EB03B4"/>
    <w:rsid w:val="00EB0D53"/>
    <w:rsid w:val="00EB0E44"/>
    <w:rsid w:val="00EB12B7"/>
    <w:rsid w:val="00EB12FA"/>
    <w:rsid w:val="00EB1338"/>
    <w:rsid w:val="00EB137D"/>
    <w:rsid w:val="00EB154B"/>
    <w:rsid w:val="00EB15DA"/>
    <w:rsid w:val="00EB1C61"/>
    <w:rsid w:val="00EB1E7F"/>
    <w:rsid w:val="00EB1EF1"/>
    <w:rsid w:val="00EB229A"/>
    <w:rsid w:val="00EB243F"/>
    <w:rsid w:val="00EB2854"/>
    <w:rsid w:val="00EB2BDE"/>
    <w:rsid w:val="00EB34D8"/>
    <w:rsid w:val="00EB3833"/>
    <w:rsid w:val="00EB3BAD"/>
    <w:rsid w:val="00EB3D77"/>
    <w:rsid w:val="00EB42BB"/>
    <w:rsid w:val="00EB4510"/>
    <w:rsid w:val="00EB456B"/>
    <w:rsid w:val="00EB4610"/>
    <w:rsid w:val="00EB46A0"/>
    <w:rsid w:val="00EB471D"/>
    <w:rsid w:val="00EB4985"/>
    <w:rsid w:val="00EB49D8"/>
    <w:rsid w:val="00EB4B0B"/>
    <w:rsid w:val="00EB4D20"/>
    <w:rsid w:val="00EB4EFC"/>
    <w:rsid w:val="00EB5955"/>
    <w:rsid w:val="00EB5A1E"/>
    <w:rsid w:val="00EB5A86"/>
    <w:rsid w:val="00EB5C1F"/>
    <w:rsid w:val="00EB5E31"/>
    <w:rsid w:val="00EB5F77"/>
    <w:rsid w:val="00EB6227"/>
    <w:rsid w:val="00EB631F"/>
    <w:rsid w:val="00EB6457"/>
    <w:rsid w:val="00EB6475"/>
    <w:rsid w:val="00EB6800"/>
    <w:rsid w:val="00EB6878"/>
    <w:rsid w:val="00EB696F"/>
    <w:rsid w:val="00EB6E9D"/>
    <w:rsid w:val="00EB6FE4"/>
    <w:rsid w:val="00EB746A"/>
    <w:rsid w:val="00EB75BF"/>
    <w:rsid w:val="00EB771E"/>
    <w:rsid w:val="00EB79DE"/>
    <w:rsid w:val="00EB7B8F"/>
    <w:rsid w:val="00EC0259"/>
    <w:rsid w:val="00EC03E6"/>
    <w:rsid w:val="00EC0929"/>
    <w:rsid w:val="00EC09AD"/>
    <w:rsid w:val="00EC0E2A"/>
    <w:rsid w:val="00EC0E3C"/>
    <w:rsid w:val="00EC100D"/>
    <w:rsid w:val="00EC11B6"/>
    <w:rsid w:val="00EC137E"/>
    <w:rsid w:val="00EC1397"/>
    <w:rsid w:val="00EC143C"/>
    <w:rsid w:val="00EC1520"/>
    <w:rsid w:val="00EC1696"/>
    <w:rsid w:val="00EC1782"/>
    <w:rsid w:val="00EC18C1"/>
    <w:rsid w:val="00EC1902"/>
    <w:rsid w:val="00EC1915"/>
    <w:rsid w:val="00EC1AF0"/>
    <w:rsid w:val="00EC1E0E"/>
    <w:rsid w:val="00EC1E57"/>
    <w:rsid w:val="00EC202E"/>
    <w:rsid w:val="00EC21F4"/>
    <w:rsid w:val="00EC236D"/>
    <w:rsid w:val="00EC2A05"/>
    <w:rsid w:val="00EC2C7D"/>
    <w:rsid w:val="00EC2C7E"/>
    <w:rsid w:val="00EC2CEF"/>
    <w:rsid w:val="00EC2F7C"/>
    <w:rsid w:val="00EC3063"/>
    <w:rsid w:val="00EC3064"/>
    <w:rsid w:val="00EC3261"/>
    <w:rsid w:val="00EC35DC"/>
    <w:rsid w:val="00EC37EB"/>
    <w:rsid w:val="00EC3AD6"/>
    <w:rsid w:val="00EC4224"/>
    <w:rsid w:val="00EC47C1"/>
    <w:rsid w:val="00EC4C31"/>
    <w:rsid w:val="00EC4D39"/>
    <w:rsid w:val="00EC4D70"/>
    <w:rsid w:val="00EC5193"/>
    <w:rsid w:val="00EC5270"/>
    <w:rsid w:val="00EC531A"/>
    <w:rsid w:val="00EC543A"/>
    <w:rsid w:val="00EC54A9"/>
    <w:rsid w:val="00EC5631"/>
    <w:rsid w:val="00EC5ADD"/>
    <w:rsid w:val="00EC5B14"/>
    <w:rsid w:val="00EC5C14"/>
    <w:rsid w:val="00EC5EEB"/>
    <w:rsid w:val="00EC624E"/>
    <w:rsid w:val="00EC65A6"/>
    <w:rsid w:val="00EC68D9"/>
    <w:rsid w:val="00EC6B16"/>
    <w:rsid w:val="00EC6B63"/>
    <w:rsid w:val="00EC6E0A"/>
    <w:rsid w:val="00EC6FC0"/>
    <w:rsid w:val="00EC70D3"/>
    <w:rsid w:val="00EC7524"/>
    <w:rsid w:val="00EC755A"/>
    <w:rsid w:val="00EC7789"/>
    <w:rsid w:val="00EC78B9"/>
    <w:rsid w:val="00EC7F1D"/>
    <w:rsid w:val="00ED00FF"/>
    <w:rsid w:val="00ED0459"/>
    <w:rsid w:val="00ED0887"/>
    <w:rsid w:val="00ED0BA0"/>
    <w:rsid w:val="00ED0C71"/>
    <w:rsid w:val="00ED0D31"/>
    <w:rsid w:val="00ED110B"/>
    <w:rsid w:val="00ED144A"/>
    <w:rsid w:val="00ED17B0"/>
    <w:rsid w:val="00ED18A5"/>
    <w:rsid w:val="00ED1A29"/>
    <w:rsid w:val="00ED1D61"/>
    <w:rsid w:val="00ED1F92"/>
    <w:rsid w:val="00ED207D"/>
    <w:rsid w:val="00ED23E2"/>
    <w:rsid w:val="00ED2407"/>
    <w:rsid w:val="00ED25E4"/>
    <w:rsid w:val="00ED2614"/>
    <w:rsid w:val="00ED2BBA"/>
    <w:rsid w:val="00ED2D1B"/>
    <w:rsid w:val="00ED2E06"/>
    <w:rsid w:val="00ED2FDE"/>
    <w:rsid w:val="00ED315E"/>
    <w:rsid w:val="00ED321F"/>
    <w:rsid w:val="00ED3458"/>
    <w:rsid w:val="00ED34A5"/>
    <w:rsid w:val="00ED3983"/>
    <w:rsid w:val="00ED3B7C"/>
    <w:rsid w:val="00ED3BBC"/>
    <w:rsid w:val="00ED3D99"/>
    <w:rsid w:val="00ED4005"/>
    <w:rsid w:val="00ED4555"/>
    <w:rsid w:val="00ED45A6"/>
    <w:rsid w:val="00ED46DF"/>
    <w:rsid w:val="00ED47B8"/>
    <w:rsid w:val="00ED49B6"/>
    <w:rsid w:val="00ED49DF"/>
    <w:rsid w:val="00ED49EB"/>
    <w:rsid w:val="00ED504B"/>
    <w:rsid w:val="00ED509A"/>
    <w:rsid w:val="00ED50B8"/>
    <w:rsid w:val="00ED567A"/>
    <w:rsid w:val="00ED56EA"/>
    <w:rsid w:val="00ED582A"/>
    <w:rsid w:val="00ED5A20"/>
    <w:rsid w:val="00ED5AE2"/>
    <w:rsid w:val="00ED5EDA"/>
    <w:rsid w:val="00ED6212"/>
    <w:rsid w:val="00ED6517"/>
    <w:rsid w:val="00ED6AF6"/>
    <w:rsid w:val="00ED6CD1"/>
    <w:rsid w:val="00ED6F97"/>
    <w:rsid w:val="00ED70F2"/>
    <w:rsid w:val="00ED734D"/>
    <w:rsid w:val="00ED7395"/>
    <w:rsid w:val="00ED743C"/>
    <w:rsid w:val="00ED7477"/>
    <w:rsid w:val="00ED7519"/>
    <w:rsid w:val="00ED7986"/>
    <w:rsid w:val="00ED7AE5"/>
    <w:rsid w:val="00ED7D0B"/>
    <w:rsid w:val="00ED7DDC"/>
    <w:rsid w:val="00EE0034"/>
    <w:rsid w:val="00EE005C"/>
    <w:rsid w:val="00EE0273"/>
    <w:rsid w:val="00EE06F4"/>
    <w:rsid w:val="00EE0C41"/>
    <w:rsid w:val="00EE0EE0"/>
    <w:rsid w:val="00EE0EED"/>
    <w:rsid w:val="00EE1018"/>
    <w:rsid w:val="00EE1220"/>
    <w:rsid w:val="00EE133F"/>
    <w:rsid w:val="00EE1447"/>
    <w:rsid w:val="00EE172F"/>
    <w:rsid w:val="00EE1787"/>
    <w:rsid w:val="00EE1964"/>
    <w:rsid w:val="00EE1984"/>
    <w:rsid w:val="00EE1BF1"/>
    <w:rsid w:val="00EE1D40"/>
    <w:rsid w:val="00EE1E86"/>
    <w:rsid w:val="00EE1EF1"/>
    <w:rsid w:val="00EE2288"/>
    <w:rsid w:val="00EE2419"/>
    <w:rsid w:val="00EE2769"/>
    <w:rsid w:val="00EE2993"/>
    <w:rsid w:val="00EE2A27"/>
    <w:rsid w:val="00EE2BCE"/>
    <w:rsid w:val="00EE2DA3"/>
    <w:rsid w:val="00EE2DAA"/>
    <w:rsid w:val="00EE2E15"/>
    <w:rsid w:val="00EE2FAF"/>
    <w:rsid w:val="00EE3204"/>
    <w:rsid w:val="00EE35C6"/>
    <w:rsid w:val="00EE3636"/>
    <w:rsid w:val="00EE36BF"/>
    <w:rsid w:val="00EE37EF"/>
    <w:rsid w:val="00EE3C48"/>
    <w:rsid w:val="00EE3CAB"/>
    <w:rsid w:val="00EE3E89"/>
    <w:rsid w:val="00EE4048"/>
    <w:rsid w:val="00EE42DF"/>
    <w:rsid w:val="00EE42E9"/>
    <w:rsid w:val="00EE4864"/>
    <w:rsid w:val="00EE4A4C"/>
    <w:rsid w:val="00EE4A5C"/>
    <w:rsid w:val="00EE4B61"/>
    <w:rsid w:val="00EE4CE3"/>
    <w:rsid w:val="00EE4D9D"/>
    <w:rsid w:val="00EE4E77"/>
    <w:rsid w:val="00EE4F81"/>
    <w:rsid w:val="00EE5098"/>
    <w:rsid w:val="00EE547F"/>
    <w:rsid w:val="00EE54F5"/>
    <w:rsid w:val="00EE5535"/>
    <w:rsid w:val="00EE5599"/>
    <w:rsid w:val="00EE57D9"/>
    <w:rsid w:val="00EE591B"/>
    <w:rsid w:val="00EE5A06"/>
    <w:rsid w:val="00EE5AA2"/>
    <w:rsid w:val="00EE5B82"/>
    <w:rsid w:val="00EE5D11"/>
    <w:rsid w:val="00EE5D57"/>
    <w:rsid w:val="00EE5DA1"/>
    <w:rsid w:val="00EE610F"/>
    <w:rsid w:val="00EE62A8"/>
    <w:rsid w:val="00EE6314"/>
    <w:rsid w:val="00EE6477"/>
    <w:rsid w:val="00EE64EA"/>
    <w:rsid w:val="00EE6A77"/>
    <w:rsid w:val="00EE6E1D"/>
    <w:rsid w:val="00EE70A4"/>
    <w:rsid w:val="00EE7744"/>
    <w:rsid w:val="00EE77A0"/>
    <w:rsid w:val="00EE783F"/>
    <w:rsid w:val="00EE794B"/>
    <w:rsid w:val="00EE7DBD"/>
    <w:rsid w:val="00EE7F48"/>
    <w:rsid w:val="00EE7FE2"/>
    <w:rsid w:val="00EF03E1"/>
    <w:rsid w:val="00EF05B8"/>
    <w:rsid w:val="00EF06E5"/>
    <w:rsid w:val="00EF07FE"/>
    <w:rsid w:val="00EF08A3"/>
    <w:rsid w:val="00EF0D02"/>
    <w:rsid w:val="00EF0DE8"/>
    <w:rsid w:val="00EF133A"/>
    <w:rsid w:val="00EF145E"/>
    <w:rsid w:val="00EF147E"/>
    <w:rsid w:val="00EF156B"/>
    <w:rsid w:val="00EF1A22"/>
    <w:rsid w:val="00EF1BBD"/>
    <w:rsid w:val="00EF1DAA"/>
    <w:rsid w:val="00EF1FC2"/>
    <w:rsid w:val="00EF2191"/>
    <w:rsid w:val="00EF2192"/>
    <w:rsid w:val="00EF22B1"/>
    <w:rsid w:val="00EF29A5"/>
    <w:rsid w:val="00EF2A74"/>
    <w:rsid w:val="00EF2BBB"/>
    <w:rsid w:val="00EF2BE5"/>
    <w:rsid w:val="00EF2ECA"/>
    <w:rsid w:val="00EF3270"/>
    <w:rsid w:val="00EF32C7"/>
    <w:rsid w:val="00EF3530"/>
    <w:rsid w:val="00EF36CF"/>
    <w:rsid w:val="00EF3816"/>
    <w:rsid w:val="00EF3842"/>
    <w:rsid w:val="00EF38E8"/>
    <w:rsid w:val="00EF398F"/>
    <w:rsid w:val="00EF3B56"/>
    <w:rsid w:val="00EF3E65"/>
    <w:rsid w:val="00EF3FC6"/>
    <w:rsid w:val="00EF4040"/>
    <w:rsid w:val="00EF413E"/>
    <w:rsid w:val="00EF41E6"/>
    <w:rsid w:val="00EF41EA"/>
    <w:rsid w:val="00EF424B"/>
    <w:rsid w:val="00EF45EA"/>
    <w:rsid w:val="00EF49EE"/>
    <w:rsid w:val="00EF4B85"/>
    <w:rsid w:val="00EF4B8A"/>
    <w:rsid w:val="00EF4CE9"/>
    <w:rsid w:val="00EF5353"/>
    <w:rsid w:val="00EF5980"/>
    <w:rsid w:val="00EF59C8"/>
    <w:rsid w:val="00EF59CD"/>
    <w:rsid w:val="00EF6419"/>
    <w:rsid w:val="00EF6509"/>
    <w:rsid w:val="00EF651F"/>
    <w:rsid w:val="00EF6C63"/>
    <w:rsid w:val="00EF6EBB"/>
    <w:rsid w:val="00EF6F56"/>
    <w:rsid w:val="00EF71B1"/>
    <w:rsid w:val="00EF7255"/>
    <w:rsid w:val="00EF72F2"/>
    <w:rsid w:val="00EF739F"/>
    <w:rsid w:val="00EF7493"/>
    <w:rsid w:val="00EF7499"/>
    <w:rsid w:val="00EF76D2"/>
    <w:rsid w:val="00EF775F"/>
    <w:rsid w:val="00EF78B7"/>
    <w:rsid w:val="00EF78BC"/>
    <w:rsid w:val="00EF791A"/>
    <w:rsid w:val="00EF7998"/>
    <w:rsid w:val="00EF7999"/>
    <w:rsid w:val="00EF7F0C"/>
    <w:rsid w:val="00F00104"/>
    <w:rsid w:val="00F0030A"/>
    <w:rsid w:val="00F0039D"/>
    <w:rsid w:val="00F00456"/>
    <w:rsid w:val="00F00513"/>
    <w:rsid w:val="00F00553"/>
    <w:rsid w:val="00F0056A"/>
    <w:rsid w:val="00F0082D"/>
    <w:rsid w:val="00F009BB"/>
    <w:rsid w:val="00F00C44"/>
    <w:rsid w:val="00F00C7B"/>
    <w:rsid w:val="00F00CE4"/>
    <w:rsid w:val="00F00E03"/>
    <w:rsid w:val="00F00EBD"/>
    <w:rsid w:val="00F013AA"/>
    <w:rsid w:val="00F015AB"/>
    <w:rsid w:val="00F0162F"/>
    <w:rsid w:val="00F019BC"/>
    <w:rsid w:val="00F02195"/>
    <w:rsid w:val="00F022BB"/>
    <w:rsid w:val="00F02352"/>
    <w:rsid w:val="00F02435"/>
    <w:rsid w:val="00F02603"/>
    <w:rsid w:val="00F02C0B"/>
    <w:rsid w:val="00F02E58"/>
    <w:rsid w:val="00F02FFB"/>
    <w:rsid w:val="00F03078"/>
    <w:rsid w:val="00F03267"/>
    <w:rsid w:val="00F0338F"/>
    <w:rsid w:val="00F034CE"/>
    <w:rsid w:val="00F039B5"/>
    <w:rsid w:val="00F03B43"/>
    <w:rsid w:val="00F03B99"/>
    <w:rsid w:val="00F03C02"/>
    <w:rsid w:val="00F03CDE"/>
    <w:rsid w:val="00F04081"/>
    <w:rsid w:val="00F045E0"/>
    <w:rsid w:val="00F04949"/>
    <w:rsid w:val="00F04D8B"/>
    <w:rsid w:val="00F04E30"/>
    <w:rsid w:val="00F04FC6"/>
    <w:rsid w:val="00F051F4"/>
    <w:rsid w:val="00F05595"/>
    <w:rsid w:val="00F0580C"/>
    <w:rsid w:val="00F05A3C"/>
    <w:rsid w:val="00F05A55"/>
    <w:rsid w:val="00F05B6D"/>
    <w:rsid w:val="00F05C92"/>
    <w:rsid w:val="00F063A1"/>
    <w:rsid w:val="00F0675C"/>
    <w:rsid w:val="00F067F4"/>
    <w:rsid w:val="00F07048"/>
    <w:rsid w:val="00F07334"/>
    <w:rsid w:val="00F07426"/>
    <w:rsid w:val="00F0773A"/>
    <w:rsid w:val="00F077B3"/>
    <w:rsid w:val="00F0796F"/>
    <w:rsid w:val="00F07A4C"/>
    <w:rsid w:val="00F07C90"/>
    <w:rsid w:val="00F07D73"/>
    <w:rsid w:val="00F104B7"/>
    <w:rsid w:val="00F10589"/>
    <w:rsid w:val="00F10600"/>
    <w:rsid w:val="00F10682"/>
    <w:rsid w:val="00F108D7"/>
    <w:rsid w:val="00F10FC1"/>
    <w:rsid w:val="00F111ED"/>
    <w:rsid w:val="00F112AB"/>
    <w:rsid w:val="00F112ED"/>
    <w:rsid w:val="00F11450"/>
    <w:rsid w:val="00F115F2"/>
    <w:rsid w:val="00F11A72"/>
    <w:rsid w:val="00F11BC6"/>
    <w:rsid w:val="00F11D1F"/>
    <w:rsid w:val="00F11D79"/>
    <w:rsid w:val="00F125BE"/>
    <w:rsid w:val="00F1264B"/>
    <w:rsid w:val="00F12F8D"/>
    <w:rsid w:val="00F1329E"/>
    <w:rsid w:val="00F134AB"/>
    <w:rsid w:val="00F13565"/>
    <w:rsid w:val="00F13790"/>
    <w:rsid w:val="00F13AA3"/>
    <w:rsid w:val="00F13D97"/>
    <w:rsid w:val="00F14047"/>
    <w:rsid w:val="00F142C2"/>
    <w:rsid w:val="00F147C8"/>
    <w:rsid w:val="00F149CE"/>
    <w:rsid w:val="00F14DD2"/>
    <w:rsid w:val="00F14FB1"/>
    <w:rsid w:val="00F151D2"/>
    <w:rsid w:val="00F151D7"/>
    <w:rsid w:val="00F15499"/>
    <w:rsid w:val="00F15802"/>
    <w:rsid w:val="00F15BCE"/>
    <w:rsid w:val="00F15C82"/>
    <w:rsid w:val="00F15DC6"/>
    <w:rsid w:val="00F1643E"/>
    <w:rsid w:val="00F16726"/>
    <w:rsid w:val="00F1689F"/>
    <w:rsid w:val="00F16941"/>
    <w:rsid w:val="00F16A91"/>
    <w:rsid w:val="00F16B66"/>
    <w:rsid w:val="00F16CDE"/>
    <w:rsid w:val="00F16EFB"/>
    <w:rsid w:val="00F17127"/>
    <w:rsid w:val="00F173E0"/>
    <w:rsid w:val="00F1755A"/>
    <w:rsid w:val="00F17AD6"/>
    <w:rsid w:val="00F20364"/>
    <w:rsid w:val="00F203A5"/>
    <w:rsid w:val="00F204CC"/>
    <w:rsid w:val="00F205EE"/>
    <w:rsid w:val="00F20717"/>
    <w:rsid w:val="00F207DD"/>
    <w:rsid w:val="00F20896"/>
    <w:rsid w:val="00F20CF2"/>
    <w:rsid w:val="00F20D7C"/>
    <w:rsid w:val="00F20EE9"/>
    <w:rsid w:val="00F20F8A"/>
    <w:rsid w:val="00F210BB"/>
    <w:rsid w:val="00F2147E"/>
    <w:rsid w:val="00F218DE"/>
    <w:rsid w:val="00F21A4F"/>
    <w:rsid w:val="00F21AAE"/>
    <w:rsid w:val="00F21CF7"/>
    <w:rsid w:val="00F220FC"/>
    <w:rsid w:val="00F22180"/>
    <w:rsid w:val="00F22493"/>
    <w:rsid w:val="00F22532"/>
    <w:rsid w:val="00F22857"/>
    <w:rsid w:val="00F228C9"/>
    <w:rsid w:val="00F22CA6"/>
    <w:rsid w:val="00F22DB3"/>
    <w:rsid w:val="00F22F6F"/>
    <w:rsid w:val="00F233A8"/>
    <w:rsid w:val="00F238E9"/>
    <w:rsid w:val="00F23ED5"/>
    <w:rsid w:val="00F241B2"/>
    <w:rsid w:val="00F24285"/>
    <w:rsid w:val="00F24894"/>
    <w:rsid w:val="00F24A86"/>
    <w:rsid w:val="00F24AE8"/>
    <w:rsid w:val="00F24D22"/>
    <w:rsid w:val="00F24D48"/>
    <w:rsid w:val="00F24D89"/>
    <w:rsid w:val="00F250F9"/>
    <w:rsid w:val="00F255C6"/>
    <w:rsid w:val="00F2567A"/>
    <w:rsid w:val="00F25718"/>
    <w:rsid w:val="00F25916"/>
    <w:rsid w:val="00F2591D"/>
    <w:rsid w:val="00F25A11"/>
    <w:rsid w:val="00F25D22"/>
    <w:rsid w:val="00F25EE1"/>
    <w:rsid w:val="00F26456"/>
    <w:rsid w:val="00F2672A"/>
    <w:rsid w:val="00F26B42"/>
    <w:rsid w:val="00F26CAD"/>
    <w:rsid w:val="00F26EAB"/>
    <w:rsid w:val="00F26EBD"/>
    <w:rsid w:val="00F26F41"/>
    <w:rsid w:val="00F271F3"/>
    <w:rsid w:val="00F2758B"/>
    <w:rsid w:val="00F278E0"/>
    <w:rsid w:val="00F27949"/>
    <w:rsid w:val="00F27BC9"/>
    <w:rsid w:val="00F27D96"/>
    <w:rsid w:val="00F27FB1"/>
    <w:rsid w:val="00F302AF"/>
    <w:rsid w:val="00F302DB"/>
    <w:rsid w:val="00F304A4"/>
    <w:rsid w:val="00F30561"/>
    <w:rsid w:val="00F30600"/>
    <w:rsid w:val="00F30929"/>
    <w:rsid w:val="00F30EC1"/>
    <w:rsid w:val="00F3123B"/>
    <w:rsid w:val="00F3136A"/>
    <w:rsid w:val="00F3136D"/>
    <w:rsid w:val="00F317F1"/>
    <w:rsid w:val="00F3192F"/>
    <w:rsid w:val="00F31A3F"/>
    <w:rsid w:val="00F31C5A"/>
    <w:rsid w:val="00F31D4B"/>
    <w:rsid w:val="00F31DDD"/>
    <w:rsid w:val="00F31E48"/>
    <w:rsid w:val="00F32819"/>
    <w:rsid w:val="00F3291C"/>
    <w:rsid w:val="00F32B19"/>
    <w:rsid w:val="00F32D2C"/>
    <w:rsid w:val="00F32E68"/>
    <w:rsid w:val="00F330D7"/>
    <w:rsid w:val="00F3355B"/>
    <w:rsid w:val="00F336B6"/>
    <w:rsid w:val="00F336C6"/>
    <w:rsid w:val="00F33821"/>
    <w:rsid w:val="00F33A10"/>
    <w:rsid w:val="00F33A7E"/>
    <w:rsid w:val="00F33DB8"/>
    <w:rsid w:val="00F341E1"/>
    <w:rsid w:val="00F343E9"/>
    <w:rsid w:val="00F343F1"/>
    <w:rsid w:val="00F344CF"/>
    <w:rsid w:val="00F3450E"/>
    <w:rsid w:val="00F34608"/>
    <w:rsid w:val="00F346FA"/>
    <w:rsid w:val="00F34861"/>
    <w:rsid w:val="00F348AB"/>
    <w:rsid w:val="00F3497D"/>
    <w:rsid w:val="00F34B52"/>
    <w:rsid w:val="00F34CE5"/>
    <w:rsid w:val="00F34EC0"/>
    <w:rsid w:val="00F35226"/>
    <w:rsid w:val="00F3538C"/>
    <w:rsid w:val="00F3542A"/>
    <w:rsid w:val="00F355C3"/>
    <w:rsid w:val="00F35715"/>
    <w:rsid w:val="00F35A47"/>
    <w:rsid w:val="00F35BC7"/>
    <w:rsid w:val="00F35E00"/>
    <w:rsid w:val="00F36017"/>
    <w:rsid w:val="00F36177"/>
    <w:rsid w:val="00F36483"/>
    <w:rsid w:val="00F366E8"/>
    <w:rsid w:val="00F367CD"/>
    <w:rsid w:val="00F36D7E"/>
    <w:rsid w:val="00F36DB7"/>
    <w:rsid w:val="00F36E33"/>
    <w:rsid w:val="00F36F16"/>
    <w:rsid w:val="00F37096"/>
    <w:rsid w:val="00F370D4"/>
    <w:rsid w:val="00F371C2"/>
    <w:rsid w:val="00F37276"/>
    <w:rsid w:val="00F372D3"/>
    <w:rsid w:val="00F3738C"/>
    <w:rsid w:val="00F37551"/>
    <w:rsid w:val="00F3767B"/>
    <w:rsid w:val="00F37854"/>
    <w:rsid w:val="00F37A82"/>
    <w:rsid w:val="00F37D2A"/>
    <w:rsid w:val="00F37D61"/>
    <w:rsid w:val="00F4006A"/>
    <w:rsid w:val="00F404B9"/>
    <w:rsid w:val="00F407BB"/>
    <w:rsid w:val="00F40929"/>
    <w:rsid w:val="00F40AEB"/>
    <w:rsid w:val="00F40B76"/>
    <w:rsid w:val="00F40BB1"/>
    <w:rsid w:val="00F40DDD"/>
    <w:rsid w:val="00F40DEF"/>
    <w:rsid w:val="00F40EB2"/>
    <w:rsid w:val="00F413C6"/>
    <w:rsid w:val="00F413F0"/>
    <w:rsid w:val="00F414F6"/>
    <w:rsid w:val="00F416F3"/>
    <w:rsid w:val="00F41979"/>
    <w:rsid w:val="00F41A1C"/>
    <w:rsid w:val="00F41B20"/>
    <w:rsid w:val="00F41D4C"/>
    <w:rsid w:val="00F41E10"/>
    <w:rsid w:val="00F41E50"/>
    <w:rsid w:val="00F41EF7"/>
    <w:rsid w:val="00F4207E"/>
    <w:rsid w:val="00F42674"/>
    <w:rsid w:val="00F4268A"/>
    <w:rsid w:val="00F426A3"/>
    <w:rsid w:val="00F426AB"/>
    <w:rsid w:val="00F42786"/>
    <w:rsid w:val="00F429C8"/>
    <w:rsid w:val="00F42FDE"/>
    <w:rsid w:val="00F4346E"/>
    <w:rsid w:val="00F434CD"/>
    <w:rsid w:val="00F437E8"/>
    <w:rsid w:val="00F4391C"/>
    <w:rsid w:val="00F43B1E"/>
    <w:rsid w:val="00F43C5C"/>
    <w:rsid w:val="00F441E0"/>
    <w:rsid w:val="00F4448D"/>
    <w:rsid w:val="00F44683"/>
    <w:rsid w:val="00F4475F"/>
    <w:rsid w:val="00F44A38"/>
    <w:rsid w:val="00F44B58"/>
    <w:rsid w:val="00F44D06"/>
    <w:rsid w:val="00F44DF7"/>
    <w:rsid w:val="00F454FE"/>
    <w:rsid w:val="00F455F4"/>
    <w:rsid w:val="00F45CAB"/>
    <w:rsid w:val="00F45D78"/>
    <w:rsid w:val="00F46066"/>
    <w:rsid w:val="00F46156"/>
    <w:rsid w:val="00F4630E"/>
    <w:rsid w:val="00F46339"/>
    <w:rsid w:val="00F46501"/>
    <w:rsid w:val="00F46699"/>
    <w:rsid w:val="00F468F4"/>
    <w:rsid w:val="00F46C8B"/>
    <w:rsid w:val="00F46D3A"/>
    <w:rsid w:val="00F47016"/>
    <w:rsid w:val="00F47494"/>
    <w:rsid w:val="00F4788A"/>
    <w:rsid w:val="00F47A0A"/>
    <w:rsid w:val="00F47AC8"/>
    <w:rsid w:val="00F47F7C"/>
    <w:rsid w:val="00F503D3"/>
    <w:rsid w:val="00F503F0"/>
    <w:rsid w:val="00F5054B"/>
    <w:rsid w:val="00F50A56"/>
    <w:rsid w:val="00F50CA4"/>
    <w:rsid w:val="00F51867"/>
    <w:rsid w:val="00F519E5"/>
    <w:rsid w:val="00F51BB9"/>
    <w:rsid w:val="00F51C13"/>
    <w:rsid w:val="00F51D1C"/>
    <w:rsid w:val="00F51D7F"/>
    <w:rsid w:val="00F51DC5"/>
    <w:rsid w:val="00F51E3F"/>
    <w:rsid w:val="00F51FB3"/>
    <w:rsid w:val="00F51FFC"/>
    <w:rsid w:val="00F52064"/>
    <w:rsid w:val="00F52142"/>
    <w:rsid w:val="00F52148"/>
    <w:rsid w:val="00F5258F"/>
    <w:rsid w:val="00F52761"/>
    <w:rsid w:val="00F527A0"/>
    <w:rsid w:val="00F52A6D"/>
    <w:rsid w:val="00F52BBD"/>
    <w:rsid w:val="00F52BF7"/>
    <w:rsid w:val="00F52CF8"/>
    <w:rsid w:val="00F530BA"/>
    <w:rsid w:val="00F535B6"/>
    <w:rsid w:val="00F53640"/>
    <w:rsid w:val="00F5365A"/>
    <w:rsid w:val="00F538D8"/>
    <w:rsid w:val="00F53A0B"/>
    <w:rsid w:val="00F53CC3"/>
    <w:rsid w:val="00F53EEB"/>
    <w:rsid w:val="00F5424E"/>
    <w:rsid w:val="00F54880"/>
    <w:rsid w:val="00F549E4"/>
    <w:rsid w:val="00F54E97"/>
    <w:rsid w:val="00F55163"/>
    <w:rsid w:val="00F5596D"/>
    <w:rsid w:val="00F55B0B"/>
    <w:rsid w:val="00F55C84"/>
    <w:rsid w:val="00F55CD0"/>
    <w:rsid w:val="00F561EE"/>
    <w:rsid w:val="00F56270"/>
    <w:rsid w:val="00F5644A"/>
    <w:rsid w:val="00F5661D"/>
    <w:rsid w:val="00F56697"/>
    <w:rsid w:val="00F569E2"/>
    <w:rsid w:val="00F56AFC"/>
    <w:rsid w:val="00F57035"/>
    <w:rsid w:val="00F570A9"/>
    <w:rsid w:val="00F571BA"/>
    <w:rsid w:val="00F576B7"/>
    <w:rsid w:val="00F5783C"/>
    <w:rsid w:val="00F579B6"/>
    <w:rsid w:val="00F57A70"/>
    <w:rsid w:val="00F57AC6"/>
    <w:rsid w:val="00F57BED"/>
    <w:rsid w:val="00F57C9A"/>
    <w:rsid w:val="00F60198"/>
    <w:rsid w:val="00F602BC"/>
    <w:rsid w:val="00F6033D"/>
    <w:rsid w:val="00F60384"/>
    <w:rsid w:val="00F60758"/>
    <w:rsid w:val="00F608E2"/>
    <w:rsid w:val="00F61168"/>
    <w:rsid w:val="00F611FF"/>
    <w:rsid w:val="00F617C6"/>
    <w:rsid w:val="00F62105"/>
    <w:rsid w:val="00F6217C"/>
    <w:rsid w:val="00F625B4"/>
    <w:rsid w:val="00F62709"/>
    <w:rsid w:val="00F62C28"/>
    <w:rsid w:val="00F62D20"/>
    <w:rsid w:val="00F62D2F"/>
    <w:rsid w:val="00F62D8B"/>
    <w:rsid w:val="00F63296"/>
    <w:rsid w:val="00F63509"/>
    <w:rsid w:val="00F6351C"/>
    <w:rsid w:val="00F63558"/>
    <w:rsid w:val="00F63941"/>
    <w:rsid w:val="00F63E01"/>
    <w:rsid w:val="00F63E3F"/>
    <w:rsid w:val="00F6405B"/>
    <w:rsid w:val="00F6409A"/>
    <w:rsid w:val="00F6425D"/>
    <w:rsid w:val="00F643F9"/>
    <w:rsid w:val="00F645B0"/>
    <w:rsid w:val="00F64708"/>
    <w:rsid w:val="00F6482B"/>
    <w:rsid w:val="00F64BEB"/>
    <w:rsid w:val="00F6514D"/>
    <w:rsid w:val="00F6547C"/>
    <w:rsid w:val="00F65591"/>
    <w:rsid w:val="00F655CD"/>
    <w:rsid w:val="00F656FC"/>
    <w:rsid w:val="00F6578F"/>
    <w:rsid w:val="00F6579C"/>
    <w:rsid w:val="00F65A71"/>
    <w:rsid w:val="00F65AC8"/>
    <w:rsid w:val="00F66142"/>
    <w:rsid w:val="00F66220"/>
    <w:rsid w:val="00F66382"/>
    <w:rsid w:val="00F6653C"/>
    <w:rsid w:val="00F666A0"/>
    <w:rsid w:val="00F66879"/>
    <w:rsid w:val="00F669CD"/>
    <w:rsid w:val="00F67209"/>
    <w:rsid w:val="00F673DB"/>
    <w:rsid w:val="00F674FC"/>
    <w:rsid w:val="00F67746"/>
    <w:rsid w:val="00F677F9"/>
    <w:rsid w:val="00F6797A"/>
    <w:rsid w:val="00F67AE1"/>
    <w:rsid w:val="00F67CA5"/>
    <w:rsid w:val="00F67DA0"/>
    <w:rsid w:val="00F67DF4"/>
    <w:rsid w:val="00F7028D"/>
    <w:rsid w:val="00F70679"/>
    <w:rsid w:val="00F7077A"/>
    <w:rsid w:val="00F708E0"/>
    <w:rsid w:val="00F70BEB"/>
    <w:rsid w:val="00F70D69"/>
    <w:rsid w:val="00F71000"/>
    <w:rsid w:val="00F7106F"/>
    <w:rsid w:val="00F710CB"/>
    <w:rsid w:val="00F71454"/>
    <w:rsid w:val="00F71536"/>
    <w:rsid w:val="00F715F1"/>
    <w:rsid w:val="00F71814"/>
    <w:rsid w:val="00F718ED"/>
    <w:rsid w:val="00F71DA2"/>
    <w:rsid w:val="00F71E91"/>
    <w:rsid w:val="00F7230F"/>
    <w:rsid w:val="00F724FA"/>
    <w:rsid w:val="00F72597"/>
    <w:rsid w:val="00F72800"/>
    <w:rsid w:val="00F72841"/>
    <w:rsid w:val="00F728D0"/>
    <w:rsid w:val="00F72974"/>
    <w:rsid w:val="00F72AFC"/>
    <w:rsid w:val="00F72BEC"/>
    <w:rsid w:val="00F7374F"/>
    <w:rsid w:val="00F737DB"/>
    <w:rsid w:val="00F73925"/>
    <w:rsid w:val="00F73BF3"/>
    <w:rsid w:val="00F73D9D"/>
    <w:rsid w:val="00F73DF9"/>
    <w:rsid w:val="00F746F7"/>
    <w:rsid w:val="00F74AD6"/>
    <w:rsid w:val="00F74B41"/>
    <w:rsid w:val="00F74BA1"/>
    <w:rsid w:val="00F74FC6"/>
    <w:rsid w:val="00F7500B"/>
    <w:rsid w:val="00F750C4"/>
    <w:rsid w:val="00F7525E"/>
    <w:rsid w:val="00F75571"/>
    <w:rsid w:val="00F755EB"/>
    <w:rsid w:val="00F759B1"/>
    <w:rsid w:val="00F759EA"/>
    <w:rsid w:val="00F75AC3"/>
    <w:rsid w:val="00F75AD5"/>
    <w:rsid w:val="00F75BF3"/>
    <w:rsid w:val="00F75CB5"/>
    <w:rsid w:val="00F76138"/>
    <w:rsid w:val="00F7613A"/>
    <w:rsid w:val="00F762C2"/>
    <w:rsid w:val="00F763A9"/>
    <w:rsid w:val="00F76A32"/>
    <w:rsid w:val="00F76B8E"/>
    <w:rsid w:val="00F76EBF"/>
    <w:rsid w:val="00F7710F"/>
    <w:rsid w:val="00F771AB"/>
    <w:rsid w:val="00F77667"/>
    <w:rsid w:val="00F77927"/>
    <w:rsid w:val="00F77AC9"/>
    <w:rsid w:val="00F80476"/>
    <w:rsid w:val="00F806D1"/>
    <w:rsid w:val="00F80957"/>
    <w:rsid w:val="00F809FA"/>
    <w:rsid w:val="00F80AF4"/>
    <w:rsid w:val="00F80D5C"/>
    <w:rsid w:val="00F812B0"/>
    <w:rsid w:val="00F81313"/>
    <w:rsid w:val="00F8175D"/>
    <w:rsid w:val="00F81785"/>
    <w:rsid w:val="00F81988"/>
    <w:rsid w:val="00F819AF"/>
    <w:rsid w:val="00F81BBC"/>
    <w:rsid w:val="00F81D81"/>
    <w:rsid w:val="00F81EDC"/>
    <w:rsid w:val="00F81F93"/>
    <w:rsid w:val="00F82020"/>
    <w:rsid w:val="00F82167"/>
    <w:rsid w:val="00F821A5"/>
    <w:rsid w:val="00F82295"/>
    <w:rsid w:val="00F82339"/>
    <w:rsid w:val="00F82555"/>
    <w:rsid w:val="00F82576"/>
    <w:rsid w:val="00F82746"/>
    <w:rsid w:val="00F82C0F"/>
    <w:rsid w:val="00F82CC4"/>
    <w:rsid w:val="00F82E82"/>
    <w:rsid w:val="00F82EF5"/>
    <w:rsid w:val="00F831AB"/>
    <w:rsid w:val="00F8337F"/>
    <w:rsid w:val="00F83615"/>
    <w:rsid w:val="00F836F9"/>
    <w:rsid w:val="00F837B0"/>
    <w:rsid w:val="00F8393D"/>
    <w:rsid w:val="00F83B3D"/>
    <w:rsid w:val="00F83F72"/>
    <w:rsid w:val="00F842E6"/>
    <w:rsid w:val="00F845D7"/>
    <w:rsid w:val="00F8473C"/>
    <w:rsid w:val="00F84AA9"/>
    <w:rsid w:val="00F84C12"/>
    <w:rsid w:val="00F84C7B"/>
    <w:rsid w:val="00F851DB"/>
    <w:rsid w:val="00F8527B"/>
    <w:rsid w:val="00F855EE"/>
    <w:rsid w:val="00F858D5"/>
    <w:rsid w:val="00F85B1F"/>
    <w:rsid w:val="00F85B50"/>
    <w:rsid w:val="00F85D04"/>
    <w:rsid w:val="00F85D60"/>
    <w:rsid w:val="00F85FAB"/>
    <w:rsid w:val="00F86213"/>
    <w:rsid w:val="00F8624A"/>
    <w:rsid w:val="00F8635B"/>
    <w:rsid w:val="00F86435"/>
    <w:rsid w:val="00F866FF"/>
    <w:rsid w:val="00F86735"/>
    <w:rsid w:val="00F867A9"/>
    <w:rsid w:val="00F86897"/>
    <w:rsid w:val="00F86A19"/>
    <w:rsid w:val="00F86B41"/>
    <w:rsid w:val="00F86DAE"/>
    <w:rsid w:val="00F8701D"/>
    <w:rsid w:val="00F870ED"/>
    <w:rsid w:val="00F87547"/>
    <w:rsid w:val="00F875CA"/>
    <w:rsid w:val="00F875DD"/>
    <w:rsid w:val="00F876BB"/>
    <w:rsid w:val="00F87DD3"/>
    <w:rsid w:val="00F901E3"/>
    <w:rsid w:val="00F90296"/>
    <w:rsid w:val="00F902A0"/>
    <w:rsid w:val="00F90581"/>
    <w:rsid w:val="00F90683"/>
    <w:rsid w:val="00F90B46"/>
    <w:rsid w:val="00F90C99"/>
    <w:rsid w:val="00F90CFE"/>
    <w:rsid w:val="00F90E99"/>
    <w:rsid w:val="00F90FD0"/>
    <w:rsid w:val="00F91003"/>
    <w:rsid w:val="00F9110E"/>
    <w:rsid w:val="00F911A9"/>
    <w:rsid w:val="00F911E2"/>
    <w:rsid w:val="00F9164F"/>
    <w:rsid w:val="00F91692"/>
    <w:rsid w:val="00F917E8"/>
    <w:rsid w:val="00F917FB"/>
    <w:rsid w:val="00F91A97"/>
    <w:rsid w:val="00F91CFF"/>
    <w:rsid w:val="00F92086"/>
    <w:rsid w:val="00F92279"/>
    <w:rsid w:val="00F9269C"/>
    <w:rsid w:val="00F929E1"/>
    <w:rsid w:val="00F92DF1"/>
    <w:rsid w:val="00F9304F"/>
    <w:rsid w:val="00F9307B"/>
    <w:rsid w:val="00F93200"/>
    <w:rsid w:val="00F936E2"/>
    <w:rsid w:val="00F93745"/>
    <w:rsid w:val="00F9379A"/>
    <w:rsid w:val="00F93D1E"/>
    <w:rsid w:val="00F93D7B"/>
    <w:rsid w:val="00F93E2A"/>
    <w:rsid w:val="00F9407A"/>
    <w:rsid w:val="00F9423D"/>
    <w:rsid w:val="00F94373"/>
    <w:rsid w:val="00F94539"/>
    <w:rsid w:val="00F94D70"/>
    <w:rsid w:val="00F94E4F"/>
    <w:rsid w:val="00F94F47"/>
    <w:rsid w:val="00F94FE5"/>
    <w:rsid w:val="00F9503A"/>
    <w:rsid w:val="00F950D4"/>
    <w:rsid w:val="00F951FB"/>
    <w:rsid w:val="00F95467"/>
    <w:rsid w:val="00F95534"/>
    <w:rsid w:val="00F959FE"/>
    <w:rsid w:val="00F95BB2"/>
    <w:rsid w:val="00F95C9D"/>
    <w:rsid w:val="00F95CF5"/>
    <w:rsid w:val="00F962AE"/>
    <w:rsid w:val="00F96644"/>
    <w:rsid w:val="00F96817"/>
    <w:rsid w:val="00F96A2B"/>
    <w:rsid w:val="00F96D4E"/>
    <w:rsid w:val="00F96DA4"/>
    <w:rsid w:val="00F96E75"/>
    <w:rsid w:val="00F96E89"/>
    <w:rsid w:val="00F96F91"/>
    <w:rsid w:val="00F97519"/>
    <w:rsid w:val="00F97733"/>
    <w:rsid w:val="00F97910"/>
    <w:rsid w:val="00F97926"/>
    <w:rsid w:val="00F97BF1"/>
    <w:rsid w:val="00F97C44"/>
    <w:rsid w:val="00F97C91"/>
    <w:rsid w:val="00F97C92"/>
    <w:rsid w:val="00F97E82"/>
    <w:rsid w:val="00FA013B"/>
    <w:rsid w:val="00FA032E"/>
    <w:rsid w:val="00FA0350"/>
    <w:rsid w:val="00FA058F"/>
    <w:rsid w:val="00FA05D9"/>
    <w:rsid w:val="00FA094D"/>
    <w:rsid w:val="00FA094E"/>
    <w:rsid w:val="00FA0C6E"/>
    <w:rsid w:val="00FA0D54"/>
    <w:rsid w:val="00FA0DFB"/>
    <w:rsid w:val="00FA0E03"/>
    <w:rsid w:val="00FA105C"/>
    <w:rsid w:val="00FA10D1"/>
    <w:rsid w:val="00FA10E0"/>
    <w:rsid w:val="00FA112B"/>
    <w:rsid w:val="00FA11DD"/>
    <w:rsid w:val="00FA11E0"/>
    <w:rsid w:val="00FA1315"/>
    <w:rsid w:val="00FA13F2"/>
    <w:rsid w:val="00FA17F0"/>
    <w:rsid w:val="00FA1B8A"/>
    <w:rsid w:val="00FA1F4E"/>
    <w:rsid w:val="00FA29AC"/>
    <w:rsid w:val="00FA2A09"/>
    <w:rsid w:val="00FA2B0A"/>
    <w:rsid w:val="00FA2E87"/>
    <w:rsid w:val="00FA3063"/>
    <w:rsid w:val="00FA31F7"/>
    <w:rsid w:val="00FA3434"/>
    <w:rsid w:val="00FA388F"/>
    <w:rsid w:val="00FA3933"/>
    <w:rsid w:val="00FA3B4C"/>
    <w:rsid w:val="00FA3B86"/>
    <w:rsid w:val="00FA3D8B"/>
    <w:rsid w:val="00FA3E28"/>
    <w:rsid w:val="00FA3EE5"/>
    <w:rsid w:val="00FA449D"/>
    <w:rsid w:val="00FA44B6"/>
    <w:rsid w:val="00FA464A"/>
    <w:rsid w:val="00FA478A"/>
    <w:rsid w:val="00FA4855"/>
    <w:rsid w:val="00FA4905"/>
    <w:rsid w:val="00FA4A5F"/>
    <w:rsid w:val="00FA4D57"/>
    <w:rsid w:val="00FA4FC5"/>
    <w:rsid w:val="00FA502D"/>
    <w:rsid w:val="00FA509C"/>
    <w:rsid w:val="00FA5137"/>
    <w:rsid w:val="00FA5390"/>
    <w:rsid w:val="00FA55BD"/>
    <w:rsid w:val="00FA57C3"/>
    <w:rsid w:val="00FA5932"/>
    <w:rsid w:val="00FA5E3B"/>
    <w:rsid w:val="00FA5F37"/>
    <w:rsid w:val="00FA5FF4"/>
    <w:rsid w:val="00FA6066"/>
    <w:rsid w:val="00FA607F"/>
    <w:rsid w:val="00FA60A3"/>
    <w:rsid w:val="00FA6463"/>
    <w:rsid w:val="00FA656C"/>
    <w:rsid w:val="00FA67AD"/>
    <w:rsid w:val="00FA6AC9"/>
    <w:rsid w:val="00FA6BBB"/>
    <w:rsid w:val="00FA7104"/>
    <w:rsid w:val="00FA722D"/>
    <w:rsid w:val="00FA7349"/>
    <w:rsid w:val="00FA7579"/>
    <w:rsid w:val="00FA75C8"/>
    <w:rsid w:val="00FA763B"/>
    <w:rsid w:val="00FA772C"/>
    <w:rsid w:val="00FA78D8"/>
    <w:rsid w:val="00FA792C"/>
    <w:rsid w:val="00FA7FBF"/>
    <w:rsid w:val="00FB008E"/>
    <w:rsid w:val="00FB026A"/>
    <w:rsid w:val="00FB02F6"/>
    <w:rsid w:val="00FB0693"/>
    <w:rsid w:val="00FB0AA4"/>
    <w:rsid w:val="00FB0B5A"/>
    <w:rsid w:val="00FB0B81"/>
    <w:rsid w:val="00FB0EB0"/>
    <w:rsid w:val="00FB14B4"/>
    <w:rsid w:val="00FB198A"/>
    <w:rsid w:val="00FB1D28"/>
    <w:rsid w:val="00FB1DFA"/>
    <w:rsid w:val="00FB1F14"/>
    <w:rsid w:val="00FB215D"/>
    <w:rsid w:val="00FB2515"/>
    <w:rsid w:val="00FB25ED"/>
    <w:rsid w:val="00FB27BE"/>
    <w:rsid w:val="00FB2896"/>
    <w:rsid w:val="00FB2A42"/>
    <w:rsid w:val="00FB2A7D"/>
    <w:rsid w:val="00FB2AC0"/>
    <w:rsid w:val="00FB2C40"/>
    <w:rsid w:val="00FB2C4B"/>
    <w:rsid w:val="00FB3067"/>
    <w:rsid w:val="00FB3472"/>
    <w:rsid w:val="00FB3496"/>
    <w:rsid w:val="00FB35D3"/>
    <w:rsid w:val="00FB3600"/>
    <w:rsid w:val="00FB36D2"/>
    <w:rsid w:val="00FB3832"/>
    <w:rsid w:val="00FB399F"/>
    <w:rsid w:val="00FB3BC0"/>
    <w:rsid w:val="00FB3DEE"/>
    <w:rsid w:val="00FB3F89"/>
    <w:rsid w:val="00FB42C7"/>
    <w:rsid w:val="00FB443B"/>
    <w:rsid w:val="00FB46E8"/>
    <w:rsid w:val="00FB4760"/>
    <w:rsid w:val="00FB48F5"/>
    <w:rsid w:val="00FB4D21"/>
    <w:rsid w:val="00FB4EB8"/>
    <w:rsid w:val="00FB530D"/>
    <w:rsid w:val="00FB53B9"/>
    <w:rsid w:val="00FB5EBD"/>
    <w:rsid w:val="00FB6056"/>
    <w:rsid w:val="00FB6077"/>
    <w:rsid w:val="00FB6399"/>
    <w:rsid w:val="00FB6436"/>
    <w:rsid w:val="00FB6C63"/>
    <w:rsid w:val="00FB6C73"/>
    <w:rsid w:val="00FB6D4E"/>
    <w:rsid w:val="00FB6E78"/>
    <w:rsid w:val="00FB6FFC"/>
    <w:rsid w:val="00FB7167"/>
    <w:rsid w:val="00FB762B"/>
    <w:rsid w:val="00FB7681"/>
    <w:rsid w:val="00FB7C18"/>
    <w:rsid w:val="00FB7ED4"/>
    <w:rsid w:val="00FC01E9"/>
    <w:rsid w:val="00FC0519"/>
    <w:rsid w:val="00FC0758"/>
    <w:rsid w:val="00FC0AE9"/>
    <w:rsid w:val="00FC0E9D"/>
    <w:rsid w:val="00FC0F3E"/>
    <w:rsid w:val="00FC0FF2"/>
    <w:rsid w:val="00FC1212"/>
    <w:rsid w:val="00FC15D7"/>
    <w:rsid w:val="00FC1797"/>
    <w:rsid w:val="00FC1831"/>
    <w:rsid w:val="00FC1ACB"/>
    <w:rsid w:val="00FC1EFA"/>
    <w:rsid w:val="00FC1F71"/>
    <w:rsid w:val="00FC207C"/>
    <w:rsid w:val="00FC2156"/>
    <w:rsid w:val="00FC215F"/>
    <w:rsid w:val="00FC230F"/>
    <w:rsid w:val="00FC2384"/>
    <w:rsid w:val="00FC2457"/>
    <w:rsid w:val="00FC250E"/>
    <w:rsid w:val="00FC2886"/>
    <w:rsid w:val="00FC293B"/>
    <w:rsid w:val="00FC2B5C"/>
    <w:rsid w:val="00FC2ECC"/>
    <w:rsid w:val="00FC33DD"/>
    <w:rsid w:val="00FC344E"/>
    <w:rsid w:val="00FC366F"/>
    <w:rsid w:val="00FC39CF"/>
    <w:rsid w:val="00FC3A4C"/>
    <w:rsid w:val="00FC3A50"/>
    <w:rsid w:val="00FC3BB2"/>
    <w:rsid w:val="00FC3BED"/>
    <w:rsid w:val="00FC3C47"/>
    <w:rsid w:val="00FC3D85"/>
    <w:rsid w:val="00FC3DF2"/>
    <w:rsid w:val="00FC4377"/>
    <w:rsid w:val="00FC43D8"/>
    <w:rsid w:val="00FC456B"/>
    <w:rsid w:val="00FC4B09"/>
    <w:rsid w:val="00FC4D57"/>
    <w:rsid w:val="00FC50D4"/>
    <w:rsid w:val="00FC5343"/>
    <w:rsid w:val="00FC5434"/>
    <w:rsid w:val="00FC5693"/>
    <w:rsid w:val="00FC57D1"/>
    <w:rsid w:val="00FC5C2C"/>
    <w:rsid w:val="00FC5E7A"/>
    <w:rsid w:val="00FC6123"/>
    <w:rsid w:val="00FC6ADA"/>
    <w:rsid w:val="00FC70CE"/>
    <w:rsid w:val="00FC710A"/>
    <w:rsid w:val="00FC732A"/>
    <w:rsid w:val="00FC76EA"/>
    <w:rsid w:val="00FC77A6"/>
    <w:rsid w:val="00FC7AEC"/>
    <w:rsid w:val="00FC7B61"/>
    <w:rsid w:val="00FC7D4E"/>
    <w:rsid w:val="00FD003D"/>
    <w:rsid w:val="00FD01CD"/>
    <w:rsid w:val="00FD092F"/>
    <w:rsid w:val="00FD0C44"/>
    <w:rsid w:val="00FD0D32"/>
    <w:rsid w:val="00FD117A"/>
    <w:rsid w:val="00FD1279"/>
    <w:rsid w:val="00FD1437"/>
    <w:rsid w:val="00FD1912"/>
    <w:rsid w:val="00FD1BEC"/>
    <w:rsid w:val="00FD1F72"/>
    <w:rsid w:val="00FD217C"/>
    <w:rsid w:val="00FD26CA"/>
    <w:rsid w:val="00FD29A6"/>
    <w:rsid w:val="00FD2F1A"/>
    <w:rsid w:val="00FD34A0"/>
    <w:rsid w:val="00FD3529"/>
    <w:rsid w:val="00FD361F"/>
    <w:rsid w:val="00FD3840"/>
    <w:rsid w:val="00FD3D3D"/>
    <w:rsid w:val="00FD3DF1"/>
    <w:rsid w:val="00FD40E1"/>
    <w:rsid w:val="00FD41AC"/>
    <w:rsid w:val="00FD428D"/>
    <w:rsid w:val="00FD472D"/>
    <w:rsid w:val="00FD4745"/>
    <w:rsid w:val="00FD47E4"/>
    <w:rsid w:val="00FD4951"/>
    <w:rsid w:val="00FD4B19"/>
    <w:rsid w:val="00FD4BE5"/>
    <w:rsid w:val="00FD4C2F"/>
    <w:rsid w:val="00FD4EA2"/>
    <w:rsid w:val="00FD53F4"/>
    <w:rsid w:val="00FD5667"/>
    <w:rsid w:val="00FD583F"/>
    <w:rsid w:val="00FD5B67"/>
    <w:rsid w:val="00FD5E9B"/>
    <w:rsid w:val="00FD5EEB"/>
    <w:rsid w:val="00FD6599"/>
    <w:rsid w:val="00FD6A70"/>
    <w:rsid w:val="00FD6ACC"/>
    <w:rsid w:val="00FD6EBB"/>
    <w:rsid w:val="00FD701D"/>
    <w:rsid w:val="00FD70C4"/>
    <w:rsid w:val="00FD71A4"/>
    <w:rsid w:val="00FD7396"/>
    <w:rsid w:val="00FD757F"/>
    <w:rsid w:val="00FD760F"/>
    <w:rsid w:val="00FD79B6"/>
    <w:rsid w:val="00FD79B7"/>
    <w:rsid w:val="00FD7A01"/>
    <w:rsid w:val="00FD7B3B"/>
    <w:rsid w:val="00FD7D17"/>
    <w:rsid w:val="00FD7D39"/>
    <w:rsid w:val="00FD7D76"/>
    <w:rsid w:val="00FE02B2"/>
    <w:rsid w:val="00FE0380"/>
    <w:rsid w:val="00FE04A1"/>
    <w:rsid w:val="00FE0840"/>
    <w:rsid w:val="00FE0880"/>
    <w:rsid w:val="00FE08FB"/>
    <w:rsid w:val="00FE091C"/>
    <w:rsid w:val="00FE0A44"/>
    <w:rsid w:val="00FE0B01"/>
    <w:rsid w:val="00FE0B63"/>
    <w:rsid w:val="00FE0BC6"/>
    <w:rsid w:val="00FE0F58"/>
    <w:rsid w:val="00FE0F90"/>
    <w:rsid w:val="00FE0FD8"/>
    <w:rsid w:val="00FE113A"/>
    <w:rsid w:val="00FE1232"/>
    <w:rsid w:val="00FE16B2"/>
    <w:rsid w:val="00FE1A92"/>
    <w:rsid w:val="00FE1E65"/>
    <w:rsid w:val="00FE1F49"/>
    <w:rsid w:val="00FE2472"/>
    <w:rsid w:val="00FE24F3"/>
    <w:rsid w:val="00FE25D3"/>
    <w:rsid w:val="00FE2781"/>
    <w:rsid w:val="00FE284E"/>
    <w:rsid w:val="00FE2A25"/>
    <w:rsid w:val="00FE2AC0"/>
    <w:rsid w:val="00FE2B0D"/>
    <w:rsid w:val="00FE330A"/>
    <w:rsid w:val="00FE3601"/>
    <w:rsid w:val="00FE368B"/>
    <w:rsid w:val="00FE3924"/>
    <w:rsid w:val="00FE3DC8"/>
    <w:rsid w:val="00FE3E22"/>
    <w:rsid w:val="00FE3EAE"/>
    <w:rsid w:val="00FE40A0"/>
    <w:rsid w:val="00FE41FB"/>
    <w:rsid w:val="00FE4352"/>
    <w:rsid w:val="00FE4376"/>
    <w:rsid w:val="00FE4384"/>
    <w:rsid w:val="00FE4538"/>
    <w:rsid w:val="00FE4876"/>
    <w:rsid w:val="00FE4B19"/>
    <w:rsid w:val="00FE4D2E"/>
    <w:rsid w:val="00FE4D56"/>
    <w:rsid w:val="00FE4E04"/>
    <w:rsid w:val="00FE4F8A"/>
    <w:rsid w:val="00FE5050"/>
    <w:rsid w:val="00FE5232"/>
    <w:rsid w:val="00FE5490"/>
    <w:rsid w:val="00FE556B"/>
    <w:rsid w:val="00FE58C7"/>
    <w:rsid w:val="00FE595A"/>
    <w:rsid w:val="00FE595E"/>
    <w:rsid w:val="00FE5B2E"/>
    <w:rsid w:val="00FE5B33"/>
    <w:rsid w:val="00FE5B3B"/>
    <w:rsid w:val="00FE5BA4"/>
    <w:rsid w:val="00FE5D3B"/>
    <w:rsid w:val="00FE5EBC"/>
    <w:rsid w:val="00FE5F13"/>
    <w:rsid w:val="00FE60C4"/>
    <w:rsid w:val="00FE60C7"/>
    <w:rsid w:val="00FE61E2"/>
    <w:rsid w:val="00FE61F0"/>
    <w:rsid w:val="00FE63B1"/>
    <w:rsid w:val="00FE642D"/>
    <w:rsid w:val="00FE6550"/>
    <w:rsid w:val="00FE699C"/>
    <w:rsid w:val="00FE6AA4"/>
    <w:rsid w:val="00FE6B1E"/>
    <w:rsid w:val="00FE6CB9"/>
    <w:rsid w:val="00FE706A"/>
    <w:rsid w:val="00FE7130"/>
    <w:rsid w:val="00FE75A7"/>
    <w:rsid w:val="00FE7D2E"/>
    <w:rsid w:val="00FE7D60"/>
    <w:rsid w:val="00FF0053"/>
    <w:rsid w:val="00FF00F4"/>
    <w:rsid w:val="00FF0282"/>
    <w:rsid w:val="00FF03B4"/>
    <w:rsid w:val="00FF06F9"/>
    <w:rsid w:val="00FF0834"/>
    <w:rsid w:val="00FF083E"/>
    <w:rsid w:val="00FF0889"/>
    <w:rsid w:val="00FF094E"/>
    <w:rsid w:val="00FF0A9D"/>
    <w:rsid w:val="00FF0B5C"/>
    <w:rsid w:val="00FF0C31"/>
    <w:rsid w:val="00FF0D62"/>
    <w:rsid w:val="00FF0DFA"/>
    <w:rsid w:val="00FF0DFC"/>
    <w:rsid w:val="00FF0E23"/>
    <w:rsid w:val="00FF0FE7"/>
    <w:rsid w:val="00FF1209"/>
    <w:rsid w:val="00FF1480"/>
    <w:rsid w:val="00FF1646"/>
    <w:rsid w:val="00FF1A7F"/>
    <w:rsid w:val="00FF1C62"/>
    <w:rsid w:val="00FF1FC1"/>
    <w:rsid w:val="00FF2017"/>
    <w:rsid w:val="00FF2021"/>
    <w:rsid w:val="00FF2380"/>
    <w:rsid w:val="00FF2443"/>
    <w:rsid w:val="00FF2C0E"/>
    <w:rsid w:val="00FF2C42"/>
    <w:rsid w:val="00FF2ED0"/>
    <w:rsid w:val="00FF2F83"/>
    <w:rsid w:val="00FF34C0"/>
    <w:rsid w:val="00FF37EF"/>
    <w:rsid w:val="00FF38E2"/>
    <w:rsid w:val="00FF394C"/>
    <w:rsid w:val="00FF3ADA"/>
    <w:rsid w:val="00FF3E5C"/>
    <w:rsid w:val="00FF3FB6"/>
    <w:rsid w:val="00FF41DA"/>
    <w:rsid w:val="00FF44DD"/>
    <w:rsid w:val="00FF47C2"/>
    <w:rsid w:val="00FF4881"/>
    <w:rsid w:val="00FF49DA"/>
    <w:rsid w:val="00FF4A45"/>
    <w:rsid w:val="00FF4BE1"/>
    <w:rsid w:val="00FF4E85"/>
    <w:rsid w:val="00FF4E86"/>
    <w:rsid w:val="00FF4EEE"/>
    <w:rsid w:val="00FF4FA2"/>
    <w:rsid w:val="00FF4FA8"/>
    <w:rsid w:val="00FF5132"/>
    <w:rsid w:val="00FF520F"/>
    <w:rsid w:val="00FF565F"/>
    <w:rsid w:val="00FF5E04"/>
    <w:rsid w:val="00FF67A2"/>
    <w:rsid w:val="00FF697A"/>
    <w:rsid w:val="00FF6B2A"/>
    <w:rsid w:val="00FF6BCB"/>
    <w:rsid w:val="00FF6C8C"/>
    <w:rsid w:val="00FF6CB6"/>
    <w:rsid w:val="00FF6DCE"/>
    <w:rsid w:val="00FF6EDC"/>
    <w:rsid w:val="00FF70FF"/>
    <w:rsid w:val="00FF7282"/>
    <w:rsid w:val="00FF7503"/>
    <w:rsid w:val="00FF7A44"/>
    <w:rsid w:val="00FF7BDD"/>
    <w:rsid w:val="00FF7DA2"/>
    <w:rsid w:val="06C39A2F"/>
    <w:rsid w:val="1C895935"/>
    <w:rsid w:val="222D15DB"/>
    <w:rsid w:val="27B6C054"/>
    <w:rsid w:val="3513FF12"/>
    <w:rsid w:val="3578F0B0"/>
    <w:rsid w:val="3A666E50"/>
    <w:rsid w:val="3BC5B8B9"/>
    <w:rsid w:val="44DBAB27"/>
    <w:rsid w:val="4B117A75"/>
    <w:rsid w:val="4CA9B5DD"/>
    <w:rsid w:val="4DAE8B61"/>
    <w:rsid w:val="52A286F2"/>
    <w:rsid w:val="55EEB473"/>
    <w:rsid w:val="5763EFF3"/>
    <w:rsid w:val="5993C411"/>
    <w:rsid w:val="675DC849"/>
    <w:rsid w:val="67BD3D94"/>
    <w:rsid w:val="70AA2793"/>
    <w:rsid w:val="70FB3D6B"/>
    <w:rsid w:val="7BA01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9DB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uiPriority w:val="9"/>
    <w:qFormat/>
    <w:rsid w:val="00272813"/>
    <w:pPr>
      <w:spacing w:before="12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uiPriority w:val="9"/>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13"/>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uiPriority w:val="9"/>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852C0"/>
    <w:pPr>
      <w:spacing w:after="0" w:line="240" w:lineRule="auto"/>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qFormat/>
    <w:rsid w:val="00AB467C"/>
    <w:pPr>
      <w:spacing w:before="120"/>
      <w:outlineLvl w:val="9"/>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53"/>
      </w:numPr>
      <w:spacing w:before="0"/>
    </w:pPr>
  </w:style>
  <w:style w:type="paragraph" w:customStyle="1" w:styleId="OutlineNumbered2">
    <w:name w:val="Outline Numbered 2"/>
    <w:basedOn w:val="Normal"/>
    <w:rsid w:val="000E0B74"/>
    <w:pPr>
      <w:numPr>
        <w:ilvl w:val="1"/>
        <w:numId w:val="53"/>
      </w:numPr>
      <w:spacing w:before="0"/>
    </w:pPr>
  </w:style>
  <w:style w:type="paragraph" w:customStyle="1" w:styleId="OutlineNumbered3">
    <w:name w:val="Outline Numbered 3"/>
    <w:basedOn w:val="Normal"/>
    <w:rsid w:val="000E0B74"/>
    <w:pPr>
      <w:tabs>
        <w:tab w:val="num" w:pos="1418"/>
        <w:tab w:val="num" w:pos="1560"/>
      </w:tabs>
      <w:spacing w:before="0"/>
      <w:ind w:left="1560" w:hanging="52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272813"/>
    <w:pPr>
      <w:numPr>
        <w:numId w:val="8"/>
      </w:numPr>
      <w:ind w:left="357" w:hanging="357"/>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265956"/>
    <w:pPr>
      <w:numPr>
        <w:ilvl w:val="1"/>
        <w:numId w:val="8"/>
      </w:numPr>
      <w:ind w:left="0" w:firstLine="0"/>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rsid w:val="00744484"/>
    <w:pPr>
      <w:spacing w:before="0" w:after="0"/>
      <w:ind w:left="397" w:hanging="397"/>
    </w:pPr>
    <w:rPr>
      <w:sz w:val="20"/>
    </w:rPr>
  </w:style>
  <w:style w:type="character" w:customStyle="1" w:styleId="FootnoteTextChar">
    <w:name w:val="Footnote Text Char"/>
    <w:basedOn w:val="DefaultParagraphFont"/>
    <w:link w:val="FootnoteText"/>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CommentSubject">
    <w:name w:val="annotation subject"/>
    <w:basedOn w:val="CommentText"/>
    <w:next w:val="CommentText"/>
    <w:link w:val="CommentSubjectChar"/>
    <w:uiPriority w:val="99"/>
    <w:semiHidden/>
    <w:unhideWhenUsed/>
    <w:rsid w:val="00103DDB"/>
    <w:rPr>
      <w:rFonts w:ascii="Calibri Light" w:hAnsi="Calibri Light"/>
      <w:b/>
      <w:bCs/>
    </w:rPr>
  </w:style>
  <w:style w:type="character" w:customStyle="1" w:styleId="CommentSubjectChar">
    <w:name w:val="Comment Subject Char"/>
    <w:basedOn w:val="CommentTextChar"/>
    <w:link w:val="CommentSubject"/>
    <w:uiPriority w:val="99"/>
    <w:semiHidden/>
    <w:rsid w:val="00103DDB"/>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103DDB"/>
    <w:rPr>
      <w:color w:val="605E5C"/>
      <w:shd w:val="clear" w:color="auto" w:fill="E1DFDD"/>
    </w:rPr>
  </w:style>
  <w:style w:type="character" w:customStyle="1" w:styleId="OutlineNumbered1Char">
    <w:name w:val="Outline Numbered 1 Char"/>
    <w:basedOn w:val="DefaultParagraphFont"/>
    <w:link w:val="OutlineNumbered1"/>
    <w:rsid w:val="00CA2AC0"/>
    <w:rPr>
      <w:rFonts w:ascii="Calibri Light" w:eastAsia="Times New Roman" w:hAnsi="Calibri Light" w:cs="Times New Roman"/>
      <w:szCs w:val="20"/>
      <w:lang w:eastAsia="en-AU"/>
    </w:rPr>
  </w:style>
  <w:style w:type="table" w:customStyle="1" w:styleId="TableGrid1">
    <w:name w:val="Table Grid1"/>
    <w:basedOn w:val="TableNormal"/>
    <w:next w:val="TableGrid"/>
    <w:rsid w:val="009D67F5"/>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character" w:styleId="Mention">
    <w:name w:val="Mention"/>
    <w:basedOn w:val="DefaultParagraphFont"/>
    <w:uiPriority w:val="99"/>
    <w:unhideWhenUsed/>
    <w:rsid w:val="008462CB"/>
    <w:rPr>
      <w:color w:val="2B579A"/>
      <w:shd w:val="clear" w:color="auto" w:fill="E1DFDD"/>
    </w:rPr>
  </w:style>
  <w:style w:type="paragraph" w:styleId="Revision">
    <w:name w:val="Revision"/>
    <w:hidden/>
    <w:uiPriority w:val="99"/>
    <w:semiHidden/>
    <w:rsid w:val="006F579D"/>
    <w:pPr>
      <w:spacing w:after="0" w:line="240" w:lineRule="auto"/>
    </w:pPr>
    <w:rPr>
      <w:rFonts w:ascii="Calibri Light" w:eastAsia="Times New Roman" w:hAnsi="Calibri Light" w:cs="Times New Roman"/>
      <w:szCs w:val="20"/>
      <w:lang w:eastAsia="en-AU"/>
    </w:rPr>
  </w:style>
  <w:style w:type="table" w:styleId="TableGridLight">
    <w:name w:val="Grid Table Light"/>
    <w:basedOn w:val="TableNormal"/>
    <w:uiPriority w:val="40"/>
    <w:rsid w:val="001341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90ABD"/>
    <w:rPr>
      <w:color w:val="844D9E" w:themeColor="followedHyperlink"/>
      <w:u w:val="single"/>
    </w:rPr>
  </w:style>
  <w:style w:type="paragraph" w:styleId="NormalWeb">
    <w:name w:val="Normal (Web)"/>
    <w:basedOn w:val="Normal"/>
    <w:uiPriority w:val="99"/>
    <w:semiHidden/>
    <w:unhideWhenUsed/>
    <w:rsid w:val="004260B1"/>
    <w:rPr>
      <w:rFonts w:ascii="Times New Roman" w:hAnsi="Times New Roman"/>
      <w:sz w:val="24"/>
      <w:szCs w:val="24"/>
    </w:rPr>
  </w:style>
  <w:style w:type="paragraph" w:styleId="Index1">
    <w:name w:val="index 1"/>
    <w:basedOn w:val="Normal"/>
    <w:next w:val="Normal"/>
    <w:autoRedefine/>
    <w:uiPriority w:val="99"/>
    <w:semiHidden/>
    <w:unhideWhenUsed/>
    <w:rsid w:val="007B03A2"/>
    <w:pPr>
      <w:spacing w:before="0" w:after="0"/>
      <w:ind w:left="220" w:hanging="220"/>
    </w:pPr>
  </w:style>
  <w:style w:type="paragraph" w:styleId="TOAHeading">
    <w:name w:val="toa heading"/>
    <w:basedOn w:val="Normal"/>
    <w:next w:val="Normal"/>
    <w:uiPriority w:val="99"/>
    <w:semiHidden/>
    <w:unhideWhenUsed/>
    <w:rsid w:val="00140680"/>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40680"/>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6344">
      <w:bodyDiv w:val="1"/>
      <w:marLeft w:val="0"/>
      <w:marRight w:val="0"/>
      <w:marTop w:val="0"/>
      <w:marBottom w:val="0"/>
      <w:divBdr>
        <w:top w:val="none" w:sz="0" w:space="0" w:color="auto"/>
        <w:left w:val="none" w:sz="0" w:space="0" w:color="auto"/>
        <w:bottom w:val="none" w:sz="0" w:space="0" w:color="auto"/>
        <w:right w:val="none" w:sz="0" w:space="0" w:color="auto"/>
      </w:divBdr>
    </w:div>
    <w:div w:id="189345490">
      <w:bodyDiv w:val="1"/>
      <w:marLeft w:val="0"/>
      <w:marRight w:val="0"/>
      <w:marTop w:val="0"/>
      <w:marBottom w:val="0"/>
      <w:divBdr>
        <w:top w:val="none" w:sz="0" w:space="0" w:color="auto"/>
        <w:left w:val="none" w:sz="0" w:space="0" w:color="auto"/>
        <w:bottom w:val="none" w:sz="0" w:space="0" w:color="auto"/>
        <w:right w:val="none" w:sz="0" w:space="0" w:color="auto"/>
      </w:divBdr>
    </w:div>
    <w:div w:id="244803597">
      <w:bodyDiv w:val="1"/>
      <w:marLeft w:val="0"/>
      <w:marRight w:val="0"/>
      <w:marTop w:val="0"/>
      <w:marBottom w:val="0"/>
      <w:divBdr>
        <w:top w:val="none" w:sz="0" w:space="0" w:color="auto"/>
        <w:left w:val="none" w:sz="0" w:space="0" w:color="auto"/>
        <w:bottom w:val="none" w:sz="0" w:space="0" w:color="auto"/>
        <w:right w:val="none" w:sz="0" w:space="0" w:color="auto"/>
      </w:divBdr>
      <w:divsChild>
        <w:div w:id="2065056480">
          <w:marLeft w:val="-180"/>
          <w:marRight w:val="-180"/>
          <w:marTop w:val="0"/>
          <w:marBottom w:val="0"/>
          <w:divBdr>
            <w:top w:val="none" w:sz="0" w:space="0" w:color="auto"/>
            <w:left w:val="none" w:sz="0" w:space="0" w:color="auto"/>
            <w:bottom w:val="none" w:sz="0" w:space="0" w:color="auto"/>
            <w:right w:val="none" w:sz="0" w:space="0" w:color="auto"/>
          </w:divBdr>
          <w:divsChild>
            <w:div w:id="1292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2573">
      <w:bodyDiv w:val="1"/>
      <w:marLeft w:val="0"/>
      <w:marRight w:val="0"/>
      <w:marTop w:val="0"/>
      <w:marBottom w:val="0"/>
      <w:divBdr>
        <w:top w:val="none" w:sz="0" w:space="0" w:color="auto"/>
        <w:left w:val="none" w:sz="0" w:space="0" w:color="auto"/>
        <w:bottom w:val="none" w:sz="0" w:space="0" w:color="auto"/>
        <w:right w:val="none" w:sz="0" w:space="0" w:color="auto"/>
      </w:divBdr>
    </w:div>
    <w:div w:id="300352951">
      <w:bodyDiv w:val="1"/>
      <w:marLeft w:val="0"/>
      <w:marRight w:val="0"/>
      <w:marTop w:val="0"/>
      <w:marBottom w:val="0"/>
      <w:divBdr>
        <w:top w:val="none" w:sz="0" w:space="0" w:color="auto"/>
        <w:left w:val="none" w:sz="0" w:space="0" w:color="auto"/>
        <w:bottom w:val="none" w:sz="0" w:space="0" w:color="auto"/>
        <w:right w:val="none" w:sz="0" w:space="0" w:color="auto"/>
      </w:divBdr>
    </w:div>
    <w:div w:id="334723618">
      <w:bodyDiv w:val="1"/>
      <w:marLeft w:val="0"/>
      <w:marRight w:val="0"/>
      <w:marTop w:val="0"/>
      <w:marBottom w:val="0"/>
      <w:divBdr>
        <w:top w:val="none" w:sz="0" w:space="0" w:color="auto"/>
        <w:left w:val="none" w:sz="0" w:space="0" w:color="auto"/>
        <w:bottom w:val="none" w:sz="0" w:space="0" w:color="auto"/>
        <w:right w:val="none" w:sz="0" w:space="0" w:color="auto"/>
      </w:divBdr>
    </w:div>
    <w:div w:id="354816181">
      <w:bodyDiv w:val="1"/>
      <w:marLeft w:val="0"/>
      <w:marRight w:val="0"/>
      <w:marTop w:val="0"/>
      <w:marBottom w:val="0"/>
      <w:divBdr>
        <w:top w:val="none" w:sz="0" w:space="0" w:color="auto"/>
        <w:left w:val="none" w:sz="0" w:space="0" w:color="auto"/>
        <w:bottom w:val="none" w:sz="0" w:space="0" w:color="auto"/>
        <w:right w:val="none" w:sz="0" w:space="0" w:color="auto"/>
      </w:divBdr>
    </w:div>
    <w:div w:id="421494175">
      <w:bodyDiv w:val="1"/>
      <w:marLeft w:val="0"/>
      <w:marRight w:val="0"/>
      <w:marTop w:val="0"/>
      <w:marBottom w:val="0"/>
      <w:divBdr>
        <w:top w:val="none" w:sz="0" w:space="0" w:color="auto"/>
        <w:left w:val="none" w:sz="0" w:space="0" w:color="auto"/>
        <w:bottom w:val="none" w:sz="0" w:space="0" w:color="auto"/>
        <w:right w:val="none" w:sz="0" w:space="0" w:color="auto"/>
      </w:divBdr>
    </w:div>
    <w:div w:id="42874082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2136343">
      <w:bodyDiv w:val="1"/>
      <w:marLeft w:val="0"/>
      <w:marRight w:val="0"/>
      <w:marTop w:val="0"/>
      <w:marBottom w:val="0"/>
      <w:divBdr>
        <w:top w:val="none" w:sz="0" w:space="0" w:color="auto"/>
        <w:left w:val="none" w:sz="0" w:space="0" w:color="auto"/>
        <w:bottom w:val="none" w:sz="0" w:space="0" w:color="auto"/>
        <w:right w:val="none" w:sz="0" w:space="0" w:color="auto"/>
      </w:divBdr>
    </w:div>
    <w:div w:id="478347840">
      <w:bodyDiv w:val="1"/>
      <w:marLeft w:val="0"/>
      <w:marRight w:val="0"/>
      <w:marTop w:val="0"/>
      <w:marBottom w:val="0"/>
      <w:divBdr>
        <w:top w:val="none" w:sz="0" w:space="0" w:color="auto"/>
        <w:left w:val="none" w:sz="0" w:space="0" w:color="auto"/>
        <w:bottom w:val="none" w:sz="0" w:space="0" w:color="auto"/>
        <w:right w:val="none" w:sz="0" w:space="0" w:color="auto"/>
      </w:divBdr>
    </w:div>
    <w:div w:id="482503157">
      <w:bodyDiv w:val="1"/>
      <w:marLeft w:val="0"/>
      <w:marRight w:val="0"/>
      <w:marTop w:val="0"/>
      <w:marBottom w:val="0"/>
      <w:divBdr>
        <w:top w:val="none" w:sz="0" w:space="0" w:color="auto"/>
        <w:left w:val="none" w:sz="0" w:space="0" w:color="auto"/>
        <w:bottom w:val="none" w:sz="0" w:space="0" w:color="auto"/>
        <w:right w:val="none" w:sz="0" w:space="0" w:color="auto"/>
      </w:divBdr>
    </w:div>
    <w:div w:id="508984010">
      <w:bodyDiv w:val="1"/>
      <w:marLeft w:val="0"/>
      <w:marRight w:val="0"/>
      <w:marTop w:val="0"/>
      <w:marBottom w:val="0"/>
      <w:divBdr>
        <w:top w:val="none" w:sz="0" w:space="0" w:color="auto"/>
        <w:left w:val="none" w:sz="0" w:space="0" w:color="auto"/>
        <w:bottom w:val="none" w:sz="0" w:space="0" w:color="auto"/>
        <w:right w:val="none" w:sz="0" w:space="0" w:color="auto"/>
      </w:divBdr>
    </w:div>
    <w:div w:id="528832538">
      <w:bodyDiv w:val="1"/>
      <w:marLeft w:val="0"/>
      <w:marRight w:val="0"/>
      <w:marTop w:val="0"/>
      <w:marBottom w:val="0"/>
      <w:divBdr>
        <w:top w:val="none" w:sz="0" w:space="0" w:color="auto"/>
        <w:left w:val="none" w:sz="0" w:space="0" w:color="auto"/>
        <w:bottom w:val="none" w:sz="0" w:space="0" w:color="auto"/>
        <w:right w:val="none" w:sz="0" w:space="0" w:color="auto"/>
      </w:divBdr>
    </w:div>
    <w:div w:id="547886115">
      <w:bodyDiv w:val="1"/>
      <w:marLeft w:val="0"/>
      <w:marRight w:val="0"/>
      <w:marTop w:val="0"/>
      <w:marBottom w:val="0"/>
      <w:divBdr>
        <w:top w:val="none" w:sz="0" w:space="0" w:color="auto"/>
        <w:left w:val="none" w:sz="0" w:space="0" w:color="auto"/>
        <w:bottom w:val="none" w:sz="0" w:space="0" w:color="auto"/>
        <w:right w:val="none" w:sz="0" w:space="0" w:color="auto"/>
      </w:divBdr>
    </w:div>
    <w:div w:id="579485452">
      <w:bodyDiv w:val="1"/>
      <w:marLeft w:val="0"/>
      <w:marRight w:val="0"/>
      <w:marTop w:val="0"/>
      <w:marBottom w:val="0"/>
      <w:divBdr>
        <w:top w:val="none" w:sz="0" w:space="0" w:color="auto"/>
        <w:left w:val="none" w:sz="0" w:space="0" w:color="auto"/>
        <w:bottom w:val="none" w:sz="0" w:space="0" w:color="auto"/>
        <w:right w:val="none" w:sz="0" w:space="0" w:color="auto"/>
      </w:divBdr>
    </w:div>
    <w:div w:id="592054617">
      <w:bodyDiv w:val="1"/>
      <w:marLeft w:val="0"/>
      <w:marRight w:val="0"/>
      <w:marTop w:val="0"/>
      <w:marBottom w:val="0"/>
      <w:divBdr>
        <w:top w:val="none" w:sz="0" w:space="0" w:color="auto"/>
        <w:left w:val="none" w:sz="0" w:space="0" w:color="auto"/>
        <w:bottom w:val="none" w:sz="0" w:space="0" w:color="auto"/>
        <w:right w:val="none" w:sz="0" w:space="0" w:color="auto"/>
      </w:divBdr>
      <w:divsChild>
        <w:div w:id="610477725">
          <w:marLeft w:val="-180"/>
          <w:marRight w:val="-180"/>
          <w:marTop w:val="0"/>
          <w:marBottom w:val="0"/>
          <w:divBdr>
            <w:top w:val="none" w:sz="0" w:space="0" w:color="auto"/>
            <w:left w:val="none" w:sz="0" w:space="0" w:color="auto"/>
            <w:bottom w:val="none" w:sz="0" w:space="0" w:color="auto"/>
            <w:right w:val="none" w:sz="0" w:space="0" w:color="auto"/>
          </w:divBdr>
          <w:divsChild>
            <w:div w:id="547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3236">
      <w:bodyDiv w:val="1"/>
      <w:marLeft w:val="0"/>
      <w:marRight w:val="0"/>
      <w:marTop w:val="0"/>
      <w:marBottom w:val="0"/>
      <w:divBdr>
        <w:top w:val="none" w:sz="0" w:space="0" w:color="auto"/>
        <w:left w:val="none" w:sz="0" w:space="0" w:color="auto"/>
        <w:bottom w:val="none" w:sz="0" w:space="0" w:color="auto"/>
        <w:right w:val="none" w:sz="0" w:space="0" w:color="auto"/>
      </w:divBdr>
    </w:div>
    <w:div w:id="670377097">
      <w:bodyDiv w:val="1"/>
      <w:marLeft w:val="0"/>
      <w:marRight w:val="0"/>
      <w:marTop w:val="0"/>
      <w:marBottom w:val="0"/>
      <w:divBdr>
        <w:top w:val="none" w:sz="0" w:space="0" w:color="auto"/>
        <w:left w:val="none" w:sz="0" w:space="0" w:color="auto"/>
        <w:bottom w:val="none" w:sz="0" w:space="0" w:color="auto"/>
        <w:right w:val="none" w:sz="0" w:space="0" w:color="auto"/>
      </w:divBdr>
    </w:div>
    <w:div w:id="703869253">
      <w:bodyDiv w:val="1"/>
      <w:marLeft w:val="0"/>
      <w:marRight w:val="0"/>
      <w:marTop w:val="0"/>
      <w:marBottom w:val="0"/>
      <w:divBdr>
        <w:top w:val="none" w:sz="0" w:space="0" w:color="auto"/>
        <w:left w:val="none" w:sz="0" w:space="0" w:color="auto"/>
        <w:bottom w:val="none" w:sz="0" w:space="0" w:color="auto"/>
        <w:right w:val="none" w:sz="0" w:space="0" w:color="auto"/>
      </w:divBdr>
    </w:div>
    <w:div w:id="704789083">
      <w:bodyDiv w:val="1"/>
      <w:marLeft w:val="0"/>
      <w:marRight w:val="0"/>
      <w:marTop w:val="0"/>
      <w:marBottom w:val="0"/>
      <w:divBdr>
        <w:top w:val="none" w:sz="0" w:space="0" w:color="auto"/>
        <w:left w:val="none" w:sz="0" w:space="0" w:color="auto"/>
        <w:bottom w:val="none" w:sz="0" w:space="0" w:color="auto"/>
        <w:right w:val="none" w:sz="0" w:space="0" w:color="auto"/>
      </w:divBdr>
    </w:div>
    <w:div w:id="725563381">
      <w:bodyDiv w:val="1"/>
      <w:marLeft w:val="0"/>
      <w:marRight w:val="0"/>
      <w:marTop w:val="0"/>
      <w:marBottom w:val="0"/>
      <w:divBdr>
        <w:top w:val="none" w:sz="0" w:space="0" w:color="auto"/>
        <w:left w:val="none" w:sz="0" w:space="0" w:color="auto"/>
        <w:bottom w:val="none" w:sz="0" w:space="0" w:color="auto"/>
        <w:right w:val="none" w:sz="0" w:space="0" w:color="auto"/>
      </w:divBdr>
    </w:div>
    <w:div w:id="767777150">
      <w:bodyDiv w:val="1"/>
      <w:marLeft w:val="0"/>
      <w:marRight w:val="0"/>
      <w:marTop w:val="0"/>
      <w:marBottom w:val="0"/>
      <w:divBdr>
        <w:top w:val="none" w:sz="0" w:space="0" w:color="auto"/>
        <w:left w:val="none" w:sz="0" w:space="0" w:color="auto"/>
        <w:bottom w:val="none" w:sz="0" w:space="0" w:color="auto"/>
        <w:right w:val="none" w:sz="0" w:space="0" w:color="auto"/>
      </w:divBdr>
    </w:div>
    <w:div w:id="796682614">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2104641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4606084">
      <w:bodyDiv w:val="1"/>
      <w:marLeft w:val="0"/>
      <w:marRight w:val="0"/>
      <w:marTop w:val="0"/>
      <w:marBottom w:val="0"/>
      <w:divBdr>
        <w:top w:val="none" w:sz="0" w:space="0" w:color="auto"/>
        <w:left w:val="none" w:sz="0" w:space="0" w:color="auto"/>
        <w:bottom w:val="none" w:sz="0" w:space="0" w:color="auto"/>
        <w:right w:val="none" w:sz="0" w:space="0" w:color="auto"/>
      </w:divBdr>
    </w:div>
    <w:div w:id="915824212">
      <w:bodyDiv w:val="1"/>
      <w:marLeft w:val="0"/>
      <w:marRight w:val="0"/>
      <w:marTop w:val="0"/>
      <w:marBottom w:val="0"/>
      <w:divBdr>
        <w:top w:val="none" w:sz="0" w:space="0" w:color="auto"/>
        <w:left w:val="none" w:sz="0" w:space="0" w:color="auto"/>
        <w:bottom w:val="none" w:sz="0" w:space="0" w:color="auto"/>
        <w:right w:val="none" w:sz="0" w:space="0" w:color="auto"/>
      </w:divBdr>
    </w:div>
    <w:div w:id="961770480">
      <w:bodyDiv w:val="1"/>
      <w:marLeft w:val="0"/>
      <w:marRight w:val="0"/>
      <w:marTop w:val="0"/>
      <w:marBottom w:val="0"/>
      <w:divBdr>
        <w:top w:val="none" w:sz="0" w:space="0" w:color="auto"/>
        <w:left w:val="none" w:sz="0" w:space="0" w:color="auto"/>
        <w:bottom w:val="none" w:sz="0" w:space="0" w:color="auto"/>
        <w:right w:val="none" w:sz="0" w:space="0" w:color="auto"/>
      </w:divBdr>
    </w:div>
    <w:div w:id="999390168">
      <w:bodyDiv w:val="1"/>
      <w:marLeft w:val="0"/>
      <w:marRight w:val="0"/>
      <w:marTop w:val="0"/>
      <w:marBottom w:val="0"/>
      <w:divBdr>
        <w:top w:val="none" w:sz="0" w:space="0" w:color="auto"/>
        <w:left w:val="none" w:sz="0" w:space="0" w:color="auto"/>
        <w:bottom w:val="none" w:sz="0" w:space="0" w:color="auto"/>
        <w:right w:val="none" w:sz="0" w:space="0" w:color="auto"/>
      </w:divBdr>
    </w:div>
    <w:div w:id="1024406068">
      <w:bodyDiv w:val="1"/>
      <w:marLeft w:val="0"/>
      <w:marRight w:val="0"/>
      <w:marTop w:val="0"/>
      <w:marBottom w:val="0"/>
      <w:divBdr>
        <w:top w:val="none" w:sz="0" w:space="0" w:color="auto"/>
        <w:left w:val="none" w:sz="0" w:space="0" w:color="auto"/>
        <w:bottom w:val="none" w:sz="0" w:space="0" w:color="auto"/>
        <w:right w:val="none" w:sz="0" w:space="0" w:color="auto"/>
      </w:divBdr>
    </w:div>
    <w:div w:id="1047291106">
      <w:bodyDiv w:val="1"/>
      <w:marLeft w:val="0"/>
      <w:marRight w:val="0"/>
      <w:marTop w:val="0"/>
      <w:marBottom w:val="0"/>
      <w:divBdr>
        <w:top w:val="none" w:sz="0" w:space="0" w:color="auto"/>
        <w:left w:val="none" w:sz="0" w:space="0" w:color="auto"/>
        <w:bottom w:val="none" w:sz="0" w:space="0" w:color="auto"/>
        <w:right w:val="none" w:sz="0" w:space="0" w:color="auto"/>
      </w:divBdr>
    </w:div>
    <w:div w:id="1170683354">
      <w:bodyDiv w:val="1"/>
      <w:marLeft w:val="0"/>
      <w:marRight w:val="0"/>
      <w:marTop w:val="0"/>
      <w:marBottom w:val="0"/>
      <w:divBdr>
        <w:top w:val="none" w:sz="0" w:space="0" w:color="auto"/>
        <w:left w:val="none" w:sz="0" w:space="0" w:color="auto"/>
        <w:bottom w:val="none" w:sz="0" w:space="0" w:color="auto"/>
        <w:right w:val="none" w:sz="0" w:space="0" w:color="auto"/>
      </w:divBdr>
    </w:div>
    <w:div w:id="1216772542">
      <w:bodyDiv w:val="1"/>
      <w:marLeft w:val="0"/>
      <w:marRight w:val="0"/>
      <w:marTop w:val="0"/>
      <w:marBottom w:val="0"/>
      <w:divBdr>
        <w:top w:val="none" w:sz="0" w:space="0" w:color="auto"/>
        <w:left w:val="none" w:sz="0" w:space="0" w:color="auto"/>
        <w:bottom w:val="none" w:sz="0" w:space="0" w:color="auto"/>
        <w:right w:val="none" w:sz="0" w:space="0" w:color="auto"/>
      </w:divBdr>
    </w:div>
    <w:div w:id="1269003822">
      <w:bodyDiv w:val="1"/>
      <w:marLeft w:val="0"/>
      <w:marRight w:val="0"/>
      <w:marTop w:val="0"/>
      <w:marBottom w:val="0"/>
      <w:divBdr>
        <w:top w:val="none" w:sz="0" w:space="0" w:color="auto"/>
        <w:left w:val="none" w:sz="0" w:space="0" w:color="auto"/>
        <w:bottom w:val="none" w:sz="0" w:space="0" w:color="auto"/>
        <w:right w:val="none" w:sz="0" w:space="0" w:color="auto"/>
      </w:divBdr>
    </w:div>
    <w:div w:id="1300916115">
      <w:bodyDiv w:val="1"/>
      <w:marLeft w:val="0"/>
      <w:marRight w:val="0"/>
      <w:marTop w:val="0"/>
      <w:marBottom w:val="0"/>
      <w:divBdr>
        <w:top w:val="none" w:sz="0" w:space="0" w:color="auto"/>
        <w:left w:val="none" w:sz="0" w:space="0" w:color="auto"/>
        <w:bottom w:val="none" w:sz="0" w:space="0" w:color="auto"/>
        <w:right w:val="none" w:sz="0" w:space="0" w:color="auto"/>
      </w:divBdr>
    </w:div>
    <w:div w:id="1378696958">
      <w:bodyDiv w:val="1"/>
      <w:marLeft w:val="0"/>
      <w:marRight w:val="0"/>
      <w:marTop w:val="0"/>
      <w:marBottom w:val="0"/>
      <w:divBdr>
        <w:top w:val="none" w:sz="0" w:space="0" w:color="auto"/>
        <w:left w:val="none" w:sz="0" w:space="0" w:color="auto"/>
        <w:bottom w:val="none" w:sz="0" w:space="0" w:color="auto"/>
        <w:right w:val="none" w:sz="0" w:space="0" w:color="auto"/>
      </w:divBdr>
    </w:div>
    <w:div w:id="1411149781">
      <w:bodyDiv w:val="1"/>
      <w:marLeft w:val="0"/>
      <w:marRight w:val="0"/>
      <w:marTop w:val="0"/>
      <w:marBottom w:val="0"/>
      <w:divBdr>
        <w:top w:val="none" w:sz="0" w:space="0" w:color="auto"/>
        <w:left w:val="none" w:sz="0" w:space="0" w:color="auto"/>
        <w:bottom w:val="none" w:sz="0" w:space="0" w:color="auto"/>
        <w:right w:val="none" w:sz="0" w:space="0" w:color="auto"/>
      </w:divBdr>
    </w:div>
    <w:div w:id="1430544229">
      <w:bodyDiv w:val="1"/>
      <w:marLeft w:val="0"/>
      <w:marRight w:val="0"/>
      <w:marTop w:val="0"/>
      <w:marBottom w:val="0"/>
      <w:divBdr>
        <w:top w:val="none" w:sz="0" w:space="0" w:color="auto"/>
        <w:left w:val="none" w:sz="0" w:space="0" w:color="auto"/>
        <w:bottom w:val="none" w:sz="0" w:space="0" w:color="auto"/>
        <w:right w:val="none" w:sz="0" w:space="0" w:color="auto"/>
      </w:divBdr>
    </w:div>
    <w:div w:id="1440448506">
      <w:bodyDiv w:val="1"/>
      <w:marLeft w:val="0"/>
      <w:marRight w:val="0"/>
      <w:marTop w:val="0"/>
      <w:marBottom w:val="0"/>
      <w:divBdr>
        <w:top w:val="none" w:sz="0" w:space="0" w:color="auto"/>
        <w:left w:val="none" w:sz="0" w:space="0" w:color="auto"/>
        <w:bottom w:val="none" w:sz="0" w:space="0" w:color="auto"/>
        <w:right w:val="none" w:sz="0" w:space="0" w:color="auto"/>
      </w:divBdr>
    </w:div>
    <w:div w:id="1489250766">
      <w:bodyDiv w:val="1"/>
      <w:marLeft w:val="0"/>
      <w:marRight w:val="0"/>
      <w:marTop w:val="0"/>
      <w:marBottom w:val="0"/>
      <w:divBdr>
        <w:top w:val="none" w:sz="0" w:space="0" w:color="auto"/>
        <w:left w:val="none" w:sz="0" w:space="0" w:color="auto"/>
        <w:bottom w:val="none" w:sz="0" w:space="0" w:color="auto"/>
        <w:right w:val="none" w:sz="0" w:space="0" w:color="auto"/>
      </w:divBdr>
    </w:div>
    <w:div w:id="1511482967">
      <w:bodyDiv w:val="1"/>
      <w:marLeft w:val="0"/>
      <w:marRight w:val="0"/>
      <w:marTop w:val="0"/>
      <w:marBottom w:val="0"/>
      <w:divBdr>
        <w:top w:val="none" w:sz="0" w:space="0" w:color="auto"/>
        <w:left w:val="none" w:sz="0" w:space="0" w:color="auto"/>
        <w:bottom w:val="none" w:sz="0" w:space="0" w:color="auto"/>
        <w:right w:val="none" w:sz="0" w:space="0" w:color="auto"/>
      </w:divBdr>
    </w:div>
    <w:div w:id="1560047727">
      <w:bodyDiv w:val="1"/>
      <w:marLeft w:val="0"/>
      <w:marRight w:val="0"/>
      <w:marTop w:val="0"/>
      <w:marBottom w:val="0"/>
      <w:divBdr>
        <w:top w:val="none" w:sz="0" w:space="0" w:color="auto"/>
        <w:left w:val="none" w:sz="0" w:space="0" w:color="auto"/>
        <w:bottom w:val="none" w:sz="0" w:space="0" w:color="auto"/>
        <w:right w:val="none" w:sz="0" w:space="0" w:color="auto"/>
      </w:divBdr>
    </w:div>
    <w:div w:id="1561747697">
      <w:bodyDiv w:val="1"/>
      <w:marLeft w:val="0"/>
      <w:marRight w:val="0"/>
      <w:marTop w:val="0"/>
      <w:marBottom w:val="0"/>
      <w:divBdr>
        <w:top w:val="none" w:sz="0" w:space="0" w:color="auto"/>
        <w:left w:val="none" w:sz="0" w:space="0" w:color="auto"/>
        <w:bottom w:val="none" w:sz="0" w:space="0" w:color="auto"/>
        <w:right w:val="none" w:sz="0" w:space="0" w:color="auto"/>
      </w:divBdr>
    </w:div>
    <w:div w:id="1602182960">
      <w:bodyDiv w:val="1"/>
      <w:marLeft w:val="0"/>
      <w:marRight w:val="0"/>
      <w:marTop w:val="0"/>
      <w:marBottom w:val="0"/>
      <w:divBdr>
        <w:top w:val="none" w:sz="0" w:space="0" w:color="auto"/>
        <w:left w:val="none" w:sz="0" w:space="0" w:color="auto"/>
        <w:bottom w:val="none" w:sz="0" w:space="0" w:color="auto"/>
        <w:right w:val="none" w:sz="0" w:space="0" w:color="auto"/>
      </w:divBdr>
    </w:div>
    <w:div w:id="1617911190">
      <w:bodyDiv w:val="1"/>
      <w:marLeft w:val="0"/>
      <w:marRight w:val="0"/>
      <w:marTop w:val="0"/>
      <w:marBottom w:val="0"/>
      <w:divBdr>
        <w:top w:val="none" w:sz="0" w:space="0" w:color="auto"/>
        <w:left w:val="none" w:sz="0" w:space="0" w:color="auto"/>
        <w:bottom w:val="none" w:sz="0" w:space="0" w:color="auto"/>
        <w:right w:val="none" w:sz="0" w:space="0" w:color="auto"/>
      </w:divBdr>
    </w:div>
    <w:div w:id="1731222777">
      <w:bodyDiv w:val="1"/>
      <w:marLeft w:val="0"/>
      <w:marRight w:val="0"/>
      <w:marTop w:val="0"/>
      <w:marBottom w:val="0"/>
      <w:divBdr>
        <w:top w:val="none" w:sz="0" w:space="0" w:color="auto"/>
        <w:left w:val="none" w:sz="0" w:space="0" w:color="auto"/>
        <w:bottom w:val="none" w:sz="0" w:space="0" w:color="auto"/>
        <w:right w:val="none" w:sz="0" w:space="0" w:color="auto"/>
      </w:divBdr>
    </w:div>
    <w:div w:id="1732265111">
      <w:bodyDiv w:val="1"/>
      <w:marLeft w:val="0"/>
      <w:marRight w:val="0"/>
      <w:marTop w:val="0"/>
      <w:marBottom w:val="0"/>
      <w:divBdr>
        <w:top w:val="none" w:sz="0" w:space="0" w:color="auto"/>
        <w:left w:val="none" w:sz="0" w:space="0" w:color="auto"/>
        <w:bottom w:val="none" w:sz="0" w:space="0" w:color="auto"/>
        <w:right w:val="none" w:sz="0" w:space="0" w:color="auto"/>
      </w:divBdr>
    </w:div>
    <w:div w:id="1735541741">
      <w:bodyDiv w:val="1"/>
      <w:marLeft w:val="0"/>
      <w:marRight w:val="0"/>
      <w:marTop w:val="0"/>
      <w:marBottom w:val="0"/>
      <w:divBdr>
        <w:top w:val="none" w:sz="0" w:space="0" w:color="auto"/>
        <w:left w:val="none" w:sz="0" w:space="0" w:color="auto"/>
        <w:bottom w:val="none" w:sz="0" w:space="0" w:color="auto"/>
        <w:right w:val="none" w:sz="0" w:space="0" w:color="auto"/>
      </w:divBdr>
      <w:divsChild>
        <w:div w:id="1357075265">
          <w:marLeft w:val="-180"/>
          <w:marRight w:val="-180"/>
          <w:marTop w:val="0"/>
          <w:marBottom w:val="0"/>
          <w:divBdr>
            <w:top w:val="none" w:sz="0" w:space="0" w:color="auto"/>
            <w:left w:val="none" w:sz="0" w:space="0" w:color="auto"/>
            <w:bottom w:val="none" w:sz="0" w:space="0" w:color="auto"/>
            <w:right w:val="none" w:sz="0" w:space="0" w:color="auto"/>
          </w:divBdr>
          <w:divsChild>
            <w:div w:id="3557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9312">
      <w:bodyDiv w:val="1"/>
      <w:marLeft w:val="0"/>
      <w:marRight w:val="0"/>
      <w:marTop w:val="0"/>
      <w:marBottom w:val="0"/>
      <w:divBdr>
        <w:top w:val="none" w:sz="0" w:space="0" w:color="auto"/>
        <w:left w:val="none" w:sz="0" w:space="0" w:color="auto"/>
        <w:bottom w:val="none" w:sz="0" w:space="0" w:color="auto"/>
        <w:right w:val="none" w:sz="0" w:space="0" w:color="auto"/>
      </w:divBdr>
    </w:div>
    <w:div w:id="1870988454">
      <w:bodyDiv w:val="1"/>
      <w:marLeft w:val="0"/>
      <w:marRight w:val="0"/>
      <w:marTop w:val="0"/>
      <w:marBottom w:val="0"/>
      <w:divBdr>
        <w:top w:val="none" w:sz="0" w:space="0" w:color="auto"/>
        <w:left w:val="none" w:sz="0" w:space="0" w:color="auto"/>
        <w:bottom w:val="none" w:sz="0" w:space="0" w:color="auto"/>
        <w:right w:val="none" w:sz="0" w:space="0" w:color="auto"/>
      </w:divBdr>
    </w:div>
    <w:div w:id="1904751318">
      <w:bodyDiv w:val="1"/>
      <w:marLeft w:val="0"/>
      <w:marRight w:val="0"/>
      <w:marTop w:val="0"/>
      <w:marBottom w:val="0"/>
      <w:divBdr>
        <w:top w:val="none" w:sz="0" w:space="0" w:color="auto"/>
        <w:left w:val="none" w:sz="0" w:space="0" w:color="auto"/>
        <w:bottom w:val="none" w:sz="0" w:space="0" w:color="auto"/>
        <w:right w:val="none" w:sz="0" w:space="0" w:color="auto"/>
      </w:divBdr>
      <w:divsChild>
        <w:div w:id="21131046">
          <w:marLeft w:val="-180"/>
          <w:marRight w:val="-180"/>
          <w:marTop w:val="0"/>
          <w:marBottom w:val="0"/>
          <w:divBdr>
            <w:top w:val="none" w:sz="0" w:space="0" w:color="auto"/>
            <w:left w:val="none" w:sz="0" w:space="0" w:color="auto"/>
            <w:bottom w:val="none" w:sz="0" w:space="0" w:color="auto"/>
            <w:right w:val="none" w:sz="0" w:space="0" w:color="auto"/>
          </w:divBdr>
          <w:divsChild>
            <w:div w:id="186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265">
      <w:bodyDiv w:val="1"/>
      <w:marLeft w:val="0"/>
      <w:marRight w:val="0"/>
      <w:marTop w:val="0"/>
      <w:marBottom w:val="0"/>
      <w:divBdr>
        <w:top w:val="none" w:sz="0" w:space="0" w:color="auto"/>
        <w:left w:val="none" w:sz="0" w:space="0" w:color="auto"/>
        <w:bottom w:val="none" w:sz="0" w:space="0" w:color="auto"/>
        <w:right w:val="none" w:sz="0" w:space="0" w:color="auto"/>
      </w:divBdr>
    </w:div>
    <w:div w:id="1953781819">
      <w:bodyDiv w:val="1"/>
      <w:marLeft w:val="0"/>
      <w:marRight w:val="0"/>
      <w:marTop w:val="0"/>
      <w:marBottom w:val="0"/>
      <w:divBdr>
        <w:top w:val="none" w:sz="0" w:space="0" w:color="auto"/>
        <w:left w:val="none" w:sz="0" w:space="0" w:color="auto"/>
        <w:bottom w:val="none" w:sz="0" w:space="0" w:color="auto"/>
        <w:right w:val="none" w:sz="0" w:space="0" w:color="auto"/>
      </w:divBdr>
    </w:div>
    <w:div w:id="1966546326">
      <w:bodyDiv w:val="1"/>
      <w:marLeft w:val="0"/>
      <w:marRight w:val="0"/>
      <w:marTop w:val="0"/>
      <w:marBottom w:val="0"/>
      <w:divBdr>
        <w:top w:val="none" w:sz="0" w:space="0" w:color="auto"/>
        <w:left w:val="none" w:sz="0" w:space="0" w:color="auto"/>
        <w:bottom w:val="none" w:sz="0" w:space="0" w:color="auto"/>
        <w:right w:val="none" w:sz="0" w:space="0" w:color="auto"/>
      </w:divBdr>
    </w:div>
    <w:div w:id="1994262179">
      <w:bodyDiv w:val="1"/>
      <w:marLeft w:val="0"/>
      <w:marRight w:val="0"/>
      <w:marTop w:val="0"/>
      <w:marBottom w:val="0"/>
      <w:divBdr>
        <w:top w:val="none" w:sz="0" w:space="0" w:color="auto"/>
        <w:left w:val="none" w:sz="0" w:space="0" w:color="auto"/>
        <w:bottom w:val="none" w:sz="0" w:space="0" w:color="auto"/>
        <w:right w:val="none" w:sz="0" w:space="0" w:color="auto"/>
      </w:divBdr>
    </w:div>
    <w:div w:id="2014795959">
      <w:bodyDiv w:val="1"/>
      <w:marLeft w:val="0"/>
      <w:marRight w:val="0"/>
      <w:marTop w:val="0"/>
      <w:marBottom w:val="0"/>
      <w:divBdr>
        <w:top w:val="none" w:sz="0" w:space="0" w:color="auto"/>
        <w:left w:val="none" w:sz="0" w:space="0" w:color="auto"/>
        <w:bottom w:val="none" w:sz="0" w:space="0" w:color="auto"/>
        <w:right w:val="none" w:sz="0" w:space="0" w:color="auto"/>
      </w:divBdr>
    </w:div>
    <w:div w:id="2029019902">
      <w:bodyDiv w:val="1"/>
      <w:marLeft w:val="0"/>
      <w:marRight w:val="0"/>
      <w:marTop w:val="0"/>
      <w:marBottom w:val="0"/>
      <w:divBdr>
        <w:top w:val="none" w:sz="0" w:space="0" w:color="auto"/>
        <w:left w:val="none" w:sz="0" w:space="0" w:color="auto"/>
        <w:bottom w:val="none" w:sz="0" w:space="0" w:color="auto"/>
        <w:right w:val="none" w:sz="0" w:space="0" w:color="auto"/>
      </w:divBdr>
    </w:div>
    <w:div w:id="2057192112">
      <w:bodyDiv w:val="1"/>
      <w:marLeft w:val="0"/>
      <w:marRight w:val="0"/>
      <w:marTop w:val="0"/>
      <w:marBottom w:val="0"/>
      <w:divBdr>
        <w:top w:val="none" w:sz="0" w:space="0" w:color="auto"/>
        <w:left w:val="none" w:sz="0" w:space="0" w:color="auto"/>
        <w:bottom w:val="none" w:sz="0" w:space="0" w:color="auto"/>
        <w:right w:val="none" w:sz="0" w:space="0" w:color="auto"/>
      </w:divBdr>
    </w:div>
    <w:div w:id="20577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economy/international-trade/international-investment-position-australia-supplementary-statistics/2021" TargetMode="External"/><Relationship Id="rId13" Type="http://schemas.openxmlformats.org/officeDocument/2006/relationships/hyperlink" Target="https://treasury.gov.au/publication/p2024-590845" TargetMode="External"/><Relationship Id="rId18" Type="http://schemas.openxmlformats.org/officeDocument/2006/relationships/hyperlink" Target="https://www.transparency.gov.au/publications" TargetMode="External"/><Relationship Id="rId3" Type="http://schemas.openxmlformats.org/officeDocument/2006/relationships/hyperlink" Target="https://www.legislation.gov.au/F2022L00465/asmade/text" TargetMode="External"/><Relationship Id="rId21" Type="http://schemas.openxmlformats.org/officeDocument/2006/relationships/hyperlink" Target="https://www.finance.gov.au/publications/ministerial-statements/regulatory-reform-reduce-red-tape-and-ease-burden-businesses" TargetMode="External"/><Relationship Id="rId7" Type="http://schemas.openxmlformats.org/officeDocument/2006/relationships/hyperlink" Target="https://www.legislation.gov.au/C2022A00075/asmade/text" TargetMode="External"/><Relationship Id="rId12" Type="http://schemas.openxmlformats.org/officeDocument/2006/relationships/hyperlink" Target="https://www.allens.com.au/insights-news/insights/2025/03/recent-developments-in-foreign-investment-firb-regulation/" TargetMode="External"/><Relationship Id="rId17" Type="http://schemas.openxmlformats.org/officeDocument/2006/relationships/hyperlink" Target="https://www.allens.com.au/insights-news/insights/2023/12/FIRB-fee-changes/" TargetMode="External"/><Relationship Id="rId2" Type="http://schemas.openxmlformats.org/officeDocument/2006/relationships/hyperlink" Target="https://www.acma.gov.au/register-foreign-owners-media-assets" TargetMode="External"/><Relationship Id="rId16" Type="http://schemas.openxmlformats.org/officeDocument/2006/relationships/hyperlink" Target="https://www.kwm.com/au/en/insights/latest-thinking/register-of-foreign-ownership-of-australian-assets.html" TargetMode="External"/><Relationship Id="rId20" Type="http://schemas.openxmlformats.org/officeDocument/2006/relationships/hyperlink" Target="https://www.kearney.com/service/global-business-policy-council/foreign-direct-investment-confidence-index/2025-full-report" TargetMode="External"/><Relationship Id="rId1" Type="http://schemas.openxmlformats.org/officeDocument/2006/relationships/hyperlink" Target="https://oia.pmc.gov.au/published-impact-analyses-and-reports/foreign-investment-review-reforms" TargetMode="External"/><Relationship Id="rId6" Type="http://schemas.openxmlformats.org/officeDocument/2006/relationships/hyperlink" Target="https://www.legislation.gov.au/F2022L00999/asmade/text" TargetMode="External"/><Relationship Id="rId11" Type="http://schemas.openxmlformats.org/officeDocument/2006/relationships/hyperlink" Target="https://treasury.gov.au/consultation/c2021-193739" TargetMode="External"/><Relationship Id="rId5" Type="http://schemas.openxmlformats.org/officeDocument/2006/relationships/hyperlink" Target="https://www.aph.gov.au/Parliamentary_Business/Bills_LEGislation/Bills_Search_Results/Result?bId=r6897" TargetMode="External"/><Relationship Id="rId15" Type="http://schemas.openxmlformats.org/officeDocument/2006/relationships/hyperlink" Target="https://www.allens.com.au/insights-news/insights/2024/02/common-firb-issues-for-private-equity-firms/" TargetMode="External"/><Relationship Id="rId23" Type="http://schemas.openxmlformats.org/officeDocument/2006/relationships/hyperlink" Target="https://treasury.gov.au/publication/p2022-244363" TargetMode="External"/><Relationship Id="rId10" Type="http://schemas.openxmlformats.org/officeDocument/2006/relationships/hyperlink" Target="https://treasury.gov.au/consultation/c2021-193739" TargetMode="External"/><Relationship Id="rId19" Type="http://schemas.openxmlformats.org/officeDocument/2006/relationships/hyperlink" Target="https://data.worldbank.org/indicator/BX.KLT.DINV.WD.GD.ZS" TargetMode="External"/><Relationship Id="rId4" Type="http://schemas.openxmlformats.org/officeDocument/2006/relationships/hyperlink" Target="https://www.aph.gov.au/Parliamentary_Business/Bills_LEGislation/Bills_Search_Results/Result?bId=r6897" TargetMode="External"/><Relationship Id="rId9" Type="http://schemas.openxmlformats.org/officeDocument/2006/relationships/hyperlink" Target="https://www.abs.gov.au/statistics/economy/international-trade/international-investment-position-australia-supplementary-statistics/2024" TargetMode="External"/><Relationship Id="rId14" Type="http://schemas.openxmlformats.org/officeDocument/2006/relationships/hyperlink" Target="https://treasury.gov.au/consultation/c2021-193739" TargetMode="External"/><Relationship Id="rId22" Type="http://schemas.openxmlformats.org/officeDocument/2006/relationships/hyperlink" Target="https://treasury.gov.au/consultation/c2021-193739"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15957</Words>
  <Characters>90960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2025-11-25T00:35:00Z</dcterms:created>
  <dcterms:modified xsi:type="dcterms:W3CDTF">2025-11-25T00:36:00Z</dcterms:modified>
  <cp:category/>
  <cp:contentStatus/>
</cp:coreProperties>
</file>