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180CD" w14:textId="77777777" w:rsidR="008D6108" w:rsidRDefault="00C37036">
      <w:pPr>
        <w:jc w:val="center"/>
        <w:rPr>
          <w:rFonts w:ascii="Segoe UI" w:eastAsia="Times New Roman" w:hAnsi="Segoe UI" w:cs="Segoe UI"/>
          <w:sz w:val="18"/>
          <w:szCs w:val="18"/>
          <w:lang w:val="en-US"/>
        </w:rPr>
      </w:pPr>
      <w:r>
        <w:rPr>
          <w:rFonts w:ascii="Segoe UI" w:eastAsia="Times New Roman" w:hAnsi="Segoe UI" w:cs="Segoe UI"/>
          <w:sz w:val="18"/>
          <w:szCs w:val="18"/>
          <w:lang w:val="en-US"/>
        </w:rPr>
        <w:t> </w:t>
      </w:r>
    </w:p>
    <w:p w14:paraId="487180CE" w14:textId="77777777" w:rsidR="008D6108" w:rsidRDefault="00B26975">
      <w:pPr>
        <w:jc w:val="center"/>
        <w:divId w:val="36123466"/>
        <w:rPr>
          <w:rFonts w:ascii="Segoe UI" w:eastAsia="Times New Roman" w:hAnsi="Segoe UI" w:cs="Segoe UI"/>
          <w:sz w:val="18"/>
          <w:szCs w:val="18"/>
          <w:lang w:val="en-US"/>
        </w:rPr>
      </w:pPr>
      <w:r>
        <w:rPr>
          <w:rFonts w:ascii="Segoe UI" w:eastAsia="Times New Roman" w:hAnsi="Segoe UI" w:cs="Segoe UI"/>
          <w:noProof/>
          <w:sz w:val="18"/>
          <w:szCs w:val="18"/>
        </w:rPr>
        <w:drawing>
          <wp:inline distT="0" distB="0" distL="0" distR="0" wp14:anchorId="487180EA" wp14:editId="487180EB">
            <wp:extent cx="2981325" cy="12560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1325" cy="1256030"/>
                    </a:xfrm>
                    <a:prstGeom prst="rect">
                      <a:avLst/>
                    </a:prstGeom>
                    <a:noFill/>
                  </pic:spPr>
                </pic:pic>
              </a:graphicData>
            </a:graphic>
          </wp:inline>
        </w:drawing>
      </w:r>
    </w:p>
    <w:p w14:paraId="487180CF" w14:textId="77777777" w:rsidR="008D6108" w:rsidRDefault="00C37036">
      <w:pPr>
        <w:jc w:val="right"/>
        <w:divId w:val="618998067"/>
        <w:rPr>
          <w:rFonts w:ascii="Segoe UI" w:eastAsia="Times New Roman" w:hAnsi="Segoe UI" w:cs="Segoe UI"/>
          <w:sz w:val="18"/>
          <w:szCs w:val="18"/>
          <w:lang w:val="en-US"/>
        </w:rPr>
      </w:pPr>
      <w:r>
        <w:rPr>
          <w:rFonts w:ascii="Calibri" w:eastAsia="Times New Roman" w:hAnsi="Calibri" w:cs="Calibri"/>
          <w:sz w:val="16"/>
          <w:szCs w:val="16"/>
          <w:lang w:val="en-US"/>
        </w:rPr>
        <w:t>R</w:t>
      </w:r>
      <w:r>
        <w:rPr>
          <w:rFonts w:eastAsia="Times New Roman"/>
          <w:sz w:val="16"/>
          <w:szCs w:val="16"/>
          <w:lang w:val="en-US"/>
        </w:rPr>
        <w:t>eference: OBPR22-02555</w:t>
      </w:r>
      <w:r>
        <w:rPr>
          <w:rFonts w:eastAsia="Times New Roman"/>
          <w:sz w:val="16"/>
          <w:szCs w:val="16"/>
          <w:lang w:val="en-US"/>
        </w:rPr>
        <w:br/>
        <w:t>Telephone: 6271 6270</w:t>
      </w:r>
      <w:r>
        <w:rPr>
          <w:rFonts w:eastAsia="Times New Roman"/>
          <w:sz w:val="16"/>
          <w:szCs w:val="16"/>
          <w:lang w:val="en-US"/>
        </w:rPr>
        <w:br/>
        <w:t xml:space="preserve">e-mail: </w:t>
      </w:r>
      <w:hyperlink r:id="rId7" w:history="1">
        <w:r>
          <w:rPr>
            <w:rStyle w:val="Hyperlink"/>
            <w:rFonts w:eastAsia="Times New Roman"/>
            <w:sz w:val="16"/>
            <w:szCs w:val="16"/>
            <w:lang w:val="en-US"/>
          </w:rPr>
          <w:t>helpdesk-oia@pmc.gov.au</w:t>
        </w:r>
      </w:hyperlink>
    </w:p>
    <w:p w14:paraId="487180D0" w14:textId="3585B9B8" w:rsidR="008D6108" w:rsidRDefault="00C37036">
      <w:pPr>
        <w:divId w:val="350492816"/>
        <w:rPr>
          <w:rFonts w:ascii="Segoe UI" w:eastAsia="Times New Roman" w:hAnsi="Segoe UI" w:cs="Segoe UI"/>
          <w:sz w:val="18"/>
          <w:szCs w:val="18"/>
          <w:lang w:val="en-US"/>
        </w:rPr>
      </w:pPr>
      <w:r>
        <w:rPr>
          <w:rFonts w:eastAsia="Times New Roman"/>
          <w:lang w:val="en-US"/>
        </w:rPr>
        <w:t>Mr Richard Windeyer</w:t>
      </w:r>
      <w:r>
        <w:rPr>
          <w:rFonts w:eastAsia="Times New Roman"/>
          <w:lang w:val="en-US"/>
        </w:rPr>
        <w:br/>
        <w:t>Deputy Secretary</w:t>
      </w:r>
      <w:r>
        <w:rPr>
          <w:rFonts w:eastAsia="Times New Roman"/>
          <w:sz w:val="18"/>
          <w:szCs w:val="18"/>
          <w:lang w:val="en-US"/>
        </w:rPr>
        <w:br/>
      </w:r>
      <w:r>
        <w:rPr>
          <w:rFonts w:eastAsia="Times New Roman"/>
          <w:lang w:val="en-US"/>
        </w:rPr>
        <w:t>Department of Infrastructure, Transport, Regional Development, Communications and the Arts</w:t>
      </w:r>
      <w:r>
        <w:rPr>
          <w:rFonts w:eastAsia="Times New Roman"/>
          <w:sz w:val="18"/>
          <w:szCs w:val="18"/>
          <w:lang w:val="en-US"/>
        </w:rPr>
        <w:br/>
      </w:r>
      <w:r>
        <w:rPr>
          <w:rFonts w:eastAsia="Times New Roman"/>
          <w:sz w:val="18"/>
          <w:szCs w:val="18"/>
          <w:lang w:val="en-US"/>
        </w:rPr>
        <w:br/>
      </w:r>
      <w:r>
        <w:rPr>
          <w:rFonts w:eastAsia="Times New Roman"/>
          <w:lang w:val="en-US"/>
        </w:rPr>
        <w:t>Dear Mr Windeyer</w:t>
      </w:r>
      <w:r>
        <w:rPr>
          <w:rFonts w:ascii="Segoe UI" w:eastAsia="Times New Roman" w:hAnsi="Segoe UI" w:cs="Segoe UI"/>
          <w:sz w:val="18"/>
          <w:szCs w:val="18"/>
          <w:lang w:val="en-US"/>
        </w:rPr>
        <w:br/>
      </w:r>
      <w:r>
        <w:rPr>
          <w:rFonts w:ascii="Segoe UI" w:eastAsia="Times New Roman" w:hAnsi="Segoe UI" w:cs="Segoe UI"/>
          <w:sz w:val="18"/>
          <w:szCs w:val="18"/>
          <w:lang w:val="en-US"/>
        </w:rPr>
        <w:br/>
      </w:r>
      <w:r>
        <w:rPr>
          <w:rStyle w:val="Strong"/>
          <w:rFonts w:ascii="Arial" w:eastAsia="Times New Roman" w:hAnsi="Arial" w:cs="Arial"/>
          <w:lang w:val="en-US"/>
        </w:rPr>
        <w:t>Impact Analysis – Second Pass Final Assessment – Australia Post Modernisation and Long Term Financial Sustainability</w:t>
      </w:r>
    </w:p>
    <w:p w14:paraId="487180D1" w14:textId="77777777" w:rsidR="008D6108" w:rsidRDefault="00C37036">
      <w:pPr>
        <w:divId w:val="1605066121"/>
        <w:rPr>
          <w:rFonts w:ascii="Segoe UI" w:eastAsia="Times New Roman" w:hAnsi="Segoe UI" w:cs="Segoe UI"/>
          <w:sz w:val="18"/>
          <w:szCs w:val="18"/>
          <w:lang w:val="en-US"/>
        </w:rPr>
      </w:pPr>
      <w:r>
        <w:rPr>
          <w:rFonts w:ascii="Segoe UI" w:eastAsia="Times New Roman" w:hAnsi="Segoe UI" w:cs="Segoe UI"/>
          <w:sz w:val="18"/>
          <w:szCs w:val="18"/>
          <w:lang w:val="en-US"/>
        </w:rPr>
        <w:t> </w:t>
      </w:r>
    </w:p>
    <w:p w14:paraId="487180D2" w14:textId="608AEC7D" w:rsidR="008D6108" w:rsidRDefault="00104C63">
      <w:pPr>
        <w:divId w:val="2074351498"/>
        <w:rPr>
          <w:rFonts w:ascii="Segoe UI" w:eastAsia="Times New Roman" w:hAnsi="Segoe UI" w:cs="Segoe UI"/>
          <w:sz w:val="18"/>
          <w:szCs w:val="18"/>
          <w:lang w:val="en-US"/>
        </w:rPr>
      </w:pPr>
      <w:r>
        <w:rPr>
          <w:rFonts w:eastAsia="Times New Roman"/>
          <w:lang w:val="en-US"/>
        </w:rPr>
        <w:t>Thank you for your letter of 26</w:t>
      </w:r>
      <w:r w:rsidR="00C37036">
        <w:rPr>
          <w:rFonts w:eastAsia="Times New Roman"/>
          <w:lang w:val="en-US"/>
        </w:rPr>
        <w:t xml:space="preserve"> October 2023 submitting an Impact Analysis (IA) for formal Second Pass Final Assessment. I note the IA has been formally certified at the Deputy Secretary level consistent with the </w:t>
      </w:r>
      <w:r w:rsidR="00C37036">
        <w:rPr>
          <w:rStyle w:val="Emphasis"/>
          <w:rFonts w:eastAsia="Times New Roman"/>
          <w:lang w:val="en-US"/>
        </w:rPr>
        <w:t>Australian Government Guide to Policy Impact Analysis</w:t>
      </w:r>
      <w:r>
        <w:rPr>
          <w:rStyle w:val="Emphasis"/>
          <w:rFonts w:eastAsia="Times New Roman"/>
          <w:i w:val="0"/>
          <w:lang w:val="en-US"/>
        </w:rPr>
        <w:t xml:space="preserve"> (the Guide)</w:t>
      </w:r>
      <w:r w:rsidR="00C37036">
        <w:rPr>
          <w:rFonts w:eastAsia="Times New Roman"/>
          <w:lang w:val="en-US"/>
        </w:rPr>
        <w:t>.</w:t>
      </w:r>
    </w:p>
    <w:p w14:paraId="487180D3" w14:textId="77777777" w:rsidR="008D6108" w:rsidRDefault="00C37036">
      <w:pPr>
        <w:divId w:val="270094569"/>
        <w:rPr>
          <w:rFonts w:eastAsia="Times New Roman"/>
          <w:lang w:val="en-US"/>
        </w:rPr>
      </w:pPr>
      <w:r>
        <w:rPr>
          <w:rFonts w:eastAsia="Times New Roman"/>
          <w:lang w:val="en-US"/>
        </w:rPr>
        <w:br/>
        <w:t xml:space="preserve">I appreciate the Department’s constructive engagement on the IA. </w:t>
      </w:r>
    </w:p>
    <w:p w14:paraId="487180D4" w14:textId="77777777" w:rsidR="008D6108" w:rsidRDefault="008D6108">
      <w:pPr>
        <w:divId w:val="270094569"/>
        <w:rPr>
          <w:rFonts w:eastAsia="Times New Roman"/>
          <w:lang w:val="en-US"/>
        </w:rPr>
      </w:pPr>
    </w:p>
    <w:p w14:paraId="19CB7598" w14:textId="0A3379AE" w:rsidR="00104C63" w:rsidRDefault="00C37036">
      <w:pPr>
        <w:divId w:val="270094569"/>
        <w:rPr>
          <w:rFonts w:eastAsia="Times New Roman"/>
          <w:lang w:val="en-US"/>
        </w:rPr>
      </w:pPr>
      <w:r>
        <w:rPr>
          <w:rFonts w:eastAsia="Times New Roman"/>
          <w:lang w:val="en-US"/>
        </w:rPr>
        <w:t>The Office of Impact Analysis’ (OIA) assessment is that the quality of the analysis in the IA is adequate</w:t>
      </w:r>
      <w:r w:rsidR="00104C63">
        <w:rPr>
          <w:rFonts w:eastAsia="Times New Roman"/>
          <w:lang w:val="en-US"/>
        </w:rPr>
        <w:t xml:space="preserve"> to support a high level decision on reform</w:t>
      </w:r>
      <w:r>
        <w:rPr>
          <w:rFonts w:eastAsia="Times New Roman"/>
          <w:lang w:val="en-US"/>
        </w:rPr>
        <w:t xml:space="preserve">. </w:t>
      </w:r>
    </w:p>
    <w:p w14:paraId="7F6B69CB" w14:textId="77777777" w:rsidR="00104C63" w:rsidRDefault="00104C63" w:rsidP="00104C63">
      <w:pPr>
        <w:divId w:val="270094569"/>
        <w:rPr>
          <w:rFonts w:eastAsia="Times New Roman"/>
          <w:lang w:val="en-US"/>
        </w:rPr>
      </w:pPr>
    </w:p>
    <w:p w14:paraId="3341F40A" w14:textId="62BD8950" w:rsidR="00104C63" w:rsidRPr="00104C63" w:rsidRDefault="00104C63" w:rsidP="00104C63">
      <w:pPr>
        <w:divId w:val="270094569"/>
        <w:rPr>
          <w:rFonts w:eastAsia="Times New Roman"/>
          <w:lang w:val="en-US"/>
        </w:rPr>
      </w:pPr>
      <w:r w:rsidRPr="00104C63">
        <w:rPr>
          <w:rFonts w:eastAsia="Times New Roman"/>
          <w:lang w:val="en-US"/>
        </w:rPr>
        <w:t>To be considered ‘good practice’ as per the Guide, the IA wou</w:t>
      </w:r>
      <w:r>
        <w:rPr>
          <w:rFonts w:eastAsia="Times New Roman"/>
          <w:lang w:val="en-US"/>
        </w:rPr>
        <w:t xml:space="preserve">ld have benefited from further </w:t>
      </w:r>
      <w:r w:rsidRPr="00104C63">
        <w:rPr>
          <w:rFonts w:eastAsia="Times New Roman"/>
          <w:lang w:val="en-US"/>
        </w:rPr>
        <w:t xml:space="preserve">examination of the likely workforce implications of the proposal and the anticipated effects on </w:t>
      </w:r>
    </w:p>
    <w:p w14:paraId="043BF023" w14:textId="77777777" w:rsidR="00104C63" w:rsidRPr="00104C63" w:rsidRDefault="00104C63" w:rsidP="00104C63">
      <w:pPr>
        <w:divId w:val="270094569"/>
        <w:rPr>
          <w:rFonts w:eastAsia="Times New Roman"/>
          <w:lang w:val="en-US"/>
        </w:rPr>
      </w:pPr>
      <w:r w:rsidRPr="00104C63">
        <w:rPr>
          <w:rFonts w:eastAsia="Times New Roman"/>
          <w:lang w:val="en-US"/>
        </w:rPr>
        <w:t>Australians – particularly customers in regional and remote areas.</w:t>
      </w:r>
    </w:p>
    <w:p w14:paraId="1A3511B8" w14:textId="77777777" w:rsidR="00104C63" w:rsidRDefault="00104C63" w:rsidP="00104C63">
      <w:pPr>
        <w:divId w:val="270094569"/>
        <w:rPr>
          <w:rFonts w:eastAsia="Times New Roman"/>
          <w:lang w:val="en-US"/>
        </w:rPr>
      </w:pPr>
    </w:p>
    <w:p w14:paraId="012DF4AF" w14:textId="395BD627" w:rsidR="00104C63" w:rsidRPr="00104C63" w:rsidRDefault="00104C63" w:rsidP="00104C63">
      <w:pPr>
        <w:divId w:val="270094569"/>
        <w:rPr>
          <w:rFonts w:eastAsia="Times New Roman"/>
          <w:lang w:val="en-US"/>
        </w:rPr>
      </w:pPr>
      <w:r w:rsidRPr="00104C63">
        <w:rPr>
          <w:rFonts w:eastAsia="Times New Roman"/>
          <w:lang w:val="en-US"/>
        </w:rPr>
        <w:t>I note an estimate of the change to regulatory burden for each of the options has been prese</w:t>
      </w:r>
      <w:r>
        <w:rPr>
          <w:rFonts w:eastAsia="Times New Roman"/>
          <w:lang w:val="en-US"/>
        </w:rPr>
        <w:t xml:space="preserve">nted </w:t>
      </w:r>
      <w:r w:rsidRPr="00104C63">
        <w:rPr>
          <w:rFonts w:eastAsia="Times New Roman"/>
          <w:lang w:val="en-US"/>
        </w:rPr>
        <w:t>as negligible or nil. Because one of the objectives of the proposal</w:t>
      </w:r>
      <w:r>
        <w:rPr>
          <w:rFonts w:eastAsia="Times New Roman"/>
          <w:lang w:val="en-US"/>
        </w:rPr>
        <w:t xml:space="preserve"> is to make regulatory changes </w:t>
      </w:r>
      <w:r w:rsidRPr="00104C63">
        <w:rPr>
          <w:rFonts w:eastAsia="Times New Roman"/>
          <w:lang w:val="en-US"/>
        </w:rPr>
        <w:t xml:space="preserve">to improve Australia Post’s financial position, understanding </w:t>
      </w:r>
      <w:r>
        <w:rPr>
          <w:rFonts w:eastAsia="Times New Roman"/>
          <w:lang w:val="en-US"/>
        </w:rPr>
        <w:t xml:space="preserve">the elements of the regulatory </w:t>
      </w:r>
      <w:r w:rsidRPr="00104C63">
        <w:rPr>
          <w:rFonts w:eastAsia="Times New Roman"/>
          <w:lang w:val="en-US"/>
        </w:rPr>
        <w:t>settings that would change and how these changes would reduce c</w:t>
      </w:r>
      <w:r>
        <w:rPr>
          <w:rFonts w:eastAsia="Times New Roman"/>
          <w:lang w:val="en-US"/>
        </w:rPr>
        <w:t xml:space="preserve">osts to Australia Post will be </w:t>
      </w:r>
      <w:r w:rsidRPr="00104C63">
        <w:rPr>
          <w:rFonts w:eastAsia="Times New Roman"/>
          <w:lang w:val="en-US"/>
        </w:rPr>
        <w:t>central to the ongoing monitoring and evaluation of the success of these reforms.</w:t>
      </w:r>
    </w:p>
    <w:p w14:paraId="33F8B575" w14:textId="77777777" w:rsidR="00104C63" w:rsidRDefault="00104C63" w:rsidP="00104C63">
      <w:pPr>
        <w:divId w:val="270094569"/>
        <w:rPr>
          <w:rFonts w:eastAsia="Times New Roman"/>
          <w:lang w:val="en-US"/>
        </w:rPr>
      </w:pPr>
    </w:p>
    <w:p w14:paraId="73CFC14E" w14:textId="018166B0" w:rsidR="00104C63" w:rsidRDefault="00104C63" w:rsidP="00104C63">
      <w:pPr>
        <w:divId w:val="270094569"/>
        <w:rPr>
          <w:rFonts w:eastAsia="Times New Roman"/>
          <w:lang w:val="en-US"/>
        </w:rPr>
      </w:pPr>
      <w:r w:rsidRPr="00104C63">
        <w:rPr>
          <w:rFonts w:eastAsia="Times New Roman"/>
          <w:lang w:val="en-US"/>
        </w:rPr>
        <w:t>Because of the significant uncertainty around the costs and ben</w:t>
      </w:r>
      <w:r>
        <w:rPr>
          <w:rFonts w:eastAsia="Times New Roman"/>
          <w:lang w:val="en-US"/>
        </w:rPr>
        <w:t xml:space="preserve">efits, and the difficulties in </w:t>
      </w:r>
      <w:r w:rsidRPr="00104C63">
        <w:rPr>
          <w:rFonts w:eastAsia="Times New Roman"/>
          <w:lang w:val="en-US"/>
        </w:rPr>
        <w:t>determining the likely effects of the proposal ahead of the settling of fine implementati</w:t>
      </w:r>
      <w:r>
        <w:rPr>
          <w:rFonts w:eastAsia="Times New Roman"/>
          <w:lang w:val="en-US"/>
        </w:rPr>
        <w:t xml:space="preserve">on details, </w:t>
      </w:r>
      <w:r w:rsidRPr="00104C63">
        <w:rPr>
          <w:rFonts w:eastAsia="Times New Roman"/>
          <w:lang w:val="en-US"/>
        </w:rPr>
        <w:t>further analysis on the likely effects of the specific imple</w:t>
      </w:r>
      <w:r>
        <w:rPr>
          <w:rFonts w:eastAsia="Times New Roman"/>
          <w:lang w:val="en-US"/>
        </w:rPr>
        <w:t xml:space="preserve">mentation arrangements will be </w:t>
      </w:r>
      <w:r w:rsidRPr="00104C63">
        <w:rPr>
          <w:rFonts w:eastAsia="Times New Roman"/>
          <w:lang w:val="en-US"/>
        </w:rPr>
        <w:t>necessary.</w:t>
      </w:r>
    </w:p>
    <w:p w14:paraId="79E283F0" w14:textId="77777777" w:rsidR="00104C63" w:rsidRDefault="00104C63">
      <w:pPr>
        <w:divId w:val="270094569"/>
        <w:rPr>
          <w:rFonts w:eastAsia="Times New Roman"/>
          <w:lang w:val="en-US"/>
        </w:rPr>
      </w:pPr>
    </w:p>
    <w:p w14:paraId="487180D6" w14:textId="4A261F03" w:rsidR="008D6108" w:rsidRDefault="00104C63" w:rsidP="00104C63">
      <w:pPr>
        <w:divId w:val="644628425"/>
        <w:rPr>
          <w:rFonts w:eastAsia="Times New Roman"/>
          <w:lang w:val="en-US"/>
        </w:rPr>
      </w:pPr>
      <w:r>
        <w:rPr>
          <w:rFonts w:eastAsia="Times New Roman"/>
          <w:lang w:val="en-US"/>
        </w:rPr>
        <w:t>C</w:t>
      </w:r>
      <w:r w:rsidRPr="00104C63">
        <w:rPr>
          <w:rFonts w:eastAsia="Times New Roman"/>
          <w:lang w:val="en-US"/>
        </w:rPr>
        <w:t>onsidering the possible widespread impacts associated with this reform and the importance of</w:t>
      </w:r>
      <w:r>
        <w:rPr>
          <w:rFonts w:eastAsia="Times New Roman"/>
          <w:lang w:val="en-US"/>
        </w:rPr>
        <w:t xml:space="preserve"> </w:t>
      </w:r>
      <w:r w:rsidRPr="00104C63">
        <w:rPr>
          <w:rFonts w:eastAsia="Times New Roman"/>
          <w:lang w:val="en-US"/>
        </w:rPr>
        <w:t>the long-term viability of Australia Post to the community</w:t>
      </w:r>
      <w:r>
        <w:rPr>
          <w:rFonts w:eastAsia="Times New Roman"/>
          <w:lang w:val="en-US"/>
        </w:rPr>
        <w:t xml:space="preserve">, OIA will determine whether a </w:t>
      </w:r>
      <w:r w:rsidRPr="00104C63">
        <w:rPr>
          <w:rFonts w:eastAsia="Times New Roman"/>
          <w:lang w:val="en-US"/>
        </w:rPr>
        <w:t>post-implementation review is also necessary to examine and quantify the felt effect of the changes once they have been made.</w:t>
      </w:r>
    </w:p>
    <w:p w14:paraId="487180D7" w14:textId="6FEA3945" w:rsidR="008D6108" w:rsidRDefault="00C37036">
      <w:pPr>
        <w:divId w:val="728262147"/>
        <w:rPr>
          <w:rFonts w:ascii="Segoe UI" w:eastAsia="Times New Roman" w:hAnsi="Segoe UI" w:cs="Segoe UI"/>
          <w:sz w:val="18"/>
          <w:szCs w:val="18"/>
          <w:lang w:val="en-US"/>
        </w:rPr>
      </w:pPr>
      <w:bookmarkStart w:id="0" w:name="_GoBack"/>
      <w:bookmarkEnd w:id="0"/>
      <w:r>
        <w:rPr>
          <w:rStyle w:val="Strong"/>
          <w:rFonts w:eastAsia="Times New Roman"/>
          <w:lang w:val="en-US"/>
        </w:rPr>
        <w:lastRenderedPageBreak/>
        <w:t>Next steps</w:t>
      </w:r>
    </w:p>
    <w:p w14:paraId="487180D8" w14:textId="77777777" w:rsidR="008D6108" w:rsidRDefault="00C37036">
      <w:pPr>
        <w:divId w:val="608660623"/>
        <w:rPr>
          <w:rFonts w:ascii="Segoe UI" w:eastAsia="Times New Roman" w:hAnsi="Segoe UI" w:cs="Segoe UI"/>
          <w:sz w:val="18"/>
          <w:szCs w:val="18"/>
          <w:lang w:val="en-US"/>
        </w:rPr>
      </w:pPr>
      <w:r>
        <w:rPr>
          <w:rFonts w:ascii="Segoe UI" w:eastAsia="Times New Roman" w:hAnsi="Segoe UI" w:cs="Segoe UI"/>
          <w:sz w:val="18"/>
          <w:szCs w:val="18"/>
          <w:lang w:val="en-US"/>
        </w:rPr>
        <w:t> </w:t>
      </w:r>
    </w:p>
    <w:p w14:paraId="487180D9" w14:textId="77777777" w:rsidR="008D6108" w:rsidRDefault="00C37036">
      <w:pPr>
        <w:divId w:val="1130394856"/>
        <w:rPr>
          <w:rFonts w:ascii="Segoe UI" w:eastAsia="Times New Roman" w:hAnsi="Segoe UI" w:cs="Segoe UI"/>
          <w:sz w:val="18"/>
          <w:szCs w:val="18"/>
          <w:lang w:val="en-US"/>
        </w:rPr>
      </w:pPr>
      <w:r>
        <w:rPr>
          <w:rFonts w:eastAsia="Times New Roman"/>
          <w:lang w:val="en-US"/>
        </w:rPr>
        <w:t>After a final decision has been announced, I ask that your agency work with OIA to finalise this material for public release. This includes providing a copy of the IA in Word and PDF format for web accessibility purposes. The IA must be included in any Explanatory Memorandum or Statement giving effect to the proposals in the IA.</w:t>
      </w:r>
    </w:p>
    <w:p w14:paraId="487180DA" w14:textId="77777777" w:rsidR="008D6108" w:rsidRDefault="00C37036">
      <w:pPr>
        <w:divId w:val="498887488"/>
        <w:rPr>
          <w:rFonts w:ascii="Segoe UI" w:eastAsia="Times New Roman" w:hAnsi="Segoe UI" w:cs="Segoe UI"/>
          <w:sz w:val="18"/>
          <w:szCs w:val="18"/>
          <w:lang w:val="en-US"/>
        </w:rPr>
      </w:pPr>
      <w:r>
        <w:rPr>
          <w:rFonts w:ascii="Segoe UI" w:eastAsia="Times New Roman" w:hAnsi="Segoe UI" w:cs="Segoe UI"/>
          <w:sz w:val="18"/>
          <w:szCs w:val="18"/>
          <w:lang w:val="en-US"/>
        </w:rPr>
        <w:br/>
      </w:r>
      <w:r>
        <w:rPr>
          <w:rFonts w:eastAsia="Times New Roman"/>
          <w:lang w:val="en-US"/>
        </w:rPr>
        <w:t>If you have any further queries, please do not hesitate to contact me.</w:t>
      </w:r>
    </w:p>
    <w:p w14:paraId="487180DB" w14:textId="77777777" w:rsidR="008D6108" w:rsidRDefault="00C37036">
      <w:pPr>
        <w:divId w:val="306790721"/>
        <w:rPr>
          <w:rFonts w:ascii="Segoe UI" w:eastAsia="Times New Roman" w:hAnsi="Segoe UI" w:cs="Segoe UI"/>
          <w:sz w:val="18"/>
          <w:szCs w:val="18"/>
          <w:lang w:val="en-US"/>
        </w:rPr>
      </w:pPr>
      <w:r>
        <w:rPr>
          <w:rFonts w:ascii="Segoe UI" w:eastAsia="Times New Roman" w:hAnsi="Segoe UI" w:cs="Segoe UI"/>
          <w:sz w:val="18"/>
          <w:szCs w:val="18"/>
          <w:lang w:val="en-US"/>
        </w:rPr>
        <w:br/>
      </w:r>
      <w:r>
        <w:rPr>
          <w:rFonts w:eastAsia="Times New Roman"/>
          <w:lang w:val="en-US"/>
        </w:rPr>
        <w:t>Yours sincerely</w:t>
      </w:r>
    </w:p>
    <w:p w14:paraId="487180DC" w14:textId="77777777" w:rsidR="008D6108" w:rsidRDefault="00C37036">
      <w:pPr>
        <w:divId w:val="1859656257"/>
        <w:rPr>
          <w:rFonts w:ascii="Segoe UI" w:eastAsia="Times New Roman" w:hAnsi="Segoe UI" w:cs="Segoe UI"/>
          <w:sz w:val="18"/>
          <w:szCs w:val="18"/>
          <w:lang w:val="en-US"/>
        </w:rPr>
      </w:pPr>
      <w:r>
        <w:rPr>
          <w:rFonts w:ascii="Segoe UI" w:eastAsia="Times New Roman" w:hAnsi="Segoe UI" w:cs="Segoe UI"/>
          <w:sz w:val="18"/>
          <w:szCs w:val="18"/>
          <w:lang w:val="en-US"/>
        </w:rPr>
        <w:t> </w:t>
      </w:r>
    </w:p>
    <w:p w14:paraId="487180DD" w14:textId="77777777" w:rsidR="008D6108" w:rsidRDefault="00C37036">
      <w:pPr>
        <w:divId w:val="1190220391"/>
        <w:rPr>
          <w:rFonts w:ascii="Segoe UI" w:eastAsia="Times New Roman" w:hAnsi="Segoe UI" w:cs="Segoe UI"/>
          <w:sz w:val="18"/>
          <w:szCs w:val="18"/>
          <w:lang w:val="en-US"/>
        </w:rPr>
      </w:pPr>
      <w:r>
        <w:rPr>
          <w:rFonts w:ascii="Segoe UI" w:eastAsia="Times New Roman" w:hAnsi="Segoe UI" w:cs="Segoe UI"/>
          <w:sz w:val="18"/>
          <w:szCs w:val="18"/>
          <w:lang w:val="en-US"/>
        </w:rPr>
        <w:t> </w:t>
      </w:r>
    </w:p>
    <w:p w14:paraId="487180DE" w14:textId="77777777" w:rsidR="008D6108" w:rsidRDefault="00C37036">
      <w:pPr>
        <w:divId w:val="1266383579"/>
        <w:rPr>
          <w:rFonts w:ascii="Segoe UI" w:eastAsia="Times New Roman" w:hAnsi="Segoe UI" w:cs="Segoe UI"/>
          <w:sz w:val="18"/>
          <w:szCs w:val="18"/>
          <w:lang w:val="en-US"/>
        </w:rPr>
      </w:pPr>
      <w:r>
        <w:rPr>
          <w:rFonts w:ascii="Segoe UI" w:eastAsia="Times New Roman" w:hAnsi="Segoe UI" w:cs="Segoe UI"/>
          <w:sz w:val="18"/>
          <w:szCs w:val="18"/>
          <w:lang w:val="en-US"/>
        </w:rPr>
        <w:t> </w:t>
      </w:r>
    </w:p>
    <w:p w14:paraId="487180DF" w14:textId="77777777" w:rsidR="008D6108" w:rsidRDefault="00C37036">
      <w:pPr>
        <w:divId w:val="1612205247"/>
        <w:rPr>
          <w:rFonts w:ascii="Segoe UI" w:eastAsia="Times New Roman" w:hAnsi="Segoe UI" w:cs="Segoe UI"/>
          <w:sz w:val="18"/>
          <w:szCs w:val="18"/>
          <w:lang w:val="en-US"/>
        </w:rPr>
      </w:pPr>
      <w:r>
        <w:rPr>
          <w:rFonts w:ascii="Segoe UI" w:eastAsia="Times New Roman" w:hAnsi="Segoe UI" w:cs="Segoe UI"/>
          <w:sz w:val="18"/>
          <w:szCs w:val="18"/>
          <w:lang w:val="en-US"/>
        </w:rPr>
        <w:t> </w:t>
      </w:r>
    </w:p>
    <w:p w14:paraId="487180E0" w14:textId="77777777" w:rsidR="008D6108" w:rsidRDefault="00C37036">
      <w:pPr>
        <w:divId w:val="1815564072"/>
        <w:rPr>
          <w:rFonts w:ascii="Segoe UI" w:eastAsia="Times New Roman" w:hAnsi="Segoe UI" w:cs="Segoe UI"/>
          <w:sz w:val="18"/>
          <w:szCs w:val="18"/>
          <w:lang w:val="en-US"/>
        </w:rPr>
      </w:pPr>
      <w:r>
        <w:rPr>
          <w:rFonts w:ascii="Segoe UI" w:eastAsia="Times New Roman" w:hAnsi="Segoe UI" w:cs="Segoe UI"/>
          <w:sz w:val="18"/>
          <w:szCs w:val="18"/>
          <w:lang w:val="en-US"/>
        </w:rPr>
        <w:t> </w:t>
      </w:r>
    </w:p>
    <w:p w14:paraId="487180E1" w14:textId="786CA670" w:rsidR="008D6108" w:rsidRDefault="00C37036">
      <w:pPr>
        <w:divId w:val="1573658011"/>
        <w:rPr>
          <w:rFonts w:ascii="Segoe UI" w:eastAsia="Times New Roman" w:hAnsi="Segoe UI" w:cs="Segoe UI"/>
          <w:sz w:val="18"/>
          <w:szCs w:val="18"/>
          <w:lang w:val="en-US"/>
        </w:rPr>
      </w:pPr>
      <w:r>
        <w:rPr>
          <w:rFonts w:eastAsia="Times New Roman"/>
          <w:lang w:val="en-US"/>
        </w:rPr>
        <w:t>Rob Reilly</w:t>
      </w:r>
      <w:r>
        <w:rPr>
          <w:rFonts w:eastAsia="Times New Roman"/>
          <w:lang w:val="en-US"/>
        </w:rPr>
        <w:br/>
        <w:t>A/g Executive Director</w:t>
      </w:r>
      <w:r>
        <w:rPr>
          <w:rFonts w:eastAsia="Times New Roman"/>
          <w:lang w:val="en-US"/>
        </w:rPr>
        <w:br/>
        <w:t>Office of Impact Analysis</w:t>
      </w:r>
      <w:r>
        <w:rPr>
          <w:rFonts w:eastAsia="Times New Roman"/>
          <w:lang w:val="en-US"/>
        </w:rPr>
        <w:br/>
      </w:r>
      <w:r w:rsidR="00104C63" w:rsidRPr="00104C63">
        <w:rPr>
          <w:rFonts w:eastAsia="Times New Roman"/>
          <w:lang w:val="en-US"/>
        </w:rPr>
        <w:t>27</w:t>
      </w:r>
      <w:r w:rsidRPr="00104C63">
        <w:rPr>
          <w:rFonts w:eastAsia="Times New Roman"/>
          <w:lang w:val="en-US"/>
        </w:rPr>
        <w:t xml:space="preserve"> October 2023</w:t>
      </w:r>
    </w:p>
    <w:tbl>
      <w:tblPr>
        <w:tblW w:w="0" w:type="auto"/>
        <w:tblCellSpacing w:w="15" w:type="dxa"/>
        <w:tblInd w:w="-27360" w:type="dxa"/>
        <w:tblLook w:val="04A0" w:firstRow="1" w:lastRow="0" w:firstColumn="1" w:lastColumn="0" w:noHBand="0" w:noVBand="1"/>
      </w:tblPr>
      <w:tblGrid>
        <w:gridCol w:w="171"/>
        <w:gridCol w:w="5943"/>
      </w:tblGrid>
      <w:tr w:rsidR="008D6108" w14:paraId="487180E8" w14:textId="77777777">
        <w:trPr>
          <w:tblCellSpacing w:w="15" w:type="dxa"/>
        </w:trPr>
        <w:tc>
          <w:tcPr>
            <w:tcW w:w="0" w:type="auto"/>
            <w:tcMar>
              <w:top w:w="15" w:type="dxa"/>
              <w:left w:w="15" w:type="dxa"/>
              <w:bottom w:w="15" w:type="dxa"/>
              <w:right w:w="15" w:type="dxa"/>
            </w:tcMar>
            <w:vAlign w:val="center"/>
            <w:hideMark/>
          </w:tcPr>
          <w:tbl>
            <w:tblPr>
              <w:tblW w:w="5000" w:type="pct"/>
              <w:tblCellSpacing w:w="15" w:type="dxa"/>
              <w:tblLook w:val="04A0" w:firstRow="1" w:lastRow="0" w:firstColumn="1" w:lastColumn="0" w:noHBand="0" w:noVBand="1"/>
            </w:tblPr>
            <w:tblGrid>
              <w:gridCol w:w="96"/>
            </w:tblGrid>
            <w:tr w:rsidR="008D6108" w14:paraId="487180E3" w14:textId="77777777">
              <w:trPr>
                <w:divId w:val="311644935"/>
                <w:tblCellSpacing w:w="15" w:type="dxa"/>
              </w:trPr>
              <w:tc>
                <w:tcPr>
                  <w:tcW w:w="0" w:type="auto"/>
                  <w:tcMar>
                    <w:top w:w="15" w:type="dxa"/>
                    <w:left w:w="15" w:type="dxa"/>
                    <w:bottom w:w="15" w:type="dxa"/>
                    <w:right w:w="15" w:type="dxa"/>
                  </w:tcMar>
                  <w:vAlign w:val="center"/>
                  <w:hideMark/>
                </w:tcPr>
                <w:p w14:paraId="487180E2" w14:textId="77777777" w:rsidR="008D6108" w:rsidRDefault="008D6108">
                  <w:pPr>
                    <w:rPr>
                      <w:rFonts w:ascii="Segoe UI" w:eastAsia="Times New Roman" w:hAnsi="Segoe UI" w:cs="Segoe UI"/>
                      <w:sz w:val="18"/>
                      <w:szCs w:val="18"/>
                      <w:lang w:val="en-US"/>
                    </w:rPr>
                  </w:pPr>
                </w:p>
              </w:tc>
            </w:tr>
          </w:tbl>
          <w:p w14:paraId="487180E4" w14:textId="77777777" w:rsidR="008D6108" w:rsidRDefault="008D6108">
            <w:pPr>
              <w:rPr>
                <w:rFonts w:eastAsia="Times New Roman"/>
                <w:sz w:val="20"/>
                <w:szCs w:val="20"/>
              </w:rPr>
            </w:pPr>
          </w:p>
        </w:tc>
        <w:tc>
          <w:tcPr>
            <w:tcW w:w="0" w:type="auto"/>
            <w:tcMar>
              <w:top w:w="15" w:type="dxa"/>
              <w:left w:w="15" w:type="dxa"/>
              <w:bottom w:w="15" w:type="dxa"/>
              <w:right w:w="15" w:type="dxa"/>
            </w:tcMar>
            <w:vAlign w:val="center"/>
            <w:hideMark/>
          </w:tcPr>
          <w:tbl>
            <w:tblPr>
              <w:tblW w:w="5000" w:type="pct"/>
              <w:tblCellSpacing w:w="15" w:type="dxa"/>
              <w:tblLook w:val="04A0" w:firstRow="1" w:lastRow="0" w:firstColumn="1" w:lastColumn="0" w:noHBand="0" w:noVBand="1"/>
            </w:tblPr>
            <w:tblGrid>
              <w:gridCol w:w="5868"/>
            </w:tblGrid>
            <w:tr w:rsidR="008D6108" w14:paraId="487180E6" w14:textId="77777777">
              <w:trPr>
                <w:divId w:val="1632901489"/>
                <w:tblCellSpacing w:w="15" w:type="dxa"/>
              </w:trPr>
              <w:tc>
                <w:tcPr>
                  <w:tcW w:w="0" w:type="auto"/>
                  <w:tcMar>
                    <w:top w:w="15" w:type="dxa"/>
                    <w:left w:w="15" w:type="dxa"/>
                    <w:bottom w:w="15" w:type="dxa"/>
                    <w:right w:w="15" w:type="dxa"/>
                  </w:tcMar>
                  <w:vAlign w:val="center"/>
                  <w:hideMark/>
                </w:tcPr>
                <w:p w14:paraId="487180E5" w14:textId="77777777" w:rsidR="008D6108" w:rsidRDefault="00C37036">
                  <w:pPr>
                    <w:pStyle w:val="NormalWeb"/>
                    <w:jc w:val="center"/>
                    <w:rPr>
                      <w:sz w:val="16"/>
                      <w:szCs w:val="16"/>
                    </w:rPr>
                  </w:pPr>
                  <w:r>
                    <w:rPr>
                      <w:sz w:val="16"/>
                      <w:szCs w:val="16"/>
                    </w:rPr>
                    <w:t>1 National Circuit, Barton ACT 2600 • Telephone 02 6271 6270 • Internet oia.pmc.gov.au</w:t>
                  </w:r>
                </w:p>
              </w:tc>
            </w:tr>
          </w:tbl>
          <w:p w14:paraId="487180E7" w14:textId="77777777" w:rsidR="008D6108" w:rsidRDefault="008D6108">
            <w:pPr>
              <w:rPr>
                <w:rFonts w:eastAsia="Times New Roman"/>
                <w:sz w:val="20"/>
                <w:szCs w:val="20"/>
              </w:rPr>
            </w:pPr>
          </w:p>
        </w:tc>
      </w:tr>
    </w:tbl>
    <w:p w14:paraId="487180E9" w14:textId="77777777" w:rsidR="008D6108" w:rsidRDefault="008D6108">
      <w:pPr>
        <w:rPr>
          <w:rFonts w:eastAsia="Times New Roman"/>
        </w:rPr>
      </w:pPr>
    </w:p>
    <w:sectPr w:rsidR="008D6108" w:rsidSect="00110C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361"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92C4C" w14:textId="77777777" w:rsidR="00981EB8" w:rsidRDefault="00981EB8" w:rsidP="00C37036">
      <w:r>
        <w:separator/>
      </w:r>
    </w:p>
  </w:endnote>
  <w:endnote w:type="continuationSeparator" w:id="0">
    <w:p w14:paraId="50F2ACEE" w14:textId="77777777" w:rsidR="00981EB8" w:rsidRDefault="00981EB8" w:rsidP="00C3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F7F84" w14:textId="77777777" w:rsidR="0022247E" w:rsidRDefault="00222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7A998" w14:textId="77777777" w:rsidR="0022247E" w:rsidRDefault="00222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DE7F8" w14:textId="77777777" w:rsidR="0022247E" w:rsidRDefault="00222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8958C" w14:textId="77777777" w:rsidR="00981EB8" w:rsidRDefault="00981EB8" w:rsidP="00C37036">
      <w:r>
        <w:separator/>
      </w:r>
    </w:p>
  </w:footnote>
  <w:footnote w:type="continuationSeparator" w:id="0">
    <w:p w14:paraId="72EDF25F" w14:textId="77777777" w:rsidR="00981EB8" w:rsidRDefault="00981EB8" w:rsidP="00C37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0C603" w14:textId="77777777" w:rsidR="0022247E" w:rsidRDefault="002224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1C2E7" w14:textId="77777777" w:rsidR="0022247E" w:rsidRDefault="00222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C5D30" w14:textId="77777777" w:rsidR="0022247E" w:rsidRDefault="00222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036"/>
    <w:rsid w:val="00104C63"/>
    <w:rsid w:val="00110C2F"/>
    <w:rsid w:val="0022247E"/>
    <w:rsid w:val="0058302D"/>
    <w:rsid w:val="006A410D"/>
    <w:rsid w:val="008D6108"/>
    <w:rsid w:val="00981EB8"/>
    <w:rsid w:val="00A822F5"/>
    <w:rsid w:val="00B26975"/>
    <w:rsid w:val="00C37036"/>
    <w:rsid w:val="00E83681"/>
    <w:rsid w:val="00EC2B1C"/>
    <w:rsid w:val="00FA0B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7180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unhideWhenUsed/>
    <w:pPr>
      <w:spacing w:before="100" w:beforeAutospacing="1" w:after="100" w:afterAutospacing="1"/>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funeraldatatbl">
    <w:name w:val="funeraldatatbl"/>
    <w:basedOn w:val="Normal"/>
    <w:uiPriority w:val="99"/>
    <w:semiHidden/>
    <w:pPr>
      <w:ind w:left="-675"/>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3466">
      <w:marLeft w:val="1200"/>
      <w:marRight w:val="0"/>
      <w:marTop w:val="0"/>
      <w:marBottom w:val="0"/>
      <w:divBdr>
        <w:top w:val="none" w:sz="0" w:space="0" w:color="auto"/>
        <w:left w:val="none" w:sz="0" w:space="0" w:color="auto"/>
        <w:bottom w:val="none" w:sz="0" w:space="0" w:color="auto"/>
        <w:right w:val="none" w:sz="0" w:space="0" w:color="auto"/>
      </w:divBdr>
    </w:div>
    <w:div w:id="311644935">
      <w:marLeft w:val="0"/>
      <w:marRight w:val="0"/>
      <w:marTop w:val="0"/>
      <w:marBottom w:val="0"/>
      <w:divBdr>
        <w:top w:val="none" w:sz="0" w:space="0" w:color="auto"/>
        <w:left w:val="none" w:sz="0" w:space="0" w:color="auto"/>
        <w:bottom w:val="none" w:sz="0" w:space="0" w:color="auto"/>
        <w:right w:val="none" w:sz="0" w:space="0" w:color="auto"/>
      </w:divBdr>
    </w:div>
    <w:div w:id="350492816">
      <w:marLeft w:val="0"/>
      <w:marRight w:val="0"/>
      <w:marTop w:val="0"/>
      <w:marBottom w:val="0"/>
      <w:divBdr>
        <w:top w:val="none" w:sz="0" w:space="0" w:color="auto"/>
        <w:left w:val="none" w:sz="0" w:space="0" w:color="auto"/>
        <w:bottom w:val="none" w:sz="0" w:space="0" w:color="auto"/>
        <w:right w:val="none" w:sz="0" w:space="0" w:color="auto"/>
      </w:divBdr>
    </w:div>
    <w:div w:id="618998067">
      <w:marLeft w:val="1200"/>
      <w:marRight w:val="0"/>
      <w:marTop w:val="0"/>
      <w:marBottom w:val="0"/>
      <w:divBdr>
        <w:top w:val="none" w:sz="0" w:space="0" w:color="auto"/>
        <w:left w:val="none" w:sz="0" w:space="0" w:color="auto"/>
        <w:bottom w:val="none" w:sz="0" w:space="0" w:color="auto"/>
        <w:right w:val="none" w:sz="0" w:space="0" w:color="auto"/>
      </w:divBdr>
    </w:div>
    <w:div w:id="1503811456">
      <w:marLeft w:val="0"/>
      <w:marRight w:val="0"/>
      <w:marTop w:val="0"/>
      <w:marBottom w:val="0"/>
      <w:divBdr>
        <w:top w:val="none" w:sz="0" w:space="0" w:color="auto"/>
        <w:left w:val="none" w:sz="0" w:space="0" w:color="auto"/>
        <w:bottom w:val="none" w:sz="0" w:space="0" w:color="auto"/>
        <w:right w:val="none" w:sz="0" w:space="0" w:color="auto"/>
      </w:divBdr>
      <w:divsChild>
        <w:div w:id="1605066121">
          <w:marLeft w:val="0"/>
          <w:marRight w:val="0"/>
          <w:marTop w:val="0"/>
          <w:marBottom w:val="0"/>
          <w:divBdr>
            <w:top w:val="none" w:sz="0" w:space="0" w:color="auto"/>
            <w:left w:val="none" w:sz="0" w:space="0" w:color="auto"/>
            <w:bottom w:val="none" w:sz="0" w:space="0" w:color="auto"/>
            <w:right w:val="none" w:sz="0" w:space="0" w:color="auto"/>
          </w:divBdr>
        </w:div>
        <w:div w:id="2074351498">
          <w:marLeft w:val="0"/>
          <w:marRight w:val="0"/>
          <w:marTop w:val="0"/>
          <w:marBottom w:val="0"/>
          <w:divBdr>
            <w:top w:val="none" w:sz="0" w:space="0" w:color="auto"/>
            <w:left w:val="none" w:sz="0" w:space="0" w:color="auto"/>
            <w:bottom w:val="none" w:sz="0" w:space="0" w:color="auto"/>
            <w:right w:val="none" w:sz="0" w:space="0" w:color="auto"/>
          </w:divBdr>
        </w:div>
        <w:div w:id="270094569">
          <w:marLeft w:val="0"/>
          <w:marRight w:val="0"/>
          <w:marTop w:val="0"/>
          <w:marBottom w:val="0"/>
          <w:divBdr>
            <w:top w:val="none" w:sz="0" w:space="0" w:color="auto"/>
            <w:left w:val="none" w:sz="0" w:space="0" w:color="auto"/>
            <w:bottom w:val="none" w:sz="0" w:space="0" w:color="auto"/>
            <w:right w:val="none" w:sz="0" w:space="0" w:color="auto"/>
          </w:divBdr>
        </w:div>
        <w:div w:id="644628425">
          <w:marLeft w:val="0"/>
          <w:marRight w:val="0"/>
          <w:marTop w:val="0"/>
          <w:marBottom w:val="0"/>
          <w:divBdr>
            <w:top w:val="none" w:sz="0" w:space="0" w:color="auto"/>
            <w:left w:val="none" w:sz="0" w:space="0" w:color="auto"/>
            <w:bottom w:val="none" w:sz="0" w:space="0" w:color="auto"/>
            <w:right w:val="none" w:sz="0" w:space="0" w:color="auto"/>
          </w:divBdr>
        </w:div>
        <w:div w:id="728262147">
          <w:marLeft w:val="0"/>
          <w:marRight w:val="0"/>
          <w:marTop w:val="0"/>
          <w:marBottom w:val="0"/>
          <w:divBdr>
            <w:top w:val="none" w:sz="0" w:space="0" w:color="auto"/>
            <w:left w:val="none" w:sz="0" w:space="0" w:color="auto"/>
            <w:bottom w:val="none" w:sz="0" w:space="0" w:color="auto"/>
            <w:right w:val="none" w:sz="0" w:space="0" w:color="auto"/>
          </w:divBdr>
        </w:div>
        <w:div w:id="608660623">
          <w:marLeft w:val="0"/>
          <w:marRight w:val="0"/>
          <w:marTop w:val="0"/>
          <w:marBottom w:val="0"/>
          <w:divBdr>
            <w:top w:val="none" w:sz="0" w:space="0" w:color="auto"/>
            <w:left w:val="none" w:sz="0" w:space="0" w:color="auto"/>
            <w:bottom w:val="none" w:sz="0" w:space="0" w:color="auto"/>
            <w:right w:val="none" w:sz="0" w:space="0" w:color="auto"/>
          </w:divBdr>
        </w:div>
        <w:div w:id="1130394856">
          <w:marLeft w:val="0"/>
          <w:marRight w:val="0"/>
          <w:marTop w:val="0"/>
          <w:marBottom w:val="0"/>
          <w:divBdr>
            <w:top w:val="none" w:sz="0" w:space="0" w:color="auto"/>
            <w:left w:val="none" w:sz="0" w:space="0" w:color="auto"/>
            <w:bottom w:val="none" w:sz="0" w:space="0" w:color="auto"/>
            <w:right w:val="none" w:sz="0" w:space="0" w:color="auto"/>
          </w:divBdr>
        </w:div>
        <w:div w:id="498887488">
          <w:marLeft w:val="0"/>
          <w:marRight w:val="0"/>
          <w:marTop w:val="0"/>
          <w:marBottom w:val="0"/>
          <w:divBdr>
            <w:top w:val="none" w:sz="0" w:space="0" w:color="auto"/>
            <w:left w:val="none" w:sz="0" w:space="0" w:color="auto"/>
            <w:bottom w:val="none" w:sz="0" w:space="0" w:color="auto"/>
            <w:right w:val="none" w:sz="0" w:space="0" w:color="auto"/>
          </w:divBdr>
        </w:div>
        <w:div w:id="306790721">
          <w:marLeft w:val="0"/>
          <w:marRight w:val="0"/>
          <w:marTop w:val="0"/>
          <w:marBottom w:val="0"/>
          <w:divBdr>
            <w:top w:val="none" w:sz="0" w:space="0" w:color="auto"/>
            <w:left w:val="none" w:sz="0" w:space="0" w:color="auto"/>
            <w:bottom w:val="none" w:sz="0" w:space="0" w:color="auto"/>
            <w:right w:val="none" w:sz="0" w:space="0" w:color="auto"/>
          </w:divBdr>
        </w:div>
        <w:div w:id="1859656257">
          <w:marLeft w:val="0"/>
          <w:marRight w:val="0"/>
          <w:marTop w:val="0"/>
          <w:marBottom w:val="0"/>
          <w:divBdr>
            <w:top w:val="none" w:sz="0" w:space="0" w:color="auto"/>
            <w:left w:val="none" w:sz="0" w:space="0" w:color="auto"/>
            <w:bottom w:val="none" w:sz="0" w:space="0" w:color="auto"/>
            <w:right w:val="none" w:sz="0" w:space="0" w:color="auto"/>
          </w:divBdr>
        </w:div>
        <w:div w:id="1190220391">
          <w:marLeft w:val="0"/>
          <w:marRight w:val="0"/>
          <w:marTop w:val="0"/>
          <w:marBottom w:val="0"/>
          <w:divBdr>
            <w:top w:val="none" w:sz="0" w:space="0" w:color="auto"/>
            <w:left w:val="none" w:sz="0" w:space="0" w:color="auto"/>
            <w:bottom w:val="none" w:sz="0" w:space="0" w:color="auto"/>
            <w:right w:val="none" w:sz="0" w:space="0" w:color="auto"/>
          </w:divBdr>
        </w:div>
        <w:div w:id="1266383579">
          <w:marLeft w:val="0"/>
          <w:marRight w:val="0"/>
          <w:marTop w:val="0"/>
          <w:marBottom w:val="0"/>
          <w:divBdr>
            <w:top w:val="none" w:sz="0" w:space="0" w:color="auto"/>
            <w:left w:val="none" w:sz="0" w:space="0" w:color="auto"/>
            <w:bottom w:val="none" w:sz="0" w:space="0" w:color="auto"/>
            <w:right w:val="none" w:sz="0" w:space="0" w:color="auto"/>
          </w:divBdr>
        </w:div>
        <w:div w:id="1612205247">
          <w:marLeft w:val="0"/>
          <w:marRight w:val="0"/>
          <w:marTop w:val="0"/>
          <w:marBottom w:val="0"/>
          <w:divBdr>
            <w:top w:val="none" w:sz="0" w:space="0" w:color="auto"/>
            <w:left w:val="none" w:sz="0" w:space="0" w:color="auto"/>
            <w:bottom w:val="none" w:sz="0" w:space="0" w:color="auto"/>
            <w:right w:val="none" w:sz="0" w:space="0" w:color="auto"/>
          </w:divBdr>
        </w:div>
        <w:div w:id="1815564072">
          <w:marLeft w:val="0"/>
          <w:marRight w:val="0"/>
          <w:marTop w:val="0"/>
          <w:marBottom w:val="0"/>
          <w:divBdr>
            <w:top w:val="none" w:sz="0" w:space="0" w:color="auto"/>
            <w:left w:val="none" w:sz="0" w:space="0" w:color="auto"/>
            <w:bottom w:val="none" w:sz="0" w:space="0" w:color="auto"/>
            <w:right w:val="none" w:sz="0" w:space="0" w:color="auto"/>
          </w:divBdr>
        </w:div>
        <w:div w:id="1573658011">
          <w:marLeft w:val="0"/>
          <w:marRight w:val="0"/>
          <w:marTop w:val="0"/>
          <w:marBottom w:val="0"/>
          <w:divBdr>
            <w:top w:val="none" w:sz="0" w:space="0" w:color="auto"/>
            <w:left w:val="none" w:sz="0" w:space="0" w:color="auto"/>
            <w:bottom w:val="none" w:sz="0" w:space="0" w:color="auto"/>
            <w:right w:val="none" w:sz="0" w:space="0" w:color="auto"/>
          </w:divBdr>
        </w:div>
      </w:divsChild>
    </w:div>
    <w:div w:id="163290148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helpdesk-obpr@pmc.gov.au"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2025-11-07T02:35:00Z</dcterms:created>
  <dcterms:modified xsi:type="dcterms:W3CDTF">2025-11-07T02:35:00Z</dcterms:modified>
</cp:coreProperties>
</file>