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56F49" w14:textId="77777777" w:rsidR="00BA24FB" w:rsidRPr="00B54E13" w:rsidRDefault="00BA24FB" w:rsidP="00B54E13">
      <w:pPr>
        <w:spacing w:before="0" w:after="0"/>
        <w:rPr>
          <w:sz w:val="2"/>
          <w:szCs w:val="2"/>
        </w:rPr>
      </w:pPr>
    </w:p>
    <w:p w14:paraId="783B0441" w14:textId="77777777" w:rsidR="00372AAC" w:rsidRDefault="00372AAC" w:rsidP="00DD0652">
      <w:pPr>
        <w:framePr w:w="6521" w:h="1134" w:hSpace="181" w:wrap="around" w:vAnchor="page" w:hAnchor="page" w:x="1022" w:y="852" w:anchorLock="1"/>
        <w:spacing w:after="0"/>
        <w:rPr>
          <w:noProof/>
        </w:rPr>
      </w:pPr>
      <w:bookmarkStart w:id="0" w:name="_Hlk198187206"/>
      <w:r>
        <w:rPr>
          <w:noProof/>
          <w:lang w:eastAsia="en-AU"/>
        </w:rPr>
        <w:drawing>
          <wp:inline distT="0" distB="0" distL="0" distR="0" wp14:anchorId="3CC422F1" wp14:editId="7C110FBE">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0B1F2F6C" w14:textId="77777777" w:rsidR="008456D5" w:rsidRDefault="008456D5" w:rsidP="00B54E13">
      <w:pPr>
        <w:spacing w:before="360" w:after="1200"/>
        <w:ind w:left="-1247"/>
      </w:pPr>
    </w:p>
    <w:p w14:paraId="466AF4D0" w14:textId="4E068F75" w:rsidR="0078778E" w:rsidRDefault="0002641B" w:rsidP="00B54E13">
      <w:pPr>
        <w:pStyle w:val="Title"/>
        <w:spacing w:before="600"/>
        <w:ind w:left="1276"/>
      </w:pPr>
      <w:bookmarkStart w:id="1" w:name="_Hlk204691251"/>
      <w:r w:rsidRPr="0078778E">
        <w:t xml:space="preserve">Australian screen content requirements for </w:t>
      </w:r>
      <w:r>
        <w:t>subscription video on demand services</w:t>
      </w:r>
    </w:p>
    <w:bookmarkEnd w:id="1"/>
    <w:p w14:paraId="103E9A58" w14:textId="77777777" w:rsidR="0078778E" w:rsidRDefault="0078778E" w:rsidP="0078778E">
      <w:pPr>
        <w:pStyle w:val="Subtitle"/>
        <w:ind w:left="1276"/>
      </w:pPr>
      <w:r>
        <w:t xml:space="preserve">Impact Analysis </w:t>
      </w:r>
    </w:p>
    <w:p w14:paraId="4CB3E015" w14:textId="1F17F684" w:rsidR="00DE4FE2" w:rsidRDefault="003F7F44" w:rsidP="00B54E13">
      <w:pPr>
        <w:pStyle w:val="CoverDate"/>
        <w:ind w:left="1276"/>
      </w:pPr>
      <w:r>
        <w:t>November 2025</w:t>
      </w:r>
    </w:p>
    <w:p w14:paraId="2BA875B9"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1F5DD562" wp14:editId="6DCFE6B1">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78B909DA" w14:textId="77777777" w:rsidR="00992711" w:rsidRDefault="00992711" w:rsidP="00992711">
      <w:pPr>
        <w:pStyle w:val="CoverPhoto"/>
        <w:framePr w:h="6583" w:hRule="exact" w:hSpace="180" w:wrap="around" w:vAnchor="text" w:hAnchor="page" w:x="2275" w:y="1"/>
        <w:spacing w:before="1080" w:after="0"/>
        <w:jc w:val="right"/>
      </w:pPr>
    </w:p>
    <w:p w14:paraId="57ACEC28" w14:textId="77777777" w:rsidR="00B54E13" w:rsidRDefault="00B54E13">
      <w:pPr>
        <w:sectPr w:rsidR="00B54E13" w:rsidSect="00BA24FB">
          <w:headerReference w:type="even" r:id="rId11"/>
          <w:headerReference w:type="default" r:id="rId12"/>
          <w:footerReference w:type="even" r:id="rId13"/>
          <w:footerReference w:type="default" r:id="rId14"/>
          <w:headerReference w:type="first" r:id="rId15"/>
          <w:footerReference w:type="first" r:id="rId16"/>
          <w:pgSz w:w="11906" w:h="16838" w:code="9"/>
          <w:pgMar w:top="1021" w:right="1021" w:bottom="1021" w:left="1021" w:header="340" w:footer="397" w:gutter="0"/>
          <w:cols w:space="708"/>
          <w:docGrid w:linePitch="360"/>
        </w:sectPr>
      </w:pPr>
    </w:p>
    <w:p w14:paraId="1FEC9605" w14:textId="77777777" w:rsidR="00DE4FE2" w:rsidRDefault="002B7197" w:rsidP="0048481E">
      <w:pPr>
        <w:pStyle w:val="Heading1"/>
      </w:pPr>
      <w:bookmarkStart w:id="2" w:name="_Toc212099777"/>
      <w:r>
        <w:lastRenderedPageBreak/>
        <w:t>Table of C</w:t>
      </w:r>
      <w:r w:rsidR="00DE4FE2">
        <w:t>ontents</w:t>
      </w:r>
      <w:bookmarkEnd w:id="2"/>
    </w:p>
    <w:p w14:paraId="65BAE554" w14:textId="3E34B09E" w:rsidR="00B15A53" w:rsidRDefault="00A95970">
      <w:pPr>
        <w:pStyle w:val="TOC1"/>
        <w:rPr>
          <w:rFonts w:eastAsiaTheme="minorEastAsia"/>
          <w:b w:val="0"/>
          <w:noProof/>
          <w:color w:val="auto"/>
          <w:sz w:val="22"/>
          <w:u w:val="none"/>
          <w:lang w:eastAsia="en-AU"/>
        </w:rPr>
      </w:pPr>
      <w:r>
        <w:fldChar w:fldCharType="begin"/>
      </w:r>
      <w:r>
        <w:instrText xml:space="preserve"> TOC \o "3-3" \h \z \t "Heading 1,1,Heading 2,2,Heading 1 Numbered,1,Heading 2 Numbered,2,Appendix Heading 1,1,Attachment Heading 1,1" </w:instrText>
      </w:r>
      <w:r>
        <w:fldChar w:fldCharType="separate"/>
      </w:r>
      <w:hyperlink w:anchor="_Toc212099777" w:history="1">
        <w:r w:rsidR="00B15A53" w:rsidRPr="00664B3A">
          <w:rPr>
            <w:rStyle w:val="Hyperlink"/>
            <w:noProof/>
          </w:rPr>
          <w:t>Table of Contents</w:t>
        </w:r>
        <w:r w:rsidR="00B15A53">
          <w:rPr>
            <w:noProof/>
            <w:webHidden/>
          </w:rPr>
          <w:tab/>
        </w:r>
        <w:r w:rsidR="00B15A53">
          <w:rPr>
            <w:noProof/>
            <w:webHidden/>
          </w:rPr>
          <w:fldChar w:fldCharType="begin"/>
        </w:r>
        <w:r w:rsidR="00B15A53">
          <w:rPr>
            <w:noProof/>
            <w:webHidden/>
          </w:rPr>
          <w:instrText xml:space="preserve"> PAGEREF _Toc212099777 \h </w:instrText>
        </w:r>
        <w:r w:rsidR="00B15A53">
          <w:rPr>
            <w:noProof/>
            <w:webHidden/>
          </w:rPr>
        </w:r>
        <w:r w:rsidR="00B15A53">
          <w:rPr>
            <w:noProof/>
            <w:webHidden/>
          </w:rPr>
          <w:fldChar w:fldCharType="separate"/>
        </w:r>
        <w:r w:rsidR="00B15A53">
          <w:rPr>
            <w:noProof/>
            <w:webHidden/>
          </w:rPr>
          <w:t>2</w:t>
        </w:r>
        <w:r w:rsidR="00B15A53">
          <w:rPr>
            <w:noProof/>
            <w:webHidden/>
          </w:rPr>
          <w:fldChar w:fldCharType="end"/>
        </w:r>
      </w:hyperlink>
    </w:p>
    <w:p w14:paraId="4DFCB091" w14:textId="17B6D4E2" w:rsidR="00B15A53" w:rsidRDefault="00317079">
      <w:pPr>
        <w:pStyle w:val="TOC1"/>
        <w:rPr>
          <w:rFonts w:eastAsiaTheme="minorEastAsia"/>
          <w:b w:val="0"/>
          <w:noProof/>
          <w:color w:val="auto"/>
          <w:sz w:val="22"/>
          <w:u w:val="none"/>
          <w:lang w:eastAsia="en-AU"/>
        </w:rPr>
      </w:pPr>
      <w:hyperlink w:anchor="_Toc212099778" w:history="1">
        <w:r w:rsidR="00B15A53" w:rsidRPr="00664B3A">
          <w:rPr>
            <w:rStyle w:val="Hyperlink"/>
            <w:noProof/>
          </w:rPr>
          <w:t>Summary</w:t>
        </w:r>
        <w:r w:rsidR="00B15A53">
          <w:rPr>
            <w:noProof/>
            <w:webHidden/>
          </w:rPr>
          <w:tab/>
        </w:r>
        <w:r w:rsidR="00B15A53">
          <w:rPr>
            <w:noProof/>
            <w:webHidden/>
          </w:rPr>
          <w:fldChar w:fldCharType="begin"/>
        </w:r>
        <w:r w:rsidR="00B15A53">
          <w:rPr>
            <w:noProof/>
            <w:webHidden/>
          </w:rPr>
          <w:instrText xml:space="preserve"> PAGEREF _Toc212099778 \h </w:instrText>
        </w:r>
        <w:r w:rsidR="00B15A53">
          <w:rPr>
            <w:noProof/>
            <w:webHidden/>
          </w:rPr>
        </w:r>
        <w:r w:rsidR="00B15A53">
          <w:rPr>
            <w:noProof/>
            <w:webHidden/>
          </w:rPr>
          <w:fldChar w:fldCharType="separate"/>
        </w:r>
        <w:r w:rsidR="00B15A53">
          <w:rPr>
            <w:noProof/>
            <w:webHidden/>
          </w:rPr>
          <w:t>4</w:t>
        </w:r>
        <w:r w:rsidR="00B15A53">
          <w:rPr>
            <w:noProof/>
            <w:webHidden/>
          </w:rPr>
          <w:fldChar w:fldCharType="end"/>
        </w:r>
      </w:hyperlink>
    </w:p>
    <w:p w14:paraId="720E7779" w14:textId="61D62E5B" w:rsidR="00B15A53" w:rsidRDefault="00317079">
      <w:pPr>
        <w:pStyle w:val="TOC2"/>
        <w:rPr>
          <w:rFonts w:eastAsiaTheme="minorEastAsia"/>
          <w:noProof/>
          <w:color w:val="auto"/>
          <w:lang w:eastAsia="en-AU"/>
        </w:rPr>
      </w:pPr>
      <w:hyperlink w:anchor="_Toc212099779" w:history="1">
        <w:r w:rsidR="00B15A53" w:rsidRPr="00664B3A">
          <w:rPr>
            <w:rStyle w:val="Hyperlink"/>
            <w:noProof/>
          </w:rPr>
          <w:t>Background</w:t>
        </w:r>
        <w:r w:rsidR="00B15A53">
          <w:rPr>
            <w:noProof/>
            <w:webHidden/>
          </w:rPr>
          <w:tab/>
        </w:r>
        <w:r w:rsidR="00B15A53">
          <w:rPr>
            <w:noProof/>
            <w:webHidden/>
          </w:rPr>
          <w:fldChar w:fldCharType="begin"/>
        </w:r>
        <w:r w:rsidR="00B15A53">
          <w:rPr>
            <w:noProof/>
            <w:webHidden/>
          </w:rPr>
          <w:instrText xml:space="preserve"> PAGEREF _Toc212099779 \h </w:instrText>
        </w:r>
        <w:r w:rsidR="00B15A53">
          <w:rPr>
            <w:noProof/>
            <w:webHidden/>
          </w:rPr>
        </w:r>
        <w:r w:rsidR="00B15A53">
          <w:rPr>
            <w:noProof/>
            <w:webHidden/>
          </w:rPr>
          <w:fldChar w:fldCharType="separate"/>
        </w:r>
        <w:r w:rsidR="00B15A53">
          <w:rPr>
            <w:noProof/>
            <w:webHidden/>
          </w:rPr>
          <w:t>5</w:t>
        </w:r>
        <w:r w:rsidR="00B15A53">
          <w:rPr>
            <w:noProof/>
            <w:webHidden/>
          </w:rPr>
          <w:fldChar w:fldCharType="end"/>
        </w:r>
      </w:hyperlink>
    </w:p>
    <w:p w14:paraId="300A6421" w14:textId="001557E8" w:rsidR="00B15A53" w:rsidRDefault="00317079">
      <w:pPr>
        <w:pStyle w:val="TOC3"/>
        <w:tabs>
          <w:tab w:val="right" w:pos="9854"/>
        </w:tabs>
        <w:rPr>
          <w:rFonts w:eastAsiaTheme="minorEastAsia"/>
          <w:noProof/>
          <w:color w:val="auto"/>
          <w:lang w:eastAsia="en-AU"/>
        </w:rPr>
      </w:pPr>
      <w:hyperlink w:anchor="_Toc212099780" w:history="1">
        <w:r w:rsidR="00B15A53" w:rsidRPr="00664B3A">
          <w:rPr>
            <w:rStyle w:val="Hyperlink"/>
            <w:noProof/>
          </w:rPr>
          <w:t>Australian content regulation in Australia</w:t>
        </w:r>
        <w:r w:rsidR="00B15A53">
          <w:rPr>
            <w:noProof/>
            <w:webHidden/>
          </w:rPr>
          <w:tab/>
        </w:r>
        <w:r w:rsidR="00B15A53">
          <w:rPr>
            <w:noProof/>
            <w:webHidden/>
          </w:rPr>
          <w:fldChar w:fldCharType="begin"/>
        </w:r>
        <w:r w:rsidR="00B15A53">
          <w:rPr>
            <w:noProof/>
            <w:webHidden/>
          </w:rPr>
          <w:instrText xml:space="preserve"> PAGEREF _Toc212099780 \h </w:instrText>
        </w:r>
        <w:r w:rsidR="00B15A53">
          <w:rPr>
            <w:noProof/>
            <w:webHidden/>
          </w:rPr>
        </w:r>
        <w:r w:rsidR="00B15A53">
          <w:rPr>
            <w:noProof/>
            <w:webHidden/>
          </w:rPr>
          <w:fldChar w:fldCharType="separate"/>
        </w:r>
        <w:r w:rsidR="00B15A53">
          <w:rPr>
            <w:noProof/>
            <w:webHidden/>
          </w:rPr>
          <w:t>5</w:t>
        </w:r>
        <w:r w:rsidR="00B15A53">
          <w:rPr>
            <w:noProof/>
            <w:webHidden/>
          </w:rPr>
          <w:fldChar w:fldCharType="end"/>
        </w:r>
      </w:hyperlink>
    </w:p>
    <w:p w14:paraId="19B0138B" w14:textId="43BB635B" w:rsidR="00B15A53" w:rsidRDefault="00317079">
      <w:pPr>
        <w:pStyle w:val="TOC1"/>
        <w:rPr>
          <w:rFonts w:eastAsiaTheme="minorEastAsia"/>
          <w:b w:val="0"/>
          <w:noProof/>
          <w:color w:val="auto"/>
          <w:sz w:val="22"/>
          <w:u w:val="none"/>
          <w:lang w:eastAsia="en-AU"/>
        </w:rPr>
      </w:pPr>
      <w:hyperlink w:anchor="_Toc212099781" w:history="1">
        <w:r w:rsidR="00B15A53" w:rsidRPr="00664B3A">
          <w:rPr>
            <w:rStyle w:val="Hyperlink"/>
            <w:noProof/>
          </w:rPr>
          <w:t>1. What is the problem you are trying to solve?</w:t>
        </w:r>
        <w:r w:rsidR="00B15A53">
          <w:rPr>
            <w:noProof/>
            <w:webHidden/>
          </w:rPr>
          <w:tab/>
        </w:r>
        <w:r w:rsidR="00B15A53">
          <w:rPr>
            <w:noProof/>
            <w:webHidden/>
          </w:rPr>
          <w:fldChar w:fldCharType="begin"/>
        </w:r>
        <w:r w:rsidR="00B15A53">
          <w:rPr>
            <w:noProof/>
            <w:webHidden/>
          </w:rPr>
          <w:instrText xml:space="preserve"> PAGEREF _Toc212099781 \h </w:instrText>
        </w:r>
        <w:r w:rsidR="00B15A53">
          <w:rPr>
            <w:noProof/>
            <w:webHidden/>
          </w:rPr>
        </w:r>
        <w:r w:rsidR="00B15A53">
          <w:rPr>
            <w:noProof/>
            <w:webHidden/>
          </w:rPr>
          <w:fldChar w:fldCharType="separate"/>
        </w:r>
        <w:r w:rsidR="00B15A53">
          <w:rPr>
            <w:noProof/>
            <w:webHidden/>
          </w:rPr>
          <w:t>6</w:t>
        </w:r>
        <w:r w:rsidR="00B15A53">
          <w:rPr>
            <w:noProof/>
            <w:webHidden/>
          </w:rPr>
          <w:fldChar w:fldCharType="end"/>
        </w:r>
      </w:hyperlink>
    </w:p>
    <w:p w14:paraId="12EA6EE6" w14:textId="7F2C1107" w:rsidR="00B15A53" w:rsidRDefault="00317079">
      <w:pPr>
        <w:pStyle w:val="TOC2"/>
        <w:rPr>
          <w:rFonts w:eastAsiaTheme="minorEastAsia"/>
          <w:noProof/>
          <w:color w:val="auto"/>
          <w:lang w:eastAsia="en-AU"/>
        </w:rPr>
      </w:pPr>
      <w:hyperlink w:anchor="_Toc212099782" w:history="1">
        <w:r w:rsidR="00B15A53" w:rsidRPr="00664B3A">
          <w:rPr>
            <w:rStyle w:val="Hyperlink"/>
            <w:noProof/>
          </w:rPr>
          <w:t>The Australian Government has made a commitment to regulate SVODs</w:t>
        </w:r>
        <w:r w:rsidR="00B15A53">
          <w:rPr>
            <w:noProof/>
            <w:webHidden/>
          </w:rPr>
          <w:tab/>
        </w:r>
        <w:r w:rsidR="00B15A53">
          <w:rPr>
            <w:noProof/>
            <w:webHidden/>
          </w:rPr>
          <w:fldChar w:fldCharType="begin"/>
        </w:r>
        <w:r w:rsidR="00B15A53">
          <w:rPr>
            <w:noProof/>
            <w:webHidden/>
          </w:rPr>
          <w:instrText xml:space="preserve"> PAGEREF _Toc212099782 \h </w:instrText>
        </w:r>
        <w:r w:rsidR="00B15A53">
          <w:rPr>
            <w:noProof/>
            <w:webHidden/>
          </w:rPr>
        </w:r>
        <w:r w:rsidR="00B15A53">
          <w:rPr>
            <w:noProof/>
            <w:webHidden/>
          </w:rPr>
          <w:fldChar w:fldCharType="separate"/>
        </w:r>
        <w:r w:rsidR="00B15A53">
          <w:rPr>
            <w:noProof/>
            <w:webHidden/>
          </w:rPr>
          <w:t>6</w:t>
        </w:r>
        <w:r w:rsidR="00B15A53">
          <w:rPr>
            <w:noProof/>
            <w:webHidden/>
          </w:rPr>
          <w:fldChar w:fldCharType="end"/>
        </w:r>
      </w:hyperlink>
    </w:p>
    <w:p w14:paraId="46AD3842" w14:textId="4A405C57" w:rsidR="00B15A53" w:rsidRDefault="00317079">
      <w:pPr>
        <w:pStyle w:val="TOC2"/>
        <w:rPr>
          <w:rFonts w:eastAsiaTheme="minorEastAsia"/>
          <w:noProof/>
          <w:color w:val="auto"/>
          <w:lang w:eastAsia="en-AU"/>
        </w:rPr>
      </w:pPr>
      <w:hyperlink w:anchor="_Toc212099783" w:history="1">
        <w:r w:rsidR="00B15A53" w:rsidRPr="00664B3A">
          <w:rPr>
            <w:rStyle w:val="Hyperlink"/>
            <w:noProof/>
          </w:rPr>
          <w:t>Australian screen content is culturally important and a healthy screen production sector is vital to producing it</w:t>
        </w:r>
        <w:r w:rsidR="00B15A53">
          <w:rPr>
            <w:noProof/>
            <w:webHidden/>
          </w:rPr>
          <w:tab/>
        </w:r>
        <w:r w:rsidR="00B15A53">
          <w:rPr>
            <w:noProof/>
            <w:webHidden/>
          </w:rPr>
          <w:fldChar w:fldCharType="begin"/>
        </w:r>
        <w:r w:rsidR="00B15A53">
          <w:rPr>
            <w:noProof/>
            <w:webHidden/>
          </w:rPr>
          <w:instrText xml:space="preserve"> PAGEREF _Toc212099783 \h </w:instrText>
        </w:r>
        <w:r w:rsidR="00B15A53">
          <w:rPr>
            <w:noProof/>
            <w:webHidden/>
          </w:rPr>
        </w:r>
        <w:r w:rsidR="00B15A53">
          <w:rPr>
            <w:noProof/>
            <w:webHidden/>
          </w:rPr>
          <w:fldChar w:fldCharType="separate"/>
        </w:r>
        <w:r w:rsidR="00B15A53">
          <w:rPr>
            <w:noProof/>
            <w:webHidden/>
          </w:rPr>
          <w:t>7</w:t>
        </w:r>
        <w:r w:rsidR="00B15A53">
          <w:rPr>
            <w:noProof/>
            <w:webHidden/>
          </w:rPr>
          <w:fldChar w:fldCharType="end"/>
        </w:r>
      </w:hyperlink>
    </w:p>
    <w:p w14:paraId="7E54197C" w14:textId="7ADEE8DA" w:rsidR="00B15A53" w:rsidRDefault="00317079">
      <w:pPr>
        <w:pStyle w:val="TOC2"/>
        <w:rPr>
          <w:rFonts w:eastAsiaTheme="minorEastAsia"/>
          <w:noProof/>
          <w:color w:val="auto"/>
          <w:lang w:eastAsia="en-AU"/>
        </w:rPr>
      </w:pPr>
      <w:hyperlink w:anchor="_Toc212099784" w:history="1">
        <w:r w:rsidR="00B15A53" w:rsidRPr="00664B3A">
          <w:rPr>
            <w:rStyle w:val="Hyperlink"/>
            <w:noProof/>
          </w:rPr>
          <w:t>The regulation of Australian content across media platforms is inconsistent</w:t>
        </w:r>
        <w:r w:rsidR="00B15A53">
          <w:rPr>
            <w:noProof/>
            <w:webHidden/>
          </w:rPr>
          <w:tab/>
        </w:r>
        <w:r w:rsidR="00B15A53">
          <w:rPr>
            <w:noProof/>
            <w:webHidden/>
          </w:rPr>
          <w:fldChar w:fldCharType="begin"/>
        </w:r>
        <w:r w:rsidR="00B15A53">
          <w:rPr>
            <w:noProof/>
            <w:webHidden/>
          </w:rPr>
          <w:instrText xml:space="preserve"> PAGEREF _Toc212099784 \h </w:instrText>
        </w:r>
        <w:r w:rsidR="00B15A53">
          <w:rPr>
            <w:noProof/>
            <w:webHidden/>
          </w:rPr>
        </w:r>
        <w:r w:rsidR="00B15A53">
          <w:rPr>
            <w:noProof/>
            <w:webHidden/>
          </w:rPr>
          <w:fldChar w:fldCharType="separate"/>
        </w:r>
        <w:r w:rsidR="00B15A53">
          <w:rPr>
            <w:noProof/>
            <w:webHidden/>
          </w:rPr>
          <w:t>8</w:t>
        </w:r>
        <w:r w:rsidR="00B15A53">
          <w:rPr>
            <w:noProof/>
            <w:webHidden/>
          </w:rPr>
          <w:fldChar w:fldCharType="end"/>
        </w:r>
      </w:hyperlink>
    </w:p>
    <w:p w14:paraId="7B629E42" w14:textId="0307D803" w:rsidR="00B15A53" w:rsidRDefault="00317079">
      <w:pPr>
        <w:pStyle w:val="TOC1"/>
        <w:rPr>
          <w:rFonts w:eastAsiaTheme="minorEastAsia"/>
          <w:b w:val="0"/>
          <w:noProof/>
          <w:color w:val="auto"/>
          <w:sz w:val="22"/>
          <w:u w:val="none"/>
          <w:lang w:eastAsia="en-AU"/>
        </w:rPr>
      </w:pPr>
      <w:hyperlink w:anchor="_Toc212099785" w:history="1">
        <w:r w:rsidR="00B15A53" w:rsidRPr="00664B3A">
          <w:rPr>
            <w:rStyle w:val="Hyperlink"/>
            <w:noProof/>
          </w:rPr>
          <w:t>2. Why is Government action needed?</w:t>
        </w:r>
        <w:r w:rsidR="00B15A53">
          <w:rPr>
            <w:noProof/>
            <w:webHidden/>
          </w:rPr>
          <w:tab/>
        </w:r>
        <w:r w:rsidR="00B15A53">
          <w:rPr>
            <w:noProof/>
            <w:webHidden/>
          </w:rPr>
          <w:fldChar w:fldCharType="begin"/>
        </w:r>
        <w:r w:rsidR="00B15A53">
          <w:rPr>
            <w:noProof/>
            <w:webHidden/>
          </w:rPr>
          <w:instrText xml:space="preserve"> PAGEREF _Toc212099785 \h </w:instrText>
        </w:r>
        <w:r w:rsidR="00B15A53">
          <w:rPr>
            <w:noProof/>
            <w:webHidden/>
          </w:rPr>
        </w:r>
        <w:r w:rsidR="00B15A53">
          <w:rPr>
            <w:noProof/>
            <w:webHidden/>
          </w:rPr>
          <w:fldChar w:fldCharType="separate"/>
        </w:r>
        <w:r w:rsidR="00B15A53">
          <w:rPr>
            <w:noProof/>
            <w:webHidden/>
          </w:rPr>
          <w:t>11</w:t>
        </w:r>
        <w:r w:rsidR="00B15A53">
          <w:rPr>
            <w:noProof/>
            <w:webHidden/>
          </w:rPr>
          <w:fldChar w:fldCharType="end"/>
        </w:r>
      </w:hyperlink>
    </w:p>
    <w:p w14:paraId="115E3FB1" w14:textId="3805B909" w:rsidR="00B15A53" w:rsidRDefault="00317079">
      <w:pPr>
        <w:pStyle w:val="TOC2"/>
        <w:rPr>
          <w:rFonts w:eastAsiaTheme="minorEastAsia"/>
          <w:noProof/>
          <w:color w:val="auto"/>
          <w:lang w:eastAsia="en-AU"/>
        </w:rPr>
      </w:pPr>
      <w:hyperlink w:anchor="_Toc212099786" w:history="1">
        <w:r w:rsidR="00B15A53" w:rsidRPr="00664B3A">
          <w:rPr>
            <w:rStyle w:val="Hyperlink"/>
            <w:noProof/>
          </w:rPr>
          <w:t>Objectives</w:t>
        </w:r>
        <w:r w:rsidR="00B15A53">
          <w:rPr>
            <w:noProof/>
            <w:webHidden/>
          </w:rPr>
          <w:tab/>
        </w:r>
        <w:r w:rsidR="00B15A53">
          <w:rPr>
            <w:noProof/>
            <w:webHidden/>
          </w:rPr>
          <w:fldChar w:fldCharType="begin"/>
        </w:r>
        <w:r w:rsidR="00B15A53">
          <w:rPr>
            <w:noProof/>
            <w:webHidden/>
          </w:rPr>
          <w:instrText xml:space="preserve"> PAGEREF _Toc212099786 \h </w:instrText>
        </w:r>
        <w:r w:rsidR="00B15A53">
          <w:rPr>
            <w:noProof/>
            <w:webHidden/>
          </w:rPr>
        </w:r>
        <w:r w:rsidR="00B15A53">
          <w:rPr>
            <w:noProof/>
            <w:webHidden/>
          </w:rPr>
          <w:fldChar w:fldCharType="separate"/>
        </w:r>
        <w:r w:rsidR="00B15A53">
          <w:rPr>
            <w:noProof/>
            <w:webHidden/>
          </w:rPr>
          <w:t>13</w:t>
        </w:r>
        <w:r w:rsidR="00B15A53">
          <w:rPr>
            <w:noProof/>
            <w:webHidden/>
          </w:rPr>
          <w:fldChar w:fldCharType="end"/>
        </w:r>
      </w:hyperlink>
    </w:p>
    <w:p w14:paraId="67BE2A90" w14:textId="750806F7" w:rsidR="00B15A53" w:rsidRDefault="00317079">
      <w:pPr>
        <w:pStyle w:val="TOC2"/>
        <w:rPr>
          <w:rFonts w:eastAsiaTheme="minorEastAsia"/>
          <w:noProof/>
          <w:color w:val="auto"/>
          <w:lang w:eastAsia="en-AU"/>
        </w:rPr>
      </w:pPr>
      <w:hyperlink w:anchor="_Toc212099787" w:history="1">
        <w:r w:rsidR="00B15A53" w:rsidRPr="00664B3A">
          <w:rPr>
            <w:rStyle w:val="Hyperlink"/>
            <w:noProof/>
          </w:rPr>
          <w:t>Regulatory impact</w:t>
        </w:r>
        <w:r w:rsidR="00B15A53">
          <w:rPr>
            <w:noProof/>
            <w:webHidden/>
          </w:rPr>
          <w:tab/>
        </w:r>
        <w:r w:rsidR="00B15A53">
          <w:rPr>
            <w:noProof/>
            <w:webHidden/>
          </w:rPr>
          <w:fldChar w:fldCharType="begin"/>
        </w:r>
        <w:r w:rsidR="00B15A53">
          <w:rPr>
            <w:noProof/>
            <w:webHidden/>
          </w:rPr>
          <w:instrText xml:space="preserve"> PAGEREF _Toc212099787 \h </w:instrText>
        </w:r>
        <w:r w:rsidR="00B15A53">
          <w:rPr>
            <w:noProof/>
            <w:webHidden/>
          </w:rPr>
        </w:r>
        <w:r w:rsidR="00B15A53">
          <w:rPr>
            <w:noProof/>
            <w:webHidden/>
          </w:rPr>
          <w:fldChar w:fldCharType="separate"/>
        </w:r>
        <w:r w:rsidR="00B15A53">
          <w:rPr>
            <w:noProof/>
            <w:webHidden/>
          </w:rPr>
          <w:t>14</w:t>
        </w:r>
        <w:r w:rsidR="00B15A53">
          <w:rPr>
            <w:noProof/>
            <w:webHidden/>
          </w:rPr>
          <w:fldChar w:fldCharType="end"/>
        </w:r>
      </w:hyperlink>
    </w:p>
    <w:p w14:paraId="0573B82C" w14:textId="6E1BEE0D" w:rsidR="00B15A53" w:rsidRDefault="00317079">
      <w:pPr>
        <w:pStyle w:val="TOC1"/>
        <w:rPr>
          <w:rFonts w:eastAsiaTheme="minorEastAsia"/>
          <w:b w:val="0"/>
          <w:noProof/>
          <w:color w:val="auto"/>
          <w:sz w:val="22"/>
          <w:u w:val="none"/>
          <w:lang w:eastAsia="en-AU"/>
        </w:rPr>
      </w:pPr>
      <w:hyperlink w:anchor="_Toc212099788" w:history="1">
        <w:r w:rsidR="00B15A53" w:rsidRPr="00664B3A">
          <w:rPr>
            <w:rStyle w:val="Hyperlink"/>
            <w:noProof/>
          </w:rPr>
          <w:t>3. What policy options are you considering?</w:t>
        </w:r>
        <w:r w:rsidR="00B15A53">
          <w:rPr>
            <w:noProof/>
            <w:webHidden/>
          </w:rPr>
          <w:tab/>
        </w:r>
        <w:r w:rsidR="00B15A53">
          <w:rPr>
            <w:noProof/>
            <w:webHidden/>
          </w:rPr>
          <w:fldChar w:fldCharType="begin"/>
        </w:r>
        <w:r w:rsidR="00B15A53">
          <w:rPr>
            <w:noProof/>
            <w:webHidden/>
          </w:rPr>
          <w:instrText xml:space="preserve"> PAGEREF _Toc212099788 \h </w:instrText>
        </w:r>
        <w:r w:rsidR="00B15A53">
          <w:rPr>
            <w:noProof/>
            <w:webHidden/>
          </w:rPr>
        </w:r>
        <w:r w:rsidR="00B15A53">
          <w:rPr>
            <w:noProof/>
            <w:webHidden/>
          </w:rPr>
          <w:fldChar w:fldCharType="separate"/>
        </w:r>
        <w:r w:rsidR="00B15A53">
          <w:rPr>
            <w:noProof/>
            <w:webHidden/>
          </w:rPr>
          <w:t>14</w:t>
        </w:r>
        <w:r w:rsidR="00B15A53">
          <w:rPr>
            <w:noProof/>
            <w:webHidden/>
          </w:rPr>
          <w:fldChar w:fldCharType="end"/>
        </w:r>
      </w:hyperlink>
    </w:p>
    <w:p w14:paraId="436D2C01" w14:textId="26E6B699" w:rsidR="00B15A53" w:rsidRDefault="00317079">
      <w:pPr>
        <w:pStyle w:val="TOC2"/>
        <w:rPr>
          <w:rFonts w:eastAsiaTheme="minorEastAsia"/>
          <w:noProof/>
          <w:color w:val="auto"/>
          <w:lang w:eastAsia="en-AU"/>
        </w:rPr>
      </w:pPr>
      <w:hyperlink w:anchor="_Toc212099789" w:history="1">
        <w:r w:rsidR="00B15A53" w:rsidRPr="00664B3A">
          <w:rPr>
            <w:rStyle w:val="Hyperlink"/>
            <w:noProof/>
          </w:rPr>
          <w:t>3.1 Option 1 – Status quo</w:t>
        </w:r>
        <w:r w:rsidR="00B15A53">
          <w:rPr>
            <w:noProof/>
            <w:webHidden/>
          </w:rPr>
          <w:tab/>
        </w:r>
        <w:r w:rsidR="00B15A53">
          <w:rPr>
            <w:noProof/>
            <w:webHidden/>
          </w:rPr>
          <w:fldChar w:fldCharType="begin"/>
        </w:r>
        <w:r w:rsidR="00B15A53">
          <w:rPr>
            <w:noProof/>
            <w:webHidden/>
          </w:rPr>
          <w:instrText xml:space="preserve"> PAGEREF _Toc212099789 \h </w:instrText>
        </w:r>
        <w:r w:rsidR="00B15A53">
          <w:rPr>
            <w:noProof/>
            <w:webHidden/>
          </w:rPr>
        </w:r>
        <w:r w:rsidR="00B15A53">
          <w:rPr>
            <w:noProof/>
            <w:webHidden/>
          </w:rPr>
          <w:fldChar w:fldCharType="separate"/>
        </w:r>
        <w:r w:rsidR="00B15A53">
          <w:rPr>
            <w:noProof/>
            <w:webHidden/>
          </w:rPr>
          <w:t>14</w:t>
        </w:r>
        <w:r w:rsidR="00B15A53">
          <w:rPr>
            <w:noProof/>
            <w:webHidden/>
          </w:rPr>
          <w:fldChar w:fldCharType="end"/>
        </w:r>
      </w:hyperlink>
    </w:p>
    <w:p w14:paraId="4E3DE8CC" w14:textId="550B0AD5" w:rsidR="00B15A53" w:rsidRDefault="00317079">
      <w:pPr>
        <w:pStyle w:val="TOC2"/>
        <w:rPr>
          <w:rFonts w:eastAsiaTheme="minorEastAsia"/>
          <w:noProof/>
          <w:color w:val="auto"/>
          <w:lang w:eastAsia="en-AU"/>
        </w:rPr>
      </w:pPr>
      <w:hyperlink w:anchor="_Toc212099790" w:history="1">
        <w:r w:rsidR="00B15A53" w:rsidRPr="00664B3A">
          <w:rPr>
            <w:rStyle w:val="Hyperlink"/>
            <w:noProof/>
          </w:rPr>
          <w:t>3.2 Option 2 – introduce a percentage of expenditure model</w:t>
        </w:r>
        <w:r w:rsidR="00B15A53">
          <w:rPr>
            <w:noProof/>
            <w:webHidden/>
          </w:rPr>
          <w:tab/>
        </w:r>
        <w:r w:rsidR="00B15A53">
          <w:rPr>
            <w:noProof/>
            <w:webHidden/>
          </w:rPr>
          <w:fldChar w:fldCharType="begin"/>
        </w:r>
        <w:r w:rsidR="00B15A53">
          <w:rPr>
            <w:noProof/>
            <w:webHidden/>
          </w:rPr>
          <w:instrText xml:space="preserve"> PAGEREF _Toc212099790 \h </w:instrText>
        </w:r>
        <w:r w:rsidR="00B15A53">
          <w:rPr>
            <w:noProof/>
            <w:webHidden/>
          </w:rPr>
        </w:r>
        <w:r w:rsidR="00B15A53">
          <w:rPr>
            <w:noProof/>
            <w:webHidden/>
          </w:rPr>
          <w:fldChar w:fldCharType="separate"/>
        </w:r>
        <w:r w:rsidR="00B15A53">
          <w:rPr>
            <w:noProof/>
            <w:webHidden/>
          </w:rPr>
          <w:t>15</w:t>
        </w:r>
        <w:r w:rsidR="00B15A53">
          <w:rPr>
            <w:noProof/>
            <w:webHidden/>
          </w:rPr>
          <w:fldChar w:fldCharType="end"/>
        </w:r>
      </w:hyperlink>
    </w:p>
    <w:p w14:paraId="3818AA0F" w14:textId="6267D162" w:rsidR="00B15A53" w:rsidRDefault="00317079">
      <w:pPr>
        <w:pStyle w:val="TOC1"/>
        <w:rPr>
          <w:rFonts w:eastAsiaTheme="minorEastAsia"/>
          <w:b w:val="0"/>
          <w:noProof/>
          <w:color w:val="auto"/>
          <w:sz w:val="22"/>
          <w:u w:val="none"/>
          <w:lang w:eastAsia="en-AU"/>
        </w:rPr>
      </w:pPr>
      <w:hyperlink w:anchor="_Toc212099791" w:history="1">
        <w:r w:rsidR="00B15A53" w:rsidRPr="00664B3A">
          <w:rPr>
            <w:rStyle w:val="Hyperlink"/>
            <w:noProof/>
          </w:rPr>
          <w:t>4. What is the likely net benefit of each option?</w:t>
        </w:r>
        <w:r w:rsidR="00B15A53">
          <w:rPr>
            <w:noProof/>
            <w:webHidden/>
          </w:rPr>
          <w:tab/>
        </w:r>
        <w:r w:rsidR="00B15A53">
          <w:rPr>
            <w:noProof/>
            <w:webHidden/>
          </w:rPr>
          <w:fldChar w:fldCharType="begin"/>
        </w:r>
        <w:r w:rsidR="00B15A53">
          <w:rPr>
            <w:noProof/>
            <w:webHidden/>
          </w:rPr>
          <w:instrText xml:space="preserve"> PAGEREF _Toc212099791 \h </w:instrText>
        </w:r>
        <w:r w:rsidR="00B15A53">
          <w:rPr>
            <w:noProof/>
            <w:webHidden/>
          </w:rPr>
        </w:r>
        <w:r w:rsidR="00B15A53">
          <w:rPr>
            <w:noProof/>
            <w:webHidden/>
          </w:rPr>
          <w:fldChar w:fldCharType="separate"/>
        </w:r>
        <w:r w:rsidR="00B15A53">
          <w:rPr>
            <w:noProof/>
            <w:webHidden/>
          </w:rPr>
          <w:t>15</w:t>
        </w:r>
        <w:r w:rsidR="00B15A53">
          <w:rPr>
            <w:noProof/>
            <w:webHidden/>
          </w:rPr>
          <w:fldChar w:fldCharType="end"/>
        </w:r>
      </w:hyperlink>
    </w:p>
    <w:p w14:paraId="2540D406" w14:textId="128F6BBE" w:rsidR="00B15A53" w:rsidRDefault="00317079">
      <w:pPr>
        <w:pStyle w:val="TOC2"/>
        <w:rPr>
          <w:rFonts w:eastAsiaTheme="minorEastAsia"/>
          <w:noProof/>
          <w:color w:val="auto"/>
          <w:lang w:eastAsia="en-AU"/>
        </w:rPr>
      </w:pPr>
      <w:hyperlink w:anchor="_Toc212099792" w:history="1">
        <w:r w:rsidR="00B15A53" w:rsidRPr="00664B3A">
          <w:rPr>
            <w:rStyle w:val="Hyperlink"/>
            <w:noProof/>
          </w:rPr>
          <w:t>4.1 Option 1 – Status quo</w:t>
        </w:r>
        <w:r w:rsidR="00B15A53">
          <w:rPr>
            <w:noProof/>
            <w:webHidden/>
          </w:rPr>
          <w:tab/>
        </w:r>
        <w:r w:rsidR="00B15A53">
          <w:rPr>
            <w:noProof/>
            <w:webHidden/>
          </w:rPr>
          <w:fldChar w:fldCharType="begin"/>
        </w:r>
        <w:r w:rsidR="00B15A53">
          <w:rPr>
            <w:noProof/>
            <w:webHidden/>
          </w:rPr>
          <w:instrText xml:space="preserve"> PAGEREF _Toc212099792 \h </w:instrText>
        </w:r>
        <w:r w:rsidR="00B15A53">
          <w:rPr>
            <w:noProof/>
            <w:webHidden/>
          </w:rPr>
        </w:r>
        <w:r w:rsidR="00B15A53">
          <w:rPr>
            <w:noProof/>
            <w:webHidden/>
          </w:rPr>
          <w:fldChar w:fldCharType="separate"/>
        </w:r>
        <w:r w:rsidR="00B15A53">
          <w:rPr>
            <w:noProof/>
            <w:webHidden/>
          </w:rPr>
          <w:t>16</w:t>
        </w:r>
        <w:r w:rsidR="00B15A53">
          <w:rPr>
            <w:noProof/>
            <w:webHidden/>
          </w:rPr>
          <w:fldChar w:fldCharType="end"/>
        </w:r>
      </w:hyperlink>
    </w:p>
    <w:p w14:paraId="4312A419" w14:textId="12977701" w:rsidR="00B15A53" w:rsidRDefault="00317079">
      <w:pPr>
        <w:pStyle w:val="TOC3"/>
        <w:tabs>
          <w:tab w:val="right" w:pos="9854"/>
        </w:tabs>
        <w:rPr>
          <w:rFonts w:eastAsiaTheme="minorEastAsia"/>
          <w:noProof/>
          <w:color w:val="auto"/>
          <w:lang w:eastAsia="en-AU"/>
        </w:rPr>
      </w:pPr>
      <w:hyperlink w:anchor="_Toc212099793" w:history="1">
        <w:r w:rsidR="00B15A53" w:rsidRPr="00664B3A">
          <w:rPr>
            <w:rStyle w:val="Hyperlink"/>
            <w:noProof/>
          </w:rPr>
          <w:t>Benefits</w:t>
        </w:r>
        <w:r w:rsidR="00B15A53">
          <w:rPr>
            <w:noProof/>
            <w:webHidden/>
          </w:rPr>
          <w:tab/>
        </w:r>
        <w:r w:rsidR="00B15A53">
          <w:rPr>
            <w:noProof/>
            <w:webHidden/>
          </w:rPr>
          <w:fldChar w:fldCharType="begin"/>
        </w:r>
        <w:r w:rsidR="00B15A53">
          <w:rPr>
            <w:noProof/>
            <w:webHidden/>
          </w:rPr>
          <w:instrText xml:space="preserve"> PAGEREF _Toc212099793 \h </w:instrText>
        </w:r>
        <w:r w:rsidR="00B15A53">
          <w:rPr>
            <w:noProof/>
            <w:webHidden/>
          </w:rPr>
        </w:r>
        <w:r w:rsidR="00B15A53">
          <w:rPr>
            <w:noProof/>
            <w:webHidden/>
          </w:rPr>
          <w:fldChar w:fldCharType="separate"/>
        </w:r>
        <w:r w:rsidR="00B15A53">
          <w:rPr>
            <w:noProof/>
            <w:webHidden/>
          </w:rPr>
          <w:t>16</w:t>
        </w:r>
        <w:r w:rsidR="00B15A53">
          <w:rPr>
            <w:noProof/>
            <w:webHidden/>
          </w:rPr>
          <w:fldChar w:fldCharType="end"/>
        </w:r>
      </w:hyperlink>
    </w:p>
    <w:p w14:paraId="3D2E3C95" w14:textId="02933C6D" w:rsidR="00B15A53" w:rsidRDefault="00317079">
      <w:pPr>
        <w:pStyle w:val="TOC3"/>
        <w:tabs>
          <w:tab w:val="right" w:pos="9854"/>
        </w:tabs>
        <w:rPr>
          <w:rFonts w:eastAsiaTheme="minorEastAsia"/>
          <w:noProof/>
          <w:color w:val="auto"/>
          <w:lang w:eastAsia="en-AU"/>
        </w:rPr>
      </w:pPr>
      <w:hyperlink w:anchor="_Toc212099794" w:history="1">
        <w:r w:rsidR="00B15A53" w:rsidRPr="00664B3A">
          <w:rPr>
            <w:rStyle w:val="Hyperlink"/>
            <w:noProof/>
          </w:rPr>
          <w:t>Costs</w:t>
        </w:r>
        <w:r w:rsidR="00B15A53">
          <w:rPr>
            <w:noProof/>
            <w:webHidden/>
          </w:rPr>
          <w:tab/>
        </w:r>
        <w:r w:rsidR="00B15A53">
          <w:rPr>
            <w:noProof/>
            <w:webHidden/>
          </w:rPr>
          <w:fldChar w:fldCharType="begin"/>
        </w:r>
        <w:r w:rsidR="00B15A53">
          <w:rPr>
            <w:noProof/>
            <w:webHidden/>
          </w:rPr>
          <w:instrText xml:space="preserve"> PAGEREF _Toc212099794 \h </w:instrText>
        </w:r>
        <w:r w:rsidR="00B15A53">
          <w:rPr>
            <w:noProof/>
            <w:webHidden/>
          </w:rPr>
        </w:r>
        <w:r w:rsidR="00B15A53">
          <w:rPr>
            <w:noProof/>
            <w:webHidden/>
          </w:rPr>
          <w:fldChar w:fldCharType="separate"/>
        </w:r>
        <w:r w:rsidR="00B15A53">
          <w:rPr>
            <w:noProof/>
            <w:webHidden/>
          </w:rPr>
          <w:t>16</w:t>
        </w:r>
        <w:r w:rsidR="00B15A53">
          <w:rPr>
            <w:noProof/>
            <w:webHidden/>
          </w:rPr>
          <w:fldChar w:fldCharType="end"/>
        </w:r>
      </w:hyperlink>
    </w:p>
    <w:p w14:paraId="31D6F061" w14:textId="2E267EF2" w:rsidR="00B15A53" w:rsidRDefault="00317079">
      <w:pPr>
        <w:pStyle w:val="TOC2"/>
        <w:rPr>
          <w:rFonts w:eastAsiaTheme="minorEastAsia"/>
          <w:noProof/>
          <w:color w:val="auto"/>
          <w:lang w:eastAsia="en-AU"/>
        </w:rPr>
      </w:pPr>
      <w:hyperlink w:anchor="_Toc212099795" w:history="1">
        <w:r w:rsidR="00B15A53" w:rsidRPr="00664B3A">
          <w:rPr>
            <w:rStyle w:val="Hyperlink"/>
            <w:noProof/>
          </w:rPr>
          <w:t>4.2 Option 2 – Percentage of total expenditure model</w:t>
        </w:r>
        <w:r w:rsidR="00B15A53">
          <w:rPr>
            <w:noProof/>
            <w:webHidden/>
          </w:rPr>
          <w:tab/>
        </w:r>
        <w:r w:rsidR="00B15A53">
          <w:rPr>
            <w:noProof/>
            <w:webHidden/>
          </w:rPr>
          <w:fldChar w:fldCharType="begin"/>
        </w:r>
        <w:r w:rsidR="00B15A53">
          <w:rPr>
            <w:noProof/>
            <w:webHidden/>
          </w:rPr>
          <w:instrText xml:space="preserve"> PAGEREF _Toc212099795 \h </w:instrText>
        </w:r>
        <w:r w:rsidR="00B15A53">
          <w:rPr>
            <w:noProof/>
            <w:webHidden/>
          </w:rPr>
        </w:r>
        <w:r w:rsidR="00B15A53">
          <w:rPr>
            <w:noProof/>
            <w:webHidden/>
          </w:rPr>
          <w:fldChar w:fldCharType="separate"/>
        </w:r>
        <w:r w:rsidR="00B15A53">
          <w:rPr>
            <w:noProof/>
            <w:webHidden/>
          </w:rPr>
          <w:t>17</w:t>
        </w:r>
        <w:r w:rsidR="00B15A53">
          <w:rPr>
            <w:noProof/>
            <w:webHidden/>
          </w:rPr>
          <w:fldChar w:fldCharType="end"/>
        </w:r>
      </w:hyperlink>
    </w:p>
    <w:p w14:paraId="1DD08152" w14:textId="7A039C4C" w:rsidR="00B15A53" w:rsidRDefault="00317079">
      <w:pPr>
        <w:pStyle w:val="TOC3"/>
        <w:tabs>
          <w:tab w:val="right" w:pos="9854"/>
        </w:tabs>
        <w:rPr>
          <w:rFonts w:eastAsiaTheme="minorEastAsia"/>
          <w:noProof/>
          <w:color w:val="auto"/>
          <w:lang w:eastAsia="en-AU"/>
        </w:rPr>
      </w:pPr>
      <w:hyperlink w:anchor="_Toc212099796" w:history="1">
        <w:r w:rsidR="00B15A53" w:rsidRPr="00664B3A">
          <w:rPr>
            <w:rStyle w:val="Hyperlink"/>
            <w:noProof/>
          </w:rPr>
          <w:t>Benefits</w:t>
        </w:r>
        <w:r w:rsidR="00B15A53">
          <w:rPr>
            <w:noProof/>
            <w:webHidden/>
          </w:rPr>
          <w:tab/>
        </w:r>
        <w:r w:rsidR="00B15A53">
          <w:rPr>
            <w:noProof/>
            <w:webHidden/>
          </w:rPr>
          <w:fldChar w:fldCharType="begin"/>
        </w:r>
        <w:r w:rsidR="00B15A53">
          <w:rPr>
            <w:noProof/>
            <w:webHidden/>
          </w:rPr>
          <w:instrText xml:space="preserve"> PAGEREF _Toc212099796 \h </w:instrText>
        </w:r>
        <w:r w:rsidR="00B15A53">
          <w:rPr>
            <w:noProof/>
            <w:webHidden/>
          </w:rPr>
        </w:r>
        <w:r w:rsidR="00B15A53">
          <w:rPr>
            <w:noProof/>
            <w:webHidden/>
          </w:rPr>
          <w:fldChar w:fldCharType="separate"/>
        </w:r>
        <w:r w:rsidR="00B15A53">
          <w:rPr>
            <w:noProof/>
            <w:webHidden/>
          </w:rPr>
          <w:t>17</w:t>
        </w:r>
        <w:r w:rsidR="00B15A53">
          <w:rPr>
            <w:noProof/>
            <w:webHidden/>
          </w:rPr>
          <w:fldChar w:fldCharType="end"/>
        </w:r>
      </w:hyperlink>
    </w:p>
    <w:p w14:paraId="62FDF696" w14:textId="6BEF5898" w:rsidR="00B15A53" w:rsidRDefault="00317079">
      <w:pPr>
        <w:pStyle w:val="TOC3"/>
        <w:tabs>
          <w:tab w:val="right" w:pos="9854"/>
        </w:tabs>
        <w:rPr>
          <w:rFonts w:eastAsiaTheme="minorEastAsia"/>
          <w:noProof/>
          <w:color w:val="auto"/>
          <w:lang w:eastAsia="en-AU"/>
        </w:rPr>
      </w:pPr>
      <w:hyperlink w:anchor="_Toc212099797" w:history="1">
        <w:r w:rsidR="00B15A53" w:rsidRPr="00664B3A">
          <w:rPr>
            <w:rStyle w:val="Hyperlink"/>
            <w:noProof/>
          </w:rPr>
          <w:t>Costs</w:t>
        </w:r>
        <w:r w:rsidR="00B15A53">
          <w:rPr>
            <w:noProof/>
            <w:webHidden/>
          </w:rPr>
          <w:tab/>
        </w:r>
        <w:r w:rsidR="00B15A53">
          <w:rPr>
            <w:noProof/>
            <w:webHidden/>
          </w:rPr>
          <w:fldChar w:fldCharType="begin"/>
        </w:r>
        <w:r w:rsidR="00B15A53">
          <w:rPr>
            <w:noProof/>
            <w:webHidden/>
          </w:rPr>
          <w:instrText xml:space="preserve"> PAGEREF _Toc212099797 \h </w:instrText>
        </w:r>
        <w:r w:rsidR="00B15A53">
          <w:rPr>
            <w:noProof/>
            <w:webHidden/>
          </w:rPr>
        </w:r>
        <w:r w:rsidR="00B15A53">
          <w:rPr>
            <w:noProof/>
            <w:webHidden/>
          </w:rPr>
          <w:fldChar w:fldCharType="separate"/>
        </w:r>
        <w:r w:rsidR="00B15A53">
          <w:rPr>
            <w:noProof/>
            <w:webHidden/>
          </w:rPr>
          <w:t>17</w:t>
        </w:r>
        <w:r w:rsidR="00B15A53">
          <w:rPr>
            <w:noProof/>
            <w:webHidden/>
          </w:rPr>
          <w:fldChar w:fldCharType="end"/>
        </w:r>
      </w:hyperlink>
    </w:p>
    <w:p w14:paraId="43E9C37D" w14:textId="255BAAEB" w:rsidR="00B15A53" w:rsidRDefault="00317079">
      <w:pPr>
        <w:pStyle w:val="TOC2"/>
        <w:rPr>
          <w:rFonts w:eastAsiaTheme="minorEastAsia"/>
          <w:noProof/>
          <w:color w:val="auto"/>
          <w:lang w:eastAsia="en-AU"/>
        </w:rPr>
      </w:pPr>
      <w:hyperlink w:anchor="_Toc212099798" w:history="1">
        <w:r w:rsidR="00B15A53" w:rsidRPr="00664B3A">
          <w:rPr>
            <w:rStyle w:val="Hyperlink"/>
            <w:noProof/>
          </w:rPr>
          <w:t>4.3 Quantitative benefits of Option 1</w:t>
        </w:r>
        <w:r w:rsidR="00B15A53">
          <w:rPr>
            <w:noProof/>
            <w:webHidden/>
          </w:rPr>
          <w:tab/>
        </w:r>
        <w:r w:rsidR="00B15A53">
          <w:rPr>
            <w:noProof/>
            <w:webHidden/>
          </w:rPr>
          <w:fldChar w:fldCharType="begin"/>
        </w:r>
        <w:r w:rsidR="00B15A53">
          <w:rPr>
            <w:noProof/>
            <w:webHidden/>
          </w:rPr>
          <w:instrText xml:space="preserve"> PAGEREF _Toc212099798 \h </w:instrText>
        </w:r>
        <w:r w:rsidR="00B15A53">
          <w:rPr>
            <w:noProof/>
            <w:webHidden/>
          </w:rPr>
        </w:r>
        <w:r w:rsidR="00B15A53">
          <w:rPr>
            <w:noProof/>
            <w:webHidden/>
          </w:rPr>
          <w:fldChar w:fldCharType="separate"/>
        </w:r>
        <w:r w:rsidR="00B15A53">
          <w:rPr>
            <w:noProof/>
            <w:webHidden/>
          </w:rPr>
          <w:t>18</w:t>
        </w:r>
        <w:r w:rsidR="00B15A53">
          <w:rPr>
            <w:noProof/>
            <w:webHidden/>
          </w:rPr>
          <w:fldChar w:fldCharType="end"/>
        </w:r>
      </w:hyperlink>
    </w:p>
    <w:p w14:paraId="79FD7AEF" w14:textId="0AD68F95" w:rsidR="00B15A53" w:rsidRDefault="00317079">
      <w:pPr>
        <w:pStyle w:val="TOC2"/>
        <w:rPr>
          <w:rFonts w:eastAsiaTheme="minorEastAsia"/>
          <w:noProof/>
          <w:color w:val="auto"/>
          <w:lang w:eastAsia="en-AU"/>
        </w:rPr>
      </w:pPr>
      <w:hyperlink w:anchor="_Toc212099799" w:history="1">
        <w:r w:rsidR="00B15A53" w:rsidRPr="00664B3A">
          <w:rPr>
            <w:rStyle w:val="Hyperlink"/>
            <w:noProof/>
          </w:rPr>
          <w:t>Regulatory burden of Option 1</w:t>
        </w:r>
        <w:r w:rsidR="00B15A53">
          <w:rPr>
            <w:noProof/>
            <w:webHidden/>
          </w:rPr>
          <w:tab/>
        </w:r>
        <w:r w:rsidR="00B15A53">
          <w:rPr>
            <w:noProof/>
            <w:webHidden/>
          </w:rPr>
          <w:fldChar w:fldCharType="begin"/>
        </w:r>
        <w:r w:rsidR="00B15A53">
          <w:rPr>
            <w:noProof/>
            <w:webHidden/>
          </w:rPr>
          <w:instrText xml:space="preserve"> PAGEREF _Toc212099799 \h </w:instrText>
        </w:r>
        <w:r w:rsidR="00B15A53">
          <w:rPr>
            <w:noProof/>
            <w:webHidden/>
          </w:rPr>
        </w:r>
        <w:r w:rsidR="00B15A53">
          <w:rPr>
            <w:noProof/>
            <w:webHidden/>
          </w:rPr>
          <w:fldChar w:fldCharType="separate"/>
        </w:r>
        <w:r w:rsidR="00B15A53">
          <w:rPr>
            <w:noProof/>
            <w:webHidden/>
          </w:rPr>
          <w:t>18</w:t>
        </w:r>
        <w:r w:rsidR="00B15A53">
          <w:rPr>
            <w:noProof/>
            <w:webHidden/>
          </w:rPr>
          <w:fldChar w:fldCharType="end"/>
        </w:r>
      </w:hyperlink>
    </w:p>
    <w:p w14:paraId="0C620B94" w14:textId="70B012A4" w:rsidR="00B15A53" w:rsidRDefault="00317079">
      <w:pPr>
        <w:pStyle w:val="TOC3"/>
        <w:tabs>
          <w:tab w:val="right" w:pos="9854"/>
        </w:tabs>
        <w:rPr>
          <w:rFonts w:eastAsiaTheme="minorEastAsia"/>
          <w:noProof/>
          <w:color w:val="auto"/>
          <w:lang w:eastAsia="en-AU"/>
        </w:rPr>
      </w:pPr>
      <w:hyperlink w:anchor="_Toc212099800" w:history="1">
        <w:r w:rsidR="00B15A53" w:rsidRPr="00664B3A">
          <w:rPr>
            <w:rStyle w:val="Hyperlink"/>
            <w:noProof/>
          </w:rPr>
          <w:t>Administrative costs of Option 1</w:t>
        </w:r>
        <w:r w:rsidR="00B15A53">
          <w:rPr>
            <w:noProof/>
            <w:webHidden/>
          </w:rPr>
          <w:tab/>
        </w:r>
        <w:r w:rsidR="00B15A53">
          <w:rPr>
            <w:noProof/>
            <w:webHidden/>
          </w:rPr>
          <w:fldChar w:fldCharType="begin"/>
        </w:r>
        <w:r w:rsidR="00B15A53">
          <w:rPr>
            <w:noProof/>
            <w:webHidden/>
          </w:rPr>
          <w:instrText xml:space="preserve"> PAGEREF _Toc212099800 \h </w:instrText>
        </w:r>
        <w:r w:rsidR="00B15A53">
          <w:rPr>
            <w:noProof/>
            <w:webHidden/>
          </w:rPr>
        </w:r>
        <w:r w:rsidR="00B15A53">
          <w:rPr>
            <w:noProof/>
            <w:webHidden/>
          </w:rPr>
          <w:fldChar w:fldCharType="separate"/>
        </w:r>
        <w:r w:rsidR="00B15A53">
          <w:rPr>
            <w:noProof/>
            <w:webHidden/>
          </w:rPr>
          <w:t>18</w:t>
        </w:r>
        <w:r w:rsidR="00B15A53">
          <w:rPr>
            <w:noProof/>
            <w:webHidden/>
          </w:rPr>
          <w:fldChar w:fldCharType="end"/>
        </w:r>
      </w:hyperlink>
    </w:p>
    <w:p w14:paraId="2862DDD8" w14:textId="76CEE94C" w:rsidR="00B15A53" w:rsidRDefault="00317079">
      <w:pPr>
        <w:pStyle w:val="TOC2"/>
        <w:rPr>
          <w:rFonts w:eastAsiaTheme="minorEastAsia"/>
          <w:noProof/>
          <w:color w:val="auto"/>
          <w:lang w:eastAsia="en-AU"/>
        </w:rPr>
      </w:pPr>
      <w:hyperlink w:anchor="_Toc212099801" w:history="1">
        <w:r w:rsidR="00B15A53" w:rsidRPr="00664B3A">
          <w:rPr>
            <w:rStyle w:val="Hyperlink"/>
            <w:noProof/>
          </w:rPr>
          <w:t>4.4 Quantitative benefits of Option 2</w:t>
        </w:r>
        <w:r w:rsidR="00B15A53">
          <w:rPr>
            <w:noProof/>
            <w:webHidden/>
          </w:rPr>
          <w:tab/>
        </w:r>
        <w:r w:rsidR="00B15A53">
          <w:rPr>
            <w:noProof/>
            <w:webHidden/>
          </w:rPr>
          <w:fldChar w:fldCharType="begin"/>
        </w:r>
        <w:r w:rsidR="00B15A53">
          <w:rPr>
            <w:noProof/>
            <w:webHidden/>
          </w:rPr>
          <w:instrText xml:space="preserve"> PAGEREF _Toc212099801 \h </w:instrText>
        </w:r>
        <w:r w:rsidR="00B15A53">
          <w:rPr>
            <w:noProof/>
            <w:webHidden/>
          </w:rPr>
        </w:r>
        <w:r w:rsidR="00B15A53">
          <w:rPr>
            <w:noProof/>
            <w:webHidden/>
          </w:rPr>
          <w:fldChar w:fldCharType="separate"/>
        </w:r>
        <w:r w:rsidR="00B15A53">
          <w:rPr>
            <w:noProof/>
            <w:webHidden/>
          </w:rPr>
          <w:t>18</w:t>
        </w:r>
        <w:r w:rsidR="00B15A53">
          <w:rPr>
            <w:noProof/>
            <w:webHidden/>
          </w:rPr>
          <w:fldChar w:fldCharType="end"/>
        </w:r>
      </w:hyperlink>
    </w:p>
    <w:p w14:paraId="73E58055" w14:textId="1EF1B18E" w:rsidR="00B15A53" w:rsidRDefault="00317079">
      <w:pPr>
        <w:pStyle w:val="TOC2"/>
        <w:rPr>
          <w:rFonts w:eastAsiaTheme="minorEastAsia"/>
          <w:noProof/>
          <w:color w:val="auto"/>
          <w:lang w:eastAsia="en-AU"/>
        </w:rPr>
      </w:pPr>
      <w:hyperlink w:anchor="_Toc212099802" w:history="1">
        <w:r w:rsidR="00B15A53" w:rsidRPr="00664B3A">
          <w:rPr>
            <w:rStyle w:val="Hyperlink"/>
            <w:noProof/>
          </w:rPr>
          <w:t>Regulatory burden of Option 2</w:t>
        </w:r>
        <w:r w:rsidR="00B15A53">
          <w:rPr>
            <w:noProof/>
            <w:webHidden/>
          </w:rPr>
          <w:tab/>
        </w:r>
        <w:r w:rsidR="00B15A53">
          <w:rPr>
            <w:noProof/>
            <w:webHidden/>
          </w:rPr>
          <w:fldChar w:fldCharType="begin"/>
        </w:r>
        <w:r w:rsidR="00B15A53">
          <w:rPr>
            <w:noProof/>
            <w:webHidden/>
          </w:rPr>
          <w:instrText xml:space="preserve"> PAGEREF _Toc212099802 \h </w:instrText>
        </w:r>
        <w:r w:rsidR="00B15A53">
          <w:rPr>
            <w:noProof/>
            <w:webHidden/>
          </w:rPr>
        </w:r>
        <w:r w:rsidR="00B15A53">
          <w:rPr>
            <w:noProof/>
            <w:webHidden/>
          </w:rPr>
          <w:fldChar w:fldCharType="separate"/>
        </w:r>
        <w:r w:rsidR="00B15A53">
          <w:rPr>
            <w:noProof/>
            <w:webHidden/>
          </w:rPr>
          <w:t>19</w:t>
        </w:r>
        <w:r w:rsidR="00B15A53">
          <w:rPr>
            <w:noProof/>
            <w:webHidden/>
          </w:rPr>
          <w:fldChar w:fldCharType="end"/>
        </w:r>
      </w:hyperlink>
    </w:p>
    <w:p w14:paraId="4679270D" w14:textId="5E483B81" w:rsidR="00B15A53" w:rsidRDefault="00317079">
      <w:pPr>
        <w:pStyle w:val="TOC3"/>
        <w:tabs>
          <w:tab w:val="right" w:pos="9854"/>
        </w:tabs>
        <w:rPr>
          <w:rFonts w:eastAsiaTheme="minorEastAsia"/>
          <w:noProof/>
          <w:color w:val="auto"/>
          <w:lang w:eastAsia="en-AU"/>
        </w:rPr>
      </w:pPr>
      <w:hyperlink w:anchor="_Toc212099803" w:history="1">
        <w:r w:rsidR="00B15A53" w:rsidRPr="00664B3A">
          <w:rPr>
            <w:rStyle w:val="Hyperlink"/>
            <w:noProof/>
          </w:rPr>
          <w:t>Administrative costs of Option 2</w:t>
        </w:r>
        <w:r w:rsidR="00B15A53">
          <w:rPr>
            <w:noProof/>
            <w:webHidden/>
          </w:rPr>
          <w:tab/>
        </w:r>
        <w:r w:rsidR="00B15A53">
          <w:rPr>
            <w:noProof/>
            <w:webHidden/>
          </w:rPr>
          <w:fldChar w:fldCharType="begin"/>
        </w:r>
        <w:r w:rsidR="00B15A53">
          <w:rPr>
            <w:noProof/>
            <w:webHidden/>
          </w:rPr>
          <w:instrText xml:space="preserve"> PAGEREF _Toc212099803 \h </w:instrText>
        </w:r>
        <w:r w:rsidR="00B15A53">
          <w:rPr>
            <w:noProof/>
            <w:webHidden/>
          </w:rPr>
        </w:r>
        <w:r w:rsidR="00B15A53">
          <w:rPr>
            <w:noProof/>
            <w:webHidden/>
          </w:rPr>
          <w:fldChar w:fldCharType="separate"/>
        </w:r>
        <w:r w:rsidR="00B15A53">
          <w:rPr>
            <w:noProof/>
            <w:webHidden/>
          </w:rPr>
          <w:t>20</w:t>
        </w:r>
        <w:r w:rsidR="00B15A53">
          <w:rPr>
            <w:noProof/>
            <w:webHidden/>
          </w:rPr>
          <w:fldChar w:fldCharType="end"/>
        </w:r>
      </w:hyperlink>
    </w:p>
    <w:p w14:paraId="30DC0666" w14:textId="61F216AD" w:rsidR="00B15A53" w:rsidRDefault="00317079">
      <w:pPr>
        <w:pStyle w:val="TOC3"/>
        <w:tabs>
          <w:tab w:val="right" w:pos="9854"/>
        </w:tabs>
        <w:rPr>
          <w:rFonts w:eastAsiaTheme="minorEastAsia"/>
          <w:noProof/>
          <w:color w:val="auto"/>
          <w:lang w:eastAsia="en-AU"/>
        </w:rPr>
      </w:pPr>
      <w:hyperlink w:anchor="_Toc212099804" w:history="1">
        <w:r w:rsidR="00B15A53" w:rsidRPr="00664B3A">
          <w:rPr>
            <w:rStyle w:val="Hyperlink"/>
            <w:noProof/>
          </w:rPr>
          <w:t>Compliance costs</w:t>
        </w:r>
        <w:r w:rsidR="00B15A53">
          <w:rPr>
            <w:noProof/>
            <w:webHidden/>
          </w:rPr>
          <w:tab/>
        </w:r>
        <w:r w:rsidR="00B15A53">
          <w:rPr>
            <w:noProof/>
            <w:webHidden/>
          </w:rPr>
          <w:fldChar w:fldCharType="begin"/>
        </w:r>
        <w:r w:rsidR="00B15A53">
          <w:rPr>
            <w:noProof/>
            <w:webHidden/>
          </w:rPr>
          <w:instrText xml:space="preserve"> PAGEREF _Toc212099804 \h </w:instrText>
        </w:r>
        <w:r w:rsidR="00B15A53">
          <w:rPr>
            <w:noProof/>
            <w:webHidden/>
          </w:rPr>
        </w:r>
        <w:r w:rsidR="00B15A53">
          <w:rPr>
            <w:noProof/>
            <w:webHidden/>
          </w:rPr>
          <w:fldChar w:fldCharType="separate"/>
        </w:r>
        <w:r w:rsidR="00B15A53">
          <w:rPr>
            <w:noProof/>
            <w:webHidden/>
          </w:rPr>
          <w:t>21</w:t>
        </w:r>
        <w:r w:rsidR="00B15A53">
          <w:rPr>
            <w:noProof/>
            <w:webHidden/>
          </w:rPr>
          <w:fldChar w:fldCharType="end"/>
        </w:r>
      </w:hyperlink>
    </w:p>
    <w:p w14:paraId="03EE4762" w14:textId="1EAA4970" w:rsidR="00B15A53" w:rsidRDefault="00317079">
      <w:pPr>
        <w:pStyle w:val="TOC2"/>
        <w:rPr>
          <w:rFonts w:eastAsiaTheme="minorEastAsia"/>
          <w:noProof/>
          <w:color w:val="auto"/>
          <w:lang w:eastAsia="en-AU"/>
        </w:rPr>
      </w:pPr>
      <w:hyperlink w:anchor="_Toc212099805" w:history="1">
        <w:r w:rsidR="00B15A53" w:rsidRPr="00664B3A">
          <w:rPr>
            <w:rStyle w:val="Hyperlink"/>
            <w:noProof/>
          </w:rPr>
          <w:t>Risk management</w:t>
        </w:r>
        <w:r w:rsidR="00B15A53">
          <w:rPr>
            <w:noProof/>
            <w:webHidden/>
          </w:rPr>
          <w:tab/>
        </w:r>
        <w:r w:rsidR="00B15A53">
          <w:rPr>
            <w:noProof/>
            <w:webHidden/>
          </w:rPr>
          <w:fldChar w:fldCharType="begin"/>
        </w:r>
        <w:r w:rsidR="00B15A53">
          <w:rPr>
            <w:noProof/>
            <w:webHidden/>
          </w:rPr>
          <w:instrText xml:space="preserve"> PAGEREF _Toc212099805 \h </w:instrText>
        </w:r>
        <w:r w:rsidR="00B15A53">
          <w:rPr>
            <w:noProof/>
            <w:webHidden/>
          </w:rPr>
        </w:r>
        <w:r w:rsidR="00B15A53">
          <w:rPr>
            <w:noProof/>
            <w:webHidden/>
          </w:rPr>
          <w:fldChar w:fldCharType="separate"/>
        </w:r>
        <w:r w:rsidR="00B15A53">
          <w:rPr>
            <w:noProof/>
            <w:webHidden/>
          </w:rPr>
          <w:t>21</w:t>
        </w:r>
        <w:r w:rsidR="00B15A53">
          <w:rPr>
            <w:noProof/>
            <w:webHidden/>
          </w:rPr>
          <w:fldChar w:fldCharType="end"/>
        </w:r>
      </w:hyperlink>
    </w:p>
    <w:p w14:paraId="67352349" w14:textId="4D72D7B6" w:rsidR="00B15A53" w:rsidRDefault="00317079">
      <w:pPr>
        <w:pStyle w:val="TOC1"/>
        <w:rPr>
          <w:rFonts w:eastAsiaTheme="minorEastAsia"/>
          <w:b w:val="0"/>
          <w:noProof/>
          <w:color w:val="auto"/>
          <w:sz w:val="22"/>
          <w:u w:val="none"/>
          <w:lang w:eastAsia="en-AU"/>
        </w:rPr>
      </w:pPr>
      <w:hyperlink w:anchor="_Toc212099806" w:history="1">
        <w:r w:rsidR="00B15A53" w:rsidRPr="00664B3A">
          <w:rPr>
            <w:rStyle w:val="Hyperlink"/>
            <w:noProof/>
          </w:rPr>
          <w:t>5. Who did you consult and how did you incorporate their feedback?</w:t>
        </w:r>
        <w:r w:rsidR="00B15A53">
          <w:rPr>
            <w:noProof/>
            <w:webHidden/>
          </w:rPr>
          <w:tab/>
        </w:r>
        <w:r w:rsidR="00B15A53">
          <w:rPr>
            <w:noProof/>
            <w:webHidden/>
          </w:rPr>
          <w:fldChar w:fldCharType="begin"/>
        </w:r>
        <w:r w:rsidR="00B15A53">
          <w:rPr>
            <w:noProof/>
            <w:webHidden/>
          </w:rPr>
          <w:instrText xml:space="preserve"> PAGEREF _Toc212099806 \h </w:instrText>
        </w:r>
        <w:r w:rsidR="00B15A53">
          <w:rPr>
            <w:noProof/>
            <w:webHidden/>
          </w:rPr>
        </w:r>
        <w:r w:rsidR="00B15A53">
          <w:rPr>
            <w:noProof/>
            <w:webHidden/>
          </w:rPr>
          <w:fldChar w:fldCharType="separate"/>
        </w:r>
        <w:r w:rsidR="00B15A53">
          <w:rPr>
            <w:noProof/>
            <w:webHidden/>
          </w:rPr>
          <w:t>22</w:t>
        </w:r>
        <w:r w:rsidR="00B15A53">
          <w:rPr>
            <w:noProof/>
            <w:webHidden/>
          </w:rPr>
          <w:fldChar w:fldCharType="end"/>
        </w:r>
      </w:hyperlink>
    </w:p>
    <w:p w14:paraId="7C97998F" w14:textId="5FC876AD" w:rsidR="00B15A53" w:rsidRDefault="00317079">
      <w:pPr>
        <w:pStyle w:val="TOC2"/>
        <w:rPr>
          <w:rFonts w:eastAsiaTheme="minorEastAsia"/>
          <w:noProof/>
          <w:color w:val="auto"/>
          <w:lang w:eastAsia="en-AU"/>
        </w:rPr>
      </w:pPr>
      <w:hyperlink w:anchor="_Toc212099807" w:history="1">
        <w:r w:rsidR="00B15A53" w:rsidRPr="00664B3A">
          <w:rPr>
            <w:rStyle w:val="Hyperlink"/>
            <w:noProof/>
          </w:rPr>
          <w:t>Consultation</w:t>
        </w:r>
        <w:r w:rsidR="00B15A53">
          <w:rPr>
            <w:noProof/>
            <w:webHidden/>
          </w:rPr>
          <w:tab/>
        </w:r>
        <w:r w:rsidR="00B15A53">
          <w:rPr>
            <w:noProof/>
            <w:webHidden/>
          </w:rPr>
          <w:fldChar w:fldCharType="begin"/>
        </w:r>
        <w:r w:rsidR="00B15A53">
          <w:rPr>
            <w:noProof/>
            <w:webHidden/>
          </w:rPr>
          <w:instrText xml:space="preserve"> PAGEREF _Toc212099807 \h </w:instrText>
        </w:r>
        <w:r w:rsidR="00B15A53">
          <w:rPr>
            <w:noProof/>
            <w:webHidden/>
          </w:rPr>
        </w:r>
        <w:r w:rsidR="00B15A53">
          <w:rPr>
            <w:noProof/>
            <w:webHidden/>
          </w:rPr>
          <w:fldChar w:fldCharType="separate"/>
        </w:r>
        <w:r w:rsidR="00B15A53">
          <w:rPr>
            <w:noProof/>
            <w:webHidden/>
          </w:rPr>
          <w:t>22</w:t>
        </w:r>
        <w:r w:rsidR="00B15A53">
          <w:rPr>
            <w:noProof/>
            <w:webHidden/>
          </w:rPr>
          <w:fldChar w:fldCharType="end"/>
        </w:r>
      </w:hyperlink>
    </w:p>
    <w:p w14:paraId="5EEAEE52" w14:textId="50E8064E" w:rsidR="00B15A53" w:rsidRDefault="00317079">
      <w:pPr>
        <w:pStyle w:val="TOC1"/>
        <w:rPr>
          <w:rFonts w:eastAsiaTheme="minorEastAsia"/>
          <w:b w:val="0"/>
          <w:noProof/>
          <w:color w:val="auto"/>
          <w:sz w:val="22"/>
          <w:u w:val="none"/>
          <w:lang w:eastAsia="en-AU"/>
        </w:rPr>
      </w:pPr>
      <w:hyperlink w:anchor="_Toc212099808" w:history="1">
        <w:r w:rsidR="00B15A53" w:rsidRPr="00664B3A">
          <w:rPr>
            <w:rStyle w:val="Hyperlink"/>
            <w:noProof/>
          </w:rPr>
          <w:t>6. What is the best option from those you have considered?</w:t>
        </w:r>
        <w:r w:rsidR="00B15A53">
          <w:rPr>
            <w:noProof/>
            <w:webHidden/>
          </w:rPr>
          <w:tab/>
        </w:r>
        <w:r w:rsidR="00B15A53">
          <w:rPr>
            <w:noProof/>
            <w:webHidden/>
          </w:rPr>
          <w:fldChar w:fldCharType="begin"/>
        </w:r>
        <w:r w:rsidR="00B15A53">
          <w:rPr>
            <w:noProof/>
            <w:webHidden/>
          </w:rPr>
          <w:instrText xml:space="preserve"> PAGEREF _Toc212099808 \h </w:instrText>
        </w:r>
        <w:r w:rsidR="00B15A53">
          <w:rPr>
            <w:noProof/>
            <w:webHidden/>
          </w:rPr>
        </w:r>
        <w:r w:rsidR="00B15A53">
          <w:rPr>
            <w:noProof/>
            <w:webHidden/>
          </w:rPr>
          <w:fldChar w:fldCharType="separate"/>
        </w:r>
        <w:r w:rsidR="00B15A53">
          <w:rPr>
            <w:noProof/>
            <w:webHidden/>
          </w:rPr>
          <w:t>23</w:t>
        </w:r>
        <w:r w:rsidR="00B15A53">
          <w:rPr>
            <w:noProof/>
            <w:webHidden/>
          </w:rPr>
          <w:fldChar w:fldCharType="end"/>
        </w:r>
      </w:hyperlink>
    </w:p>
    <w:p w14:paraId="75C5A4DD" w14:textId="58426CDA" w:rsidR="00B15A53" w:rsidRDefault="00317079">
      <w:pPr>
        <w:pStyle w:val="TOC2"/>
        <w:rPr>
          <w:rFonts w:eastAsiaTheme="minorEastAsia"/>
          <w:noProof/>
          <w:color w:val="auto"/>
          <w:lang w:eastAsia="en-AU"/>
        </w:rPr>
      </w:pPr>
      <w:hyperlink w:anchor="_Toc212099809" w:history="1">
        <w:r w:rsidR="00B15A53" w:rsidRPr="00664B3A">
          <w:rPr>
            <w:rStyle w:val="Hyperlink"/>
            <w:noProof/>
          </w:rPr>
          <w:t>Considerations</w:t>
        </w:r>
        <w:r w:rsidR="00B15A53">
          <w:rPr>
            <w:noProof/>
            <w:webHidden/>
          </w:rPr>
          <w:tab/>
        </w:r>
        <w:r w:rsidR="00B15A53">
          <w:rPr>
            <w:noProof/>
            <w:webHidden/>
          </w:rPr>
          <w:fldChar w:fldCharType="begin"/>
        </w:r>
        <w:r w:rsidR="00B15A53">
          <w:rPr>
            <w:noProof/>
            <w:webHidden/>
          </w:rPr>
          <w:instrText xml:space="preserve"> PAGEREF _Toc212099809 \h </w:instrText>
        </w:r>
        <w:r w:rsidR="00B15A53">
          <w:rPr>
            <w:noProof/>
            <w:webHidden/>
          </w:rPr>
        </w:r>
        <w:r w:rsidR="00B15A53">
          <w:rPr>
            <w:noProof/>
            <w:webHidden/>
          </w:rPr>
          <w:fldChar w:fldCharType="separate"/>
        </w:r>
        <w:r w:rsidR="00B15A53">
          <w:rPr>
            <w:noProof/>
            <w:webHidden/>
          </w:rPr>
          <w:t>23</w:t>
        </w:r>
        <w:r w:rsidR="00B15A53">
          <w:rPr>
            <w:noProof/>
            <w:webHidden/>
          </w:rPr>
          <w:fldChar w:fldCharType="end"/>
        </w:r>
      </w:hyperlink>
    </w:p>
    <w:p w14:paraId="3A52B3C3" w14:textId="13A5CFA7" w:rsidR="00B15A53" w:rsidRDefault="00317079">
      <w:pPr>
        <w:pStyle w:val="TOC2"/>
        <w:rPr>
          <w:rFonts w:eastAsiaTheme="minorEastAsia"/>
          <w:noProof/>
          <w:color w:val="auto"/>
          <w:lang w:eastAsia="en-AU"/>
        </w:rPr>
      </w:pPr>
      <w:hyperlink w:anchor="_Toc212099810" w:history="1">
        <w:r w:rsidR="00B15A53" w:rsidRPr="00664B3A">
          <w:rPr>
            <w:rStyle w:val="Hyperlink"/>
            <w:noProof/>
          </w:rPr>
          <w:t>Recommended option</w:t>
        </w:r>
        <w:r w:rsidR="00B15A53">
          <w:rPr>
            <w:noProof/>
            <w:webHidden/>
          </w:rPr>
          <w:tab/>
        </w:r>
        <w:r w:rsidR="00B15A53">
          <w:rPr>
            <w:noProof/>
            <w:webHidden/>
          </w:rPr>
          <w:fldChar w:fldCharType="begin"/>
        </w:r>
        <w:r w:rsidR="00B15A53">
          <w:rPr>
            <w:noProof/>
            <w:webHidden/>
          </w:rPr>
          <w:instrText xml:space="preserve"> PAGEREF _Toc212099810 \h </w:instrText>
        </w:r>
        <w:r w:rsidR="00B15A53">
          <w:rPr>
            <w:noProof/>
            <w:webHidden/>
          </w:rPr>
        </w:r>
        <w:r w:rsidR="00B15A53">
          <w:rPr>
            <w:noProof/>
            <w:webHidden/>
          </w:rPr>
          <w:fldChar w:fldCharType="separate"/>
        </w:r>
        <w:r w:rsidR="00B15A53">
          <w:rPr>
            <w:noProof/>
            <w:webHidden/>
          </w:rPr>
          <w:t>24</w:t>
        </w:r>
        <w:r w:rsidR="00B15A53">
          <w:rPr>
            <w:noProof/>
            <w:webHidden/>
          </w:rPr>
          <w:fldChar w:fldCharType="end"/>
        </w:r>
      </w:hyperlink>
    </w:p>
    <w:p w14:paraId="11C714E3" w14:textId="7FA1440A" w:rsidR="00B15A53" w:rsidRDefault="00317079">
      <w:pPr>
        <w:pStyle w:val="TOC1"/>
        <w:rPr>
          <w:rFonts w:eastAsiaTheme="minorEastAsia"/>
          <w:b w:val="0"/>
          <w:noProof/>
          <w:color w:val="auto"/>
          <w:sz w:val="22"/>
          <w:u w:val="none"/>
          <w:lang w:eastAsia="en-AU"/>
        </w:rPr>
      </w:pPr>
      <w:hyperlink w:anchor="_Toc212099811" w:history="1">
        <w:r w:rsidR="00B15A53" w:rsidRPr="00664B3A">
          <w:rPr>
            <w:rStyle w:val="Hyperlink"/>
            <w:noProof/>
          </w:rPr>
          <w:t>7. How will you implement and evaluate your chosen option?</w:t>
        </w:r>
        <w:r w:rsidR="00B15A53">
          <w:rPr>
            <w:noProof/>
            <w:webHidden/>
          </w:rPr>
          <w:tab/>
        </w:r>
        <w:r w:rsidR="00B15A53">
          <w:rPr>
            <w:noProof/>
            <w:webHidden/>
          </w:rPr>
          <w:fldChar w:fldCharType="begin"/>
        </w:r>
        <w:r w:rsidR="00B15A53">
          <w:rPr>
            <w:noProof/>
            <w:webHidden/>
          </w:rPr>
          <w:instrText xml:space="preserve"> PAGEREF _Toc212099811 \h </w:instrText>
        </w:r>
        <w:r w:rsidR="00B15A53">
          <w:rPr>
            <w:noProof/>
            <w:webHidden/>
          </w:rPr>
        </w:r>
        <w:r w:rsidR="00B15A53">
          <w:rPr>
            <w:noProof/>
            <w:webHidden/>
          </w:rPr>
          <w:fldChar w:fldCharType="separate"/>
        </w:r>
        <w:r w:rsidR="00B15A53">
          <w:rPr>
            <w:noProof/>
            <w:webHidden/>
          </w:rPr>
          <w:t>24</w:t>
        </w:r>
        <w:r w:rsidR="00B15A53">
          <w:rPr>
            <w:noProof/>
            <w:webHidden/>
          </w:rPr>
          <w:fldChar w:fldCharType="end"/>
        </w:r>
      </w:hyperlink>
    </w:p>
    <w:p w14:paraId="1D790229" w14:textId="6963C961" w:rsidR="00B15A53" w:rsidRDefault="00317079">
      <w:pPr>
        <w:pStyle w:val="TOC2"/>
        <w:rPr>
          <w:rFonts w:eastAsiaTheme="minorEastAsia"/>
          <w:noProof/>
          <w:color w:val="auto"/>
          <w:lang w:eastAsia="en-AU"/>
        </w:rPr>
      </w:pPr>
      <w:hyperlink w:anchor="_Toc212099812" w:history="1">
        <w:r w:rsidR="00B15A53" w:rsidRPr="00664B3A">
          <w:rPr>
            <w:rStyle w:val="Hyperlink"/>
            <w:noProof/>
          </w:rPr>
          <w:t>Commencement</w:t>
        </w:r>
        <w:r w:rsidR="00B15A53">
          <w:rPr>
            <w:noProof/>
            <w:webHidden/>
          </w:rPr>
          <w:tab/>
        </w:r>
        <w:r w:rsidR="00B15A53">
          <w:rPr>
            <w:noProof/>
            <w:webHidden/>
          </w:rPr>
          <w:fldChar w:fldCharType="begin"/>
        </w:r>
        <w:r w:rsidR="00B15A53">
          <w:rPr>
            <w:noProof/>
            <w:webHidden/>
          </w:rPr>
          <w:instrText xml:space="preserve"> PAGEREF _Toc212099812 \h </w:instrText>
        </w:r>
        <w:r w:rsidR="00B15A53">
          <w:rPr>
            <w:noProof/>
            <w:webHidden/>
          </w:rPr>
        </w:r>
        <w:r w:rsidR="00B15A53">
          <w:rPr>
            <w:noProof/>
            <w:webHidden/>
          </w:rPr>
          <w:fldChar w:fldCharType="separate"/>
        </w:r>
        <w:r w:rsidR="00B15A53">
          <w:rPr>
            <w:noProof/>
            <w:webHidden/>
          </w:rPr>
          <w:t>24</w:t>
        </w:r>
        <w:r w:rsidR="00B15A53">
          <w:rPr>
            <w:noProof/>
            <w:webHidden/>
          </w:rPr>
          <w:fldChar w:fldCharType="end"/>
        </w:r>
      </w:hyperlink>
    </w:p>
    <w:p w14:paraId="4654B37D" w14:textId="54B6C1B1" w:rsidR="00B15A53" w:rsidRDefault="00317079">
      <w:pPr>
        <w:pStyle w:val="TOC3"/>
        <w:tabs>
          <w:tab w:val="right" w:pos="9854"/>
        </w:tabs>
        <w:rPr>
          <w:rFonts w:eastAsiaTheme="minorEastAsia"/>
          <w:noProof/>
          <w:color w:val="auto"/>
          <w:lang w:eastAsia="en-AU"/>
        </w:rPr>
      </w:pPr>
      <w:hyperlink w:anchor="_Toc212099813" w:history="1">
        <w:r w:rsidR="00B15A53" w:rsidRPr="00664B3A">
          <w:rPr>
            <w:rStyle w:val="Hyperlink"/>
            <w:noProof/>
          </w:rPr>
          <w:t>Compliance, reporting and enforcement</w:t>
        </w:r>
        <w:r w:rsidR="00B15A53">
          <w:rPr>
            <w:noProof/>
            <w:webHidden/>
          </w:rPr>
          <w:tab/>
        </w:r>
        <w:r w:rsidR="00B15A53">
          <w:rPr>
            <w:noProof/>
            <w:webHidden/>
          </w:rPr>
          <w:fldChar w:fldCharType="begin"/>
        </w:r>
        <w:r w:rsidR="00B15A53">
          <w:rPr>
            <w:noProof/>
            <w:webHidden/>
          </w:rPr>
          <w:instrText xml:space="preserve"> PAGEREF _Toc212099813 \h </w:instrText>
        </w:r>
        <w:r w:rsidR="00B15A53">
          <w:rPr>
            <w:noProof/>
            <w:webHidden/>
          </w:rPr>
        </w:r>
        <w:r w:rsidR="00B15A53">
          <w:rPr>
            <w:noProof/>
            <w:webHidden/>
          </w:rPr>
          <w:fldChar w:fldCharType="separate"/>
        </w:r>
        <w:r w:rsidR="00B15A53">
          <w:rPr>
            <w:noProof/>
            <w:webHidden/>
          </w:rPr>
          <w:t>24</w:t>
        </w:r>
        <w:r w:rsidR="00B15A53">
          <w:rPr>
            <w:noProof/>
            <w:webHidden/>
          </w:rPr>
          <w:fldChar w:fldCharType="end"/>
        </w:r>
      </w:hyperlink>
    </w:p>
    <w:p w14:paraId="3A769F06" w14:textId="7BDDDC8B" w:rsidR="00B15A53" w:rsidRDefault="00317079">
      <w:pPr>
        <w:pStyle w:val="TOC3"/>
        <w:tabs>
          <w:tab w:val="right" w:pos="9854"/>
        </w:tabs>
        <w:rPr>
          <w:rFonts w:eastAsiaTheme="minorEastAsia"/>
          <w:noProof/>
          <w:color w:val="auto"/>
          <w:lang w:eastAsia="en-AU"/>
        </w:rPr>
      </w:pPr>
      <w:hyperlink w:anchor="_Toc212099814" w:history="1">
        <w:r w:rsidR="00B15A53" w:rsidRPr="00664B3A">
          <w:rPr>
            <w:rStyle w:val="Hyperlink"/>
            <w:noProof/>
          </w:rPr>
          <w:t>Implementation Risks</w:t>
        </w:r>
        <w:r w:rsidR="00B15A53">
          <w:rPr>
            <w:noProof/>
            <w:webHidden/>
          </w:rPr>
          <w:tab/>
        </w:r>
        <w:r w:rsidR="00B15A53">
          <w:rPr>
            <w:noProof/>
            <w:webHidden/>
          </w:rPr>
          <w:fldChar w:fldCharType="begin"/>
        </w:r>
        <w:r w:rsidR="00B15A53">
          <w:rPr>
            <w:noProof/>
            <w:webHidden/>
          </w:rPr>
          <w:instrText xml:space="preserve"> PAGEREF _Toc212099814 \h </w:instrText>
        </w:r>
        <w:r w:rsidR="00B15A53">
          <w:rPr>
            <w:noProof/>
            <w:webHidden/>
          </w:rPr>
        </w:r>
        <w:r w:rsidR="00B15A53">
          <w:rPr>
            <w:noProof/>
            <w:webHidden/>
          </w:rPr>
          <w:fldChar w:fldCharType="separate"/>
        </w:r>
        <w:r w:rsidR="00B15A53">
          <w:rPr>
            <w:noProof/>
            <w:webHidden/>
          </w:rPr>
          <w:t>25</w:t>
        </w:r>
        <w:r w:rsidR="00B15A53">
          <w:rPr>
            <w:noProof/>
            <w:webHidden/>
          </w:rPr>
          <w:fldChar w:fldCharType="end"/>
        </w:r>
      </w:hyperlink>
    </w:p>
    <w:p w14:paraId="73BF7022" w14:textId="326E9A81" w:rsidR="00B15A53" w:rsidRDefault="00317079">
      <w:pPr>
        <w:pStyle w:val="TOC3"/>
        <w:tabs>
          <w:tab w:val="right" w:pos="9854"/>
        </w:tabs>
        <w:rPr>
          <w:rFonts w:eastAsiaTheme="minorEastAsia"/>
          <w:noProof/>
          <w:color w:val="auto"/>
          <w:lang w:eastAsia="en-AU"/>
        </w:rPr>
      </w:pPr>
      <w:hyperlink w:anchor="_Toc212099815" w:history="1">
        <w:r w:rsidR="00B15A53" w:rsidRPr="00664B3A">
          <w:rPr>
            <w:rStyle w:val="Hyperlink"/>
            <w:noProof/>
          </w:rPr>
          <w:t>Review</w:t>
        </w:r>
        <w:r w:rsidR="00B15A53">
          <w:rPr>
            <w:noProof/>
            <w:webHidden/>
          </w:rPr>
          <w:tab/>
        </w:r>
        <w:r w:rsidR="00B15A53">
          <w:rPr>
            <w:noProof/>
            <w:webHidden/>
          </w:rPr>
          <w:fldChar w:fldCharType="begin"/>
        </w:r>
        <w:r w:rsidR="00B15A53">
          <w:rPr>
            <w:noProof/>
            <w:webHidden/>
          </w:rPr>
          <w:instrText xml:space="preserve"> PAGEREF _Toc212099815 \h </w:instrText>
        </w:r>
        <w:r w:rsidR="00B15A53">
          <w:rPr>
            <w:noProof/>
            <w:webHidden/>
          </w:rPr>
        </w:r>
        <w:r w:rsidR="00B15A53">
          <w:rPr>
            <w:noProof/>
            <w:webHidden/>
          </w:rPr>
          <w:fldChar w:fldCharType="separate"/>
        </w:r>
        <w:r w:rsidR="00B15A53">
          <w:rPr>
            <w:noProof/>
            <w:webHidden/>
          </w:rPr>
          <w:t>25</w:t>
        </w:r>
        <w:r w:rsidR="00B15A53">
          <w:rPr>
            <w:noProof/>
            <w:webHidden/>
          </w:rPr>
          <w:fldChar w:fldCharType="end"/>
        </w:r>
      </w:hyperlink>
    </w:p>
    <w:p w14:paraId="6160CA3A" w14:textId="5F515D8B" w:rsidR="00DE4FE2" w:rsidRDefault="00A95970">
      <w:r>
        <w:fldChar w:fldCharType="end"/>
      </w:r>
    </w:p>
    <w:p w14:paraId="77289885" w14:textId="77777777" w:rsidR="005912BE" w:rsidRPr="00C3007A" w:rsidRDefault="005912BE" w:rsidP="00C3007A">
      <w:pPr>
        <w:tabs>
          <w:tab w:val="center" w:pos="4932"/>
        </w:tabs>
        <w:sectPr w:rsidR="005912BE" w:rsidRPr="00C3007A" w:rsidSect="00BA24FB">
          <w:headerReference w:type="default" r:id="rId17"/>
          <w:footerReference w:type="default" r:id="rId18"/>
          <w:pgSz w:w="11906" w:h="16838" w:code="9"/>
          <w:pgMar w:top="1021" w:right="1021" w:bottom="1021" w:left="1021" w:header="340" w:footer="397" w:gutter="0"/>
          <w:cols w:space="708"/>
          <w:docGrid w:linePitch="360"/>
        </w:sectPr>
      </w:pPr>
    </w:p>
    <w:p w14:paraId="6B702F6F" w14:textId="77777777" w:rsidR="005F794B" w:rsidRPr="00D62C30" w:rsidRDefault="0078778E" w:rsidP="00DE4362">
      <w:pPr>
        <w:pStyle w:val="Heading1"/>
        <w:spacing w:before="0"/>
        <w:rPr>
          <w:b/>
        </w:rPr>
      </w:pPr>
      <w:bookmarkStart w:id="3" w:name="_Toc212099778"/>
      <w:r w:rsidRPr="00D62C30">
        <w:rPr>
          <w:b/>
        </w:rPr>
        <w:lastRenderedPageBreak/>
        <w:t>Summary</w:t>
      </w:r>
      <w:bookmarkEnd w:id="3"/>
      <w:r w:rsidRPr="00D62C30">
        <w:rPr>
          <w:b/>
        </w:rPr>
        <w:t xml:space="preserve"> </w:t>
      </w:r>
    </w:p>
    <w:p w14:paraId="49D89EC0" w14:textId="14437738" w:rsidR="0078778E" w:rsidRDefault="0078778E" w:rsidP="0078778E">
      <w:r>
        <w:t>In the National Cultural Policy</w:t>
      </w:r>
      <w:r w:rsidR="00CB1B01">
        <w:t>,</w:t>
      </w:r>
      <w:r>
        <w:t xml:space="preserve"> </w:t>
      </w:r>
      <w:r w:rsidRPr="00355B2C">
        <w:rPr>
          <w:i/>
        </w:rPr>
        <w:t>Revive</w:t>
      </w:r>
      <w:r>
        <w:rPr>
          <w:i/>
        </w:rPr>
        <w:t>: a place for every story, a story for every place</w:t>
      </w:r>
      <w:r>
        <w:t xml:space="preserve">, the Australian Government reiterated its 2022 election commitment to introduce requirements for Australian screen content on </w:t>
      </w:r>
      <w:r w:rsidR="00812C25">
        <w:t>subscription video on</w:t>
      </w:r>
      <w:r w:rsidR="0002641B">
        <w:t xml:space="preserve"> </w:t>
      </w:r>
      <w:r w:rsidR="00812C25">
        <w:t>demand (</w:t>
      </w:r>
      <w:r w:rsidR="0002641B">
        <w:t>SVOD</w:t>
      </w:r>
      <w:r w:rsidR="00812C25">
        <w:t xml:space="preserve">) services </w:t>
      </w:r>
      <w:r>
        <w:t>to ensure continued access to local stories and content.</w:t>
      </w:r>
      <w:r>
        <w:rPr>
          <w:rStyle w:val="FootnoteReference"/>
        </w:rPr>
        <w:footnoteReference w:id="2"/>
      </w:r>
      <w:r>
        <w:t xml:space="preserve"> T</w:t>
      </w:r>
      <w:r w:rsidRPr="0078778E">
        <w:t xml:space="preserve">he Prime Minister and Minister for the Arts </w:t>
      </w:r>
      <w:r w:rsidR="00B673F0">
        <w:t>further committed</w:t>
      </w:r>
      <w:r w:rsidRPr="0078778E">
        <w:t xml:space="preserve"> to </w:t>
      </w:r>
      <w:r w:rsidR="00812C25">
        <w:t>this</w:t>
      </w:r>
      <w:r w:rsidRPr="0078778E">
        <w:t xml:space="preserve"> requirement during the 2025 election campaign</w:t>
      </w:r>
      <w:r w:rsidR="0052119E">
        <w:t>.</w:t>
      </w:r>
      <w:r w:rsidR="00F30272">
        <w:rPr>
          <w:rStyle w:val="FootnoteReference"/>
        </w:rPr>
        <w:footnoteReference w:id="3"/>
      </w:r>
      <w:r>
        <w:t xml:space="preserve"> The requirement </w:t>
      </w:r>
      <w:r w:rsidR="00812C25">
        <w:t xml:space="preserve">will </w:t>
      </w:r>
      <w:r>
        <w:t>form part of the Government’s broader media reforms.</w:t>
      </w:r>
    </w:p>
    <w:p w14:paraId="16416AAB" w14:textId="3A12525E" w:rsidR="0078778E" w:rsidRDefault="0078778E" w:rsidP="0078778E">
      <w:r w:rsidRPr="009C756E">
        <w:t xml:space="preserve">The Government’s </w:t>
      </w:r>
      <w:r w:rsidR="00812C25">
        <w:t xml:space="preserve">goal in introducing these requirements </w:t>
      </w:r>
      <w:r>
        <w:t>is to ensure that Australians have access to Australian stories, wherever they choose to watch their screen content</w:t>
      </w:r>
      <w:r w:rsidR="00F30272">
        <w:t>, now and into the future</w:t>
      </w:r>
      <w:r>
        <w:t>.</w:t>
      </w:r>
      <w:r w:rsidR="00A56AD8">
        <w:t xml:space="preserve"> </w:t>
      </w:r>
      <w:r w:rsidR="00A56AD8" w:rsidRPr="00A56AD8">
        <w:t xml:space="preserve">Without </w:t>
      </w:r>
      <w:r w:rsidR="00DE2E7B">
        <w:t>G</w:t>
      </w:r>
      <w:r w:rsidR="00A56AD8" w:rsidRPr="00A56AD8">
        <w:t xml:space="preserve">overnment intervention </w:t>
      </w:r>
      <w:r w:rsidR="00B000BC" w:rsidRPr="00B000BC">
        <w:t xml:space="preserve">there is no guarantee that </w:t>
      </w:r>
      <w:r w:rsidR="0002641B">
        <w:t>SVOD</w:t>
      </w:r>
      <w:r w:rsidR="00B000BC" w:rsidRPr="00B000BC">
        <w:t>s will produce and make Australian content available to Australian consumers</w:t>
      </w:r>
      <w:r w:rsidR="00A50F5F">
        <w:t>.</w:t>
      </w:r>
      <w:r w:rsidR="00A56AD8" w:rsidRPr="00A56AD8">
        <w:t xml:space="preserve"> </w:t>
      </w:r>
      <w:r w:rsidRPr="009C756E">
        <w:t xml:space="preserve">The Government is guided by the objectives and regulatory policy of the </w:t>
      </w:r>
      <w:r w:rsidRPr="00D7218D">
        <w:rPr>
          <w:i/>
        </w:rPr>
        <w:t>Broadcasting Services Act 1992</w:t>
      </w:r>
      <w:r>
        <w:rPr>
          <w:i/>
        </w:rPr>
        <w:t xml:space="preserve"> </w:t>
      </w:r>
      <w:r w:rsidR="003E78AF" w:rsidRPr="0048481E">
        <w:t>(BSA)</w:t>
      </w:r>
      <w:r w:rsidR="003E78AF">
        <w:rPr>
          <w:i/>
        </w:rPr>
        <w:t xml:space="preserve"> </w:t>
      </w:r>
      <w:r>
        <w:t xml:space="preserve">that </w:t>
      </w:r>
      <w:r w:rsidRPr="00D46A9A">
        <w:t>include:</w:t>
      </w:r>
      <w:r>
        <w:rPr>
          <w:rStyle w:val="FootnoteReference"/>
        </w:rPr>
        <w:footnoteReference w:id="4"/>
      </w:r>
      <w:r w:rsidRPr="00D46A9A">
        <w:t xml:space="preserve"> </w:t>
      </w:r>
    </w:p>
    <w:p w14:paraId="06FF7238" w14:textId="77777777" w:rsidR="0078778E" w:rsidRPr="0078778E" w:rsidRDefault="0078778E" w:rsidP="00E61D88">
      <w:pPr>
        <w:pStyle w:val="Bullet1"/>
      </w:pPr>
      <w:r w:rsidRPr="0078778E">
        <w:t>to promote the availability to audiences throughout Australia of a diverse range of services</w:t>
      </w:r>
      <w:r w:rsidR="00CB1B01">
        <w:t>;</w:t>
      </w:r>
      <w:r w:rsidRPr="0078778E">
        <w:t xml:space="preserve"> </w:t>
      </w:r>
    </w:p>
    <w:p w14:paraId="10CD7815" w14:textId="77777777" w:rsidR="0078778E" w:rsidRPr="0078778E" w:rsidRDefault="0086223E" w:rsidP="00E61D88">
      <w:pPr>
        <w:pStyle w:val="Bullet1"/>
      </w:pPr>
      <w:r>
        <w:rPr>
          <w:lang w:val="en-AU"/>
        </w:rPr>
        <w:t xml:space="preserve">to provide </w:t>
      </w:r>
      <w:r w:rsidR="0078778E" w:rsidRPr="0078778E">
        <w:t>a regulatory environment that will facilitate the development of an industry that is efficient, competitive and responsive to audience needs</w:t>
      </w:r>
      <w:r w:rsidR="00CB1B01">
        <w:t>;</w:t>
      </w:r>
      <w:r w:rsidR="0078778E" w:rsidRPr="0078778E">
        <w:t xml:space="preserve"> </w:t>
      </w:r>
    </w:p>
    <w:p w14:paraId="358477C6" w14:textId="77777777" w:rsidR="0078778E" w:rsidRPr="0078778E" w:rsidRDefault="0086223E" w:rsidP="00E61D88">
      <w:pPr>
        <w:pStyle w:val="Bullet1"/>
      </w:pPr>
      <w:r>
        <w:rPr>
          <w:lang w:val="en-AU"/>
        </w:rPr>
        <w:t xml:space="preserve">to promote </w:t>
      </w:r>
      <w:r w:rsidR="0078778E" w:rsidRPr="0078778E">
        <w:t xml:space="preserve">the development of a sense of Australian identity, character and cultural diversity; and </w:t>
      </w:r>
    </w:p>
    <w:p w14:paraId="35F3BEF9" w14:textId="77777777" w:rsidR="0078778E" w:rsidRPr="0078778E" w:rsidRDefault="0086223E" w:rsidP="00E61D88">
      <w:pPr>
        <w:pStyle w:val="Bullet1"/>
      </w:pPr>
      <w:r>
        <w:rPr>
          <w:lang w:val="en-AU"/>
        </w:rPr>
        <w:t xml:space="preserve">to promote </w:t>
      </w:r>
      <w:r w:rsidR="0078778E" w:rsidRPr="0078778E">
        <w:t xml:space="preserve">the provision of high quality and innovative programming. </w:t>
      </w:r>
    </w:p>
    <w:p w14:paraId="62F21A57" w14:textId="242EF97C" w:rsidR="00FF2852" w:rsidRDefault="0078778E" w:rsidP="00A540D0">
      <w:r w:rsidRPr="0078778E">
        <w:t xml:space="preserve">The Government </w:t>
      </w:r>
      <w:r w:rsidR="00812C25">
        <w:t>has undertaken</w:t>
      </w:r>
      <w:r w:rsidR="00812C25" w:rsidRPr="0078778E">
        <w:t xml:space="preserve"> </w:t>
      </w:r>
      <w:r w:rsidRPr="0078778E">
        <w:t xml:space="preserve">extensive consultation to inform development of </w:t>
      </w:r>
      <w:r w:rsidR="00812C25">
        <w:t>this</w:t>
      </w:r>
      <w:r w:rsidRPr="0078778E">
        <w:t xml:space="preserve"> requirement. Initial consultation was conducted </w:t>
      </w:r>
      <w:r w:rsidR="008C4A6C">
        <w:t>during the development of the</w:t>
      </w:r>
      <w:r w:rsidRPr="0078778E">
        <w:t xml:space="preserve"> National Cultural Policy, </w:t>
      </w:r>
      <w:r w:rsidRPr="0078778E">
        <w:rPr>
          <w:i/>
        </w:rPr>
        <w:t>Revive</w:t>
      </w:r>
      <w:r w:rsidR="00F71BC7">
        <w:t>,</w:t>
      </w:r>
      <w:r w:rsidRPr="0078778E">
        <w:t xml:space="preserve"> which sought views on a range of issues relevant to Australia’s arts, culture and entertainment sectors, including </w:t>
      </w:r>
      <w:r w:rsidR="008C4A6C">
        <w:t xml:space="preserve">local </w:t>
      </w:r>
      <w:r w:rsidRPr="0078778E">
        <w:t xml:space="preserve">content requirements for </w:t>
      </w:r>
      <w:r w:rsidR="0002641B">
        <w:t>SVOD</w:t>
      </w:r>
      <w:r w:rsidRPr="0078778E">
        <w:t xml:space="preserve">s. Following publication of </w:t>
      </w:r>
      <w:r w:rsidRPr="0078778E">
        <w:rPr>
          <w:i/>
        </w:rPr>
        <w:t>Revive</w:t>
      </w:r>
      <w:r w:rsidRPr="0078778E">
        <w:t xml:space="preserve"> on 30 January 2023,</w:t>
      </w:r>
      <w:r w:rsidRPr="0078778E">
        <w:rPr>
          <w:rStyle w:val="FootnoteReference"/>
        </w:rPr>
        <w:footnoteReference w:id="5"/>
      </w:r>
      <w:r w:rsidRPr="0078778E">
        <w:t xml:space="preserve"> </w:t>
      </w:r>
      <w:r w:rsidR="00FF2852">
        <w:t xml:space="preserve">successive rounds of </w:t>
      </w:r>
      <w:r w:rsidRPr="0078778E">
        <w:t xml:space="preserve">targeted consultation was undertaken with industry </w:t>
      </w:r>
      <w:r w:rsidR="00F71BC7">
        <w:t xml:space="preserve">stakeholders </w:t>
      </w:r>
      <w:r w:rsidRPr="0078778E">
        <w:t xml:space="preserve">directly impacted by the </w:t>
      </w:r>
      <w:r w:rsidR="008C4A6C">
        <w:t xml:space="preserve">proposed </w:t>
      </w:r>
      <w:r w:rsidRPr="0078778E">
        <w:t xml:space="preserve">requirement, including the screen production sector, free-to-air television broadcasters, </w:t>
      </w:r>
      <w:r w:rsidR="008C4A6C">
        <w:t xml:space="preserve">other </w:t>
      </w:r>
      <w:r w:rsidRPr="0078778E">
        <w:t>subscription television broadcasters and</w:t>
      </w:r>
      <w:r w:rsidR="00C357D0">
        <w:t xml:space="preserve"> </w:t>
      </w:r>
      <w:r w:rsidR="0002641B">
        <w:t>SVOD</w:t>
      </w:r>
      <w:r w:rsidR="00C357D0">
        <w:t>s</w:t>
      </w:r>
      <w:r w:rsidRPr="0078778E">
        <w:t>. The views of stakeholders and the analysis undertaken through</w:t>
      </w:r>
      <w:r w:rsidR="00FF2852">
        <w:t xml:space="preserve">out the consultation </w:t>
      </w:r>
      <w:r w:rsidRPr="0078778E">
        <w:t xml:space="preserve">process </w:t>
      </w:r>
      <w:r w:rsidR="00FF2852">
        <w:t xml:space="preserve">has </w:t>
      </w:r>
      <w:r w:rsidRPr="0078778E">
        <w:t>informed the development of the</w:t>
      </w:r>
      <w:r w:rsidR="00E5659F">
        <w:t xml:space="preserve"> final</w:t>
      </w:r>
      <w:r w:rsidRPr="0078778E">
        <w:t xml:space="preserve"> recommended model for Australian screen content requirements </w:t>
      </w:r>
      <w:r w:rsidR="00FF2852">
        <w:t xml:space="preserve">on </w:t>
      </w:r>
      <w:r w:rsidR="0002641B">
        <w:t>SVOD</w:t>
      </w:r>
      <w:r w:rsidRPr="0078778E">
        <w:t xml:space="preserve">s. </w:t>
      </w:r>
    </w:p>
    <w:p w14:paraId="21C16295" w14:textId="3925C7F0" w:rsidR="00F30272" w:rsidRDefault="00FF2852" w:rsidP="00A540D0">
      <w:r w:rsidRPr="0078778E">
        <w:t>Th</w:t>
      </w:r>
      <w:r>
        <w:t>e</w:t>
      </w:r>
      <w:r w:rsidRPr="0078778E">
        <w:t xml:space="preserve"> </w:t>
      </w:r>
      <w:r w:rsidR="0078778E" w:rsidRPr="0078778E">
        <w:t xml:space="preserve">proposal is to introduce a requirement for </w:t>
      </w:r>
      <w:r w:rsidR="0002641B">
        <w:t>SVOD</w:t>
      </w:r>
      <w:r w:rsidR="0078778E" w:rsidRPr="0078778E">
        <w:t xml:space="preserve">s to </w:t>
      </w:r>
      <w:r w:rsidR="00DC0EC2" w:rsidRPr="0048481E">
        <w:t>invest at least 10 per cent of their total program expenditure in Australia (excluding news and sport) on new Australian commissions</w:t>
      </w:r>
      <w:r w:rsidR="0078778E" w:rsidRPr="0078778E">
        <w:t xml:space="preserve">. </w:t>
      </w:r>
      <w:r w:rsidR="00DC0EC2" w:rsidRPr="0048481E">
        <w:t>Total program expenditure includes programs available on a streaming platform operating in Australia that are globally commissioned or licensed or otherwise not subject to licensing payment for the Australian market (global content).</w:t>
      </w:r>
      <w:r w:rsidR="00DC0EC2">
        <w:t xml:space="preserve"> </w:t>
      </w:r>
      <w:r w:rsidR="0078778E" w:rsidRPr="0078778E">
        <w:t xml:space="preserve">The </w:t>
      </w:r>
      <w:r w:rsidR="00DC0EC2">
        <w:t>proposed requirement also</w:t>
      </w:r>
      <w:r w:rsidR="0078778E" w:rsidRPr="0078778E">
        <w:t>:</w:t>
      </w:r>
    </w:p>
    <w:p w14:paraId="12EFC1AD" w14:textId="7697C7E2" w:rsidR="004324C6" w:rsidRPr="00A540D0" w:rsidDel="00F207F3" w:rsidRDefault="004324C6" w:rsidP="00E61D88">
      <w:pPr>
        <w:pStyle w:val="Bullet1"/>
      </w:pPr>
      <w:r w:rsidRPr="00A540D0">
        <w:t>i</w:t>
      </w:r>
      <w:r w:rsidRPr="00A540D0" w:rsidDel="00F207F3">
        <w:t>nclude</w:t>
      </w:r>
      <w:r w:rsidR="00DC0EC2" w:rsidRPr="00A540D0">
        <w:t>s</w:t>
      </w:r>
      <w:r w:rsidRPr="00A540D0" w:rsidDel="00F207F3">
        <w:t xml:space="preserve"> a</w:t>
      </w:r>
      <w:r w:rsidRPr="00A540D0">
        <w:t xml:space="preserve"> voluntary</w:t>
      </w:r>
      <w:r w:rsidRPr="00A540D0" w:rsidDel="00F207F3">
        <w:t xml:space="preserve"> </w:t>
      </w:r>
      <w:r w:rsidRPr="00A540D0">
        <w:t xml:space="preserve">revenue </w:t>
      </w:r>
      <w:r w:rsidRPr="00A540D0" w:rsidDel="00F207F3">
        <w:t xml:space="preserve">option for </w:t>
      </w:r>
      <w:r w:rsidR="0002641B">
        <w:t>SVOD</w:t>
      </w:r>
      <w:r w:rsidRPr="00A540D0">
        <w:t>s</w:t>
      </w:r>
      <w:r w:rsidRPr="00A540D0" w:rsidDel="00F207F3">
        <w:t xml:space="preserve"> to acquit their </w:t>
      </w:r>
      <w:r w:rsidRPr="00A540D0">
        <w:t>requirement</w:t>
      </w:r>
      <w:r w:rsidRPr="00A540D0" w:rsidDel="00F207F3">
        <w:t xml:space="preserve">s by calculating their content </w:t>
      </w:r>
      <w:r w:rsidRPr="00A540D0">
        <w:t>obligation</w:t>
      </w:r>
      <w:r w:rsidRPr="00A540D0" w:rsidDel="00F207F3">
        <w:t xml:space="preserve"> based on 7</w:t>
      </w:r>
      <w:r w:rsidRPr="00A540D0">
        <w:t>5</w:t>
      </w:r>
      <w:r w:rsidRPr="00A540D0" w:rsidDel="00F207F3">
        <w:t xml:space="preserve"> per cent of the expenditure </w:t>
      </w:r>
      <w:r w:rsidRPr="00A540D0">
        <w:t xml:space="preserve">requirement numerator (for example, </w:t>
      </w:r>
      <w:r w:rsidRPr="00A540D0" w:rsidDel="00F207F3">
        <w:t>7.5 per cent of</w:t>
      </w:r>
      <w:r w:rsidRPr="00A540D0">
        <w:t xml:space="preserve"> their Australian</w:t>
      </w:r>
      <w:r w:rsidRPr="00A540D0" w:rsidDel="00F207F3">
        <w:t xml:space="preserve"> </w:t>
      </w:r>
      <w:r w:rsidRPr="00A540D0">
        <w:t xml:space="preserve">subscriber and advertising </w:t>
      </w:r>
      <w:r w:rsidRPr="00A540D0" w:rsidDel="00F207F3">
        <w:t xml:space="preserve">revenue </w:t>
      </w:r>
      <w:r w:rsidRPr="00A540D0">
        <w:t>rather than</w:t>
      </w:r>
      <w:r w:rsidRPr="00A540D0" w:rsidDel="00F207F3">
        <w:t xml:space="preserve"> 10 per cent of </w:t>
      </w:r>
      <w:r w:rsidRPr="00A540D0">
        <w:t xml:space="preserve">Australian </w:t>
      </w:r>
      <w:r w:rsidRPr="00A540D0" w:rsidDel="00F207F3">
        <w:t>expenditure)</w:t>
      </w:r>
      <w:r w:rsidRPr="00A540D0">
        <w:t>;</w:t>
      </w:r>
    </w:p>
    <w:p w14:paraId="12E5D1A2" w14:textId="37DC2B67" w:rsidR="004324C6" w:rsidRPr="00A540D0" w:rsidDel="00F207F3" w:rsidRDefault="004324C6" w:rsidP="00E61D88">
      <w:pPr>
        <w:pStyle w:val="Bullet1"/>
      </w:pPr>
      <w:r w:rsidRPr="00A540D0">
        <w:t>a</w:t>
      </w:r>
      <w:r w:rsidRPr="00A540D0" w:rsidDel="00F207F3">
        <w:t>ppl</w:t>
      </w:r>
      <w:r w:rsidR="00DC0EC2" w:rsidRPr="00A540D0">
        <w:t>ies</w:t>
      </w:r>
      <w:r w:rsidRPr="00A540D0" w:rsidDel="00F207F3">
        <w:t xml:space="preserve"> to </w:t>
      </w:r>
      <w:r w:rsidR="0002641B">
        <w:t>SVOD</w:t>
      </w:r>
      <w:r w:rsidRPr="00A540D0" w:rsidDel="00F207F3">
        <w:t xml:space="preserve">s operating in Australia with </w:t>
      </w:r>
      <w:r w:rsidR="00262737">
        <w:rPr>
          <w:lang w:val="en-AU"/>
        </w:rPr>
        <w:t xml:space="preserve">at least </w:t>
      </w:r>
      <w:r w:rsidRPr="00A540D0" w:rsidDel="00F207F3">
        <w:t>1 million Australian subscribers;</w:t>
      </w:r>
    </w:p>
    <w:p w14:paraId="15A7E7C8" w14:textId="77777777" w:rsidR="004324C6" w:rsidRPr="00A540D0" w:rsidRDefault="00DC0EC2" w:rsidP="00E61D88">
      <w:pPr>
        <w:pStyle w:val="Bullet1"/>
      </w:pPr>
      <w:r w:rsidRPr="00A540D0">
        <w:t xml:space="preserve">does </w:t>
      </w:r>
      <w:r w:rsidR="004324C6" w:rsidRPr="00A540D0">
        <w:t xml:space="preserve">not require specific sub-quotas for children’s or documentary content; </w:t>
      </w:r>
    </w:p>
    <w:p w14:paraId="65739269" w14:textId="17DB1DDE" w:rsidR="004324C6" w:rsidRPr="00A540D0" w:rsidDel="00F207F3" w:rsidRDefault="004324C6" w:rsidP="00E61D88">
      <w:pPr>
        <w:pStyle w:val="Bullet1"/>
      </w:pPr>
      <w:r w:rsidRPr="00A540D0">
        <w:t>u</w:t>
      </w:r>
      <w:r w:rsidRPr="00A540D0" w:rsidDel="00F207F3">
        <w:t>se</w:t>
      </w:r>
      <w:r w:rsidR="00DC0EC2" w:rsidRPr="00A540D0">
        <w:t>s</w:t>
      </w:r>
      <w:r w:rsidRPr="00A540D0" w:rsidDel="00F207F3">
        <w:t xml:space="preserve"> the definition of Australian </w:t>
      </w:r>
      <w:r w:rsidRPr="00A540D0">
        <w:t>content</w:t>
      </w:r>
      <w:r w:rsidRPr="00A540D0" w:rsidDel="00F207F3">
        <w:t xml:space="preserve"> set out in the</w:t>
      </w:r>
      <w:r w:rsidR="00C3171A">
        <w:rPr>
          <w:lang w:val="en-AU"/>
        </w:rPr>
        <w:t xml:space="preserve"> </w:t>
      </w:r>
      <w:r w:rsidR="00C3171A" w:rsidRPr="00FA7428">
        <w:rPr>
          <w:i/>
          <w:lang w:val="en-AU"/>
        </w:rPr>
        <w:t>Broadcasting Services (Australian Content and Children’s Television) Standards 2020</w:t>
      </w:r>
      <w:r w:rsidRPr="00A540D0" w:rsidDel="00F207F3">
        <w:t xml:space="preserve"> (ACCTS)</w:t>
      </w:r>
      <w:r w:rsidR="00E019B4">
        <w:rPr>
          <w:lang w:val="en-AU"/>
        </w:rPr>
        <w:t xml:space="preserve"> (this definition is </w:t>
      </w:r>
      <w:r w:rsidR="00FA7428">
        <w:rPr>
          <w:lang w:val="en-AU"/>
        </w:rPr>
        <w:t xml:space="preserve">currently </w:t>
      </w:r>
      <w:r w:rsidR="00E019B4">
        <w:rPr>
          <w:lang w:val="en-AU"/>
        </w:rPr>
        <w:t>relevant to obligations that</w:t>
      </w:r>
      <w:r w:rsidRPr="00A540D0" w:rsidDel="00F207F3">
        <w:t xml:space="preserve"> appl</w:t>
      </w:r>
      <w:r w:rsidR="00E019B4">
        <w:rPr>
          <w:lang w:val="en-AU"/>
        </w:rPr>
        <w:t>y</w:t>
      </w:r>
      <w:r w:rsidRPr="00A540D0" w:rsidDel="00F207F3">
        <w:t xml:space="preserve"> to </w:t>
      </w:r>
      <w:r w:rsidR="00E019B4">
        <w:rPr>
          <w:lang w:val="en-AU"/>
        </w:rPr>
        <w:t xml:space="preserve">commercial </w:t>
      </w:r>
      <w:r w:rsidRPr="00A540D0" w:rsidDel="00F207F3">
        <w:t>free-to-air a</w:t>
      </w:r>
      <w:r w:rsidR="001356A6">
        <w:rPr>
          <w:lang w:val="en-AU"/>
        </w:rPr>
        <w:t>s well as</w:t>
      </w:r>
      <w:r w:rsidRPr="00A540D0" w:rsidDel="00F207F3">
        <w:t xml:space="preserve"> other subscription</w:t>
      </w:r>
      <w:r w:rsidR="00E019B4">
        <w:rPr>
          <w:lang w:val="en-AU"/>
        </w:rPr>
        <w:t xml:space="preserve"> television</w:t>
      </w:r>
      <w:r w:rsidRPr="00A540D0" w:rsidDel="00F207F3">
        <w:t xml:space="preserve"> broadcasters</w:t>
      </w:r>
      <w:r w:rsidR="00E019B4">
        <w:rPr>
          <w:lang w:val="en-AU"/>
        </w:rPr>
        <w:t>)</w:t>
      </w:r>
      <w:r w:rsidRPr="00A540D0" w:rsidDel="00F207F3">
        <w:t>;</w:t>
      </w:r>
    </w:p>
    <w:p w14:paraId="1DC4AD2C" w14:textId="77777777" w:rsidR="004324C6" w:rsidRPr="00F32FD7" w:rsidDel="00F207F3" w:rsidRDefault="004324C6" w:rsidP="00E61D88">
      <w:pPr>
        <w:pStyle w:val="Bullet1"/>
      </w:pPr>
      <w:r w:rsidRPr="0048481E">
        <w:t>h</w:t>
      </w:r>
      <w:r w:rsidRPr="0048481E" w:rsidDel="00F207F3">
        <w:t>a</w:t>
      </w:r>
      <w:r w:rsidR="00DC0EC2">
        <w:t>s</w:t>
      </w:r>
      <w:r w:rsidRPr="0048481E" w:rsidDel="00F207F3">
        <w:t xml:space="preserve"> a three-year carry over period for </w:t>
      </w:r>
      <w:r w:rsidRPr="0048481E">
        <w:t xml:space="preserve">the acquittal of </w:t>
      </w:r>
      <w:r w:rsidRPr="0048481E" w:rsidDel="00F207F3">
        <w:t>expenditure</w:t>
      </w:r>
      <w:r w:rsidRPr="0048481E">
        <w:t>; and</w:t>
      </w:r>
    </w:p>
    <w:p w14:paraId="1D344176" w14:textId="77777777" w:rsidR="004324C6" w:rsidRPr="00F32FD7" w:rsidRDefault="004324C6" w:rsidP="00E61D88">
      <w:pPr>
        <w:pStyle w:val="Bullet1"/>
      </w:pPr>
      <w:r w:rsidRPr="0048481E">
        <w:lastRenderedPageBreak/>
        <w:t xml:space="preserve">requires a statutory review to be conducted four years after </w:t>
      </w:r>
      <w:r w:rsidR="00DC0EC2">
        <w:t>commencement</w:t>
      </w:r>
      <w:r w:rsidRPr="0048481E">
        <w:t xml:space="preserve"> to make sure the requirement is operating effectively. </w:t>
      </w:r>
    </w:p>
    <w:p w14:paraId="78C0027D" w14:textId="77777777" w:rsidR="005F794B" w:rsidRPr="005F794B" w:rsidRDefault="0078778E" w:rsidP="005F794B">
      <w:pPr>
        <w:pStyle w:val="Heading2"/>
      </w:pPr>
      <w:bookmarkStart w:id="4" w:name="_Toc212099779"/>
      <w:r>
        <w:t>Background</w:t>
      </w:r>
      <w:bookmarkEnd w:id="4"/>
    </w:p>
    <w:p w14:paraId="792C5F35" w14:textId="77777777" w:rsidR="0078778E" w:rsidRDefault="0078778E" w:rsidP="0078778E">
      <w:pPr>
        <w:pStyle w:val="Heading3"/>
      </w:pPr>
      <w:bookmarkStart w:id="5" w:name="_Toc156313401"/>
      <w:bookmarkStart w:id="6" w:name="_Toc156484922"/>
      <w:bookmarkStart w:id="7" w:name="_Toc156484994"/>
      <w:bookmarkStart w:id="8" w:name="_Toc156485066"/>
      <w:bookmarkStart w:id="9" w:name="_Toc156485138"/>
      <w:bookmarkStart w:id="10" w:name="_Toc156485210"/>
      <w:bookmarkStart w:id="11" w:name="_Toc212099780"/>
      <w:r>
        <w:t xml:space="preserve">Australian content </w:t>
      </w:r>
      <w:bookmarkEnd w:id="5"/>
      <w:bookmarkEnd w:id="6"/>
      <w:bookmarkEnd w:id="7"/>
      <w:bookmarkEnd w:id="8"/>
      <w:bookmarkEnd w:id="9"/>
      <w:bookmarkEnd w:id="10"/>
      <w:r w:rsidR="003120F4">
        <w:t>regulation in Australia</w:t>
      </w:r>
      <w:bookmarkEnd w:id="11"/>
    </w:p>
    <w:p w14:paraId="364D6060" w14:textId="76EECE79" w:rsidR="0078778E" w:rsidRPr="00B77B85" w:rsidRDefault="0078778E" w:rsidP="00A540D0">
      <w:r w:rsidRPr="005C5ACE">
        <w:t xml:space="preserve">Media regulation is used to produce social, cultural and economic outcomes for Australian audiences, the general public and those who work in the media sector, including those who make content. Regulation </w:t>
      </w:r>
      <w:r w:rsidR="00311699" w:rsidRPr="005C5ACE">
        <w:t>helps make sure that</w:t>
      </w:r>
      <w:r w:rsidRPr="005C5ACE">
        <w:t xml:space="preserve"> Australian content is made available to Australian audiences </w:t>
      </w:r>
      <w:r w:rsidR="002A5D19" w:rsidRPr="005C5ACE">
        <w:t xml:space="preserve">across </w:t>
      </w:r>
      <w:r w:rsidRPr="005C5ACE">
        <w:t xml:space="preserve">the platforms and media they access. It </w:t>
      </w:r>
      <w:r w:rsidR="00DC0EC2" w:rsidRPr="005C5ACE">
        <w:t xml:space="preserve">makes sure </w:t>
      </w:r>
      <w:r w:rsidRPr="005C5ACE">
        <w:t>that Australian stories have a place to be told and be seen, and contributes to the building of a modern, distinct and confident Australia</w:t>
      </w:r>
      <w:r w:rsidR="00311699" w:rsidRPr="005C5ACE">
        <w:t>n identity</w:t>
      </w:r>
      <w:r w:rsidRPr="005C5ACE">
        <w:t xml:space="preserve">. Regulation </w:t>
      </w:r>
      <w:r w:rsidR="00DE0E88" w:rsidRPr="005C5ACE">
        <w:t xml:space="preserve">also gives </w:t>
      </w:r>
      <w:r w:rsidRPr="005C5ACE">
        <w:t xml:space="preserve">Australian </w:t>
      </w:r>
      <w:r w:rsidR="00DE0E88" w:rsidRPr="005C5ACE">
        <w:t xml:space="preserve">screen </w:t>
      </w:r>
      <w:r w:rsidRPr="005C5ACE">
        <w:t xml:space="preserve">producers and </w:t>
      </w:r>
      <w:r w:rsidR="00DE0E88" w:rsidRPr="005C5ACE">
        <w:t xml:space="preserve">creatives </w:t>
      </w:r>
      <w:r w:rsidRPr="005C5ACE">
        <w:t xml:space="preserve">certainty around </w:t>
      </w:r>
      <w:r w:rsidR="00DE0E88" w:rsidRPr="005C5ACE">
        <w:t>current and future</w:t>
      </w:r>
      <w:r w:rsidRPr="005C5ACE">
        <w:t xml:space="preserve"> demand for Australian content. </w:t>
      </w:r>
      <w:r w:rsidR="00DE0E88" w:rsidRPr="005C5ACE">
        <w:t>Otherwise</w:t>
      </w:r>
      <w:r w:rsidRPr="005C5ACE">
        <w:t xml:space="preserve">, there is no guarantee that </w:t>
      </w:r>
      <w:r w:rsidR="00F71BC7" w:rsidRPr="005C5ACE">
        <w:t xml:space="preserve">the </w:t>
      </w:r>
      <w:r w:rsidRPr="005C5ACE">
        <w:t xml:space="preserve">media platforms that operate in Australia </w:t>
      </w:r>
      <w:r w:rsidR="00B000BC" w:rsidRPr="00B000BC">
        <w:t xml:space="preserve">will produce and make Australian content available to Australian </w:t>
      </w:r>
      <w:r w:rsidR="00B15A53" w:rsidRPr="00B000BC">
        <w:t>consumers</w:t>
      </w:r>
      <w:r w:rsidRPr="005C5ACE">
        <w:t>.</w:t>
      </w:r>
    </w:p>
    <w:p w14:paraId="10098226" w14:textId="68B5F45B" w:rsidR="009916C2" w:rsidRDefault="0002641B" w:rsidP="00CD4ECB">
      <w:pPr>
        <w:spacing w:before="0" w:after="120" w:line="264" w:lineRule="auto"/>
      </w:pPr>
      <w:r>
        <w:t>SVOD</w:t>
      </w:r>
      <w:r w:rsidR="00DE0E88" w:rsidRPr="00B61E2A">
        <w:t>s are now a significant source of culture and entertainment for Australian audiences.</w:t>
      </w:r>
      <w:r w:rsidR="00DE0E88">
        <w:t xml:space="preserve"> </w:t>
      </w:r>
      <w:r w:rsidR="0078778E" w:rsidRPr="000F6889">
        <w:t xml:space="preserve">In 2022, </w:t>
      </w:r>
      <w:r>
        <w:t>SVOD</w:t>
      </w:r>
      <w:r w:rsidR="0078778E">
        <w:t>s overtook free-to-air television as the most popular means of accessing screen content by Australian audiences.</w:t>
      </w:r>
      <w:r w:rsidR="0078778E">
        <w:rPr>
          <w:rStyle w:val="FootnoteReference"/>
        </w:rPr>
        <w:footnoteReference w:id="6"/>
      </w:r>
      <w:r w:rsidR="0078778E">
        <w:t xml:space="preserve"> </w:t>
      </w:r>
      <w:r w:rsidR="00F17F55">
        <w:t xml:space="preserve">The </w:t>
      </w:r>
      <w:r w:rsidR="002003EC">
        <w:t>Australian Media and Communications Authority’s (</w:t>
      </w:r>
      <w:r w:rsidR="00F17F55" w:rsidRPr="00D90809">
        <w:t>ACMA</w:t>
      </w:r>
      <w:r w:rsidR="002003EC">
        <w:t>)</w:t>
      </w:r>
      <w:r w:rsidR="00F17F55" w:rsidRPr="00D90809">
        <w:t xml:space="preserve"> </w:t>
      </w:r>
      <w:r w:rsidR="00F17F55" w:rsidRPr="00D90809">
        <w:rPr>
          <w:i/>
        </w:rPr>
        <w:t>Trends and Developments in viewing</w:t>
      </w:r>
      <w:r w:rsidR="00F17F55" w:rsidRPr="00E4490D">
        <w:rPr>
          <w:i/>
        </w:rPr>
        <w:t xml:space="preserve"> and listening 2023-24</w:t>
      </w:r>
      <w:r w:rsidR="00F17F55" w:rsidRPr="006C56D9">
        <w:t xml:space="preserve"> report stated that </w:t>
      </w:r>
      <w:r>
        <w:t>SVOD</w:t>
      </w:r>
      <w:r w:rsidR="00F17F55">
        <w:t>s</w:t>
      </w:r>
      <w:r w:rsidR="00F17F55" w:rsidRPr="006C56D9">
        <w:t xml:space="preserve"> are the most popular way for Australians to consume online screen content and were used by 69 per cent of Australians in 2024.</w:t>
      </w:r>
      <w:r w:rsidR="00F17F55">
        <w:rPr>
          <w:rStyle w:val="FootnoteReference"/>
        </w:rPr>
        <w:footnoteReference w:id="7"/>
      </w:r>
      <w:r w:rsidR="00F17F55">
        <w:t xml:space="preserve"> </w:t>
      </w:r>
      <w:r w:rsidR="00ED5130">
        <w:t xml:space="preserve">This is demonstrated in the below </w:t>
      </w:r>
      <w:r w:rsidR="005D3021">
        <w:t>graph</w:t>
      </w:r>
      <w:r w:rsidR="00ED5130">
        <w:t xml:space="preserve"> which shows a </w:t>
      </w:r>
      <w:r w:rsidR="00E461D7">
        <w:t>stead</w:t>
      </w:r>
      <w:r w:rsidR="003C2A05">
        <w:t>y</w:t>
      </w:r>
      <w:r w:rsidR="0078778E" w:rsidRPr="00B61E2A">
        <w:t xml:space="preserve"> increase</w:t>
      </w:r>
      <w:r w:rsidR="00ED5130">
        <w:t xml:space="preserve"> in the popularity of online screen content since</w:t>
      </w:r>
      <w:r w:rsidR="0078778E" w:rsidRPr="00B61E2A">
        <w:t xml:space="preserve"> </w:t>
      </w:r>
      <w:r w:rsidR="00F17F55" w:rsidRPr="00B61E2A">
        <w:t>2019</w:t>
      </w:r>
      <w:r w:rsidR="0078778E" w:rsidRPr="00B61E2A">
        <w:t>.</w:t>
      </w:r>
      <w:r w:rsidR="0078778E" w:rsidRPr="00B61E2A">
        <w:rPr>
          <w:rStyle w:val="FootnoteReference"/>
        </w:rPr>
        <w:footnoteReference w:id="8"/>
      </w:r>
      <w:r w:rsidR="000A214A">
        <w:t xml:space="preserve"> </w:t>
      </w:r>
      <w:r w:rsidR="00F17F55" w:rsidRPr="00B61E2A">
        <w:rPr>
          <w:rStyle w:val="FootnoteReference"/>
        </w:rPr>
        <w:footnoteReference w:id="9"/>
      </w:r>
      <w:r w:rsidR="0078778E" w:rsidRPr="00B77B85">
        <w:t xml:space="preserve"> By comparison, viewing of commercial free-to-air broadcast television </w:t>
      </w:r>
      <w:r w:rsidR="00ED5130">
        <w:t xml:space="preserve">has been declining since </w:t>
      </w:r>
      <w:r w:rsidR="006666A8" w:rsidRPr="00B77B85">
        <w:t>2019.</w:t>
      </w:r>
      <w:r w:rsidR="006666A8" w:rsidRPr="00B61E2A">
        <w:rPr>
          <w:rStyle w:val="FootnoteReference"/>
        </w:rPr>
        <w:footnoteReference w:id="10"/>
      </w:r>
      <w:r w:rsidR="006666A8" w:rsidRPr="00B61E2A">
        <w:t xml:space="preserve"> </w:t>
      </w:r>
      <w:r w:rsidR="006666A8" w:rsidRPr="00B61E2A">
        <w:rPr>
          <w:rStyle w:val="FootnoteReference"/>
        </w:rPr>
        <w:footnoteReference w:id="11"/>
      </w:r>
      <w:r w:rsidR="006666A8" w:rsidRPr="00B61E2A">
        <w:t xml:space="preserve"> </w:t>
      </w:r>
      <w:r w:rsidR="006666A8" w:rsidRPr="00B61E2A">
        <w:rPr>
          <w:rStyle w:val="FootnoteReference"/>
        </w:rPr>
        <w:footnoteReference w:id="12"/>
      </w:r>
      <w:r w:rsidR="006666A8" w:rsidRPr="00B61E2A">
        <w:t xml:space="preserve"> </w:t>
      </w:r>
      <w:r w:rsidR="00DE0E88">
        <w:t>Other s</w:t>
      </w:r>
      <w:r w:rsidR="0078778E" w:rsidRPr="00B61E2A">
        <w:t xml:space="preserve">ubscription television broadcasters </w:t>
      </w:r>
      <w:r w:rsidR="00DE0E88">
        <w:t>using cable or satellite</w:t>
      </w:r>
      <w:r w:rsidR="0078778E" w:rsidRPr="00B61E2A">
        <w:t xml:space="preserve"> also saw a decline in viewership ov</w:t>
      </w:r>
      <w:r w:rsidR="0048084C">
        <w:t>e</w:t>
      </w:r>
      <w:r w:rsidR="0078778E" w:rsidRPr="00B61E2A">
        <w:t>r the same period from 2</w:t>
      </w:r>
      <w:r w:rsidR="000A214A" w:rsidRPr="00B61E2A">
        <w:t>7</w:t>
      </w:r>
      <w:r w:rsidR="0078778E" w:rsidRPr="00B61E2A">
        <w:t xml:space="preserve"> per cent </w:t>
      </w:r>
      <w:r w:rsidR="000A214A" w:rsidRPr="00B61E2A">
        <w:t xml:space="preserve">in 2019 </w:t>
      </w:r>
      <w:r w:rsidR="0078778E" w:rsidRPr="00B61E2A">
        <w:t>to 2</w:t>
      </w:r>
      <w:r w:rsidR="000A214A" w:rsidRPr="00B61E2A">
        <w:t>0</w:t>
      </w:r>
      <w:r w:rsidR="0078778E" w:rsidRPr="00B61E2A">
        <w:t> per cent in 202</w:t>
      </w:r>
      <w:r w:rsidR="0048540E" w:rsidRPr="00B61E2A">
        <w:t>4</w:t>
      </w:r>
      <w:r w:rsidR="000A214A" w:rsidRPr="00B61E2A">
        <w:t>.</w:t>
      </w:r>
      <w:r w:rsidR="0048540E" w:rsidRPr="00B61E2A">
        <w:rPr>
          <w:rStyle w:val="FootnoteReference"/>
        </w:rPr>
        <w:footnoteReference w:id="13"/>
      </w:r>
      <w:r w:rsidR="0048540E" w:rsidRPr="00B61E2A">
        <w:t xml:space="preserve"> </w:t>
      </w:r>
      <w:r w:rsidR="0048540E" w:rsidRPr="00B61E2A">
        <w:rPr>
          <w:rStyle w:val="FootnoteReference"/>
        </w:rPr>
        <w:footnoteReference w:id="14"/>
      </w:r>
      <w:r w:rsidR="000A214A" w:rsidRPr="00B61E2A">
        <w:t xml:space="preserve"> </w:t>
      </w:r>
    </w:p>
    <w:p w14:paraId="7B53FFF3" w14:textId="1A2DEC64" w:rsidR="00CD4ECB" w:rsidRDefault="00CD4ECB" w:rsidP="00592D65">
      <w:pPr>
        <w:spacing w:before="0" w:after="120" w:line="264" w:lineRule="auto"/>
        <w:jc w:val="center"/>
      </w:pPr>
      <w:r>
        <w:rPr>
          <w:noProof/>
          <w:lang w:eastAsia="en-AU"/>
        </w:rPr>
        <w:drawing>
          <wp:inline distT="0" distB="0" distL="0" distR="0" wp14:anchorId="37C5E914" wp14:editId="045DB679">
            <wp:extent cx="5311140" cy="22174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1140" cy="2217420"/>
                    </a:xfrm>
                    <a:prstGeom prst="rect">
                      <a:avLst/>
                    </a:prstGeom>
                    <a:noFill/>
                  </pic:spPr>
                </pic:pic>
              </a:graphicData>
            </a:graphic>
          </wp:inline>
        </w:drawing>
      </w:r>
    </w:p>
    <w:p w14:paraId="57D2A8B8" w14:textId="3A56C535" w:rsidR="0078778E" w:rsidRPr="00B77B85" w:rsidRDefault="0078778E" w:rsidP="00A540D0">
      <w:r w:rsidRPr="00B77B85">
        <w:t xml:space="preserve">Under the </w:t>
      </w:r>
      <w:r w:rsidR="00137A2E">
        <w:t>BSA</w:t>
      </w:r>
      <w:r w:rsidRPr="00B77B85">
        <w:t xml:space="preserve">, both free-to-air commercial television broadcasters and </w:t>
      </w:r>
      <w:r w:rsidR="00DE0E88">
        <w:t xml:space="preserve">other </w:t>
      </w:r>
      <w:r w:rsidRPr="00B77B85">
        <w:t xml:space="preserve">subscription television broadcasters are subject to Australian content requirements based on their ‘degree of influence’ in the Australian community. Free-to-air broadcasters are seen to have a high degree of influence as they provide free access to news and current affairs as well as programming of national relevance. </w:t>
      </w:r>
      <w:r w:rsidRPr="00592D65">
        <w:t xml:space="preserve">The </w:t>
      </w:r>
      <w:r w:rsidR="00413F28" w:rsidRPr="00592D65">
        <w:t>BSA</w:t>
      </w:r>
      <w:r w:rsidRPr="00A540D0">
        <w:t xml:space="preserve"> </w:t>
      </w:r>
      <w:r w:rsidRPr="00B77B85">
        <w:t>imposes transmission quota</w:t>
      </w:r>
      <w:r w:rsidR="002B0BD5">
        <w:t>s</w:t>
      </w:r>
      <w:r w:rsidRPr="00B77B85">
        <w:t xml:space="preserve"> on</w:t>
      </w:r>
      <w:r w:rsidR="005603BA">
        <w:t xml:space="preserve"> commercial television broadcasters which requires that their</w:t>
      </w:r>
      <w:r w:rsidRPr="00B77B85">
        <w:t xml:space="preserve"> main </w:t>
      </w:r>
      <w:r w:rsidR="002B0BD5">
        <w:t xml:space="preserve">(primary) </w:t>
      </w:r>
      <w:r w:rsidRPr="00B77B85">
        <w:lastRenderedPageBreak/>
        <w:t>broadcast channel</w:t>
      </w:r>
      <w:r w:rsidR="002B0BD5">
        <w:t>s</w:t>
      </w:r>
      <w:r w:rsidRPr="00B77B85">
        <w:t xml:space="preserve"> </w:t>
      </w:r>
      <w:r w:rsidR="005603BA">
        <w:t>broadcast</w:t>
      </w:r>
      <w:r w:rsidRPr="00B77B85">
        <w:t xml:space="preserve"> 55 per cent Australian content between 6am and midnight; and </w:t>
      </w:r>
      <w:r w:rsidR="005603BA">
        <w:t>that their</w:t>
      </w:r>
      <w:r w:rsidRPr="00B77B85">
        <w:t xml:space="preserve"> multi-channels</w:t>
      </w:r>
      <w:r w:rsidR="005603BA">
        <w:t xml:space="preserve"> broadcast, in total,</w:t>
      </w:r>
      <w:r w:rsidRPr="00B77B85">
        <w:t xml:space="preserve"> 1,460 hours of Australian content between 6am and midnight per year. In addition, the </w:t>
      </w:r>
      <w:r w:rsidRPr="00592D65">
        <w:t>ACCTS</w:t>
      </w:r>
      <w:r w:rsidR="002727AA">
        <w:rPr>
          <w:i/>
        </w:rPr>
        <w:t xml:space="preserve"> </w:t>
      </w:r>
      <w:r w:rsidR="002727AA">
        <w:t>r</w:t>
      </w:r>
      <w:r w:rsidRPr="00B77B85">
        <w:t>equire commercial free-to-air television broadcasters</w:t>
      </w:r>
      <w:r w:rsidR="002B0BD5">
        <w:t xml:space="preserve"> to </w:t>
      </w:r>
      <w:r w:rsidRPr="00B77B85">
        <w:t>broadcast</w:t>
      </w:r>
      <w:r w:rsidR="002B0BD5" w:rsidRPr="002B0BD5">
        <w:t xml:space="preserve"> minimum amounts of first release Australian content across specific genr</w:t>
      </w:r>
      <w:r w:rsidRPr="00B77B85">
        <w:t>e</w:t>
      </w:r>
      <w:r w:rsidR="002B0BD5">
        <w:t>s</w:t>
      </w:r>
      <w:r w:rsidRPr="00B77B85">
        <w:t>.</w:t>
      </w:r>
      <w:r w:rsidRPr="00B77B85">
        <w:rPr>
          <w:rStyle w:val="FootnoteReference"/>
        </w:rPr>
        <w:footnoteReference w:id="15"/>
      </w:r>
      <w:r w:rsidRPr="00B77B85">
        <w:t xml:space="preserve"> </w:t>
      </w:r>
    </w:p>
    <w:p w14:paraId="4F2BE2A1" w14:textId="5FA4E4B7" w:rsidR="0078778E" w:rsidRDefault="0078778E" w:rsidP="00A540D0">
      <w:r w:rsidRPr="00B77B85">
        <w:t>For subscription television broadcasters</w:t>
      </w:r>
      <w:r w:rsidR="00DE0E88">
        <w:t xml:space="preserve"> licensed under the </w:t>
      </w:r>
      <w:r w:rsidR="00413F28" w:rsidRPr="00592D65">
        <w:t>BSA</w:t>
      </w:r>
      <w:r w:rsidRPr="00B77B85">
        <w:t>, a different set of regulations apply</w:t>
      </w:r>
      <w:r w:rsidR="00CF1D70">
        <w:t>. K</w:t>
      </w:r>
      <w:r w:rsidRPr="00B77B85">
        <w:t xml:space="preserve">nown as the </w:t>
      </w:r>
      <w:r w:rsidRPr="0007552E">
        <w:t>New Eligible Drama Expenditure (NEDE) Scheme</w:t>
      </w:r>
      <w:r w:rsidR="00CF1D70">
        <w:t xml:space="preserve">, </w:t>
      </w:r>
      <w:r w:rsidRPr="00B77B85">
        <w:t>licensees are required to spend 10 per cent of expenditure on drama channels on new Australian drama. In 20</w:t>
      </w:r>
      <w:r w:rsidR="006A3BFD" w:rsidRPr="00B61E2A">
        <w:t>23</w:t>
      </w:r>
      <w:r w:rsidRPr="00B61E2A">
        <w:t>-2</w:t>
      </w:r>
      <w:r w:rsidR="006A3BFD" w:rsidRPr="00B61E2A">
        <w:t>4</w:t>
      </w:r>
      <w:r w:rsidRPr="00B61E2A">
        <w:t xml:space="preserve">, subscription broadcasters reported a total drama expenditure of </w:t>
      </w:r>
      <w:r w:rsidR="006A3BFD" w:rsidRPr="00B61E2A">
        <w:t xml:space="preserve">$106.31 million, </w:t>
      </w:r>
      <w:r w:rsidRPr="00B61E2A">
        <w:t>requiring $</w:t>
      </w:r>
      <w:r w:rsidR="006A3BFD" w:rsidRPr="00B61E2A">
        <w:t>10</w:t>
      </w:r>
      <w:r w:rsidRPr="00B61E2A">
        <w:t>.0</w:t>
      </w:r>
      <w:r w:rsidR="006A3BFD" w:rsidRPr="00B61E2A">
        <w:t>6</w:t>
      </w:r>
      <w:r w:rsidRPr="00B61E2A">
        <w:t> million to be spent on new Australian</w:t>
      </w:r>
      <w:r w:rsidR="006A3BFD" w:rsidRPr="00B61E2A">
        <w:t xml:space="preserve"> drama</w:t>
      </w:r>
      <w:r w:rsidR="00ED5130">
        <w:t xml:space="preserve"> this was down significantly from previous years</w:t>
      </w:r>
      <w:r w:rsidR="006A3BFD" w:rsidRPr="00B61E2A">
        <w:t>.</w:t>
      </w:r>
      <w:r w:rsidRPr="00B61E2A">
        <w:rPr>
          <w:rStyle w:val="FootnoteReference"/>
        </w:rPr>
        <w:footnoteReference w:id="16"/>
      </w:r>
      <w:r w:rsidRPr="00B61E2A">
        <w:t xml:space="preserve"> Subscription television viewership has been declining in recent years as audiences move to </w:t>
      </w:r>
      <w:r w:rsidR="0002641B">
        <w:t>SVOD</w:t>
      </w:r>
      <w:r w:rsidRPr="00B61E2A">
        <w:t>s</w:t>
      </w:r>
      <w:r w:rsidR="00BA61F8">
        <w:t>,</w:t>
      </w:r>
      <w:r w:rsidRPr="00B61E2A">
        <w:t xml:space="preserve"> which host a library of on-demand content that does not follow a linear broadcast schedule. </w:t>
      </w:r>
      <w:r w:rsidR="00ED5130">
        <w:t>The below graph shows this trend.</w:t>
      </w:r>
    </w:p>
    <w:p w14:paraId="218850FA" w14:textId="0A0748AB" w:rsidR="008E27E2" w:rsidRDefault="00CD4ECB" w:rsidP="0078778E">
      <w:pPr>
        <w:pStyle w:val="BodyText"/>
        <w:rPr>
          <w:sz w:val="22"/>
          <w:szCs w:val="22"/>
        </w:rPr>
      </w:pPr>
      <w:bookmarkStart w:id="12" w:name="_GoBack"/>
      <w:bookmarkEnd w:id="12"/>
      <w:r>
        <w:rPr>
          <w:noProof/>
          <w:sz w:val="22"/>
          <w:szCs w:val="22"/>
          <w:lang w:eastAsia="en-AU"/>
        </w:rPr>
        <w:drawing>
          <wp:inline distT="0" distB="0" distL="0" distR="0" wp14:anchorId="0A8448B1" wp14:editId="76CBF873">
            <wp:extent cx="6606540" cy="27432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6540" cy="2743200"/>
                    </a:xfrm>
                    <a:prstGeom prst="rect">
                      <a:avLst/>
                    </a:prstGeom>
                    <a:noFill/>
                  </pic:spPr>
                </pic:pic>
              </a:graphicData>
            </a:graphic>
          </wp:inline>
        </w:drawing>
      </w:r>
    </w:p>
    <w:p w14:paraId="059738E0" w14:textId="77777777" w:rsidR="008E27E2" w:rsidRDefault="00ED5130" w:rsidP="00592D65">
      <w:pPr>
        <w:pStyle w:val="BulletedListlvl1"/>
      </w:pPr>
      <w:r>
        <w:t xml:space="preserve">For 2019-20 and 2020-21, the target was effectively reduced from 10% to 5 % due to the impact of the COVID-19 pandemic on content production and supply chains. </w:t>
      </w:r>
    </w:p>
    <w:p w14:paraId="156DA9BE" w14:textId="77777777" w:rsidR="00ED5130" w:rsidRPr="00B77B85" w:rsidRDefault="00ED5130" w:rsidP="0078778E">
      <w:pPr>
        <w:pStyle w:val="BodyText"/>
        <w:rPr>
          <w:sz w:val="22"/>
          <w:szCs w:val="22"/>
        </w:rPr>
      </w:pPr>
    </w:p>
    <w:p w14:paraId="2B1592A0" w14:textId="63D28E7E" w:rsidR="0078778E" w:rsidRDefault="0078778E" w:rsidP="00A540D0">
      <w:r w:rsidRPr="00B77B85">
        <w:t xml:space="preserve">Under the </w:t>
      </w:r>
      <w:r w:rsidRPr="0048481E">
        <w:rPr>
          <w:i/>
        </w:rPr>
        <w:t>Broadcasting Services (“Broadcasting Service” Definition – Exclusion) Determination 2022</w:t>
      </w:r>
      <w:r w:rsidRPr="00B77B85">
        <w:t xml:space="preserve"> and its </w:t>
      </w:r>
      <w:r w:rsidR="00FA456F" w:rsidRPr="00B77B85">
        <w:t>pre</w:t>
      </w:r>
      <w:r w:rsidR="00FA456F">
        <w:t>decessors</w:t>
      </w:r>
      <w:r w:rsidRPr="00B77B85">
        <w:t xml:space="preserve">, </w:t>
      </w:r>
      <w:r w:rsidR="00FA456F" w:rsidRPr="0048481E">
        <w:t xml:space="preserve">online television simulcasts, online radio stations, and live-streaming on social media platforms and other digital platforms </w:t>
      </w:r>
      <w:r w:rsidRPr="00B77B85">
        <w:t xml:space="preserve">are </w:t>
      </w:r>
      <w:r w:rsidR="0086223E">
        <w:t xml:space="preserve">excluded </w:t>
      </w:r>
      <w:r w:rsidR="00FA456F" w:rsidRPr="0048481E">
        <w:t>from the</w:t>
      </w:r>
      <w:r w:rsidR="0079498D">
        <w:t xml:space="preserve"> BSA’s</w:t>
      </w:r>
      <w:r w:rsidR="00FA456F" w:rsidRPr="0048481E">
        <w:t xml:space="preserve"> definition of ‘broadcasting service</w:t>
      </w:r>
      <w:r w:rsidR="0079498D">
        <w:t>’</w:t>
      </w:r>
      <w:r w:rsidRPr="00B77B85">
        <w:t xml:space="preserve">. </w:t>
      </w:r>
      <w:r w:rsidR="001F6DD8" w:rsidRPr="0048481E">
        <w:t>A service that makes programs available on demand on a point-to-point basis</w:t>
      </w:r>
      <w:r w:rsidR="00A20C0C" w:rsidRPr="0048481E">
        <w:t>, such as a</w:t>
      </w:r>
      <w:r w:rsidR="0052119E">
        <w:t>n</w:t>
      </w:r>
      <w:r w:rsidR="00A20C0C" w:rsidRPr="0048481E">
        <w:t xml:space="preserve"> </w:t>
      </w:r>
      <w:r w:rsidR="0002641B">
        <w:t>SVOD</w:t>
      </w:r>
      <w:r w:rsidR="00A20C0C" w:rsidRPr="0048481E">
        <w:t xml:space="preserve">, </w:t>
      </w:r>
      <w:r w:rsidR="001F6DD8" w:rsidRPr="0048481E">
        <w:t>is separately excluded from the definition of ‘broadcasting service’ under paragraph 6(1)(b) of the</w:t>
      </w:r>
      <w:r w:rsidR="002727AA">
        <w:t xml:space="preserve"> BSA</w:t>
      </w:r>
      <w:r w:rsidR="001F6DD8" w:rsidRPr="0048481E">
        <w:t>.</w:t>
      </w:r>
      <w:r w:rsidR="0086223E">
        <w:rPr>
          <w:rStyle w:val="FootnoteReference"/>
        </w:rPr>
        <w:footnoteReference w:id="17"/>
      </w:r>
      <w:r w:rsidR="00A20C0C">
        <w:t xml:space="preserve"> </w:t>
      </w:r>
      <w:r w:rsidRPr="00B77B85">
        <w:t>This</w:t>
      </w:r>
      <w:r w:rsidR="00FA7428">
        <w:t xml:space="preserve"> </w:t>
      </w:r>
      <w:r w:rsidR="002B0BD5">
        <w:t>means</w:t>
      </w:r>
      <w:r w:rsidR="00CF1D70">
        <w:t xml:space="preserve"> </w:t>
      </w:r>
      <w:r w:rsidR="0002641B">
        <w:t>SVOD</w:t>
      </w:r>
      <w:r w:rsidR="00CF1D70">
        <w:t xml:space="preserve">s </w:t>
      </w:r>
      <w:r w:rsidR="0079498D">
        <w:t>do not fall under</w:t>
      </w:r>
      <w:r w:rsidR="00CF1D70">
        <w:t xml:space="preserve"> </w:t>
      </w:r>
      <w:r w:rsidRPr="00B77B85">
        <w:t>the existing</w:t>
      </w:r>
      <w:r w:rsidR="0079498D">
        <w:t xml:space="preserve"> broadcasting</w:t>
      </w:r>
      <w:r w:rsidRPr="00B77B85">
        <w:t xml:space="preserve"> </w:t>
      </w:r>
      <w:r w:rsidR="00A20C0C">
        <w:t>licensing regime</w:t>
      </w:r>
      <w:r w:rsidR="0079498D">
        <w:t>s</w:t>
      </w:r>
      <w:r w:rsidRPr="00B77B85">
        <w:t xml:space="preserve"> in the</w:t>
      </w:r>
      <w:r w:rsidR="002727AA">
        <w:t xml:space="preserve"> BSA</w:t>
      </w:r>
      <w:r w:rsidR="0079498D">
        <w:t xml:space="preserve"> and are not subject to</w:t>
      </w:r>
      <w:r w:rsidR="00CF1D70">
        <w:t xml:space="preserve"> any Australian</w:t>
      </w:r>
      <w:r w:rsidR="00CF1D70" w:rsidRPr="00B77B85">
        <w:t xml:space="preserve"> </w:t>
      </w:r>
      <w:r w:rsidRPr="00B77B85">
        <w:t>content requirements.</w:t>
      </w:r>
    </w:p>
    <w:p w14:paraId="1ACF7EBD" w14:textId="77777777" w:rsidR="0078778E" w:rsidRPr="00592D65" w:rsidRDefault="0078778E" w:rsidP="00B61E2A">
      <w:pPr>
        <w:pStyle w:val="Heading1"/>
        <w:rPr>
          <w:b/>
        </w:rPr>
      </w:pPr>
      <w:bookmarkStart w:id="13" w:name="_Toc156484923"/>
      <w:bookmarkStart w:id="14" w:name="_Toc156484995"/>
      <w:bookmarkStart w:id="15" w:name="_Toc156485067"/>
      <w:bookmarkStart w:id="16" w:name="_Toc156485139"/>
      <w:bookmarkStart w:id="17" w:name="_Toc156485211"/>
      <w:bookmarkStart w:id="18" w:name="_Toc212099781"/>
      <w:r w:rsidRPr="00592D65">
        <w:rPr>
          <w:b/>
        </w:rPr>
        <w:t>1. What is the problem you are trying to solve?</w:t>
      </w:r>
      <w:bookmarkEnd w:id="13"/>
      <w:bookmarkEnd w:id="14"/>
      <w:bookmarkEnd w:id="15"/>
      <w:bookmarkEnd w:id="16"/>
      <w:bookmarkEnd w:id="17"/>
      <w:bookmarkEnd w:id="18"/>
    </w:p>
    <w:p w14:paraId="253DC625" w14:textId="1FB17222" w:rsidR="0078778E" w:rsidRPr="00E819D1" w:rsidRDefault="009A5C87" w:rsidP="0078778E">
      <w:pPr>
        <w:pStyle w:val="Heading2"/>
        <w:rPr>
          <w:sz w:val="32"/>
          <w:szCs w:val="32"/>
        </w:rPr>
      </w:pPr>
      <w:bookmarkStart w:id="19" w:name="_Toc156313403"/>
      <w:bookmarkStart w:id="20" w:name="_Toc156484924"/>
      <w:bookmarkStart w:id="21" w:name="_Toc156484996"/>
      <w:bookmarkStart w:id="22" w:name="_Toc156485068"/>
      <w:bookmarkStart w:id="23" w:name="_Toc156485140"/>
      <w:bookmarkStart w:id="24" w:name="_Toc156485212"/>
      <w:bookmarkStart w:id="25" w:name="_Toc212099782"/>
      <w:bookmarkStart w:id="26" w:name="_Toc133933774"/>
      <w:r>
        <w:rPr>
          <w:sz w:val="32"/>
          <w:szCs w:val="32"/>
        </w:rPr>
        <w:t>The Australian Government has made a c</w:t>
      </w:r>
      <w:r w:rsidR="0078778E" w:rsidRPr="00E819D1">
        <w:rPr>
          <w:sz w:val="32"/>
          <w:szCs w:val="32"/>
        </w:rPr>
        <w:t>ommitment</w:t>
      </w:r>
      <w:r w:rsidR="00D145A1">
        <w:rPr>
          <w:sz w:val="32"/>
          <w:szCs w:val="32"/>
        </w:rPr>
        <w:t xml:space="preserve"> to regulate </w:t>
      </w:r>
      <w:r w:rsidR="0002641B">
        <w:rPr>
          <w:sz w:val="32"/>
          <w:szCs w:val="32"/>
        </w:rPr>
        <w:t>SVOD</w:t>
      </w:r>
      <w:r w:rsidR="00D145A1">
        <w:rPr>
          <w:sz w:val="32"/>
          <w:szCs w:val="32"/>
        </w:rPr>
        <w:t>s</w:t>
      </w:r>
      <w:bookmarkEnd w:id="19"/>
      <w:bookmarkEnd w:id="20"/>
      <w:bookmarkEnd w:id="21"/>
      <w:bookmarkEnd w:id="22"/>
      <w:bookmarkEnd w:id="23"/>
      <w:bookmarkEnd w:id="24"/>
      <w:bookmarkEnd w:id="25"/>
    </w:p>
    <w:p w14:paraId="4DE736BB" w14:textId="77777777" w:rsidR="004E1A82" w:rsidRPr="00EE7687" w:rsidRDefault="004E1A82" w:rsidP="00A540D0">
      <w:r w:rsidRPr="0048481E">
        <w:t>In the National Cultural Policy,</w:t>
      </w:r>
      <w:r>
        <w:t xml:space="preserve"> </w:t>
      </w:r>
      <w:r w:rsidRPr="00EE7687">
        <w:rPr>
          <w:i/>
        </w:rPr>
        <w:t>Revive: a place for every story, a story for every place</w:t>
      </w:r>
      <w:r w:rsidRPr="007101B1">
        <w:t>,</w:t>
      </w:r>
      <w:r>
        <w:t xml:space="preserve"> released</w:t>
      </w:r>
      <w:r w:rsidRPr="00EE7687">
        <w:t xml:space="preserve"> on 30 January 2023</w:t>
      </w:r>
      <w:r>
        <w:t>, the Australian Government committed t</w:t>
      </w:r>
      <w:r w:rsidRPr="00EE7687">
        <w:t>o:</w:t>
      </w:r>
    </w:p>
    <w:p w14:paraId="3A2B941A" w14:textId="77777777" w:rsidR="004E1A82" w:rsidRPr="00B77B85" w:rsidRDefault="004E1A82" w:rsidP="00A540D0">
      <w:pPr>
        <w:ind w:left="720"/>
      </w:pPr>
      <w:r w:rsidRPr="00B77B85">
        <w:lastRenderedPageBreak/>
        <w:t>“</w:t>
      </w:r>
      <w:r w:rsidRPr="00EE7687">
        <w:rPr>
          <w:i/>
        </w:rPr>
        <w:t>introduce requirements for Australian screen content on streaming platforms to ensure continued access to local stories and content in the third quarter of 2023 and to commence no later than 1 July 2024, with the Minister for the Arts and the Minister for Communications to undertake further consultation with industry in the first half of 2023 on the details of actions to be taken and implementation as part of the Commonwealth’s broader reforms to media legislation.</w:t>
      </w:r>
      <w:r w:rsidRPr="00B77B85">
        <w:t>”</w:t>
      </w:r>
      <w:r w:rsidRPr="00B77B85">
        <w:rPr>
          <w:rStyle w:val="FootnoteReference"/>
        </w:rPr>
        <w:footnoteReference w:id="18"/>
      </w:r>
    </w:p>
    <w:p w14:paraId="3086BEC1" w14:textId="75744D94" w:rsidR="004E1A82" w:rsidRPr="00B77B85" w:rsidRDefault="004E1A82" w:rsidP="00A540D0">
      <w:r w:rsidRPr="00B77B85">
        <w:t>Introduction of the requirements ha</w:t>
      </w:r>
      <w:r>
        <w:t>s</w:t>
      </w:r>
      <w:r w:rsidRPr="00B77B85">
        <w:t xml:space="preserve"> been delayed while the Government conducted extensive consultation on the best way to realise the policy. </w:t>
      </w:r>
      <w:r w:rsidRPr="00291D51">
        <w:t>The Prime Minister and Minister for the Arts reiterated the commitment to the streaming requirement during the 2025 election campaign</w:t>
      </w:r>
      <w:r w:rsidR="0052119E">
        <w:t>.</w:t>
      </w:r>
      <w:r w:rsidRPr="00291D51">
        <w:rPr>
          <w:rStyle w:val="FootnoteReference"/>
        </w:rPr>
        <w:footnoteReference w:id="19"/>
      </w:r>
      <w:r w:rsidRPr="00B61E2A">
        <w:t xml:space="preserve"> </w:t>
      </w:r>
    </w:p>
    <w:p w14:paraId="319AAF6E" w14:textId="77777777" w:rsidR="0078778E" w:rsidRPr="0048481E" w:rsidRDefault="009A5C87">
      <w:pPr>
        <w:pStyle w:val="Heading2"/>
        <w:rPr>
          <w:sz w:val="32"/>
          <w:szCs w:val="32"/>
        </w:rPr>
      </w:pPr>
      <w:bookmarkStart w:id="27" w:name="_Toc212099783"/>
      <w:bookmarkStart w:id="28" w:name="_Toc156313404"/>
      <w:bookmarkStart w:id="29" w:name="_Toc156484925"/>
      <w:bookmarkStart w:id="30" w:name="_Toc156484997"/>
      <w:bookmarkStart w:id="31" w:name="_Toc156485069"/>
      <w:bookmarkStart w:id="32" w:name="_Toc156485141"/>
      <w:bookmarkStart w:id="33" w:name="_Toc156485213"/>
      <w:r w:rsidRPr="0048481E">
        <w:rPr>
          <w:sz w:val="32"/>
          <w:szCs w:val="32"/>
        </w:rPr>
        <w:t xml:space="preserve">Australian </w:t>
      </w:r>
      <w:r w:rsidR="00BA4EB1" w:rsidRPr="0048481E">
        <w:rPr>
          <w:sz w:val="32"/>
          <w:szCs w:val="32"/>
        </w:rPr>
        <w:t xml:space="preserve">screen </w:t>
      </w:r>
      <w:r w:rsidRPr="0048481E">
        <w:rPr>
          <w:sz w:val="32"/>
          <w:szCs w:val="32"/>
        </w:rPr>
        <w:t xml:space="preserve">content </w:t>
      </w:r>
      <w:r w:rsidR="00D145A1" w:rsidRPr="0048481E">
        <w:rPr>
          <w:sz w:val="32"/>
          <w:szCs w:val="32"/>
        </w:rPr>
        <w:t>is culturally</w:t>
      </w:r>
      <w:r w:rsidRPr="0048481E">
        <w:rPr>
          <w:sz w:val="32"/>
          <w:szCs w:val="32"/>
        </w:rPr>
        <w:t xml:space="preserve"> important </w:t>
      </w:r>
      <w:r w:rsidR="00BA4EB1" w:rsidRPr="0048481E">
        <w:rPr>
          <w:sz w:val="32"/>
          <w:szCs w:val="32"/>
        </w:rPr>
        <w:t>and a healthy screen production sector is vital to producing it</w:t>
      </w:r>
      <w:bookmarkEnd w:id="27"/>
      <w:r w:rsidR="00BA4EB1" w:rsidRPr="0048481E">
        <w:rPr>
          <w:sz w:val="32"/>
          <w:szCs w:val="32"/>
        </w:rPr>
        <w:t xml:space="preserve"> </w:t>
      </w:r>
      <w:bookmarkStart w:id="34" w:name="_Hlk158596377"/>
    </w:p>
    <w:p w14:paraId="1648DE9D" w14:textId="09D10EB2" w:rsidR="004E1A82" w:rsidRDefault="004E1A82" w:rsidP="00A540D0">
      <w:r>
        <w:rPr>
          <w:i/>
        </w:rPr>
        <w:t xml:space="preserve">Revive </w:t>
      </w:r>
      <w:r>
        <w:t xml:space="preserve">is the Australian Government’s </w:t>
      </w:r>
      <w:r w:rsidRPr="007101B1">
        <w:t>plan to renew and revive Australia</w:t>
      </w:r>
      <w:r>
        <w:t>’</w:t>
      </w:r>
      <w:r w:rsidRPr="007101B1">
        <w:t>s arts, entertainment and cultural sector</w:t>
      </w:r>
      <w:r>
        <w:t>. Its aim is to allow</w:t>
      </w:r>
      <w:r w:rsidRPr="007101B1">
        <w:t xml:space="preserve"> Australia's creative workers, organisations and audiences</w:t>
      </w:r>
      <w:r>
        <w:t xml:space="preserve"> to</w:t>
      </w:r>
      <w:r w:rsidRPr="007101B1">
        <w:t xml:space="preserve"> continue to thrive and grow, and </w:t>
      </w:r>
      <w:r>
        <w:t xml:space="preserve">position Australian </w:t>
      </w:r>
      <w:r w:rsidRPr="007101B1">
        <w:t>arts, culture and heritage as central to Australia's future.</w:t>
      </w:r>
      <w:r>
        <w:t xml:space="preserve"> Australian stories reflect contemporary culture, allowing Australians to participate in a collective cultural life built around shared values and interests.</w:t>
      </w:r>
      <w:r w:rsidRPr="00EA3C1E">
        <w:t xml:space="preserve"> </w:t>
      </w:r>
      <w:r>
        <w:t xml:space="preserve">This is especially true in the scripted drama genre, which is a staple of </w:t>
      </w:r>
      <w:r w:rsidR="0002641B">
        <w:t>SVOD</w:t>
      </w:r>
      <w:r>
        <w:t xml:space="preserve">s’ catalogues and part of their appeal to audiences. </w:t>
      </w:r>
    </w:p>
    <w:p w14:paraId="0490EF3D" w14:textId="4EBE18E3" w:rsidR="00783633" w:rsidRPr="00592D65" w:rsidRDefault="0078778E" w:rsidP="00C374DE">
      <w:pPr>
        <w:rPr>
          <w:highlight w:val="yellow"/>
        </w:rPr>
      </w:pPr>
      <w:r w:rsidRPr="00B77B85">
        <w:t xml:space="preserve">Australian stories play an important role in shaping Australia’s national identity, fostering social inclusion and encouraging cultural expression. </w:t>
      </w:r>
      <w:r w:rsidR="00973B6B">
        <w:t xml:space="preserve">As stated in </w:t>
      </w:r>
      <w:r w:rsidR="00973B6B" w:rsidRPr="00E71303">
        <w:rPr>
          <w:i/>
        </w:rPr>
        <w:t>Revive</w:t>
      </w:r>
      <w:r w:rsidR="00973B6B" w:rsidRPr="007101B1">
        <w:t>,</w:t>
      </w:r>
      <w:r w:rsidR="00973B6B">
        <w:t xml:space="preserve"> “Australia’s people and their stories are our greatest cultural asset.”</w:t>
      </w:r>
      <w:r w:rsidR="00973B6B">
        <w:rPr>
          <w:rStyle w:val="FootnoteReference"/>
        </w:rPr>
        <w:footnoteReference w:id="20"/>
      </w:r>
      <w:r w:rsidR="00973B6B">
        <w:t xml:space="preserve"> </w:t>
      </w:r>
      <w:r w:rsidRPr="00B77B85">
        <w:t>Local stories help build a sense of community and collective well-being, a shared identity, and a means to understand ourselves.</w:t>
      </w:r>
      <w:r w:rsidR="00D36D39">
        <w:t xml:space="preserve"> Australian stories reflect </w:t>
      </w:r>
      <w:r w:rsidR="00032431">
        <w:t xml:space="preserve">and define </w:t>
      </w:r>
      <w:r w:rsidR="00D36D39">
        <w:t>who we are as a nation</w:t>
      </w:r>
      <w:r w:rsidR="00032431" w:rsidRPr="00032431">
        <w:t xml:space="preserve"> </w:t>
      </w:r>
      <w:r w:rsidR="00032431">
        <w:t>and make us recognisable on the international stage.</w:t>
      </w:r>
      <w:r w:rsidR="00032431">
        <w:rPr>
          <w:rStyle w:val="FootnoteReference"/>
        </w:rPr>
        <w:footnoteReference w:id="21"/>
      </w:r>
      <w:r w:rsidR="00D36D39">
        <w:t xml:space="preserve"> These </w:t>
      </w:r>
      <w:r w:rsidR="00AB64B5">
        <w:t>s</w:t>
      </w:r>
      <w:r w:rsidR="00D36D39">
        <w:t xml:space="preserve">tories </w:t>
      </w:r>
      <w:r w:rsidR="00032431">
        <w:t xml:space="preserve">help </w:t>
      </w:r>
      <w:r w:rsidR="00D36D39">
        <w:t>make sense of our past, define ourselves in the present</w:t>
      </w:r>
      <w:r w:rsidR="00032431">
        <w:t xml:space="preserve"> and </w:t>
      </w:r>
      <w:r w:rsidR="00D36D39">
        <w:t xml:space="preserve">promote our people, our creativity and our country to the world. </w:t>
      </w:r>
      <w:r w:rsidRPr="00B77B85">
        <w:t>These intangible benefits are integral to a nation’s cultural life</w:t>
      </w:r>
      <w:r w:rsidR="00B21388">
        <w:t>,</w:t>
      </w:r>
      <w:r w:rsidRPr="00B77B85">
        <w:t xml:space="preserve"> but </w:t>
      </w:r>
      <w:r w:rsidR="00B21388">
        <w:t xml:space="preserve">they </w:t>
      </w:r>
      <w:r w:rsidR="007D3E38">
        <w:t>are</w:t>
      </w:r>
      <w:r w:rsidR="00185F6C">
        <w:t xml:space="preserve"> </w:t>
      </w:r>
      <w:r w:rsidRPr="009F3D18">
        <w:t>difficult to quantify.</w:t>
      </w:r>
      <w:r w:rsidR="00C374DE" w:rsidRPr="00C374DE">
        <w:t xml:space="preserve"> </w:t>
      </w:r>
      <w:r w:rsidR="00C374DE" w:rsidRPr="00592D65">
        <w:t xml:space="preserve">Screen Australia’s </w:t>
      </w:r>
      <w:r w:rsidR="00C374DE" w:rsidRPr="00592D65">
        <w:rPr>
          <w:i/>
        </w:rPr>
        <w:t xml:space="preserve">Screen Currency: Valuing our screen industry </w:t>
      </w:r>
      <w:r w:rsidR="00C374DE" w:rsidRPr="00592D65">
        <w:t>report found Australian screen stories are valued for their diversity and their distinctiveness and though articulating and measuring the cultural and social value of Australian content can be challenging it is not impossible.</w:t>
      </w:r>
      <w:r w:rsidR="007D3E38" w:rsidRPr="00592D65">
        <w:t xml:space="preserve"> </w:t>
      </w:r>
      <w:r w:rsidR="00C374DE" w:rsidRPr="00592D65">
        <w:t>Despite the vast amounts of imported programs on Australian screens (large and small), and their large production and marketing budgets, Australians expressed a preference for local content. Only 2 per cent said that they don’t watch Australian content, 64% said that local content accounted for up to half of their media diet, and 22% reported that most or all of their viewing was Australian.</w:t>
      </w:r>
      <w:r w:rsidR="00C374DE" w:rsidRPr="00592D65">
        <w:rPr>
          <w:rStyle w:val="FootnoteReference"/>
        </w:rPr>
        <w:footnoteReference w:id="22"/>
      </w:r>
      <w:r w:rsidR="00C374DE">
        <w:t xml:space="preserve"> </w:t>
      </w:r>
      <w:bookmarkStart w:id="35" w:name="_Hlk204691299"/>
      <w:r w:rsidR="00DE2E7B" w:rsidRPr="009206E0">
        <w:t>In the 2024 Telsyte</w:t>
      </w:r>
      <w:r w:rsidR="00DE2E7B" w:rsidRPr="009206E0">
        <w:rPr>
          <w:i/>
        </w:rPr>
        <w:t xml:space="preserve"> Australian Subscription Entertainment Study</w:t>
      </w:r>
      <w:r w:rsidR="00DE2E7B" w:rsidRPr="009206E0">
        <w:t xml:space="preserve"> it was found that 54</w:t>
      </w:r>
      <w:r w:rsidR="00B21388" w:rsidRPr="009206E0">
        <w:t> </w:t>
      </w:r>
      <w:r w:rsidR="00772C92" w:rsidRPr="009206E0">
        <w:t>per</w:t>
      </w:r>
      <w:r w:rsidR="00B21388" w:rsidRPr="009206E0">
        <w:t> </w:t>
      </w:r>
      <w:r w:rsidR="00772C92" w:rsidRPr="009206E0">
        <w:t>cent</w:t>
      </w:r>
      <w:r w:rsidR="00DE2E7B" w:rsidRPr="009206E0">
        <w:t xml:space="preserve"> of Australian </w:t>
      </w:r>
      <w:r w:rsidR="0002641B">
        <w:t>SVOD</w:t>
      </w:r>
      <w:r w:rsidR="00DE2E7B" w:rsidRPr="009206E0">
        <w:t xml:space="preserve"> users believed it was important to have Australian stories, voices and culture in the program offering of </w:t>
      </w:r>
      <w:r w:rsidR="0002641B">
        <w:t>SVOD</w:t>
      </w:r>
      <w:r w:rsidR="00DE2E7B" w:rsidRPr="009206E0">
        <w:t>s</w:t>
      </w:r>
      <w:bookmarkEnd w:id="35"/>
      <w:r w:rsidR="009E6B3E" w:rsidRPr="00592D65">
        <w:t>.</w:t>
      </w:r>
      <w:r w:rsidR="009E6B3E" w:rsidRPr="00592D65">
        <w:rPr>
          <w:rStyle w:val="FootnoteReference"/>
        </w:rPr>
        <w:footnoteReference w:id="23"/>
      </w:r>
      <w:r w:rsidR="00DE2E7B" w:rsidRPr="009206E0">
        <w:t xml:space="preserve"> </w:t>
      </w:r>
    </w:p>
    <w:p w14:paraId="33C12874" w14:textId="057EA3D2" w:rsidR="00783633" w:rsidRPr="00AB64B5" w:rsidRDefault="00783633" w:rsidP="00A540D0">
      <w:r>
        <w:t xml:space="preserve">Australian stories bring people together and enable the exchange of experiences, ideas and perspectives. All Australians benefit when they are represented by and can hear their voices in the stories brought to the big and small screen. Australian stories are shaped by histories, places, identities, languages, cultures, families and communities. </w:t>
      </w:r>
      <w:r w:rsidR="00AB64B5">
        <w:t xml:space="preserve">Screen Australia’s study </w:t>
      </w:r>
      <w:r w:rsidR="00AB64B5">
        <w:rPr>
          <w:i/>
        </w:rPr>
        <w:t xml:space="preserve">Seeing ourselves: Reflections on diversity in Australian TV drama </w:t>
      </w:r>
      <w:r w:rsidR="00AB64B5">
        <w:t xml:space="preserve">emphasised that television drama that is representative of Australian society is important because of its capacity to create emotional connections, insight and identity. It reflects our sense of who we are as a society </w:t>
      </w:r>
      <w:r w:rsidR="00AB64B5">
        <w:lastRenderedPageBreak/>
        <w:t>and who we might be.</w:t>
      </w:r>
      <w:r w:rsidR="00AB64B5">
        <w:rPr>
          <w:rStyle w:val="FootnoteReference"/>
        </w:rPr>
        <w:footnoteReference w:id="24"/>
      </w:r>
      <w:r w:rsidR="00AB64B5">
        <w:t xml:space="preserve"> </w:t>
      </w:r>
      <w:r>
        <w:t xml:space="preserve">It is important that a range of stories are heard, respected and reflected in Australia’s collective social and cultural life including on the </w:t>
      </w:r>
      <w:r w:rsidR="0002641B">
        <w:t>SVOD</w:t>
      </w:r>
      <w:r>
        <w:t xml:space="preserve">s which Australian’s engage with. It is also vitally important that </w:t>
      </w:r>
      <w:r w:rsidR="0002641B">
        <w:t>SVOD</w:t>
      </w:r>
      <w:r>
        <w:t xml:space="preserve">s contribute to the making of Australian stories. </w:t>
      </w:r>
    </w:p>
    <w:p w14:paraId="05D2D4DC" w14:textId="77777777" w:rsidR="00D25280" w:rsidRPr="00B77B85" w:rsidRDefault="00783633" w:rsidP="00783633">
      <w:r w:rsidRPr="00E71303">
        <w:rPr>
          <w:i/>
        </w:rPr>
        <w:t>Revive</w:t>
      </w:r>
      <w:r>
        <w:t>,</w:t>
      </w:r>
      <w:r w:rsidRPr="00E71303">
        <w:rPr>
          <w:i/>
        </w:rPr>
        <w:t xml:space="preserve"> </w:t>
      </w:r>
      <w:r>
        <w:t>is underpinned by ten principles to guide the Australian Government’s actions in the cultural and creative, one of which is ‘</w:t>
      </w:r>
      <w:r w:rsidRPr="00577453">
        <w:rPr>
          <w:i/>
        </w:rPr>
        <w:t>Australian stories are seen and heard, regardless of platform</w:t>
      </w:r>
      <w:r>
        <w:t>.’ This is a commitment to ensure Australians can connect with and have access to, Australian creative work wherever they engage with content now and into the future.</w:t>
      </w:r>
    </w:p>
    <w:p w14:paraId="043CC0A3" w14:textId="77777777" w:rsidR="00185F6C" w:rsidRPr="00B77B85" w:rsidRDefault="00185F6C" w:rsidP="00185F6C">
      <w:r w:rsidRPr="00D9608D">
        <w:t>A strong Australian screen sector delivers significant economic benefits and supports a number of industries, generating jobs, attracting international investment, and bolstering the sector’s capabilities. Not only does Australia’s local screen production sector benefit directly from secure</w:t>
      </w:r>
      <w:r>
        <w:t xml:space="preserve"> and guaranteed</w:t>
      </w:r>
      <w:r w:rsidRPr="00D9608D">
        <w:t xml:space="preserve"> investment in Australian content, so do post-production services, distributors and exhibitors. Other industries benefit indirectly from screen production, such as tourism, hospitality, building and construction. Screen production can also stimulate economic activity in urban and regional areas where production takes place. The global interest in Australian stories opens up export opportunities and enhances our cultural influence abroad. </w:t>
      </w:r>
    </w:p>
    <w:p w14:paraId="29B6CFFC" w14:textId="77777777" w:rsidR="00766BF2" w:rsidRDefault="004E3F4B">
      <w:r>
        <w:t>C</w:t>
      </w:r>
      <w:r w:rsidR="0078778E" w:rsidRPr="00B77B85">
        <w:t>ontinue</w:t>
      </w:r>
      <w:r>
        <w:t>d</w:t>
      </w:r>
      <w:r w:rsidR="0078778E" w:rsidRPr="00B77B85">
        <w:t xml:space="preserve"> invest</w:t>
      </w:r>
      <w:r w:rsidR="007910BF">
        <w:t>ment</w:t>
      </w:r>
      <w:r w:rsidR="0078778E" w:rsidRPr="00B77B85">
        <w:t xml:space="preserve"> in Australian content </w:t>
      </w:r>
      <w:r>
        <w:t xml:space="preserve">by broadcasting services </w:t>
      </w:r>
      <w:r w:rsidR="000A1ED1">
        <w:t>promote</w:t>
      </w:r>
      <w:r>
        <w:t>s a</w:t>
      </w:r>
      <w:r w:rsidR="000A1ED1">
        <w:t xml:space="preserve"> </w:t>
      </w:r>
      <w:r w:rsidR="0078778E" w:rsidRPr="00B77B85">
        <w:t>stable</w:t>
      </w:r>
      <w:r>
        <w:t xml:space="preserve"> and sustainable production sector</w:t>
      </w:r>
      <w:r w:rsidR="0078778E" w:rsidRPr="00B77B85">
        <w:t xml:space="preserve">, providing </w:t>
      </w:r>
      <w:r w:rsidR="00CD03CE">
        <w:t xml:space="preserve">long-term </w:t>
      </w:r>
      <w:r w:rsidR="0078778E" w:rsidRPr="00B77B85">
        <w:t>employment in the sector and investment in infrastructure.</w:t>
      </w:r>
      <w:r w:rsidR="00AF124D">
        <w:t xml:space="preserve"> Research conducted by Deloitte Access Economics found that </w:t>
      </w:r>
      <w:r w:rsidR="00E02B36">
        <w:t>the Australian screen sector was worth approximately $847 million and employed the equivalent of around 7,650 full-time workers in 2014-15.</w:t>
      </w:r>
      <w:r w:rsidR="00E02B36" w:rsidRPr="00476686">
        <w:rPr>
          <w:rStyle w:val="FootnoteReference"/>
        </w:rPr>
        <w:footnoteReference w:id="25"/>
      </w:r>
      <w:r w:rsidR="00E02B36" w:rsidRPr="00476686">
        <w:rPr>
          <w:rStyle w:val="FootnoteReference"/>
        </w:rPr>
        <w:t xml:space="preserve"> </w:t>
      </w:r>
      <w:r w:rsidR="00E02B36">
        <w:t xml:space="preserve"> </w:t>
      </w:r>
      <w:r w:rsidR="0078778E" w:rsidRPr="00B77B85">
        <w:t xml:space="preserve">Without intervention, the screen production sector and the thousands of people employed in related businesses and industries across Australia will continue to operate in a volatile environment. </w:t>
      </w:r>
      <w:bookmarkEnd w:id="34"/>
      <w:r w:rsidR="00766BF2">
        <w:t xml:space="preserve">The Screen Australia </w:t>
      </w:r>
      <w:r w:rsidR="00766BF2" w:rsidRPr="0048481E">
        <w:t>Drama Report 2023</w:t>
      </w:r>
      <w:r w:rsidRPr="0048481E">
        <w:t>-</w:t>
      </w:r>
      <w:r w:rsidR="00766BF2" w:rsidRPr="0048481E">
        <w:t xml:space="preserve">24 </w:t>
      </w:r>
      <w:r w:rsidR="00766BF2">
        <w:t>noted that screen production in Australia continues to be impacted by economic conditions globally</w:t>
      </w:r>
      <w:r w:rsidR="00CD03CE">
        <w:t>.</w:t>
      </w:r>
      <w:r w:rsidR="00766BF2">
        <w:t xml:space="preserve"> </w:t>
      </w:r>
      <w:r w:rsidR="00CD03CE">
        <w:t>P</w:t>
      </w:r>
      <w:r w:rsidR="00766BF2">
        <w:t xml:space="preserve">roduction trends tend to reflect disruptions to distribution platforms and business models, which </w:t>
      </w:r>
      <w:r w:rsidR="00CD03CE">
        <w:t>are</w:t>
      </w:r>
      <w:r w:rsidR="00766BF2">
        <w:t xml:space="preserve"> underpinned by changing audience behaviour and media consolidation. </w:t>
      </w:r>
    </w:p>
    <w:p w14:paraId="2406673B" w14:textId="77777777" w:rsidR="0078778E" w:rsidRPr="00E819D1" w:rsidRDefault="0078778E" w:rsidP="0078778E">
      <w:pPr>
        <w:pStyle w:val="Heading2"/>
        <w:rPr>
          <w:sz w:val="32"/>
          <w:szCs w:val="32"/>
        </w:rPr>
      </w:pPr>
      <w:bookmarkStart w:id="36" w:name="_Toc212099784"/>
      <w:r w:rsidRPr="00E819D1">
        <w:rPr>
          <w:sz w:val="32"/>
          <w:szCs w:val="32"/>
        </w:rPr>
        <w:t>The regulation of Australian content</w:t>
      </w:r>
      <w:bookmarkEnd w:id="28"/>
      <w:bookmarkEnd w:id="29"/>
      <w:bookmarkEnd w:id="30"/>
      <w:bookmarkEnd w:id="31"/>
      <w:bookmarkEnd w:id="32"/>
      <w:bookmarkEnd w:id="33"/>
      <w:r w:rsidRPr="00E819D1">
        <w:rPr>
          <w:sz w:val="32"/>
          <w:szCs w:val="32"/>
        </w:rPr>
        <w:t xml:space="preserve"> across media platforms is inconsistent</w:t>
      </w:r>
      <w:bookmarkEnd w:id="36"/>
    </w:p>
    <w:p w14:paraId="24B309D8" w14:textId="7A68DFA3" w:rsidR="0078778E" w:rsidRDefault="00BA4EB1" w:rsidP="0078778E">
      <w:r>
        <w:t xml:space="preserve">Consistent with </w:t>
      </w:r>
      <w:r w:rsidRPr="0048481E">
        <w:rPr>
          <w:i/>
        </w:rPr>
        <w:t>Revive</w:t>
      </w:r>
      <w:r>
        <w:t>, i</w:t>
      </w:r>
      <w:r w:rsidR="0078778E">
        <w:t xml:space="preserve">t is Government’s </w:t>
      </w:r>
      <w:r>
        <w:t>policy</w:t>
      </w:r>
      <w:r w:rsidR="0078778E">
        <w:t xml:space="preserve"> that </w:t>
      </w:r>
      <w:r w:rsidR="0078778E" w:rsidRPr="009C756E">
        <w:t xml:space="preserve">Australian audiences </w:t>
      </w:r>
      <w:r w:rsidR="0078778E">
        <w:t xml:space="preserve">should </w:t>
      </w:r>
      <w:r w:rsidR="0078778E" w:rsidRPr="009C756E">
        <w:t xml:space="preserve">be able to access high-quality Australian content no matter which service or platform they </w:t>
      </w:r>
      <w:r w:rsidR="0078778E">
        <w:t>access</w:t>
      </w:r>
      <w:r w:rsidR="0078778E" w:rsidRPr="009C756E">
        <w:t>.</w:t>
      </w:r>
      <w:r w:rsidR="0078778E">
        <w:t xml:space="preserve"> Contemporary audiences engage with screen content across multiple platforms, including free-to-air television, online, </w:t>
      </w:r>
      <w:r>
        <w:t>cable, satellite</w:t>
      </w:r>
      <w:r w:rsidR="0078778E">
        <w:t xml:space="preserve"> and </w:t>
      </w:r>
      <w:r w:rsidR="0002641B">
        <w:t>SVOD</w:t>
      </w:r>
      <w:r w:rsidR="0078778E">
        <w:t xml:space="preserve">s. </w:t>
      </w:r>
      <w:bookmarkStart w:id="37" w:name="_Hlk204691309"/>
      <w:r w:rsidR="003B1DB6" w:rsidRPr="009206E0">
        <w:t>The 2024 Telsyte</w:t>
      </w:r>
      <w:r w:rsidR="003B1DB6" w:rsidRPr="009206E0">
        <w:rPr>
          <w:i/>
        </w:rPr>
        <w:t xml:space="preserve"> Australian Subscription Entertainment Study </w:t>
      </w:r>
      <w:r w:rsidR="003B1DB6" w:rsidRPr="009206E0">
        <w:t xml:space="preserve">found that </w:t>
      </w:r>
      <w:r w:rsidR="00C27C0B">
        <w:t>80</w:t>
      </w:r>
      <w:r w:rsidR="00474C4B" w:rsidRPr="009206E0">
        <w:t xml:space="preserve"> per cent of people who watch </w:t>
      </w:r>
      <w:r w:rsidR="0002641B">
        <w:t>SVOD</w:t>
      </w:r>
      <w:r w:rsidR="00474C4B" w:rsidRPr="009206E0">
        <w:t xml:space="preserve">s do so on their television set (either </w:t>
      </w:r>
      <w:r w:rsidRPr="009206E0">
        <w:t xml:space="preserve">through </w:t>
      </w:r>
      <w:r w:rsidR="00474C4B" w:rsidRPr="009206E0">
        <w:t>Smart TV app</w:t>
      </w:r>
      <w:r w:rsidRPr="009206E0">
        <w:t>lication</w:t>
      </w:r>
      <w:r w:rsidR="00474C4B" w:rsidRPr="009206E0">
        <w:t>s</w:t>
      </w:r>
      <w:r w:rsidRPr="009206E0">
        <w:t xml:space="preserve"> (</w:t>
      </w:r>
      <w:r w:rsidR="00474C4B" w:rsidRPr="009206E0">
        <w:t>53 per cent</w:t>
      </w:r>
      <w:r w:rsidRPr="009206E0">
        <w:t>)</w:t>
      </w:r>
      <w:r w:rsidR="00474C4B" w:rsidRPr="009206E0">
        <w:t xml:space="preserve"> or</w:t>
      </w:r>
      <w:r w:rsidR="00C27C0B">
        <w:t xml:space="preserve"> via other devices connected to the TV, such as</w:t>
      </w:r>
      <w:r w:rsidR="00474C4B" w:rsidRPr="009206E0">
        <w:t xml:space="preserve"> through set-top box </w:t>
      </w:r>
      <w:r w:rsidRPr="009206E0">
        <w:t>(</w:t>
      </w:r>
      <w:r w:rsidR="00474C4B" w:rsidRPr="009206E0">
        <w:t>13 per cent</w:t>
      </w:r>
      <w:r w:rsidRPr="009206E0">
        <w:t>)</w:t>
      </w:r>
      <w:r w:rsidR="00C27C0B">
        <w:t>, computers (12 per cent) or Chromecast (11 per cent)</w:t>
      </w:r>
      <w:r w:rsidR="003B1DB6" w:rsidRPr="009206E0">
        <w:t>.</w:t>
      </w:r>
      <w:r w:rsidR="003B1DB6" w:rsidRPr="009206E0">
        <w:rPr>
          <w:rStyle w:val="FootnoteReference"/>
        </w:rPr>
        <w:footnoteReference w:id="26"/>
      </w:r>
      <w:r w:rsidR="003B1DB6" w:rsidRPr="009206E0">
        <w:t xml:space="preserve"> </w:t>
      </w:r>
      <w:r w:rsidR="0002641B">
        <w:t>SVOD</w:t>
      </w:r>
      <w:r w:rsidR="00474C4B" w:rsidRPr="009206E0">
        <w:t>s are increasingly becoming the way people watch television</w:t>
      </w:r>
      <w:r w:rsidR="00F96C97" w:rsidRPr="009206E0">
        <w:t>.</w:t>
      </w:r>
      <w:r w:rsidR="00474C4B" w:rsidRPr="009206E0">
        <w:t xml:space="preserve"> </w:t>
      </w:r>
      <w:r w:rsidR="0078778E" w:rsidRPr="009206E0">
        <w:t xml:space="preserve">Australians’ use of domestic and international </w:t>
      </w:r>
      <w:r w:rsidR="0002641B">
        <w:t>SVOD</w:t>
      </w:r>
      <w:r w:rsidR="0078778E" w:rsidRPr="009206E0">
        <w:t>s has significantly increased since their arrival in the market, so much so that it is now the most popular way for Australians to consume screen content.</w:t>
      </w:r>
      <w:r w:rsidR="003B1DB6" w:rsidRPr="009206E0">
        <w:t xml:space="preserve"> </w:t>
      </w:r>
      <w:bookmarkEnd w:id="37"/>
      <w:r w:rsidR="0078778E" w:rsidRPr="009206E0">
        <w:t>The</w:t>
      </w:r>
      <w:r w:rsidR="0078778E">
        <w:t xml:space="preserve"> </w:t>
      </w:r>
      <w:r w:rsidR="00464758">
        <w:rPr>
          <w:i/>
        </w:rPr>
        <w:t>Television &amp; Media</w:t>
      </w:r>
      <w:r w:rsidR="0078778E" w:rsidRPr="003703C4">
        <w:rPr>
          <w:i/>
        </w:rPr>
        <w:t xml:space="preserve"> Survey</w:t>
      </w:r>
      <w:r w:rsidR="00464758">
        <w:rPr>
          <w:i/>
        </w:rPr>
        <w:t xml:space="preserve"> 2023</w:t>
      </w:r>
      <w:r w:rsidR="0078778E">
        <w:t xml:space="preserve"> found that the most common platforms that respondents used to watch screen content (</w:t>
      </w:r>
      <w:r>
        <w:t>over a seven day period</w:t>
      </w:r>
      <w:r w:rsidR="0078778E">
        <w:t xml:space="preserve">) were online </w:t>
      </w:r>
      <w:r w:rsidR="0002641B">
        <w:t>SVOD</w:t>
      </w:r>
      <w:r w:rsidR="0078778E">
        <w:t>s (6</w:t>
      </w:r>
      <w:r w:rsidR="00464758">
        <w:t xml:space="preserve">5 </w:t>
      </w:r>
      <w:r w:rsidR="0078778E">
        <w:t>per cent).</w:t>
      </w:r>
      <w:r w:rsidR="0078778E">
        <w:rPr>
          <w:rStyle w:val="FootnoteReference"/>
        </w:rPr>
        <w:footnoteReference w:id="27"/>
      </w:r>
      <w:r w:rsidR="0078778E">
        <w:t xml:space="preserve"> </w:t>
      </w:r>
    </w:p>
    <w:p w14:paraId="66206716" w14:textId="2A1FACF6" w:rsidR="0078778E" w:rsidRDefault="0078778E" w:rsidP="0078778E">
      <w:r>
        <w:t>Currently</w:t>
      </w:r>
      <w:r w:rsidR="00885913">
        <w:t xml:space="preserve">, </w:t>
      </w:r>
      <w:r>
        <w:t>c</w:t>
      </w:r>
      <w:r w:rsidRPr="00127719">
        <w:t>ommercial</w:t>
      </w:r>
      <w:r>
        <w:t xml:space="preserve"> free-to-air and </w:t>
      </w:r>
      <w:r w:rsidR="0052119E">
        <w:t xml:space="preserve">other </w:t>
      </w:r>
      <w:r>
        <w:t xml:space="preserve">subscription television broadcasters are subject to regulation that requires investment in the provision of Australian content on their platforms. It means that a viewer of a free-to-air commercial broadcaster will be likely to encounter Australian content </w:t>
      </w:r>
      <w:r w:rsidR="00BA4EB1">
        <w:t>when viewing these services</w:t>
      </w:r>
      <w:r>
        <w:t xml:space="preserve"> </w:t>
      </w:r>
      <w:r w:rsidR="00BA4EB1">
        <w:t>because of the local content requirements placed on them</w:t>
      </w:r>
      <w:r>
        <w:t xml:space="preserve">. Similarly, subscription broadcasters </w:t>
      </w:r>
      <w:r w:rsidR="00BA4EB1">
        <w:t xml:space="preserve">using satellite and cable </w:t>
      </w:r>
      <w:r>
        <w:t>are required to dedicate 10 per cent of their drama expenditure to new Australian drama.</w:t>
      </w:r>
    </w:p>
    <w:p w14:paraId="041F9914" w14:textId="114C0DCE" w:rsidR="0078778E" w:rsidRDefault="008F0D09" w:rsidP="0078778E">
      <w:r w:rsidRPr="007357A4">
        <w:t>U</w:t>
      </w:r>
      <w:r w:rsidR="0078778E" w:rsidRPr="007357A4">
        <w:t xml:space="preserve">nlike free-to-air commercial television and </w:t>
      </w:r>
      <w:r w:rsidR="00BA4EB1" w:rsidRPr="007357A4">
        <w:t xml:space="preserve">other </w:t>
      </w:r>
      <w:r w:rsidR="0078778E" w:rsidRPr="007357A4">
        <w:t xml:space="preserve">subscription television broadcasting services, </w:t>
      </w:r>
      <w:r w:rsidR="0002641B">
        <w:t>SVOD</w:t>
      </w:r>
      <w:r w:rsidR="0078778E" w:rsidRPr="007357A4">
        <w:t>s are not subject to Australian content requirements.</w:t>
      </w:r>
      <w:r w:rsidR="0078778E">
        <w:t xml:space="preserve"> As a result, access to and provision of Australian content is inconsistent. Some </w:t>
      </w:r>
      <w:r w:rsidR="0002641B">
        <w:t>SVOD</w:t>
      </w:r>
      <w:r w:rsidR="0078778E">
        <w:t xml:space="preserve">s host a significant amount of Australian content, </w:t>
      </w:r>
      <w:r w:rsidR="00BA4EB1">
        <w:t>both</w:t>
      </w:r>
      <w:r w:rsidR="0078778E">
        <w:t xml:space="preserve"> new and </w:t>
      </w:r>
      <w:r w:rsidR="00BA4EB1">
        <w:t>old</w:t>
      </w:r>
      <w:r>
        <w:t xml:space="preserve">, </w:t>
      </w:r>
      <w:r w:rsidR="00BA4EB1">
        <w:t xml:space="preserve">in their </w:t>
      </w:r>
      <w:r w:rsidR="0078778E">
        <w:t>catalogue</w:t>
      </w:r>
      <w:r>
        <w:t>s</w:t>
      </w:r>
      <w:r w:rsidR="00A2336F">
        <w:t xml:space="preserve">. Other </w:t>
      </w:r>
      <w:r w:rsidR="0002641B">
        <w:t>SVOD</w:t>
      </w:r>
      <w:r w:rsidR="00A2336F">
        <w:t>s</w:t>
      </w:r>
      <w:r w:rsidR="0078778E">
        <w:t xml:space="preserve"> have </w:t>
      </w:r>
      <w:r w:rsidR="00A2336F">
        <w:t xml:space="preserve">little, or even </w:t>
      </w:r>
      <w:r w:rsidR="0078778E">
        <w:t>no</w:t>
      </w:r>
      <w:r>
        <w:t>,</w:t>
      </w:r>
      <w:r w:rsidR="0078778E">
        <w:t xml:space="preserve"> recognisably Australian content. </w:t>
      </w:r>
    </w:p>
    <w:p w14:paraId="1BB767C5" w14:textId="1D5ECD4E" w:rsidR="00B000BC" w:rsidRPr="00E819D1" w:rsidRDefault="00B000BC" w:rsidP="0078778E">
      <w:pPr>
        <w:pStyle w:val="Heading2"/>
        <w:rPr>
          <w:sz w:val="32"/>
          <w:szCs w:val="32"/>
        </w:rPr>
      </w:pPr>
      <w:bookmarkStart w:id="38" w:name="_Toc156313407"/>
      <w:bookmarkStart w:id="39" w:name="_Toc156484928"/>
      <w:bookmarkStart w:id="40" w:name="_Toc156485000"/>
      <w:bookmarkStart w:id="41" w:name="_Toc156485072"/>
      <w:bookmarkStart w:id="42" w:name="_Toc156485144"/>
      <w:bookmarkStart w:id="43" w:name="_Toc156485216"/>
      <w:r>
        <w:rPr>
          <w:sz w:val="32"/>
          <w:szCs w:val="32"/>
        </w:rPr>
        <w:lastRenderedPageBreak/>
        <w:t>T</w:t>
      </w:r>
      <w:r w:rsidRPr="00B000BC">
        <w:rPr>
          <w:sz w:val="32"/>
          <w:szCs w:val="32"/>
        </w:rPr>
        <w:t xml:space="preserve">here is no guarantee that </w:t>
      </w:r>
      <w:r w:rsidR="0002641B">
        <w:rPr>
          <w:sz w:val="32"/>
          <w:szCs w:val="32"/>
        </w:rPr>
        <w:t>SVOD</w:t>
      </w:r>
      <w:r w:rsidRPr="00B000BC">
        <w:rPr>
          <w:sz w:val="32"/>
          <w:szCs w:val="32"/>
        </w:rPr>
        <w:t>s will produce and make Australian content available to Australian consumers</w:t>
      </w:r>
      <w:bookmarkEnd w:id="38"/>
      <w:bookmarkEnd w:id="39"/>
      <w:bookmarkEnd w:id="40"/>
      <w:bookmarkEnd w:id="41"/>
      <w:bookmarkEnd w:id="42"/>
      <w:bookmarkEnd w:id="43"/>
    </w:p>
    <w:p w14:paraId="7AB70515" w14:textId="58F6DD8F" w:rsidR="00024126" w:rsidRDefault="00024126" w:rsidP="00024126">
      <w:bookmarkStart w:id="44" w:name="_Hlk141080297"/>
      <w:r>
        <w:t>Several</w:t>
      </w:r>
      <w:r w:rsidRPr="006F25D6">
        <w:t xml:space="preserve"> </w:t>
      </w:r>
      <w:r w:rsidR="0002641B">
        <w:t>SVOD</w:t>
      </w:r>
      <w:r w:rsidRPr="006F25D6">
        <w:t>s operating in the Australian market provide data about their investment in Australian content (in terms of spending and availability) voluntarily to the ACMA. Amazon Prime Video, Disney+, Netflix, and Stan have reported to the ACMA each financial year since 2019–20. Paramount+ commenced participation in reporting for the 2021–22 financial year. This data includes expenditure on both commissioned and acquired Australian, Australian-related, and New Zealand programs, as well as details about the amount (hours and titles) of Australian programs in their catalogues.</w:t>
      </w:r>
      <w:r w:rsidRPr="00552991">
        <w:rPr>
          <w:vertAlign w:val="superscript"/>
        </w:rPr>
        <w:footnoteReference w:id="28"/>
      </w:r>
      <w:r w:rsidRPr="006F25D6">
        <w:t xml:space="preserve"> </w:t>
      </w:r>
    </w:p>
    <w:p w14:paraId="079BCA56" w14:textId="119EA7F2" w:rsidR="00024126" w:rsidRPr="00B61E2A" w:rsidRDefault="00024126" w:rsidP="0048481E">
      <w:pPr>
        <w:spacing w:after="120"/>
      </w:pPr>
      <w:r w:rsidRPr="006F25D6">
        <w:t xml:space="preserve">According to data published by the ACMA, </w:t>
      </w:r>
      <w:r w:rsidR="0002641B">
        <w:t>SVOD</w:t>
      </w:r>
      <w:r w:rsidRPr="00497F2A">
        <w:t xml:space="preserve">s </w:t>
      </w:r>
      <w:r w:rsidR="008F0D09">
        <w:t>expenditure</w:t>
      </w:r>
      <w:r w:rsidRPr="00497F2A">
        <w:t xml:space="preserve"> in Australia</w:t>
      </w:r>
      <w:r w:rsidRPr="006F25D6">
        <w:t xml:space="preserve"> on</w:t>
      </w:r>
      <w:r>
        <w:t xml:space="preserve"> commissioned and acquired</w:t>
      </w:r>
      <w:r w:rsidRPr="006F25D6">
        <w:t xml:space="preserve"> </w:t>
      </w:r>
      <w:r w:rsidRPr="001D360F">
        <w:t>Australian programs</w:t>
      </w:r>
      <w:r w:rsidR="008F0D09">
        <w:rPr>
          <w:b/>
          <w:i/>
        </w:rPr>
        <w:t xml:space="preserve"> </w:t>
      </w:r>
      <w:r w:rsidR="008F0D09" w:rsidRPr="0048481E">
        <w:t>averaged $333.5 million a year between 2021 and 2024</w:t>
      </w:r>
      <w:r w:rsidRPr="00497F2A">
        <w:t>:</w:t>
      </w:r>
      <w:r w:rsidRPr="00497F2A">
        <w:rPr>
          <w:rStyle w:val="FootnoteReference"/>
        </w:rPr>
        <w:footnoteReference w:id="29"/>
      </w:r>
      <w:r w:rsidRPr="00497F2A">
        <w:t xml:space="preserve"> </w:t>
      </w:r>
      <w:r>
        <w:rPr>
          <w:rStyle w:val="FootnoteReference"/>
        </w:rPr>
        <w:footnoteReference w:id="30"/>
      </w:r>
    </w:p>
    <w:p w14:paraId="3D0DB7E7" w14:textId="607ADEB3" w:rsidR="00024126" w:rsidRDefault="00CD4ECB" w:rsidP="00024126">
      <w:pPr>
        <w:pStyle w:val="BodyText"/>
        <w:rPr>
          <w:sz w:val="22"/>
          <w:szCs w:val="22"/>
          <w:highlight w:val="yellow"/>
        </w:rPr>
      </w:pPr>
      <w:r>
        <w:rPr>
          <w:noProof/>
          <w:sz w:val="22"/>
          <w:szCs w:val="22"/>
          <w:highlight w:val="yellow"/>
          <w:lang w:eastAsia="en-AU"/>
        </w:rPr>
        <w:drawing>
          <wp:inline distT="0" distB="0" distL="0" distR="0" wp14:anchorId="5B956024" wp14:editId="64BE6466">
            <wp:extent cx="6400800" cy="3246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3246120"/>
                    </a:xfrm>
                    <a:prstGeom prst="rect">
                      <a:avLst/>
                    </a:prstGeom>
                    <a:noFill/>
                  </pic:spPr>
                </pic:pic>
              </a:graphicData>
            </a:graphic>
          </wp:inline>
        </w:drawing>
      </w:r>
    </w:p>
    <w:p w14:paraId="5254DED3" w14:textId="58FEAE33" w:rsidR="00024126" w:rsidRDefault="008F0D09" w:rsidP="00A540D0">
      <w:r>
        <w:t>S</w:t>
      </w:r>
      <w:r w:rsidR="00024126" w:rsidRPr="0048481E">
        <w:t xml:space="preserve">ome </w:t>
      </w:r>
      <w:r w:rsidR="0002641B">
        <w:t>SVOD</w:t>
      </w:r>
      <w:r w:rsidR="00024126" w:rsidRPr="0048481E">
        <w:t xml:space="preserve">s are </w:t>
      </w:r>
      <w:r>
        <w:t xml:space="preserve">currently </w:t>
      </w:r>
      <w:r w:rsidR="00024126" w:rsidRPr="0048481E">
        <w:t xml:space="preserve">investing in Australian content and see it as part of their business strategy, </w:t>
      </w:r>
      <w:r>
        <w:t xml:space="preserve">but </w:t>
      </w:r>
      <w:r w:rsidR="00024126" w:rsidRPr="0048481E">
        <w:t xml:space="preserve">globally </w:t>
      </w:r>
      <w:r w:rsidR="0002641B">
        <w:t>SVOD</w:t>
      </w:r>
      <w:r w:rsidR="00024126" w:rsidRPr="0048481E">
        <w:t xml:space="preserve">s are reducing costs (particularly on commissioning new content), increasing prices, and introducing cheaper subscription tiers that include advertising to secure profitability. </w:t>
      </w:r>
      <w:r>
        <w:t>T</w:t>
      </w:r>
      <w:r w:rsidR="00024126" w:rsidRPr="0048481E">
        <w:t xml:space="preserve">otal expenditure on Australian programs has remained relatively stable in the last three years, </w:t>
      </w:r>
      <w:r>
        <w:t xml:space="preserve">but </w:t>
      </w:r>
      <w:r w:rsidR="00024126" w:rsidRPr="0048481E">
        <w:t>there is no guarantee</w:t>
      </w:r>
      <w:r w:rsidR="00B000BC">
        <w:t xml:space="preserve"> that</w:t>
      </w:r>
      <w:r w:rsidR="00024126" w:rsidRPr="0048481E">
        <w:t xml:space="preserve"> </w:t>
      </w:r>
      <w:r w:rsidR="0002641B">
        <w:t>SVOD</w:t>
      </w:r>
      <w:r w:rsidR="00B000BC" w:rsidRPr="00B000BC">
        <w:t>s will produce and make Australian content available to Australian consumers</w:t>
      </w:r>
      <w:r w:rsidR="00B000BC" w:rsidRPr="00B000BC" w:rsidDel="00B000BC">
        <w:t xml:space="preserve"> </w:t>
      </w:r>
      <w:r w:rsidR="00024126" w:rsidRPr="0048481E">
        <w:t xml:space="preserve">without Government intervention. </w:t>
      </w:r>
    </w:p>
    <w:p w14:paraId="1CF5308D" w14:textId="7AF13BB2" w:rsidR="006B6976" w:rsidRDefault="00024126" w:rsidP="00A540D0">
      <w:r w:rsidRPr="0048481E">
        <w:t xml:space="preserve">Australia remains a relatively small English-language market </w:t>
      </w:r>
      <w:r w:rsidR="008F0D09">
        <w:t>but</w:t>
      </w:r>
      <w:r w:rsidRPr="0048481E">
        <w:t xml:space="preserve">, unlike in some other </w:t>
      </w:r>
      <w:r w:rsidR="008F0D09">
        <w:t>jurisdictions</w:t>
      </w:r>
      <w:r w:rsidRPr="0048481E">
        <w:t xml:space="preserve">, such as in Canada and </w:t>
      </w:r>
      <w:r w:rsidR="008F0D09">
        <w:t>the European Union</w:t>
      </w:r>
      <w:r w:rsidRPr="0048481E">
        <w:t xml:space="preserve">, </w:t>
      </w:r>
      <w:r w:rsidR="0002641B">
        <w:t>SVOD</w:t>
      </w:r>
      <w:r w:rsidRPr="0048481E">
        <w:t>s in Australia are under no obligation to contribute to the development of local stories.</w:t>
      </w:r>
      <w:r w:rsidRPr="00F32FD7">
        <w:t xml:space="preserve"> </w:t>
      </w:r>
      <w:r w:rsidR="008F0D09">
        <w:t>I</w:t>
      </w:r>
      <w:r w:rsidRPr="00F32FD7">
        <w:t>t is often easier and cheaper for streaming platforms ope</w:t>
      </w:r>
      <w:r w:rsidRPr="00024126">
        <w:t xml:space="preserve">rating in Australia to </w:t>
      </w:r>
      <w:r w:rsidR="008F0D09">
        <w:t>rely on</w:t>
      </w:r>
      <w:r w:rsidRPr="00024126">
        <w:t xml:space="preserve"> content </w:t>
      </w:r>
      <w:r w:rsidR="008F0D09">
        <w:t>produced</w:t>
      </w:r>
      <w:r w:rsidRPr="00024126">
        <w:t xml:space="preserve"> overseas, or acquire previously produced </w:t>
      </w:r>
      <w:r w:rsidRPr="00D5384D">
        <w:t xml:space="preserve">local content, rather than producing or commissioning new Australian </w:t>
      </w:r>
      <w:r w:rsidR="008F0D09">
        <w:t>productions</w:t>
      </w:r>
      <w:r w:rsidRPr="00D5384D">
        <w:t xml:space="preserve">. </w:t>
      </w:r>
      <w:r w:rsidR="00E200FA" w:rsidRPr="00F32FD7">
        <w:t xml:space="preserve">Some </w:t>
      </w:r>
      <w:r w:rsidR="0002641B">
        <w:t>SVOD</w:t>
      </w:r>
      <w:r w:rsidR="00E200FA" w:rsidRPr="00F32FD7">
        <w:t xml:space="preserve">s </w:t>
      </w:r>
      <w:r w:rsidR="00E200FA" w:rsidRPr="00E200FA">
        <w:t xml:space="preserve">commission little or no Australian content. In </w:t>
      </w:r>
      <w:r w:rsidR="00380A00">
        <w:t xml:space="preserve">2023 market-leading data and analytics firm Ampere published data that showed </w:t>
      </w:r>
      <w:r w:rsidR="0002641B">
        <w:t>SVOD</w:t>
      </w:r>
      <w:r w:rsidR="00380A00">
        <w:t>s had very little programming their catalogues that was Australian in origin:</w:t>
      </w:r>
      <w:r w:rsidR="00380A00">
        <w:rPr>
          <w:rStyle w:val="FootnoteReference"/>
          <w:color w:val="262626" w:themeColor="text1" w:themeTint="D9"/>
          <w:szCs w:val="20"/>
        </w:rPr>
        <w:footnoteReference w:id="31"/>
      </w:r>
      <w:r w:rsidR="00380A00">
        <w:t xml:space="preserve"> </w:t>
      </w:r>
    </w:p>
    <w:p w14:paraId="10183375" w14:textId="7ED88F44" w:rsidR="00380A00" w:rsidRDefault="00CD4ECB" w:rsidP="006B6976">
      <w:r>
        <w:rPr>
          <w:noProof/>
          <w:lang w:eastAsia="en-AU"/>
        </w:rPr>
        <w:lastRenderedPageBreak/>
        <w:drawing>
          <wp:inline distT="0" distB="0" distL="0" distR="0" wp14:anchorId="502D1168" wp14:editId="54FD119F">
            <wp:extent cx="6202680" cy="27432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2680" cy="2743200"/>
                    </a:xfrm>
                    <a:prstGeom prst="rect">
                      <a:avLst/>
                    </a:prstGeom>
                    <a:noFill/>
                  </pic:spPr>
                </pic:pic>
              </a:graphicData>
            </a:graphic>
          </wp:inline>
        </w:drawing>
      </w:r>
    </w:p>
    <w:p w14:paraId="0B7AC4EE" w14:textId="0101A616" w:rsidR="006B6976" w:rsidRPr="00D5384D" w:rsidRDefault="006B6976" w:rsidP="00A540D0">
      <w:pPr>
        <w:rPr>
          <w:color w:val="auto"/>
        </w:rPr>
      </w:pPr>
      <w:r w:rsidRPr="00D5384D">
        <w:t xml:space="preserve">Australia is a mature market for </w:t>
      </w:r>
      <w:r w:rsidR="0002641B">
        <w:t>SVOD</w:t>
      </w:r>
      <w:r w:rsidRPr="00D5384D">
        <w:t>s. The growth in new subscribers has slowed, increasing by an average of 4 per cent in the year to June 2024</w:t>
      </w:r>
      <w:r w:rsidR="008F0D09">
        <w:t>.</w:t>
      </w:r>
      <w:r w:rsidRPr="00D5384D">
        <w:rPr>
          <w:rStyle w:val="FootnoteReference"/>
        </w:rPr>
        <w:footnoteReference w:id="32"/>
      </w:r>
      <w:r w:rsidR="008F0D09">
        <w:t xml:space="preserve"> I</w:t>
      </w:r>
      <w:r w:rsidRPr="00D5384D">
        <w:t xml:space="preserve">ncreased investment by </w:t>
      </w:r>
      <w:r w:rsidR="0002641B">
        <w:t>SVOD</w:t>
      </w:r>
      <w:r w:rsidRPr="00D5384D">
        <w:t xml:space="preserve">s in Australian content may not </w:t>
      </w:r>
      <w:r w:rsidR="00F35537">
        <w:t xml:space="preserve">necessarily </w:t>
      </w:r>
      <w:r w:rsidRPr="00D5384D">
        <w:t xml:space="preserve">increase subscriber numbers. Although </w:t>
      </w:r>
      <w:r w:rsidR="00F35537">
        <w:t xml:space="preserve">it appears </w:t>
      </w:r>
      <w:r w:rsidRPr="00D5384D">
        <w:t>r</w:t>
      </w:r>
      <w:r w:rsidRPr="00D5384D">
        <w:rPr>
          <w:color w:val="auto"/>
        </w:rPr>
        <w:t>ecent market entrants are undertaking</w:t>
      </w:r>
      <w:r w:rsidR="00F35537">
        <w:rPr>
          <w:color w:val="auto"/>
        </w:rPr>
        <w:t xml:space="preserve"> </w:t>
      </w:r>
      <w:r w:rsidRPr="00D5384D">
        <w:rPr>
          <w:color w:val="auto"/>
        </w:rPr>
        <w:t>loss-leading strateg</w:t>
      </w:r>
      <w:r w:rsidR="00F35537">
        <w:rPr>
          <w:color w:val="auto"/>
        </w:rPr>
        <w:t>ies</w:t>
      </w:r>
      <w:r w:rsidRPr="00D5384D">
        <w:rPr>
          <w:color w:val="auto"/>
        </w:rPr>
        <w:t xml:space="preserve"> to establish themselves, there is a risk that their expenditure may drop back to levels more consistent with more </w:t>
      </w:r>
      <w:r w:rsidRPr="00D5384D">
        <w:t>established</w:t>
      </w:r>
      <w:r w:rsidRPr="00D5384D">
        <w:rPr>
          <w:color w:val="auto"/>
        </w:rPr>
        <w:t xml:space="preserve"> </w:t>
      </w:r>
      <w:r w:rsidR="0002641B">
        <w:rPr>
          <w:color w:val="auto"/>
        </w:rPr>
        <w:t>SVOD</w:t>
      </w:r>
      <w:r w:rsidRPr="00D5384D">
        <w:rPr>
          <w:color w:val="auto"/>
        </w:rPr>
        <w:t xml:space="preserve">s in the Australian market. </w:t>
      </w:r>
    </w:p>
    <w:p w14:paraId="0E96B41C" w14:textId="591F5C77" w:rsidR="00024126" w:rsidRDefault="006B6976" w:rsidP="00A540D0">
      <w:pPr>
        <w:rPr>
          <w:color w:val="auto"/>
          <w:highlight w:val="green"/>
        </w:rPr>
      </w:pPr>
      <w:r w:rsidRPr="0050702F">
        <w:t>Australian content can</w:t>
      </w:r>
      <w:r w:rsidR="00F35537">
        <w:t>,</w:t>
      </w:r>
      <w:r w:rsidRPr="0050702F">
        <w:t xml:space="preserve"> and does</w:t>
      </w:r>
      <w:r w:rsidR="00F35537">
        <w:t>,</w:t>
      </w:r>
      <w:r w:rsidRPr="0050702F">
        <w:t xml:space="preserve"> travel well</w:t>
      </w:r>
      <w:r>
        <w:t xml:space="preserve">. </w:t>
      </w:r>
      <w:r w:rsidR="00F35537">
        <w:t xml:space="preserve">The </w:t>
      </w:r>
      <w:r>
        <w:t xml:space="preserve">Australian animated series </w:t>
      </w:r>
      <w:r>
        <w:rPr>
          <w:i/>
        </w:rPr>
        <w:t xml:space="preserve">Bluey </w:t>
      </w:r>
      <w:r>
        <w:t xml:space="preserve">was the most streamed show in </w:t>
      </w:r>
      <w:r w:rsidR="00F35537">
        <w:t xml:space="preserve">the United States in </w:t>
      </w:r>
      <w:r>
        <w:t>2024</w:t>
      </w:r>
      <w:r w:rsidR="00F35537">
        <w:t>,</w:t>
      </w:r>
      <w:r>
        <w:t xml:space="preserve"> watched for 55.62 Billion minutes on Disney+</w:t>
      </w:r>
      <w:r w:rsidR="00F35537">
        <w:t>.</w:t>
      </w:r>
      <w:r>
        <w:rPr>
          <w:rStyle w:val="FootnoteReference"/>
        </w:rPr>
        <w:footnoteReference w:id="33"/>
      </w:r>
      <w:r>
        <w:t xml:space="preserve"> Australian </w:t>
      </w:r>
      <w:r w:rsidR="00F35537">
        <w:t>‘</w:t>
      </w:r>
      <w:r>
        <w:t>coming of age</w:t>
      </w:r>
      <w:r w:rsidR="00F35537">
        <w:t>’</w:t>
      </w:r>
      <w:r>
        <w:t xml:space="preserve"> television series</w:t>
      </w:r>
      <w:r w:rsidR="00F35537">
        <w:t>,</w:t>
      </w:r>
      <w:r>
        <w:t xml:space="preserve"> </w:t>
      </w:r>
      <w:r>
        <w:rPr>
          <w:i/>
        </w:rPr>
        <w:t>Boy Swallows Universe</w:t>
      </w:r>
      <w:r w:rsidR="00F35537" w:rsidRPr="0048481E">
        <w:t>,</w:t>
      </w:r>
      <w:r w:rsidR="00F35537">
        <w:rPr>
          <w:i/>
        </w:rPr>
        <w:t xml:space="preserve"> </w:t>
      </w:r>
      <w:r>
        <w:t xml:space="preserve">hit </w:t>
      </w:r>
      <w:r w:rsidRPr="00D5384D">
        <w:t>the Netflix Weekly Top 10 in 52 countries on release, including the number one spot in Australia, the fourth spot in the UK and sixth spot in the United States.</w:t>
      </w:r>
      <w:r w:rsidRPr="00D5384D">
        <w:rPr>
          <w:vertAlign w:val="superscript"/>
        </w:rPr>
        <w:footnoteReference w:id="34"/>
      </w:r>
      <w:r w:rsidRPr="00D5384D">
        <w:t xml:space="preserve"> However, Australian stories are at a distinct disadvantage in that they have to compete with other larger English-language markets that have a long history of cultural export. </w:t>
      </w:r>
      <w:r w:rsidR="00024126" w:rsidRPr="00D5384D">
        <w:t xml:space="preserve">The Government has found that, global </w:t>
      </w:r>
      <w:r w:rsidR="0002641B">
        <w:t>SVOD</w:t>
      </w:r>
      <w:r w:rsidR="00024126" w:rsidRPr="00D5384D">
        <w:t>s are spending far more on local content than in other non-English speaking jurisdictions or in emerging markets. As an example, Netflix has committed to commissioning €1 billion (</w:t>
      </w:r>
      <w:r w:rsidR="00F35537">
        <w:t>AUD</w:t>
      </w:r>
      <w:r w:rsidR="00024126" w:rsidRPr="00D5384D">
        <w:t>$1.7 billion) in new content in Spain between 2025 and 2028</w:t>
      </w:r>
      <w:r w:rsidR="00024126" w:rsidRPr="00D5384D">
        <w:rPr>
          <w:vertAlign w:val="superscript"/>
        </w:rPr>
        <w:footnoteReference w:id="35"/>
      </w:r>
      <w:r w:rsidR="00024126" w:rsidRPr="00D5384D">
        <w:t>, and USD$2.5 billion (</w:t>
      </w:r>
      <w:r w:rsidR="00F35537">
        <w:t>AUD</w:t>
      </w:r>
      <w:r w:rsidR="00024126" w:rsidRPr="00D5384D">
        <w:t>$3.812 billion) in Korea between 2023 and 2027</w:t>
      </w:r>
      <w:r w:rsidR="00024126" w:rsidRPr="00D5384D">
        <w:rPr>
          <w:vertAlign w:val="superscript"/>
        </w:rPr>
        <w:footnoteReference w:id="36"/>
      </w:r>
      <w:r w:rsidR="00024126" w:rsidRPr="00D5384D">
        <w:t xml:space="preserve">. That </w:t>
      </w:r>
      <w:r w:rsidR="00F35537">
        <w:t>equates to</w:t>
      </w:r>
      <w:r w:rsidR="00024126" w:rsidRPr="00D5384D">
        <w:t xml:space="preserve"> more </w:t>
      </w:r>
      <w:r w:rsidR="00F35537">
        <w:t xml:space="preserve">expenditure </w:t>
      </w:r>
      <w:r w:rsidR="00024126" w:rsidRPr="00D5384D">
        <w:t xml:space="preserve">over four years in each of these jurisdictions </w:t>
      </w:r>
      <w:r w:rsidR="00024126">
        <w:t xml:space="preserve">by a single </w:t>
      </w:r>
      <w:r w:rsidR="0002641B">
        <w:t>SVOD</w:t>
      </w:r>
      <w:r w:rsidR="00024126">
        <w:t xml:space="preserve"> </w:t>
      </w:r>
      <w:r w:rsidR="00024126" w:rsidRPr="00D5384D">
        <w:t xml:space="preserve">than the entire reported expenditure on the commissioning and acquisition of Australian content by all </w:t>
      </w:r>
      <w:r w:rsidR="0002641B">
        <w:t>SVOD</w:t>
      </w:r>
      <w:r w:rsidR="00024126" w:rsidRPr="00D5384D">
        <w:t>s in Australia since 2019</w:t>
      </w:r>
      <w:r w:rsidR="00F35537">
        <w:t>.</w:t>
      </w:r>
      <w:r w:rsidR="00024126" w:rsidRPr="0048481E">
        <w:rPr>
          <w:vertAlign w:val="superscript"/>
        </w:rPr>
        <w:footnoteReference w:id="37"/>
      </w:r>
    </w:p>
    <w:p w14:paraId="19222FD3" w14:textId="5FC02582" w:rsidR="006B6976" w:rsidRDefault="00024126" w:rsidP="00A540D0">
      <w:r w:rsidRPr="00D5384D">
        <w:t xml:space="preserve">Expenditure data shows that non-regulatory, voluntary reporting has not resulted in a substantive increase in production, nor has it guaranteed consistent levels of investment in Australian content overall. A non-regulatory, voluntary approach does not have the power to shape or change outcomes and fails to guarantee ongoing investment in Australian content production. </w:t>
      </w:r>
      <w:r w:rsidRPr="0048481E">
        <w:t xml:space="preserve">Comparable jurisdictions around the world are acting to guarantee </w:t>
      </w:r>
      <w:r w:rsidR="0002641B">
        <w:t>SVOD</w:t>
      </w:r>
      <w:r w:rsidRPr="0048481E">
        <w:t xml:space="preserve">s invest in high-quality local content. Moreover, as more jurisdictions around the world implement local content requirements on major </w:t>
      </w:r>
      <w:r w:rsidR="0002641B">
        <w:t>SVOD</w:t>
      </w:r>
      <w:r w:rsidRPr="0048481E">
        <w:t xml:space="preserve">s, it is possible that these services may direct their investment in new content away from Australia to comply with regulation elsewhere. </w:t>
      </w:r>
      <w:r w:rsidR="00F35537">
        <w:t xml:space="preserve">This may lead to </w:t>
      </w:r>
      <w:r w:rsidR="0002641B">
        <w:t>SVOD</w:t>
      </w:r>
      <w:r w:rsidRPr="0048481E">
        <w:t>s reduc</w:t>
      </w:r>
      <w:r w:rsidR="00F35537">
        <w:t>ing</w:t>
      </w:r>
      <w:r w:rsidRPr="0048481E">
        <w:t xml:space="preserve"> investment in Australian production, causing job </w:t>
      </w:r>
      <w:r w:rsidRPr="00A540D0">
        <w:t xml:space="preserve">losses and instability in the sector, </w:t>
      </w:r>
      <w:r w:rsidR="00F35537" w:rsidRPr="00A540D0">
        <w:t>and</w:t>
      </w:r>
      <w:r w:rsidRPr="00A540D0">
        <w:t xml:space="preserve"> less new Australian content being made available to Australian audiences.</w:t>
      </w:r>
      <w:r w:rsidRPr="0048481E">
        <w:t xml:space="preserve"> </w:t>
      </w:r>
    </w:p>
    <w:p w14:paraId="4F9165F4" w14:textId="77777777" w:rsidR="0078778E" w:rsidRPr="00592D65" w:rsidRDefault="0078778E">
      <w:pPr>
        <w:pStyle w:val="Heading1"/>
        <w:rPr>
          <w:b/>
        </w:rPr>
      </w:pPr>
      <w:bookmarkStart w:id="45" w:name="_Toc156484933"/>
      <w:bookmarkStart w:id="46" w:name="_Toc156485005"/>
      <w:bookmarkStart w:id="47" w:name="_Toc156485077"/>
      <w:bookmarkStart w:id="48" w:name="_Toc156485149"/>
      <w:bookmarkStart w:id="49" w:name="_Toc156485221"/>
      <w:bookmarkStart w:id="50" w:name="_Toc212099785"/>
      <w:bookmarkEnd w:id="26"/>
      <w:bookmarkEnd w:id="44"/>
      <w:r w:rsidRPr="00592D65">
        <w:rPr>
          <w:b/>
        </w:rPr>
        <w:lastRenderedPageBreak/>
        <w:t>2. Why is Government action needed?</w:t>
      </w:r>
      <w:bookmarkEnd w:id="45"/>
      <w:bookmarkEnd w:id="46"/>
      <w:bookmarkEnd w:id="47"/>
      <w:bookmarkEnd w:id="48"/>
      <w:bookmarkEnd w:id="49"/>
      <w:bookmarkEnd w:id="50"/>
    </w:p>
    <w:p w14:paraId="1801133E" w14:textId="02785A06" w:rsidR="00F35537" w:rsidRPr="004E1A82" w:rsidRDefault="00F35537" w:rsidP="00A540D0">
      <w:bookmarkStart w:id="51" w:name="_Toc156313413"/>
      <w:bookmarkStart w:id="52" w:name="_Toc156484934"/>
      <w:bookmarkStart w:id="53" w:name="_Toc156485006"/>
      <w:bookmarkStart w:id="54" w:name="_Toc156485078"/>
      <w:bookmarkStart w:id="55" w:name="_Toc156485150"/>
      <w:bookmarkStart w:id="56" w:name="_Toc156485222"/>
      <w:bookmarkStart w:id="57" w:name="_Toc133933784"/>
      <w:r w:rsidRPr="001E6B42">
        <w:t>Government intervention</w:t>
      </w:r>
      <w:r>
        <w:t xml:space="preserve"> is required to make sure</w:t>
      </w:r>
      <w:r w:rsidR="00B000BC">
        <w:t xml:space="preserve"> that </w:t>
      </w:r>
      <w:r w:rsidR="0002641B">
        <w:t>SVOD</w:t>
      </w:r>
      <w:r w:rsidR="00B000BC" w:rsidRPr="00B000BC">
        <w:t>s will produce and make Australian content available to Australian consumers</w:t>
      </w:r>
      <w:r w:rsidRPr="001E6B42">
        <w:t>.</w:t>
      </w:r>
    </w:p>
    <w:p w14:paraId="7C4BDD94" w14:textId="1868C8FB" w:rsidR="00903D99" w:rsidRDefault="002120DA" w:rsidP="00A540D0">
      <w:r>
        <w:t>R</w:t>
      </w:r>
      <w:r w:rsidR="00903D99" w:rsidRPr="006F25D6">
        <w:t xml:space="preserve">egulation </w:t>
      </w:r>
      <w:r w:rsidR="00AD20B4">
        <w:t>has historically proven to be</w:t>
      </w:r>
      <w:r w:rsidR="00903D99" w:rsidRPr="006F25D6">
        <w:t xml:space="preserve"> a</w:t>
      </w:r>
      <w:r w:rsidR="00AD20B4">
        <w:t xml:space="preserve">n important mechanism to </w:t>
      </w:r>
      <w:r w:rsidR="00903D99" w:rsidRPr="006F25D6">
        <w:t>guarantee ongoing investment in Australian stories and content</w:t>
      </w:r>
      <w:r w:rsidR="00AD20B4">
        <w:t xml:space="preserve"> across media platforms</w:t>
      </w:r>
      <w:r w:rsidR="00903D99" w:rsidRPr="006F25D6">
        <w:t xml:space="preserve">. For regulated entities, it provides certainty in terms of their required investment in Australian </w:t>
      </w:r>
      <w:r w:rsidR="00AD20B4">
        <w:t>content</w:t>
      </w:r>
      <w:r w:rsidR="00903D99" w:rsidRPr="006F25D6">
        <w:t xml:space="preserve">. For Australian </w:t>
      </w:r>
      <w:r w:rsidR="00AD20B4">
        <w:t>production businesses and</w:t>
      </w:r>
      <w:r w:rsidR="00903D99" w:rsidRPr="006F25D6">
        <w:t xml:space="preserve"> </w:t>
      </w:r>
      <w:r w:rsidR="00AD20B4">
        <w:t xml:space="preserve">Australian </w:t>
      </w:r>
      <w:r w:rsidR="00AD20B4" w:rsidRPr="006F25D6">
        <w:t>screen workers</w:t>
      </w:r>
      <w:r w:rsidR="00903D99" w:rsidRPr="006F25D6">
        <w:t xml:space="preserve">, a guaranteed investment provides </w:t>
      </w:r>
      <w:r w:rsidR="00AD20B4">
        <w:t xml:space="preserve">continuity of production, </w:t>
      </w:r>
      <w:r w:rsidR="00903D99" w:rsidRPr="006F25D6">
        <w:t>certainty of demand, with positive flow-on effects for training and employment and investment in infrastructure that supports Australia’s screen industry.</w:t>
      </w:r>
      <w:r w:rsidR="00903D99" w:rsidRPr="006F25D6">
        <w:rPr>
          <w:rStyle w:val="FootnoteReference"/>
        </w:rPr>
        <w:footnoteReference w:id="38"/>
      </w:r>
      <w:r w:rsidR="00903D99" w:rsidRPr="006F25D6">
        <w:t xml:space="preserve"> For Australian audiences and the general public, regulation ensures </w:t>
      </w:r>
      <w:r w:rsidR="005D40F7" w:rsidRPr="005D40F7">
        <w:t xml:space="preserve">that </w:t>
      </w:r>
      <w:r w:rsidR="005D40F7">
        <w:t>SVODS</w:t>
      </w:r>
      <w:r w:rsidR="005D40F7" w:rsidRPr="005D40F7">
        <w:t xml:space="preserve"> will produce and make Australian content available to Australian consumers</w:t>
      </w:r>
      <w:r w:rsidR="005D40F7">
        <w:t>.</w:t>
      </w:r>
    </w:p>
    <w:p w14:paraId="2B4166C6" w14:textId="77777777" w:rsidR="00A16C62" w:rsidRDefault="00B7302D" w:rsidP="00A540D0">
      <w:r w:rsidRPr="00B61E2A">
        <w:t xml:space="preserve">Australia has </w:t>
      </w:r>
      <w:r w:rsidR="00F35537">
        <w:t>world-class</w:t>
      </w:r>
      <w:r w:rsidRPr="00B61E2A">
        <w:t xml:space="preserve"> </w:t>
      </w:r>
      <w:r w:rsidR="00F35537">
        <w:t>screen</w:t>
      </w:r>
      <w:r w:rsidRPr="00B61E2A">
        <w:t xml:space="preserve"> talent, </w:t>
      </w:r>
      <w:r>
        <w:t xml:space="preserve">however, </w:t>
      </w:r>
      <w:r w:rsidR="0078778E" w:rsidRPr="00B61E2A">
        <w:t xml:space="preserve">Australia is a </w:t>
      </w:r>
      <w:r w:rsidR="00CC63C4">
        <w:t xml:space="preserve">relatively </w:t>
      </w:r>
      <w:r w:rsidR="0078778E" w:rsidRPr="00B61E2A">
        <w:t>small market for screen content</w:t>
      </w:r>
      <w:r w:rsidR="00CF19EE">
        <w:t>,</w:t>
      </w:r>
      <w:r w:rsidR="0078778E" w:rsidRPr="00B61E2A">
        <w:t xml:space="preserve"> and there has been a history of government intervention to support the production of</w:t>
      </w:r>
      <w:r>
        <w:t>,</w:t>
      </w:r>
      <w:r w:rsidR="0078778E" w:rsidRPr="00B61E2A">
        <w:t xml:space="preserve"> and access to</w:t>
      </w:r>
      <w:r>
        <w:t>,</w:t>
      </w:r>
      <w:r w:rsidR="0078778E" w:rsidRPr="00B61E2A">
        <w:t xml:space="preserve"> quality Australian content for the benefit of Australians.</w:t>
      </w:r>
      <w:r w:rsidR="00A16C62">
        <w:t xml:space="preserve"> </w:t>
      </w:r>
      <w:r w:rsidR="00053085" w:rsidRPr="00B61E2A">
        <w:t xml:space="preserve">Australian content may be seen as </w:t>
      </w:r>
      <w:r w:rsidR="00053085">
        <w:t xml:space="preserve">a </w:t>
      </w:r>
      <w:r w:rsidR="00D37A3D">
        <w:t xml:space="preserve">higher </w:t>
      </w:r>
      <w:r w:rsidR="00053085">
        <w:t>risk</w:t>
      </w:r>
      <w:r w:rsidR="00053085" w:rsidRPr="00B61E2A">
        <w:t xml:space="preserve"> commercial investment as the production costs generally have to be recouped against a small domestic market.</w:t>
      </w:r>
      <w:r w:rsidR="00A16C62">
        <w:t xml:space="preserve"> </w:t>
      </w:r>
      <w:r w:rsidR="00D01928" w:rsidRPr="0050702F">
        <w:t xml:space="preserve">Multinational distributors will often seek out content that will attract audiences in multiple markets. </w:t>
      </w:r>
    </w:p>
    <w:bookmarkEnd w:id="51"/>
    <w:bookmarkEnd w:id="52"/>
    <w:bookmarkEnd w:id="53"/>
    <w:bookmarkEnd w:id="54"/>
    <w:bookmarkEnd w:id="55"/>
    <w:bookmarkEnd w:id="56"/>
    <w:p w14:paraId="07109067" w14:textId="22D902F8" w:rsidR="0078778E" w:rsidRPr="00B61E2A" w:rsidRDefault="0078778E" w:rsidP="00A540D0">
      <w:r w:rsidRPr="00B61E2A">
        <w:t xml:space="preserve">A regulatory imbalance currently exists between </w:t>
      </w:r>
      <w:r w:rsidR="003567BD">
        <w:t>content providers</w:t>
      </w:r>
      <w:r w:rsidRPr="00B61E2A">
        <w:t xml:space="preserve"> regulated under the</w:t>
      </w:r>
      <w:r w:rsidR="002727AA">
        <w:t xml:space="preserve"> BSA</w:t>
      </w:r>
      <w:r w:rsidRPr="00B61E2A">
        <w:t xml:space="preserve"> and those that are not</w:t>
      </w:r>
      <w:r w:rsidR="00702F26">
        <w:t>,</w:t>
      </w:r>
      <w:r w:rsidR="00702F26" w:rsidRPr="00702F26">
        <w:t xml:space="preserve"> </w:t>
      </w:r>
      <w:r w:rsidR="00702F26" w:rsidRPr="00B61E2A">
        <w:t xml:space="preserve">such as </w:t>
      </w:r>
      <w:r w:rsidR="0002641B">
        <w:t>SVOD</w:t>
      </w:r>
      <w:r w:rsidR="00702F26" w:rsidRPr="00B61E2A">
        <w:t>s</w:t>
      </w:r>
      <w:r w:rsidRPr="00B61E2A">
        <w:t xml:space="preserve">. Stakeholders have consistently raised the problem and petitioned the Government to act, citing an unfair burden of regulation that applies only to commercial free-to-air and subscription </w:t>
      </w:r>
      <w:r w:rsidR="003567BD">
        <w:t xml:space="preserve">television </w:t>
      </w:r>
      <w:r w:rsidR="00B7302D">
        <w:t>broadcasting licensees</w:t>
      </w:r>
      <w:r w:rsidRPr="00B61E2A">
        <w:t xml:space="preserve">. Current regulatory frameworks have not kept pace with the increasing popularity of </w:t>
      </w:r>
      <w:r w:rsidR="0002641B">
        <w:t>SVOD</w:t>
      </w:r>
      <w:r w:rsidRPr="00B61E2A">
        <w:t xml:space="preserve">s, and public policy still relies heavily on broadcasters to produce Australian stories and make them available. Given that </w:t>
      </w:r>
      <w:r w:rsidR="0002641B">
        <w:t>SVOD</w:t>
      </w:r>
      <w:r w:rsidRPr="00B61E2A">
        <w:t xml:space="preserve">s have become the most popular way Australians consume screen entertainment, it is reasonable that they be subject to regulation guaranteeing the provision of Australian content </w:t>
      </w:r>
      <w:r w:rsidR="00B7302D">
        <w:t>in line with other</w:t>
      </w:r>
      <w:r w:rsidRPr="00B61E2A">
        <w:t xml:space="preserve"> media </w:t>
      </w:r>
      <w:r w:rsidR="00B7302D">
        <w:t>platforms</w:t>
      </w:r>
      <w:r w:rsidRPr="00B61E2A">
        <w:t xml:space="preserve">. </w:t>
      </w:r>
    </w:p>
    <w:p w14:paraId="2180640F" w14:textId="7A53A222" w:rsidR="0078778E" w:rsidRPr="00B61E2A" w:rsidRDefault="0078778E" w:rsidP="00A540D0">
      <w:r w:rsidRPr="00B61E2A">
        <w:t xml:space="preserve">The </w:t>
      </w:r>
      <w:r w:rsidR="00DE2E7B">
        <w:t>G</w:t>
      </w:r>
      <w:r w:rsidRPr="00B61E2A">
        <w:t xml:space="preserve">overnment is guided by the objectives and regulatory approach of the </w:t>
      </w:r>
      <w:r w:rsidR="002727AA">
        <w:t xml:space="preserve">BSA </w:t>
      </w:r>
      <w:r w:rsidRPr="00B61E2A">
        <w:t xml:space="preserve">in the development of regulation for </w:t>
      </w:r>
      <w:r w:rsidR="0002641B">
        <w:t>SVOD</w:t>
      </w:r>
      <w:r w:rsidRPr="00B61E2A">
        <w:t xml:space="preserve">s. The objectives of the </w:t>
      </w:r>
      <w:r w:rsidR="002727AA">
        <w:t xml:space="preserve">BSA </w:t>
      </w:r>
      <w:r w:rsidRPr="00B61E2A">
        <w:t>include:</w:t>
      </w:r>
    </w:p>
    <w:p w14:paraId="12560D5C" w14:textId="77777777" w:rsidR="00C022E4" w:rsidRPr="0078778E" w:rsidRDefault="00C022E4" w:rsidP="00C022E4">
      <w:pPr>
        <w:pStyle w:val="Bullet1"/>
      </w:pPr>
      <w:r w:rsidRPr="0078778E">
        <w:t>to promote the availability to audiences throughout Australia of a diverse range of services</w:t>
      </w:r>
      <w:r>
        <w:t>;</w:t>
      </w:r>
      <w:r w:rsidRPr="0078778E">
        <w:t xml:space="preserve"> </w:t>
      </w:r>
    </w:p>
    <w:p w14:paraId="0A4B38D3" w14:textId="77777777" w:rsidR="00C022E4" w:rsidRPr="0078778E" w:rsidRDefault="00C022E4" w:rsidP="00C022E4">
      <w:pPr>
        <w:pStyle w:val="Bullet1"/>
      </w:pPr>
      <w:r>
        <w:rPr>
          <w:lang w:val="en-AU"/>
        </w:rPr>
        <w:t xml:space="preserve">to provide </w:t>
      </w:r>
      <w:r w:rsidRPr="0078778E">
        <w:t>a regulatory environment that will facilitate the development of an industry that is efficient, competitive and responsive to audience needs</w:t>
      </w:r>
      <w:r>
        <w:t>;</w:t>
      </w:r>
      <w:r w:rsidRPr="0078778E">
        <w:t xml:space="preserve"> </w:t>
      </w:r>
    </w:p>
    <w:p w14:paraId="02CFA530" w14:textId="77777777" w:rsidR="00C022E4" w:rsidRPr="0078778E" w:rsidRDefault="00C022E4" w:rsidP="00C022E4">
      <w:pPr>
        <w:pStyle w:val="Bullet1"/>
      </w:pPr>
      <w:r>
        <w:rPr>
          <w:lang w:val="en-AU"/>
        </w:rPr>
        <w:t xml:space="preserve">to promote </w:t>
      </w:r>
      <w:r w:rsidRPr="0078778E">
        <w:t xml:space="preserve">the development of a sense of Australian identity, character and cultural diversity; and </w:t>
      </w:r>
    </w:p>
    <w:p w14:paraId="7300CE31" w14:textId="77777777" w:rsidR="00C022E4" w:rsidRPr="0078778E" w:rsidRDefault="00C022E4" w:rsidP="00C022E4">
      <w:pPr>
        <w:pStyle w:val="Bullet1"/>
      </w:pPr>
      <w:r>
        <w:rPr>
          <w:lang w:val="en-AU"/>
        </w:rPr>
        <w:t xml:space="preserve">to promote </w:t>
      </w:r>
      <w:r w:rsidRPr="0078778E">
        <w:t xml:space="preserve">the provision of high quality and innovative programming. </w:t>
      </w:r>
    </w:p>
    <w:p w14:paraId="4F25AB98" w14:textId="77777777" w:rsidR="0078778E" w:rsidRPr="00B61E2A" w:rsidRDefault="0078778E" w:rsidP="00A540D0">
      <w:r w:rsidRPr="00B61E2A">
        <w:t>Successive Australian governments have maintained a regulatory framework to support the production and availability of Australian content. This has traditionally focused on the provision of key genres of programming by commercial free-to-air and subscription television broadcasters. It has been complemented by direct funding measures and tax subsidies that maintain a vibrant production sector with the capacity to deliver quality drama, documentary and children’s content for the benefit of the Australian public and for audiences around the world.</w:t>
      </w:r>
    </w:p>
    <w:p w14:paraId="7334BF88" w14:textId="2B7539D7" w:rsidR="0078778E" w:rsidRPr="00BA651D" w:rsidRDefault="0078778E" w:rsidP="00A540D0">
      <w:r w:rsidRPr="00B61E2A">
        <w:t xml:space="preserve">The </w:t>
      </w:r>
      <w:r w:rsidR="002727AA">
        <w:t xml:space="preserve">BSA </w:t>
      </w:r>
      <w:r w:rsidRPr="00B61E2A">
        <w:t xml:space="preserve">establishes Australian </w:t>
      </w:r>
      <w:r w:rsidR="00970862" w:rsidRPr="00B61E2A">
        <w:t>content requirements</w:t>
      </w:r>
      <w:r w:rsidRPr="00B61E2A">
        <w:t xml:space="preserve"> for commercial free-to-air television broadcasters and subscription </w:t>
      </w:r>
      <w:r w:rsidR="00F14695">
        <w:t xml:space="preserve">television </w:t>
      </w:r>
      <w:r w:rsidRPr="00B61E2A">
        <w:t>broadcasters</w:t>
      </w:r>
      <w:r w:rsidR="00B7302D">
        <w:t xml:space="preserve"> using cable and satellite</w:t>
      </w:r>
      <w:r w:rsidRPr="00B61E2A">
        <w:t xml:space="preserve"> (see</w:t>
      </w:r>
      <w:r w:rsidR="00065958">
        <w:t xml:space="preserve"> </w:t>
      </w:r>
      <w:r w:rsidR="00BA651D">
        <w:t xml:space="preserve">Table </w:t>
      </w:r>
      <w:r w:rsidR="005D3021">
        <w:t>1</w:t>
      </w:r>
      <w:r w:rsidRPr="00BA651D">
        <w:t>)</w:t>
      </w:r>
      <w:r w:rsidR="005F19AC">
        <w:t>:</w:t>
      </w:r>
    </w:p>
    <w:p w14:paraId="49A4B207" w14:textId="6E0A4FC1" w:rsidR="0078778E" w:rsidRPr="00A540D0" w:rsidRDefault="0078778E" w:rsidP="00E61D88">
      <w:pPr>
        <w:pStyle w:val="Bullet1"/>
      </w:pPr>
      <w:r w:rsidRPr="00A540D0">
        <w:t>Free-to-air commercial</w:t>
      </w:r>
      <w:r w:rsidR="00F14695">
        <w:rPr>
          <w:lang w:val="en-AU"/>
        </w:rPr>
        <w:t xml:space="preserve"> television</w:t>
      </w:r>
      <w:r w:rsidRPr="00A540D0">
        <w:t xml:space="preserve"> broadcasters have </w:t>
      </w:r>
      <w:r w:rsidR="00970862" w:rsidRPr="00A540D0">
        <w:t>requirement</w:t>
      </w:r>
      <w:r w:rsidRPr="00A540D0">
        <w:t xml:space="preserve">s for overall levels of Australian content, along with specific requirements for the provision of culturally significant genres through the </w:t>
      </w:r>
      <w:r w:rsidRPr="001D360F">
        <w:t>ACCTS</w:t>
      </w:r>
      <w:r w:rsidRPr="00A540D0">
        <w:t>.</w:t>
      </w:r>
    </w:p>
    <w:p w14:paraId="4E4E867E" w14:textId="71D8B902" w:rsidR="0078778E" w:rsidRPr="00A540D0" w:rsidRDefault="00B7302D" w:rsidP="00E61D88">
      <w:pPr>
        <w:pStyle w:val="Bullet1"/>
      </w:pPr>
      <w:r w:rsidRPr="00A540D0">
        <w:lastRenderedPageBreak/>
        <w:t>Licensed s</w:t>
      </w:r>
      <w:r w:rsidR="0078778E" w:rsidRPr="00A540D0">
        <w:t xml:space="preserve">ubscription </w:t>
      </w:r>
      <w:r w:rsidR="00F14695">
        <w:rPr>
          <w:lang w:val="en-AU"/>
        </w:rPr>
        <w:t xml:space="preserve">television </w:t>
      </w:r>
      <w:r w:rsidR="0078778E" w:rsidRPr="00A540D0">
        <w:t>broadcasters and subscription</w:t>
      </w:r>
      <w:r w:rsidR="00F14695">
        <w:rPr>
          <w:lang w:val="en-AU"/>
        </w:rPr>
        <w:t xml:space="preserve"> television</w:t>
      </w:r>
      <w:r w:rsidR="0078778E" w:rsidRPr="00A540D0">
        <w:t xml:space="preserve"> broadcaster channel providers must comply with the</w:t>
      </w:r>
      <w:r w:rsidR="009916C2" w:rsidRPr="00A540D0">
        <w:t xml:space="preserve"> NEDE</w:t>
      </w:r>
      <w:r w:rsidR="0078778E" w:rsidRPr="00A540D0">
        <w:t xml:space="preserve">. The NEDE scheme requires that licensees must invest at least 10 per cent of their total drama program expenditure on new Australian drama. </w:t>
      </w:r>
    </w:p>
    <w:p w14:paraId="358A6258" w14:textId="77777777" w:rsidR="0078778E" w:rsidRPr="00A540D0" w:rsidRDefault="0078778E" w:rsidP="00E61D88">
      <w:pPr>
        <w:pStyle w:val="Bullet1"/>
      </w:pPr>
      <w:r w:rsidRPr="00A540D0">
        <w:t xml:space="preserve">The national broadcasters (ABC and SBS) are governed by their respective charters. </w:t>
      </w:r>
    </w:p>
    <w:p w14:paraId="18EBAA41" w14:textId="22DE4312" w:rsidR="0078778E" w:rsidRPr="00BA651D" w:rsidRDefault="0078778E" w:rsidP="00A540D0">
      <w:r w:rsidRPr="00BA651D">
        <w:t xml:space="preserve">Additionally, the </w:t>
      </w:r>
      <w:r w:rsidRPr="0048481E">
        <w:rPr>
          <w:i/>
        </w:rPr>
        <w:t>Broadcasting Services (Australian Content in Advertising) Standard 2018</w:t>
      </w:r>
      <w:r w:rsidRPr="00BA651D">
        <w:t xml:space="preserve"> </w:t>
      </w:r>
      <w:r w:rsidR="00F14695">
        <w:t xml:space="preserve">requires commercial television broadcasting licensees to ensure at least </w:t>
      </w:r>
      <w:r w:rsidR="00F14695" w:rsidRPr="00F14695">
        <w:t>80 per cent of total advertising time</w:t>
      </w:r>
      <w:r w:rsidR="00F14695">
        <w:t xml:space="preserve"> broadcast in a year</w:t>
      </w:r>
      <w:r w:rsidR="00F14695" w:rsidRPr="00F14695">
        <w:t xml:space="preserve"> between 6am and midnight </w:t>
      </w:r>
      <w:r w:rsidR="00F14695">
        <w:t>is</w:t>
      </w:r>
      <w:r w:rsidR="00F14695" w:rsidRPr="00F14695">
        <w:t xml:space="preserve"> dedicated to Australian produced advertisements</w:t>
      </w:r>
      <w:r w:rsidR="00F14695">
        <w:t>.</w:t>
      </w:r>
    </w:p>
    <w:p w14:paraId="23EF42C0" w14:textId="0996A771" w:rsidR="0078778E" w:rsidRDefault="0078778E" w:rsidP="0078778E">
      <w:pPr>
        <w:pStyle w:val="Caption"/>
      </w:pPr>
      <w:bookmarkStart w:id="58" w:name="_Ref157004384"/>
      <w:r>
        <w:t xml:space="preserve">Table </w:t>
      </w:r>
      <w:bookmarkEnd w:id="58"/>
      <w:r w:rsidR="005D3021">
        <w:t>1</w:t>
      </w:r>
      <w:r>
        <w:t xml:space="preserve"> </w:t>
      </w:r>
      <w:r w:rsidRPr="005A4F65">
        <w:t>Australian content regulation across media platforms</w:t>
      </w:r>
    </w:p>
    <w:tbl>
      <w:tblPr>
        <w:tblStyle w:val="DefaultTable1"/>
        <w:tblW w:w="9923" w:type="dxa"/>
        <w:tblLook w:val="04A0" w:firstRow="1" w:lastRow="0" w:firstColumn="1" w:lastColumn="0" w:noHBand="0" w:noVBand="1"/>
      </w:tblPr>
      <w:tblGrid>
        <w:gridCol w:w="3065"/>
        <w:gridCol w:w="3135"/>
        <w:gridCol w:w="2443"/>
        <w:gridCol w:w="640"/>
        <w:gridCol w:w="640"/>
      </w:tblGrid>
      <w:tr w:rsidR="002D08F1" w:rsidRPr="00817D77" w14:paraId="629595C5" w14:textId="77777777" w:rsidTr="001D3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E09000" w14:textId="77777777" w:rsidR="00B7302D" w:rsidRPr="0048481E" w:rsidRDefault="00BD74CE" w:rsidP="00B7302D">
            <w:r w:rsidRPr="0048481E">
              <w:t>Platform</w:t>
            </w:r>
          </w:p>
        </w:tc>
        <w:tc>
          <w:tcPr>
            <w:tcW w:w="0" w:type="dxa"/>
          </w:tcPr>
          <w:p w14:paraId="3E011815" w14:textId="77777777" w:rsidR="00B7302D" w:rsidRPr="0048481E" w:rsidRDefault="0087051A" w:rsidP="00B7302D">
            <w:pPr>
              <w:cnfStyle w:val="100000000000" w:firstRow="1" w:lastRow="0" w:firstColumn="0" w:lastColumn="0" w:oddVBand="0" w:evenVBand="0" w:oddHBand="0" w:evenHBand="0" w:firstRowFirstColumn="0" w:firstRowLastColumn="0" w:lastRowFirstColumn="0" w:lastRowLastColumn="0"/>
              <w:rPr>
                <w:sz w:val="20"/>
                <w:szCs w:val="20"/>
              </w:rPr>
            </w:pPr>
            <w:r w:rsidRPr="0048481E">
              <w:rPr>
                <w:color w:val="000000" w:themeColor="text1"/>
              </w:rPr>
              <w:t>Australian content requirement</w:t>
            </w:r>
            <w:r w:rsidRPr="003E78AF">
              <w:t xml:space="preserve"> </w:t>
            </w:r>
          </w:p>
        </w:tc>
        <w:tc>
          <w:tcPr>
            <w:tcW w:w="0" w:type="dxa"/>
          </w:tcPr>
          <w:p w14:paraId="4B05AD6D" w14:textId="77777777" w:rsidR="00B7302D" w:rsidRPr="00817D77" w:rsidRDefault="0087051A" w:rsidP="00B7302D">
            <w:pPr>
              <w:cnfStyle w:val="100000000000" w:firstRow="1" w:lastRow="0" w:firstColumn="0" w:lastColumn="0" w:oddVBand="0" w:evenVBand="0" w:oddHBand="0" w:evenHBand="0" w:firstRowFirstColumn="0" w:firstRowLastColumn="0" w:lastRowFirstColumn="0" w:lastRowLastColumn="0"/>
            </w:pPr>
            <w:r>
              <w:t>Details</w:t>
            </w:r>
          </w:p>
        </w:tc>
        <w:tc>
          <w:tcPr>
            <w:tcW w:w="0" w:type="dxa"/>
          </w:tcPr>
          <w:p w14:paraId="33DB1999" w14:textId="77777777" w:rsidR="00B7302D" w:rsidRPr="00817D77" w:rsidRDefault="00B7302D" w:rsidP="00B7302D">
            <w:pPr>
              <w:cnfStyle w:val="100000000000" w:firstRow="1" w:lastRow="0" w:firstColumn="0" w:lastColumn="0" w:oddVBand="0" w:evenVBand="0" w:oddHBand="0" w:evenHBand="0" w:firstRowFirstColumn="0" w:firstRowLastColumn="0" w:lastRowFirstColumn="0" w:lastRowLastColumn="0"/>
            </w:pPr>
          </w:p>
        </w:tc>
        <w:tc>
          <w:tcPr>
            <w:tcW w:w="0" w:type="dxa"/>
          </w:tcPr>
          <w:p w14:paraId="7771C4BE" w14:textId="77777777" w:rsidR="00B7302D" w:rsidRPr="00E94430" w:rsidRDefault="00B7302D" w:rsidP="00B7302D">
            <w:pPr>
              <w:cnfStyle w:val="100000000000" w:firstRow="1" w:lastRow="0" w:firstColumn="0" w:lastColumn="0" w:oddVBand="0" w:evenVBand="0" w:oddHBand="0" w:evenHBand="0" w:firstRowFirstColumn="0" w:firstRowLastColumn="0" w:lastRowFirstColumn="0" w:lastRowLastColumn="0"/>
              <w:rPr>
                <w:color w:val="002060"/>
                <w:sz w:val="20"/>
                <w:szCs w:val="20"/>
              </w:rPr>
            </w:pPr>
          </w:p>
        </w:tc>
      </w:tr>
      <w:tr w:rsidR="0087051A" w:rsidRPr="00817D77" w14:paraId="535574FD" w14:textId="77777777" w:rsidTr="001D360F">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F9FA460" w14:textId="77777777" w:rsidR="0087051A" w:rsidRPr="00817D77" w:rsidRDefault="0087051A" w:rsidP="0087051A">
            <w:r w:rsidRPr="00817D77">
              <w:t>Commercial free-to-air television broadcasters</w:t>
            </w:r>
          </w:p>
        </w:tc>
        <w:tc>
          <w:tcPr>
            <w:tcW w:w="0" w:type="dxa"/>
            <w:shd w:val="clear" w:color="auto" w:fill="F2F2F2" w:themeFill="background1" w:themeFillShade="F2"/>
          </w:tcPr>
          <w:p w14:paraId="4A71A960"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481E">
              <w:rPr>
                <w:i/>
                <w:color w:val="auto"/>
              </w:rPr>
              <w:t>Broadcasting Services Act 1992</w:t>
            </w:r>
            <w:r w:rsidRPr="0048481E">
              <w:rPr>
                <w:color w:val="auto"/>
              </w:rPr>
              <w:t xml:space="preserve"> </w:t>
            </w:r>
          </w:p>
          <w:p w14:paraId="057BB20D" w14:textId="48C1B957" w:rsidR="0087051A" w:rsidRPr="00327044" w:rsidRDefault="007F02EA" w:rsidP="0087051A">
            <w:pPr>
              <w:cnfStyle w:val="000000000000" w:firstRow="0" w:lastRow="0" w:firstColumn="0" w:lastColumn="0" w:oddVBand="0" w:evenVBand="0" w:oddHBand="0" w:evenHBand="0" w:firstRowFirstColumn="0" w:firstRowLastColumn="0" w:lastRowFirstColumn="0" w:lastRowLastColumn="0"/>
              <w:rPr>
                <w:i/>
                <w:color w:val="auto"/>
              </w:rPr>
            </w:pPr>
            <w:r w:rsidRPr="00327044">
              <w:rPr>
                <w:i/>
                <w:color w:val="auto"/>
              </w:rPr>
              <w:t>Broadcasting Services (Australian Content and Children's Television) Standards 2020</w:t>
            </w:r>
          </w:p>
        </w:tc>
        <w:tc>
          <w:tcPr>
            <w:tcW w:w="0" w:type="dxa"/>
            <w:gridSpan w:val="3"/>
            <w:shd w:val="clear" w:color="auto" w:fill="F2F2F2" w:themeFill="background1" w:themeFillShade="F2"/>
          </w:tcPr>
          <w:p w14:paraId="756A5EF5"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48481E">
              <w:rPr>
                <w:b/>
                <w:color w:val="auto"/>
              </w:rPr>
              <w:t>BSA requirements:</w:t>
            </w:r>
          </w:p>
          <w:p w14:paraId="0CC9CCBA" w14:textId="77777777" w:rsidR="0087051A" w:rsidRPr="0048481E" w:rsidRDefault="0087051A" w:rsidP="0087051A">
            <w:pPr>
              <w:spacing w:after="0"/>
              <w:cnfStyle w:val="000000000000" w:firstRow="0" w:lastRow="0" w:firstColumn="0" w:lastColumn="0" w:oddVBand="0" w:evenVBand="0" w:oddHBand="0" w:evenHBand="0" w:firstRowFirstColumn="0" w:firstRowLastColumn="0" w:lastRowFirstColumn="0" w:lastRowLastColumn="0"/>
              <w:rPr>
                <w:i/>
                <w:color w:val="auto"/>
                <w:sz w:val="20"/>
                <w:szCs w:val="20"/>
              </w:rPr>
            </w:pPr>
            <w:r w:rsidRPr="0048481E">
              <w:rPr>
                <w:i/>
                <w:color w:val="auto"/>
              </w:rPr>
              <w:t>55 per cent Australian content between 6 am and midnight on primary channels;</w:t>
            </w:r>
          </w:p>
          <w:p w14:paraId="34BFA874" w14:textId="77777777" w:rsidR="0087051A" w:rsidRPr="0048481E" w:rsidRDefault="0087051A" w:rsidP="0087051A">
            <w:pPr>
              <w:spacing w:after="0"/>
              <w:cnfStyle w:val="000000000000" w:firstRow="0" w:lastRow="0" w:firstColumn="0" w:lastColumn="0" w:oddVBand="0" w:evenVBand="0" w:oddHBand="0" w:evenHBand="0" w:firstRowFirstColumn="0" w:firstRowLastColumn="0" w:lastRowFirstColumn="0" w:lastRowLastColumn="0"/>
              <w:rPr>
                <w:i/>
                <w:color w:val="auto"/>
                <w:sz w:val="20"/>
                <w:szCs w:val="20"/>
              </w:rPr>
            </w:pPr>
            <w:r w:rsidRPr="0048481E">
              <w:rPr>
                <w:i/>
                <w:color w:val="auto"/>
              </w:rPr>
              <w:t>1,460 hours of Australian content between 6 am and midnight on non-primary channels</w:t>
            </w:r>
            <w:r w:rsidRPr="0048481E">
              <w:rPr>
                <w:color w:val="auto"/>
              </w:rPr>
              <w:t>.</w:t>
            </w:r>
          </w:p>
          <w:p w14:paraId="37AE3C6A"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48481E">
              <w:rPr>
                <w:b/>
                <w:color w:val="auto"/>
              </w:rPr>
              <w:t>ACCTS requirements:</w:t>
            </w:r>
          </w:p>
          <w:p w14:paraId="325072EB" w14:textId="489B39C6" w:rsidR="0087051A" w:rsidRPr="0048481E" w:rsidRDefault="007F02EA" w:rsidP="0048481E">
            <w:pPr>
              <w:spacing w:after="120"/>
              <w:cnfStyle w:val="000000000000" w:firstRow="0" w:lastRow="0" w:firstColumn="0" w:lastColumn="0" w:oddVBand="0" w:evenVBand="0" w:oddHBand="0" w:evenHBand="0" w:firstRowFirstColumn="0" w:firstRowLastColumn="0" w:lastRowFirstColumn="0" w:lastRowLastColumn="0"/>
              <w:rPr>
                <w:color w:val="auto"/>
              </w:rPr>
            </w:pPr>
            <w:r w:rsidRPr="007F02EA">
              <w:rPr>
                <w:i/>
                <w:color w:val="auto"/>
              </w:rPr>
              <w:t xml:space="preserve">Each calendar year, broadcast a sufficient number of hours of first release Australian programs in relevant genres to accrue at least 250 points. </w:t>
            </w:r>
            <w:r w:rsidR="00B46183" w:rsidRPr="0048481E">
              <w:rPr>
                <w:i/>
                <w:color w:val="auto"/>
              </w:rPr>
              <w:t>(2</w:t>
            </w:r>
            <w:r w:rsidR="0087051A" w:rsidRPr="0048481E">
              <w:rPr>
                <w:i/>
                <w:color w:val="auto"/>
              </w:rPr>
              <w:t>50 points = (duration of the program in hours) x (relevant points per hour broadcast)</w:t>
            </w:r>
            <w:r w:rsidR="00B46183" w:rsidRPr="0048481E">
              <w:rPr>
                <w:i/>
                <w:color w:val="auto"/>
              </w:rPr>
              <w:t>)</w:t>
            </w:r>
            <w:r w:rsidR="0087051A" w:rsidRPr="0048481E">
              <w:rPr>
                <w:color w:val="auto"/>
              </w:rPr>
              <w:t>.</w:t>
            </w:r>
            <w:r w:rsidR="00B46183" w:rsidRPr="0048481E">
              <w:rPr>
                <w:color w:val="auto"/>
              </w:rPr>
              <w:t xml:space="preserve"> </w:t>
            </w:r>
          </w:p>
        </w:tc>
      </w:tr>
      <w:tr w:rsidR="0087051A" w:rsidRPr="00817D77" w14:paraId="7BE6C216" w14:textId="77777777" w:rsidTr="001D3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0760307" w14:textId="77777777" w:rsidR="0087051A" w:rsidRPr="00E94430" w:rsidRDefault="0087051A" w:rsidP="0087051A">
            <w:pPr>
              <w:rPr>
                <w:b w:val="0"/>
                <w:color w:val="002060"/>
                <w:sz w:val="20"/>
                <w:szCs w:val="20"/>
              </w:rPr>
            </w:pPr>
            <w:r w:rsidRPr="00817D77">
              <w:t xml:space="preserve">Subscription television </w:t>
            </w:r>
            <w:r>
              <w:t>licensees</w:t>
            </w:r>
            <w:r w:rsidRPr="00817D77" w:rsidDel="002D08F1">
              <w:rPr>
                <w:color w:val="002060"/>
              </w:rPr>
              <w:t xml:space="preserve"> </w:t>
            </w:r>
          </w:p>
        </w:tc>
        <w:tc>
          <w:tcPr>
            <w:tcW w:w="0" w:type="dxa"/>
          </w:tcPr>
          <w:p w14:paraId="1A5ED35A"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i/>
                <w:color w:val="auto"/>
                <w:sz w:val="20"/>
                <w:szCs w:val="20"/>
              </w:rPr>
            </w:pPr>
            <w:r w:rsidRPr="0048481E">
              <w:rPr>
                <w:i/>
                <w:color w:val="auto"/>
              </w:rPr>
              <w:t>Broadcasting Services Act 1992</w:t>
            </w:r>
          </w:p>
          <w:p w14:paraId="42DED2D3"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color w:val="auto"/>
                <w:sz w:val="20"/>
                <w:szCs w:val="20"/>
              </w:rPr>
            </w:pPr>
            <w:r w:rsidRPr="0048481E">
              <w:rPr>
                <w:color w:val="auto"/>
              </w:rPr>
              <w:t>New Eligible Drama Expenditure scheme</w:t>
            </w:r>
            <w:r w:rsidRPr="0048481E" w:rsidDel="0087051A">
              <w:rPr>
                <w:color w:val="auto"/>
              </w:rPr>
              <w:t xml:space="preserve"> </w:t>
            </w:r>
          </w:p>
        </w:tc>
        <w:tc>
          <w:tcPr>
            <w:tcW w:w="0" w:type="dxa"/>
            <w:gridSpan w:val="3"/>
          </w:tcPr>
          <w:p w14:paraId="794ACC27"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b/>
                <w:color w:val="auto"/>
                <w:sz w:val="20"/>
                <w:szCs w:val="20"/>
              </w:rPr>
            </w:pPr>
            <w:r w:rsidRPr="0048481E">
              <w:rPr>
                <w:b/>
                <w:color w:val="auto"/>
              </w:rPr>
              <w:t>BSA requirements:</w:t>
            </w:r>
          </w:p>
          <w:p w14:paraId="4586FCC3" w14:textId="634BC271" w:rsidR="0087051A" w:rsidRPr="0048481E" w:rsidRDefault="0087051A" w:rsidP="0087051A">
            <w:pPr>
              <w:spacing w:after="0"/>
              <w:cnfStyle w:val="000000010000" w:firstRow="0" w:lastRow="0" w:firstColumn="0" w:lastColumn="0" w:oddVBand="0" w:evenVBand="0" w:oddHBand="0" w:evenHBand="1" w:firstRowFirstColumn="0" w:firstRowLastColumn="0" w:lastRowFirstColumn="0" w:lastRowLastColumn="0"/>
              <w:rPr>
                <w:i/>
                <w:color w:val="auto"/>
                <w:sz w:val="20"/>
                <w:szCs w:val="20"/>
              </w:rPr>
            </w:pPr>
            <w:r w:rsidRPr="0048481E">
              <w:rPr>
                <w:i/>
                <w:color w:val="auto"/>
              </w:rPr>
              <w:t>10 per cent of expenditure on drama channels must be on new local drama</w:t>
            </w:r>
            <w:r w:rsidRPr="0048481E">
              <w:rPr>
                <w:color w:val="auto"/>
              </w:rPr>
              <w:t>.</w:t>
            </w:r>
          </w:p>
          <w:p w14:paraId="669BA3C6"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color w:val="auto"/>
                <w:sz w:val="20"/>
                <w:szCs w:val="20"/>
              </w:rPr>
            </w:pPr>
            <w:r w:rsidRPr="0048481E">
              <w:rPr>
                <w:color w:val="auto"/>
              </w:rPr>
              <w:t>Expenditure on new content can include script development, acquisitions, investment and pre-production or production.</w:t>
            </w:r>
          </w:p>
        </w:tc>
      </w:tr>
      <w:tr w:rsidR="0087051A" w:rsidRPr="00817D77" w14:paraId="6F2841F1" w14:textId="77777777" w:rsidTr="001D360F">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5EB0BA0E" w14:textId="77777777" w:rsidR="0087051A" w:rsidRPr="00817D77" w:rsidRDefault="0087051A" w:rsidP="0087051A">
            <w:r w:rsidRPr="00817D77">
              <w:t>National broadcasters</w:t>
            </w:r>
          </w:p>
        </w:tc>
        <w:tc>
          <w:tcPr>
            <w:tcW w:w="0" w:type="dxa"/>
            <w:shd w:val="clear" w:color="auto" w:fill="F2F2F2" w:themeFill="background1" w:themeFillShade="F2"/>
          </w:tcPr>
          <w:p w14:paraId="3CDE92DD"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color w:val="auto"/>
              </w:rPr>
            </w:pPr>
            <w:r w:rsidRPr="0048481E">
              <w:rPr>
                <w:color w:val="auto"/>
              </w:rPr>
              <w:t>Content requirements are governed by Charter</w:t>
            </w:r>
            <w:r w:rsidRPr="0048481E">
              <w:rPr>
                <w:i/>
                <w:color w:val="auto"/>
              </w:rPr>
              <w:t>.</w:t>
            </w:r>
          </w:p>
        </w:tc>
        <w:tc>
          <w:tcPr>
            <w:tcW w:w="0" w:type="dxa"/>
            <w:gridSpan w:val="3"/>
            <w:shd w:val="clear" w:color="auto" w:fill="F2F2F2" w:themeFill="background1" w:themeFillShade="F2"/>
          </w:tcPr>
          <w:p w14:paraId="41B4F1B7"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481E">
              <w:rPr>
                <w:color w:val="auto"/>
              </w:rPr>
              <w:t xml:space="preserve">The </w:t>
            </w:r>
            <w:r w:rsidRPr="0048481E">
              <w:rPr>
                <w:b/>
                <w:color w:val="auto"/>
              </w:rPr>
              <w:t>ABC Charter</w:t>
            </w:r>
            <w:r w:rsidRPr="0048481E">
              <w:rPr>
                <w:color w:val="auto"/>
              </w:rPr>
              <w:t xml:space="preserve"> includes the requirement for the ABC to broadcast programs that contribute to Australia’s sense of national identity, inform and entertain, and reflect the cultural diversity of the Australian community, as well as broadcast programs of an educational nature and provide digital media services.</w:t>
            </w:r>
          </w:p>
          <w:p w14:paraId="55A9D39E" w14:textId="77777777" w:rsidR="0087051A" w:rsidRPr="0048481E" w:rsidRDefault="0087051A" w:rsidP="0087051A">
            <w:pPr>
              <w:cnfStyle w:val="000000000000" w:firstRow="0" w:lastRow="0" w:firstColumn="0" w:lastColumn="0" w:oddVBand="0" w:evenVBand="0" w:oddHBand="0" w:evenHBand="0" w:firstRowFirstColumn="0" w:firstRowLastColumn="0" w:lastRowFirstColumn="0" w:lastRowLastColumn="0"/>
              <w:rPr>
                <w:color w:val="auto"/>
              </w:rPr>
            </w:pPr>
            <w:r w:rsidRPr="0048481E">
              <w:rPr>
                <w:color w:val="auto"/>
              </w:rPr>
              <w:t xml:space="preserve">The </w:t>
            </w:r>
            <w:r w:rsidRPr="0048481E">
              <w:rPr>
                <w:b/>
                <w:color w:val="auto"/>
              </w:rPr>
              <w:t>SBS Charter</w:t>
            </w:r>
            <w:r w:rsidRPr="0048481E">
              <w:rPr>
                <w:color w:val="auto"/>
              </w:rPr>
              <w:t xml:space="preserve"> states that the SBS’s principal function is to provide multilingual and multicultural broadcasting and digital media services that inform, educate and entertain all Australians, and in doing so, reflect Australia’s multicultural society. The SBS is required to </w:t>
            </w:r>
            <w:r w:rsidRPr="0048481E">
              <w:rPr>
                <w:color w:val="auto"/>
              </w:rPr>
              <w:lastRenderedPageBreak/>
              <w:t>contribute to meeting the communications needs of Australia’s multicultural society, including ethnic, Aboriginal and Torres Strait Islander communities.</w:t>
            </w:r>
          </w:p>
        </w:tc>
      </w:tr>
      <w:tr w:rsidR="0087051A" w:rsidRPr="00817D77" w14:paraId="049B05F8" w14:textId="77777777" w:rsidTr="001D3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676A9D1" w14:textId="757FDB79" w:rsidR="0087051A" w:rsidRPr="00817D77" w:rsidRDefault="0002641B" w:rsidP="0087051A">
            <w:r>
              <w:t>SVOD</w:t>
            </w:r>
            <w:r w:rsidR="0087051A" w:rsidRPr="00817D77">
              <w:t>s</w:t>
            </w:r>
          </w:p>
        </w:tc>
        <w:tc>
          <w:tcPr>
            <w:tcW w:w="0" w:type="dxa"/>
          </w:tcPr>
          <w:p w14:paraId="415DAD17"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color w:val="auto"/>
              </w:rPr>
            </w:pPr>
            <w:r w:rsidRPr="0048481E">
              <w:rPr>
                <w:color w:val="auto"/>
              </w:rPr>
              <w:t>No Australian content requirements</w:t>
            </w:r>
          </w:p>
        </w:tc>
        <w:tc>
          <w:tcPr>
            <w:tcW w:w="0" w:type="dxa"/>
            <w:gridSpan w:val="3"/>
          </w:tcPr>
          <w:p w14:paraId="41C61011" w14:textId="77777777"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color w:val="auto"/>
                <w:sz w:val="20"/>
                <w:szCs w:val="20"/>
              </w:rPr>
            </w:pPr>
            <w:r w:rsidRPr="0048481E">
              <w:rPr>
                <w:color w:val="auto"/>
              </w:rPr>
              <w:t xml:space="preserve">No Australian content requirements. </w:t>
            </w:r>
          </w:p>
          <w:p w14:paraId="6663254E" w14:textId="4513AB2A" w:rsidR="0087051A" w:rsidRPr="0048481E" w:rsidRDefault="0087051A" w:rsidP="0087051A">
            <w:pPr>
              <w:cnfStyle w:val="000000010000" w:firstRow="0" w:lastRow="0" w:firstColumn="0" w:lastColumn="0" w:oddVBand="0" w:evenVBand="0" w:oddHBand="0" w:evenHBand="1" w:firstRowFirstColumn="0" w:firstRowLastColumn="0" w:lastRowFirstColumn="0" w:lastRowLastColumn="0"/>
              <w:rPr>
                <w:color w:val="auto"/>
              </w:rPr>
            </w:pPr>
            <w:r w:rsidRPr="0048481E">
              <w:rPr>
                <w:color w:val="auto"/>
              </w:rPr>
              <w:t xml:space="preserve">Currently, five </w:t>
            </w:r>
            <w:r w:rsidR="0002641B">
              <w:rPr>
                <w:color w:val="auto"/>
              </w:rPr>
              <w:t>SVOD</w:t>
            </w:r>
            <w:r w:rsidRPr="0048481E">
              <w:rPr>
                <w:color w:val="auto"/>
              </w:rPr>
              <w:t xml:space="preserve">s voluntarily report data to the </w:t>
            </w:r>
            <w:r w:rsidR="003E78AF">
              <w:rPr>
                <w:color w:val="auto"/>
              </w:rPr>
              <w:t>ACMA</w:t>
            </w:r>
            <w:r w:rsidRPr="0048481E">
              <w:rPr>
                <w:color w:val="auto"/>
              </w:rPr>
              <w:t xml:space="preserve"> each year. These are Netflix, Stan, Amazon Prime Video, Disney+ and Paramount+.</w:t>
            </w:r>
          </w:p>
        </w:tc>
      </w:tr>
    </w:tbl>
    <w:p w14:paraId="4A40AC65" w14:textId="77777777" w:rsidR="00B74C5F" w:rsidRDefault="00B74C5F" w:rsidP="0048481E">
      <w:pPr>
        <w:pStyle w:val="BodyText"/>
        <w:tabs>
          <w:tab w:val="left" w:pos="142"/>
        </w:tabs>
        <w:spacing w:after="0"/>
        <w:rPr>
          <w:sz w:val="22"/>
        </w:rPr>
      </w:pPr>
    </w:p>
    <w:p w14:paraId="2E228C76" w14:textId="003B02D2" w:rsidR="0078778E" w:rsidRPr="00B77B85" w:rsidRDefault="0078778E" w:rsidP="00A540D0">
      <w:r w:rsidRPr="00B77B85">
        <w:t xml:space="preserve">Decades of media policy and regulation have ensured that </w:t>
      </w:r>
      <w:r w:rsidR="00B7302D">
        <w:t xml:space="preserve">that major </w:t>
      </w:r>
      <w:r w:rsidRPr="00B77B85">
        <w:t xml:space="preserve">media </w:t>
      </w:r>
      <w:r w:rsidR="00B7302D">
        <w:t>platforms</w:t>
      </w:r>
      <w:r w:rsidR="00B7302D" w:rsidRPr="00B77B85">
        <w:t xml:space="preserve"> </w:t>
      </w:r>
      <w:r w:rsidR="00B7302D">
        <w:t>have commissioned</w:t>
      </w:r>
      <w:r w:rsidR="00B7302D" w:rsidRPr="00B77B85">
        <w:t xml:space="preserve"> </w:t>
      </w:r>
      <w:r w:rsidRPr="00B77B85">
        <w:t>Australian content for Australian audiences that may not be otherwise made. Market forces</w:t>
      </w:r>
      <w:r w:rsidR="005F19AC">
        <w:t>,</w:t>
      </w:r>
      <w:r w:rsidRPr="00B77B85">
        <w:t xml:space="preserve"> including supply, demand, and cost considerations shape outcomes that may not be in keeping with the Government’s cultural policy objectives</w:t>
      </w:r>
      <w:r w:rsidRPr="00B77B85" w:rsidDel="007847B2">
        <w:t xml:space="preserve">. </w:t>
      </w:r>
      <w:r w:rsidRPr="00B77B85">
        <w:t xml:space="preserve">While production of Australian content by </w:t>
      </w:r>
      <w:r w:rsidR="0002641B">
        <w:t>SVOD</w:t>
      </w:r>
      <w:r w:rsidRPr="00B77B85">
        <w:t xml:space="preserve">s is currently </w:t>
      </w:r>
      <w:r w:rsidR="00B7302D">
        <w:t>stable</w:t>
      </w:r>
      <w:r w:rsidRPr="00B77B85">
        <w:t xml:space="preserve">, conditions may change such that Australian content production declines. Successive governments have considered media regulation necessary to guarantee a level of investment across a range of </w:t>
      </w:r>
      <w:r w:rsidR="00B7302D">
        <w:t xml:space="preserve">content </w:t>
      </w:r>
      <w:r w:rsidRPr="00B77B85">
        <w:t xml:space="preserve">genres available on commercial free-to-air and </w:t>
      </w:r>
      <w:r w:rsidR="00B7302D">
        <w:t xml:space="preserve">licensed </w:t>
      </w:r>
      <w:r w:rsidRPr="00B77B85">
        <w:t xml:space="preserve">subscription television broadcasting services. Without </w:t>
      </w:r>
      <w:r w:rsidR="00DE2E7B">
        <w:t>G</w:t>
      </w:r>
      <w:r w:rsidRPr="00B77B85">
        <w:t xml:space="preserve">overnment intervention, </w:t>
      </w:r>
      <w:r w:rsidR="0002641B">
        <w:t>SVOD</w:t>
      </w:r>
      <w:r w:rsidRPr="00B77B85">
        <w:t xml:space="preserve">s are unlikely to maintain a sufficient minimum level of investment in Australian content. </w:t>
      </w:r>
    </w:p>
    <w:p w14:paraId="7E7368AD" w14:textId="77777777" w:rsidR="0078778E" w:rsidRDefault="0078778E" w:rsidP="0078778E">
      <w:pPr>
        <w:pStyle w:val="Heading2"/>
      </w:pPr>
      <w:bookmarkStart w:id="59" w:name="_Toc212099786"/>
      <w:r>
        <w:t>Objectives</w:t>
      </w:r>
      <w:bookmarkEnd w:id="59"/>
    </w:p>
    <w:p w14:paraId="2C839E93" w14:textId="77777777" w:rsidR="00817A8B" w:rsidRPr="00C72BEE" w:rsidRDefault="00817A8B" w:rsidP="00B61E2A">
      <w:r w:rsidRPr="009C756E">
        <w:t xml:space="preserve">The Government’s </w:t>
      </w:r>
      <w:r>
        <w:t xml:space="preserve">key </w:t>
      </w:r>
      <w:r w:rsidRPr="009C756E">
        <w:t>objective</w:t>
      </w:r>
      <w:r w:rsidR="002003EC">
        <w:t>s are</w:t>
      </w:r>
      <w:r>
        <w:t xml:space="preserve"> to ensure that Australians have access to Australian stories, wherever they choose to watch their screen content, now and into the future. </w:t>
      </w:r>
    </w:p>
    <w:p w14:paraId="50672C44" w14:textId="72E7DBDF" w:rsidR="0078778E" w:rsidRDefault="0078778E" w:rsidP="0078778E">
      <w:pPr>
        <w:pStyle w:val="Heading4"/>
      </w:pPr>
      <w:r>
        <w:t xml:space="preserve">Australian stories – guarantee </w:t>
      </w:r>
      <w:r w:rsidR="00B97D76">
        <w:t xml:space="preserve">the </w:t>
      </w:r>
      <w:r>
        <w:t xml:space="preserve">production of new Australian programs on </w:t>
      </w:r>
      <w:r w:rsidR="0002641B">
        <w:t>SVOD</w:t>
      </w:r>
      <w:r>
        <w:t>s</w:t>
      </w:r>
      <w:r w:rsidR="00CC63C4">
        <w:t xml:space="preserve"> operating in Australia</w:t>
      </w:r>
    </w:p>
    <w:p w14:paraId="211A15C1" w14:textId="01791E04" w:rsidR="0078778E" w:rsidRPr="00B77B85" w:rsidRDefault="0085522F" w:rsidP="00A540D0">
      <w:r>
        <w:t>An</w:t>
      </w:r>
      <w:r w:rsidR="0078778E" w:rsidRPr="00B77B85">
        <w:t xml:space="preserve"> objective is for new Australian programs to be </w:t>
      </w:r>
      <w:r w:rsidR="00B97D76">
        <w:t xml:space="preserve">commissioned, produced and </w:t>
      </w:r>
      <w:r w:rsidR="0078778E" w:rsidRPr="00B77B85">
        <w:t xml:space="preserve">made available to Australian audiences on the </w:t>
      </w:r>
      <w:r w:rsidR="0002641B">
        <w:t>SVOD</w:t>
      </w:r>
      <w:r w:rsidR="0078778E" w:rsidRPr="00B77B85">
        <w:t xml:space="preserve">s to which they subscribe. </w:t>
      </w:r>
      <w:r w:rsidR="00B97D76">
        <w:t>T</w:t>
      </w:r>
      <w:r w:rsidR="0078778E" w:rsidRPr="00B77B85">
        <w:t xml:space="preserve">he intention is to guarantee sustainable investment by </w:t>
      </w:r>
      <w:r w:rsidR="0002641B">
        <w:t>SVOD</w:t>
      </w:r>
      <w:r w:rsidR="0078778E" w:rsidRPr="00B77B85">
        <w:t xml:space="preserve">s in </w:t>
      </w:r>
      <w:r w:rsidR="00FD3884">
        <w:t xml:space="preserve">new </w:t>
      </w:r>
      <w:r w:rsidR="0078778E" w:rsidRPr="00B77B85">
        <w:t>Australian program</w:t>
      </w:r>
      <w:r w:rsidR="00B97D76">
        <w:t>ming</w:t>
      </w:r>
      <w:r w:rsidR="0078778E" w:rsidRPr="00B77B85">
        <w:t xml:space="preserve">. </w:t>
      </w:r>
    </w:p>
    <w:p w14:paraId="00C159EB" w14:textId="77777777" w:rsidR="0078778E" w:rsidRDefault="0078778E" w:rsidP="0078778E">
      <w:pPr>
        <w:pStyle w:val="Heading4"/>
      </w:pPr>
      <w:r>
        <w:t xml:space="preserve">Media </w:t>
      </w:r>
      <w:r w:rsidR="00700DD8">
        <w:t>harmonisation</w:t>
      </w:r>
      <w:r>
        <w:t>– regulate like services consistently for citizens, consumers and industry</w:t>
      </w:r>
    </w:p>
    <w:p w14:paraId="14A346D1" w14:textId="357A922C" w:rsidR="0078778E" w:rsidRPr="00B77B85" w:rsidRDefault="0085522F" w:rsidP="00A540D0">
      <w:r>
        <w:t>An</w:t>
      </w:r>
      <w:r w:rsidR="0078778E" w:rsidRPr="00B77B85">
        <w:t xml:space="preserve"> objective is for Australians to be able to watch Australian programs, regardless of which media platform they are using</w:t>
      </w:r>
      <w:r w:rsidR="00B97D76">
        <w:t xml:space="preserve">; </w:t>
      </w:r>
      <w:r w:rsidR="0078778E" w:rsidRPr="00B77B85">
        <w:t xml:space="preserve">to level the regulatory playing field in recognition of the uptake of </w:t>
      </w:r>
      <w:r w:rsidR="0002641B">
        <w:t>SVOD</w:t>
      </w:r>
      <w:r w:rsidR="0078778E" w:rsidRPr="00B77B85">
        <w:t>s in the Australian community</w:t>
      </w:r>
      <w:r w:rsidR="00B97D76">
        <w:t xml:space="preserve">; </w:t>
      </w:r>
      <w:r w:rsidR="0078778E" w:rsidRPr="00B77B85">
        <w:t>and</w:t>
      </w:r>
      <w:r w:rsidR="00B97D76">
        <w:t>,</w:t>
      </w:r>
      <w:r w:rsidR="0078778E" w:rsidRPr="00B77B85">
        <w:t xml:space="preserve"> to provide certainty to industry, citizens and consumers. This </w:t>
      </w:r>
      <w:r w:rsidR="002003EC">
        <w:t xml:space="preserve">includes </w:t>
      </w:r>
      <w:r w:rsidR="0078778E" w:rsidRPr="00B77B85">
        <w:t xml:space="preserve">bringing </w:t>
      </w:r>
      <w:r w:rsidR="0002641B">
        <w:t>SVOD</w:t>
      </w:r>
      <w:r w:rsidR="0078778E" w:rsidRPr="00B77B85">
        <w:t xml:space="preserve">s into the Australian content regulatory framework. </w:t>
      </w:r>
    </w:p>
    <w:p w14:paraId="56E08D7A" w14:textId="77777777" w:rsidR="0078778E" w:rsidRDefault="0078778E" w:rsidP="0078778E">
      <w:pPr>
        <w:pStyle w:val="Heading4"/>
      </w:pPr>
      <w:r>
        <w:t xml:space="preserve">Creative economy – </w:t>
      </w:r>
      <w:r w:rsidR="002003EC">
        <w:t xml:space="preserve">support the production of Australian content and </w:t>
      </w:r>
      <w:r>
        <w:t xml:space="preserve">grow the capacity of Australia’s creative industries </w:t>
      </w:r>
    </w:p>
    <w:p w14:paraId="7FA06695" w14:textId="77777777" w:rsidR="0078778E" w:rsidRPr="00B77B85" w:rsidRDefault="0085522F" w:rsidP="00A540D0">
      <w:r>
        <w:t>An</w:t>
      </w:r>
      <w:r w:rsidR="0078778E" w:rsidRPr="00B77B85">
        <w:t xml:space="preserve"> objective is to grow </w:t>
      </w:r>
      <w:r w:rsidR="00FD3884">
        <w:t>and support</w:t>
      </w:r>
      <w:r w:rsidR="0078778E" w:rsidRPr="00B77B85">
        <w:t xml:space="preserve"> the economic contribution of Australia’s creative industries, particularly in </w:t>
      </w:r>
      <w:r w:rsidR="00FD3884">
        <w:t xml:space="preserve">the </w:t>
      </w:r>
      <w:r w:rsidR="0078778E" w:rsidRPr="00B77B85">
        <w:t xml:space="preserve">screen </w:t>
      </w:r>
      <w:r w:rsidR="00FD3884">
        <w:t>production sector</w:t>
      </w:r>
      <w:r w:rsidR="0078778E" w:rsidRPr="00B77B85">
        <w:t>. The intention is to encourage investment in Australia</w:t>
      </w:r>
      <w:r w:rsidR="002003EC">
        <w:t>n content</w:t>
      </w:r>
      <w:r w:rsidR="0078778E" w:rsidRPr="00B77B85">
        <w:t xml:space="preserve"> for the benefit of </w:t>
      </w:r>
      <w:r w:rsidR="003E78AF">
        <w:t xml:space="preserve">the </w:t>
      </w:r>
      <w:r w:rsidR="0078778E" w:rsidRPr="00B77B85">
        <w:t xml:space="preserve">culture, society and economy, including sustainable growth in </w:t>
      </w:r>
      <w:r w:rsidR="002003EC">
        <w:t xml:space="preserve">Australian </w:t>
      </w:r>
      <w:r w:rsidR="0078778E" w:rsidRPr="00B77B85">
        <w:t>jobs and skills.</w:t>
      </w:r>
    </w:p>
    <w:p w14:paraId="478C61CE" w14:textId="77777777" w:rsidR="0078778E" w:rsidRDefault="0078778E" w:rsidP="0078778E">
      <w:pPr>
        <w:pStyle w:val="Heading2"/>
      </w:pPr>
      <w:bookmarkStart w:id="60" w:name="_Toc212099787"/>
      <w:r>
        <w:lastRenderedPageBreak/>
        <w:t>Regulatory impact</w:t>
      </w:r>
      <w:bookmarkEnd w:id="60"/>
    </w:p>
    <w:p w14:paraId="6F910974" w14:textId="77777777" w:rsidR="0078778E" w:rsidRDefault="0078778E" w:rsidP="0078778E">
      <w:pPr>
        <w:pStyle w:val="Heading4"/>
      </w:pPr>
      <w:r>
        <w:t xml:space="preserve">Immediate impact </w:t>
      </w:r>
    </w:p>
    <w:p w14:paraId="2A249D61" w14:textId="3CB0DAD1" w:rsidR="0078778E" w:rsidRPr="00B77B85" w:rsidRDefault="0078778E" w:rsidP="00A540D0">
      <w:r w:rsidRPr="00B77B85">
        <w:t xml:space="preserve">The introduction of an Australian screen content requirement on </w:t>
      </w:r>
      <w:r w:rsidR="0002641B">
        <w:t>SVOD</w:t>
      </w:r>
      <w:r w:rsidRPr="00B77B85">
        <w:t xml:space="preserve">s will have an immediate impact on Australia’s screen sector. </w:t>
      </w:r>
      <w:r w:rsidR="00AE427F">
        <w:t>Initially</w:t>
      </w:r>
      <w:r w:rsidRPr="00B77B85">
        <w:t xml:space="preserve">, </w:t>
      </w:r>
      <w:r w:rsidR="0002641B">
        <w:t>SVOD</w:t>
      </w:r>
      <w:r w:rsidRPr="00B77B85">
        <w:t>s will be required to report eligibility data</w:t>
      </w:r>
      <w:r w:rsidR="00AE427F">
        <w:t>,</w:t>
      </w:r>
      <w:r w:rsidRPr="00B77B85">
        <w:t xml:space="preserve"> and then compliance data to the ACMA </w:t>
      </w:r>
      <w:r w:rsidR="002003EC">
        <w:t>every year. They may</w:t>
      </w:r>
      <w:r w:rsidRPr="00B77B85">
        <w:t xml:space="preserve"> need to establish robust data collection and reporting systems to support this requirement. While the assessed impact of the additional regulatory burden is low, given most of the </w:t>
      </w:r>
      <w:r w:rsidR="0002641B">
        <w:t>SVOD</w:t>
      </w:r>
      <w:r w:rsidRPr="00B77B85">
        <w:t>s subject to the new regulation have been voluntarily reporting data to the ACMA since 2019-20, some may need to adjust how they compile, report, and apportion expenditure data</w:t>
      </w:r>
      <w:r w:rsidR="00FD3884">
        <w:t>.</w:t>
      </w:r>
    </w:p>
    <w:p w14:paraId="59B65DFD" w14:textId="562001BE" w:rsidR="0078778E" w:rsidRDefault="002003EC" w:rsidP="00A540D0">
      <w:r>
        <w:t>E</w:t>
      </w:r>
      <w:r w:rsidR="0078778E" w:rsidRPr="00B77B85">
        <w:t xml:space="preserve">ligible </w:t>
      </w:r>
      <w:r w:rsidR="0002641B">
        <w:t>SVOD</w:t>
      </w:r>
      <w:r w:rsidR="0078778E" w:rsidRPr="00B77B85">
        <w:t xml:space="preserve">s will need to meet the </w:t>
      </w:r>
      <w:r w:rsidR="00FD3884" w:rsidRPr="00B77B85">
        <w:t>Australian</w:t>
      </w:r>
      <w:r w:rsidR="00FD3884">
        <w:t xml:space="preserve"> streaming requirement</w:t>
      </w:r>
      <w:r w:rsidR="002E5FEC">
        <w:t>,</w:t>
      </w:r>
      <w:r w:rsidR="00B000BC">
        <w:t xml:space="preserve"> which is designed to be not unreasonably burdensome</w:t>
      </w:r>
      <w:r w:rsidR="0078778E" w:rsidRPr="00B77B85">
        <w:t xml:space="preserve">. </w:t>
      </w:r>
      <w:r>
        <w:t>B</w:t>
      </w:r>
      <w:r w:rsidR="0078778E" w:rsidRPr="00B77B85">
        <w:t>ased on 2022-23</w:t>
      </w:r>
      <w:r w:rsidR="00BB16EA" w:rsidRPr="00B77B85">
        <w:t xml:space="preserve"> and 2023-24</w:t>
      </w:r>
      <w:r w:rsidR="0078778E" w:rsidRPr="00B77B85">
        <w:t xml:space="preserve"> data, </w:t>
      </w:r>
      <w:r w:rsidR="00D14014">
        <w:t xml:space="preserve">it is expected that </w:t>
      </w:r>
      <w:r w:rsidR="0078778E" w:rsidRPr="00B77B85">
        <w:t xml:space="preserve">most </w:t>
      </w:r>
      <w:r w:rsidR="0002641B">
        <w:t>SVOD</w:t>
      </w:r>
      <w:r>
        <w:t xml:space="preserve">s </w:t>
      </w:r>
      <w:r w:rsidR="00D14014">
        <w:t xml:space="preserve">would </w:t>
      </w:r>
      <w:r w:rsidR="0078778E" w:rsidRPr="00B77B85">
        <w:t>meet the</w:t>
      </w:r>
      <w:r>
        <w:t xml:space="preserve"> proposed</w:t>
      </w:r>
      <w:r w:rsidR="0078778E" w:rsidRPr="00B77B85">
        <w:t xml:space="preserve"> minimum expenditure requirements</w:t>
      </w:r>
      <w:r w:rsidR="00D14014">
        <w:t xml:space="preserve"> if expenditure continued at the same level</w:t>
      </w:r>
      <w:r w:rsidR="00B000BC">
        <w:t>, this is because the proposed option is the minimum necessary</w:t>
      </w:r>
      <w:r w:rsidR="0078778E" w:rsidRPr="00B77B85">
        <w:t>. It is expected the requirements will be factored into production and programming decisions over the medium and long term</w:t>
      </w:r>
      <w:r w:rsidR="0078778E">
        <w:t>.</w:t>
      </w:r>
    </w:p>
    <w:p w14:paraId="4440A540" w14:textId="77777777" w:rsidR="0078778E" w:rsidRDefault="0078778E" w:rsidP="0078778E">
      <w:pPr>
        <w:pStyle w:val="Heading4"/>
      </w:pPr>
      <w:r>
        <w:t xml:space="preserve">Intermediate impact </w:t>
      </w:r>
    </w:p>
    <w:p w14:paraId="7F106921" w14:textId="1C84E894" w:rsidR="0078778E" w:rsidRDefault="0078778E" w:rsidP="0078778E">
      <w:r>
        <w:t>Over the medium-term, and o</w:t>
      </w:r>
      <w:r w:rsidRPr="000121EF">
        <w:t xml:space="preserve">nce the market adjusts to the </w:t>
      </w:r>
      <w:r>
        <w:t>new regulatory landscape</w:t>
      </w:r>
      <w:r w:rsidRPr="000121EF">
        <w:t xml:space="preserve">, </w:t>
      </w:r>
      <w:r>
        <w:t xml:space="preserve">the requirements will shape </w:t>
      </w:r>
      <w:r w:rsidR="0002641B">
        <w:t>SVOD</w:t>
      </w:r>
      <w:r>
        <w:t>s’ production and programming decisions, along with audience data.</w:t>
      </w:r>
      <w:r w:rsidR="002003EC">
        <w:t xml:space="preserve"> </w:t>
      </w:r>
      <w:r>
        <w:t>It is expected that the requirements will support the local screen production industry sector by providing a sustainable level of demand for Australian content that provides certainty for investment, training and employment decisions.</w:t>
      </w:r>
    </w:p>
    <w:p w14:paraId="339E11DF" w14:textId="77777777" w:rsidR="0078778E" w:rsidRPr="00B77B85" w:rsidRDefault="0078778E" w:rsidP="0048481E">
      <w:r w:rsidRPr="004E17EB">
        <w:t>The regulator</w:t>
      </w:r>
      <w:r w:rsidR="00FD3884">
        <w:t xml:space="preserve">, </w:t>
      </w:r>
      <w:r w:rsidR="002003EC">
        <w:t xml:space="preserve">the </w:t>
      </w:r>
      <w:r w:rsidR="00FD3884">
        <w:t>ACMA,</w:t>
      </w:r>
      <w:r w:rsidRPr="004E17EB">
        <w:t xml:space="preserve"> will report compliance data annually to Government and the Australian public, and work with the Department of Infrastructure, Transport, Regional Development, Communications</w:t>
      </w:r>
      <w:r w:rsidR="00AE427F">
        <w:t>, Sport</w:t>
      </w:r>
      <w:r w:rsidRPr="004E17EB">
        <w:t xml:space="preserve"> and the Arts</w:t>
      </w:r>
      <w:r w:rsidR="00875EA4">
        <w:t xml:space="preserve"> (the department)</w:t>
      </w:r>
      <w:r w:rsidRPr="004E17EB">
        <w:t xml:space="preserve"> to monitor and report to Government on the effectiveness of the scheme. </w:t>
      </w:r>
      <w:r w:rsidRPr="00B77B85">
        <w:rPr>
          <w:rFonts w:eastAsiaTheme="majorEastAsia" w:cstheme="minorHAnsi"/>
          <w:color w:val="auto"/>
        </w:rPr>
        <w:t xml:space="preserve">A full review of the effectiveness of the scheme, including recommendations on ways it can be improved, will be undertaken by the </w:t>
      </w:r>
      <w:r w:rsidR="00BB16EA">
        <w:rPr>
          <w:rFonts w:eastAsiaTheme="majorEastAsia" w:cstheme="minorHAnsi"/>
          <w:color w:val="auto"/>
        </w:rPr>
        <w:t>d</w:t>
      </w:r>
      <w:r w:rsidRPr="00B77B85">
        <w:rPr>
          <w:rFonts w:eastAsiaTheme="majorEastAsia" w:cstheme="minorHAnsi"/>
          <w:color w:val="auto"/>
        </w:rPr>
        <w:t xml:space="preserve">epartment after </w:t>
      </w:r>
      <w:r w:rsidR="00BB16EA">
        <w:rPr>
          <w:rFonts w:eastAsiaTheme="majorEastAsia" w:cstheme="minorHAnsi"/>
          <w:color w:val="auto"/>
        </w:rPr>
        <w:t>four</w:t>
      </w:r>
      <w:r w:rsidRPr="00B77B85">
        <w:rPr>
          <w:rFonts w:eastAsiaTheme="majorEastAsia" w:cstheme="minorHAnsi"/>
          <w:color w:val="auto"/>
        </w:rPr>
        <w:t xml:space="preserve"> years of </w:t>
      </w:r>
      <w:r w:rsidR="002003EC">
        <w:rPr>
          <w:rFonts w:eastAsiaTheme="majorEastAsia" w:cstheme="minorHAnsi"/>
          <w:color w:val="auto"/>
        </w:rPr>
        <w:t xml:space="preserve">its </w:t>
      </w:r>
      <w:r w:rsidRPr="00B77B85">
        <w:rPr>
          <w:rFonts w:eastAsiaTheme="majorEastAsia" w:cstheme="minorHAnsi"/>
          <w:color w:val="auto"/>
        </w:rPr>
        <w:t>operation</w:t>
      </w:r>
      <w:r w:rsidRPr="00B77B85">
        <w:t>.</w:t>
      </w:r>
    </w:p>
    <w:p w14:paraId="52206DA7" w14:textId="77777777" w:rsidR="0078778E" w:rsidRDefault="0078778E" w:rsidP="0078778E">
      <w:pPr>
        <w:pStyle w:val="Heading4"/>
      </w:pPr>
      <w:r>
        <w:t xml:space="preserve">Long-term impact </w:t>
      </w:r>
    </w:p>
    <w:p w14:paraId="411B911C" w14:textId="3609D50B" w:rsidR="00875EA4" w:rsidRPr="00B61E2A" w:rsidRDefault="0078778E" w:rsidP="00A540D0">
      <w:r w:rsidRPr="00B77B85">
        <w:t xml:space="preserve">In the longer term, the regulation will guarantee the provision of Australian content to domestic audiences in a variety of genres, allowing new and diverse stories to be made and shown. This will meet the Government’s </w:t>
      </w:r>
      <w:r w:rsidR="002003EC">
        <w:t xml:space="preserve">goals </w:t>
      </w:r>
      <w:r w:rsidRPr="00B77B85">
        <w:t xml:space="preserve">of guaranteeing the production of new Australian programs, making it easier to find Australian content on </w:t>
      </w:r>
      <w:r w:rsidR="0002641B">
        <w:t>SVOD</w:t>
      </w:r>
      <w:r w:rsidRPr="00B77B85">
        <w:t>s, regulating like services consistently, and fostering sustainable growth in Australia’s creative industries</w:t>
      </w:r>
      <w:r w:rsidRPr="00BA1997">
        <w:t>.</w:t>
      </w:r>
      <w:r w:rsidR="002003EC">
        <w:t xml:space="preserve"> </w:t>
      </w:r>
      <w:r w:rsidR="00875EA4" w:rsidRPr="00B61E2A">
        <w:t xml:space="preserve">As more and more Australians move to watching their screen content </w:t>
      </w:r>
      <w:r w:rsidR="00A27E8D">
        <w:t xml:space="preserve">through </w:t>
      </w:r>
      <w:r w:rsidR="0002641B">
        <w:t>SVOD</w:t>
      </w:r>
      <w:r w:rsidR="00A27E8D">
        <w:t>s</w:t>
      </w:r>
      <w:r w:rsidR="00875EA4" w:rsidRPr="00B61E2A">
        <w:t xml:space="preserve">, this policy will ensure </w:t>
      </w:r>
      <w:r w:rsidR="0002641B">
        <w:t>SVOD</w:t>
      </w:r>
      <w:r w:rsidR="0002641B" w:rsidRPr="0002641B">
        <w:t>s will produce and make Australian content available to Australian consumers</w:t>
      </w:r>
      <w:r w:rsidR="0002641B">
        <w:t xml:space="preserve"> over the long term. </w:t>
      </w:r>
      <w:r w:rsidR="0002641B" w:rsidRPr="0002641B" w:rsidDel="0002641B">
        <w:t xml:space="preserve"> </w:t>
      </w:r>
    </w:p>
    <w:p w14:paraId="599AB929" w14:textId="77777777" w:rsidR="0078778E" w:rsidRPr="00B77B85" w:rsidRDefault="0078778E" w:rsidP="00B61E2A">
      <w:pPr>
        <w:pStyle w:val="Heading1"/>
      </w:pPr>
      <w:bookmarkStart w:id="61" w:name="_Toc156484941"/>
      <w:bookmarkStart w:id="62" w:name="_Toc156485013"/>
      <w:bookmarkStart w:id="63" w:name="_Toc156485085"/>
      <w:bookmarkStart w:id="64" w:name="_Toc156485157"/>
      <w:bookmarkStart w:id="65" w:name="_Toc156485229"/>
      <w:bookmarkStart w:id="66" w:name="_Toc212099788"/>
      <w:bookmarkEnd w:id="57"/>
      <w:r w:rsidRPr="00B77B85">
        <w:rPr>
          <w:b/>
        </w:rPr>
        <w:t xml:space="preserve">3. </w:t>
      </w:r>
      <w:r w:rsidRPr="00F32FD7">
        <w:rPr>
          <w:b/>
        </w:rPr>
        <w:t>What policy options are you considering?</w:t>
      </w:r>
      <w:bookmarkEnd w:id="61"/>
      <w:bookmarkEnd w:id="62"/>
      <w:bookmarkEnd w:id="63"/>
      <w:bookmarkEnd w:id="64"/>
      <w:bookmarkEnd w:id="65"/>
      <w:bookmarkEnd w:id="66"/>
    </w:p>
    <w:p w14:paraId="1FBE3981" w14:textId="77777777" w:rsidR="0078778E" w:rsidRPr="00E819D1" w:rsidRDefault="0078778E" w:rsidP="0078778E">
      <w:pPr>
        <w:pStyle w:val="Heading2"/>
        <w:rPr>
          <w:sz w:val="32"/>
          <w:szCs w:val="32"/>
        </w:rPr>
      </w:pPr>
      <w:bookmarkStart w:id="67" w:name="_Toc156313434"/>
      <w:bookmarkStart w:id="68" w:name="_Ref156469543"/>
      <w:bookmarkStart w:id="69" w:name="_Ref156469549"/>
      <w:bookmarkStart w:id="70" w:name="_Toc156484946"/>
      <w:bookmarkStart w:id="71" w:name="_Toc156485018"/>
      <w:bookmarkStart w:id="72" w:name="_Toc156485090"/>
      <w:bookmarkStart w:id="73" w:name="_Toc156485162"/>
      <w:bookmarkStart w:id="74" w:name="_Toc156485234"/>
      <w:bookmarkStart w:id="75" w:name="_Toc212099789"/>
      <w:r w:rsidRPr="00E819D1">
        <w:rPr>
          <w:sz w:val="32"/>
          <w:szCs w:val="32"/>
        </w:rPr>
        <w:t>3.1 Option 1 – Status quo</w:t>
      </w:r>
      <w:bookmarkEnd w:id="67"/>
      <w:bookmarkEnd w:id="68"/>
      <w:bookmarkEnd w:id="69"/>
      <w:bookmarkEnd w:id="70"/>
      <w:bookmarkEnd w:id="71"/>
      <w:bookmarkEnd w:id="72"/>
      <w:bookmarkEnd w:id="73"/>
      <w:bookmarkEnd w:id="74"/>
      <w:bookmarkEnd w:id="75"/>
    </w:p>
    <w:p w14:paraId="5FB0DB02" w14:textId="02097963" w:rsidR="0078778E" w:rsidRPr="00B77B85" w:rsidRDefault="0078778E" w:rsidP="00A540D0">
      <w:r w:rsidRPr="00B77B85">
        <w:t>Currently</w:t>
      </w:r>
      <w:r w:rsidR="00AE427F">
        <w:t>,</w:t>
      </w:r>
      <w:r w:rsidRPr="00B77B85">
        <w:t xml:space="preserve"> </w:t>
      </w:r>
      <w:r w:rsidR="0002641B">
        <w:t>SVOD</w:t>
      </w:r>
      <w:r w:rsidRPr="00B77B85">
        <w:t xml:space="preserve">s are not required to invest in </w:t>
      </w:r>
      <w:r w:rsidR="00E200FA">
        <w:t xml:space="preserve">the production of </w:t>
      </w:r>
      <w:r w:rsidRPr="00B77B85">
        <w:t xml:space="preserve">Australian content. </w:t>
      </w:r>
      <w:r w:rsidR="003E78AF">
        <w:t>A</w:t>
      </w:r>
      <w:r w:rsidRPr="00B77B85">
        <w:t xml:space="preserve">s noted above, five large </w:t>
      </w:r>
      <w:r w:rsidR="0002641B">
        <w:t>SVOD</w:t>
      </w:r>
      <w:r w:rsidRPr="00B77B85">
        <w:t xml:space="preserve">s voluntarily report to the </w:t>
      </w:r>
      <w:r w:rsidR="00A27E8D">
        <w:t xml:space="preserve">ACMA </w:t>
      </w:r>
      <w:r w:rsidRPr="00B77B85">
        <w:t>on the availability of and investment in Australian programming on their respective services. Amazon Prime Video, Disney+, Netflix and Stan have voluntarily reported to the ACMA on these matters each financial year since 2019-20. As a newer entrant to the market, Paramount+ commenced participation in the voluntary reporting for the 2021-22 financial year.</w:t>
      </w:r>
    </w:p>
    <w:p w14:paraId="1ECED111" w14:textId="1E78F06D" w:rsidR="0078778E" w:rsidRPr="00B77B85" w:rsidRDefault="0078778E" w:rsidP="00A540D0">
      <w:r w:rsidRPr="00B77B85">
        <w:t xml:space="preserve">Under Option 1, the existing arrangements would remain in place. </w:t>
      </w:r>
      <w:r w:rsidR="00E200FA">
        <w:t>T</w:t>
      </w:r>
      <w:r w:rsidR="006479D8" w:rsidRPr="006479D8">
        <w:t xml:space="preserve">he existing regulatory framework </w:t>
      </w:r>
      <w:r w:rsidR="006479D8">
        <w:t xml:space="preserve">for commercial and subscription broadcasters would be retained in its </w:t>
      </w:r>
      <w:r w:rsidR="006479D8" w:rsidRPr="006479D8">
        <w:t>current form, with its sole focus on traditional media platforms</w:t>
      </w:r>
      <w:r w:rsidR="006479D8">
        <w:t xml:space="preserve">, </w:t>
      </w:r>
      <w:r w:rsidR="006479D8" w:rsidRPr="006479D8">
        <w:t xml:space="preserve">while </w:t>
      </w:r>
      <w:r w:rsidR="0002641B">
        <w:t>SVOD</w:t>
      </w:r>
      <w:r w:rsidR="006479D8" w:rsidRPr="006479D8">
        <w:t xml:space="preserve">s would </w:t>
      </w:r>
      <w:r w:rsidR="003E78AF">
        <w:t>have</w:t>
      </w:r>
      <w:r w:rsidR="003E78AF" w:rsidRPr="006479D8">
        <w:t xml:space="preserve"> </w:t>
      </w:r>
      <w:r w:rsidR="006479D8" w:rsidRPr="006479D8">
        <w:t xml:space="preserve">no </w:t>
      </w:r>
      <w:r w:rsidR="00E200FA">
        <w:t>local content requirements</w:t>
      </w:r>
      <w:r w:rsidR="006479D8" w:rsidRPr="006479D8">
        <w:t>.</w:t>
      </w:r>
      <w:r w:rsidR="006479D8">
        <w:t xml:space="preserve"> </w:t>
      </w:r>
      <w:r w:rsidR="0002641B">
        <w:t>SVOD</w:t>
      </w:r>
      <w:r w:rsidRPr="00B77B85">
        <w:t xml:space="preserve">s would continue to report voluntarily on their Australian content investment and catalogue composition, but would not be </w:t>
      </w:r>
      <w:r w:rsidRPr="00B77B85">
        <w:lastRenderedPageBreak/>
        <w:t xml:space="preserve">required to </w:t>
      </w:r>
      <w:r w:rsidR="00E200FA">
        <w:t>commission or acquire any Australian content</w:t>
      </w:r>
      <w:r w:rsidRPr="00B77B85">
        <w:t xml:space="preserve">. </w:t>
      </w:r>
      <w:r w:rsidR="00E200FA">
        <w:t xml:space="preserve">It would continue to be permissible for any major </w:t>
      </w:r>
      <w:r w:rsidR="0002641B">
        <w:t>SVOD</w:t>
      </w:r>
      <w:r w:rsidR="00E200FA">
        <w:t xml:space="preserve">s to remove all Australian content from their Australian service at any time and rely solely on content sourced from overseas. </w:t>
      </w:r>
      <w:r w:rsidR="00A27E8D">
        <w:t xml:space="preserve">The </w:t>
      </w:r>
      <w:r w:rsidRPr="00B77B85">
        <w:t xml:space="preserve">ACMA </w:t>
      </w:r>
      <w:r w:rsidR="00A27E8D">
        <w:t>would</w:t>
      </w:r>
      <w:r w:rsidRPr="00B77B85">
        <w:t xml:space="preserve"> continue to monitor market developments and report on </w:t>
      </w:r>
      <w:r w:rsidR="0002641B">
        <w:t>SVOD</w:t>
      </w:r>
      <w:r w:rsidRPr="00B77B85">
        <w:t>s’ investment in Australian and Australian-related programs, as well as the availability of Australian content in their catalogues.</w:t>
      </w:r>
    </w:p>
    <w:p w14:paraId="7F373DE2" w14:textId="3A81C479" w:rsidR="0078778E" w:rsidRPr="00B77B85" w:rsidRDefault="0078778E" w:rsidP="00A540D0">
      <w:r w:rsidRPr="00B77B85">
        <w:t xml:space="preserve">As a voluntary commitment, </w:t>
      </w:r>
      <w:r w:rsidR="0002641B">
        <w:t>SVOD</w:t>
      </w:r>
      <w:r w:rsidRPr="00B77B85">
        <w:t xml:space="preserve">s would not have an obligation to remain within the reporting regime and could, if they chose to, withdraw from it. Similarly, other </w:t>
      </w:r>
      <w:r w:rsidR="0002641B">
        <w:t>SVOD</w:t>
      </w:r>
      <w:r w:rsidRPr="00B77B85">
        <w:t xml:space="preserve">s currently operating in the Australian market such as </w:t>
      </w:r>
      <w:r w:rsidR="00943E6B">
        <w:t xml:space="preserve">HBO Max, </w:t>
      </w:r>
      <w:r w:rsidRPr="00B77B85">
        <w:t xml:space="preserve">Binge and Apple TV+ that do not currently report data to the ACMA would not be compelled to join the reporting regime. They could, if they </w:t>
      </w:r>
      <w:r w:rsidR="00CB1451">
        <w:t>chose</w:t>
      </w:r>
      <w:r w:rsidRPr="00B77B85">
        <w:t>, voluntarily report their data to the ACMA.</w:t>
      </w:r>
    </w:p>
    <w:p w14:paraId="054DF699" w14:textId="77777777" w:rsidR="0078778E" w:rsidRPr="00E819D1" w:rsidRDefault="0078778E" w:rsidP="0078778E">
      <w:pPr>
        <w:pStyle w:val="Heading2"/>
        <w:rPr>
          <w:sz w:val="32"/>
          <w:szCs w:val="32"/>
        </w:rPr>
      </w:pPr>
      <w:bookmarkStart w:id="76" w:name="_Toc212099790"/>
      <w:bookmarkStart w:id="77" w:name="_Toc156313435"/>
      <w:bookmarkStart w:id="78" w:name="_Ref156469612"/>
      <w:bookmarkStart w:id="79" w:name="_Toc156484947"/>
      <w:bookmarkStart w:id="80" w:name="_Toc156485019"/>
      <w:bookmarkStart w:id="81" w:name="_Toc156485091"/>
      <w:bookmarkStart w:id="82" w:name="_Toc156485163"/>
      <w:bookmarkStart w:id="83" w:name="_Toc156485235"/>
      <w:r w:rsidRPr="00E819D1">
        <w:rPr>
          <w:sz w:val="32"/>
          <w:szCs w:val="32"/>
        </w:rPr>
        <w:t xml:space="preserve">3.2 Option 2 – </w:t>
      </w:r>
      <w:r w:rsidR="00BE5522">
        <w:rPr>
          <w:sz w:val="32"/>
          <w:szCs w:val="32"/>
        </w:rPr>
        <w:t xml:space="preserve">introduce a </w:t>
      </w:r>
      <w:r w:rsidR="00CB1451">
        <w:rPr>
          <w:sz w:val="32"/>
          <w:szCs w:val="32"/>
        </w:rPr>
        <w:t>p</w:t>
      </w:r>
      <w:r w:rsidR="00CB1451" w:rsidRPr="00E819D1">
        <w:rPr>
          <w:sz w:val="32"/>
          <w:szCs w:val="32"/>
        </w:rPr>
        <w:t xml:space="preserve">ercentage </w:t>
      </w:r>
      <w:r w:rsidRPr="00E819D1">
        <w:rPr>
          <w:sz w:val="32"/>
          <w:szCs w:val="32"/>
        </w:rPr>
        <w:t>of expenditure model</w:t>
      </w:r>
      <w:bookmarkEnd w:id="76"/>
      <w:r w:rsidRPr="00E819D1">
        <w:rPr>
          <w:sz w:val="32"/>
          <w:szCs w:val="32"/>
        </w:rPr>
        <w:t xml:space="preserve"> </w:t>
      </w:r>
      <w:bookmarkEnd w:id="77"/>
      <w:bookmarkEnd w:id="78"/>
      <w:bookmarkEnd w:id="79"/>
      <w:bookmarkEnd w:id="80"/>
      <w:bookmarkEnd w:id="81"/>
      <w:bookmarkEnd w:id="82"/>
      <w:bookmarkEnd w:id="83"/>
    </w:p>
    <w:p w14:paraId="1AFA09DA" w14:textId="13E5A10C" w:rsidR="00900295" w:rsidRDefault="0078778E" w:rsidP="00EA72E1">
      <w:r w:rsidRPr="0030386E">
        <w:t xml:space="preserve">Option </w:t>
      </w:r>
      <w:r>
        <w:t>2</w:t>
      </w:r>
      <w:r w:rsidRPr="0030386E">
        <w:t xml:space="preserve"> </w:t>
      </w:r>
      <w:r w:rsidR="00E428BE" w:rsidRPr="00E428BE">
        <w:t xml:space="preserve">is </w:t>
      </w:r>
      <w:r w:rsidR="00EA72E1" w:rsidRPr="00EA72E1">
        <w:t xml:space="preserve">a legislative requirement for </w:t>
      </w:r>
      <w:r w:rsidR="0002641B">
        <w:t>SVOD</w:t>
      </w:r>
      <w:r w:rsidR="00EA72E1" w:rsidRPr="00EA72E1">
        <w:t xml:space="preserve">s to invest at least 10 per cent of their </w:t>
      </w:r>
      <w:r w:rsidR="00EA72E1" w:rsidRPr="0048481E">
        <w:rPr>
          <w:b/>
        </w:rPr>
        <w:t>total program expenditure</w:t>
      </w:r>
      <w:r w:rsidR="00EA72E1" w:rsidRPr="00EA72E1">
        <w:t xml:space="preserve"> (excluding news and sport) on new Australian commissions. Total program expenditure includes programs available on a streaming platform operating in Australia that are globally commissioned or licensed or otherwise not subject to licensing payment for the Australian market (global content). </w:t>
      </w:r>
      <w:r w:rsidR="00EA72E1">
        <w:t xml:space="preserve">This </w:t>
      </w:r>
      <w:r w:rsidR="00EA72E1" w:rsidRPr="00EA72E1">
        <w:t>include</w:t>
      </w:r>
      <w:r w:rsidR="00EA72E1">
        <w:t>s</w:t>
      </w:r>
      <w:r w:rsidR="00EA72E1" w:rsidRPr="00EA72E1">
        <w:t xml:space="preserve"> a voluntary revenue option for </w:t>
      </w:r>
      <w:r w:rsidR="0002641B">
        <w:t>SVOD</w:t>
      </w:r>
      <w:r w:rsidR="00EA72E1" w:rsidRPr="00EA72E1">
        <w:t>s to acquit their requirements by calculating their content obligation based on 75 per cent of the expenditure requirement numerator (for example, 7.5 per cent of revenue rather than 10 per cent of expenditure), providing them with further flexibility</w:t>
      </w:r>
      <w:r w:rsidR="00AE427F">
        <w:t>.</w:t>
      </w:r>
      <w:r w:rsidR="006550E3">
        <w:t xml:space="preserve"> </w:t>
      </w:r>
      <w:bookmarkStart w:id="84" w:name="_Toc156313436"/>
      <w:bookmarkStart w:id="85" w:name="_Ref156469613"/>
      <w:bookmarkStart w:id="86" w:name="_Toc156484948"/>
      <w:bookmarkStart w:id="87" w:name="_Toc156485020"/>
      <w:bookmarkStart w:id="88" w:name="_Toc156485092"/>
      <w:bookmarkStart w:id="89" w:name="_Toc156485164"/>
      <w:bookmarkStart w:id="90" w:name="_Toc156485236"/>
      <w:r w:rsidR="00B6369A">
        <w:t xml:space="preserve">The requirement is designed to maintain </w:t>
      </w:r>
      <w:r w:rsidR="00900295">
        <w:t xml:space="preserve">meaningful investment in Australian content </w:t>
      </w:r>
      <w:r w:rsidR="00B6369A">
        <w:t xml:space="preserve">by </w:t>
      </w:r>
      <w:r w:rsidR="0002641B">
        <w:t>SVOD</w:t>
      </w:r>
      <w:r w:rsidR="00B6369A">
        <w:t xml:space="preserve">s </w:t>
      </w:r>
      <w:r w:rsidR="00900295">
        <w:t>into the future</w:t>
      </w:r>
      <w:r w:rsidR="006550E3">
        <w:t xml:space="preserve"> and is</w:t>
      </w:r>
      <w:r w:rsidR="00B6369A">
        <w:t xml:space="preserve"> </w:t>
      </w:r>
      <w:r w:rsidR="00AF6418" w:rsidRPr="00AF6418">
        <w:t xml:space="preserve">consistent </w:t>
      </w:r>
      <w:r w:rsidR="006550E3">
        <w:t xml:space="preserve">with Australia’s trade </w:t>
      </w:r>
      <w:r w:rsidR="005E5660">
        <w:t>and investment law obligations</w:t>
      </w:r>
      <w:r w:rsidR="00AF6418">
        <w:t>.</w:t>
      </w:r>
    </w:p>
    <w:p w14:paraId="0558A181" w14:textId="6B601329" w:rsidR="00B6369A" w:rsidRDefault="00B6369A" w:rsidP="00EA72E1">
      <w:r w:rsidRPr="00EA72E1">
        <w:t>‘</w:t>
      </w:r>
      <w:r>
        <w:t>G</w:t>
      </w:r>
      <w:r w:rsidRPr="00EA72E1">
        <w:t xml:space="preserve">lobal content’ </w:t>
      </w:r>
      <w:r>
        <w:t>has been included in the requirement because it has become</w:t>
      </w:r>
      <w:r w:rsidR="00EA72E1" w:rsidRPr="00EA72E1">
        <w:t xml:space="preserve"> clear</w:t>
      </w:r>
      <w:r>
        <w:t>,</w:t>
      </w:r>
      <w:r w:rsidR="00EA72E1" w:rsidRPr="00EA72E1">
        <w:t xml:space="preserve"> through the targeted consultation process</w:t>
      </w:r>
      <w:r>
        <w:t>,</w:t>
      </w:r>
      <w:r w:rsidR="00EA72E1" w:rsidRPr="00EA72E1">
        <w:t xml:space="preserve"> that any requirement based solely on </w:t>
      </w:r>
      <w:r>
        <w:t>Australian</w:t>
      </w:r>
      <w:r w:rsidR="00EA72E1" w:rsidRPr="00EA72E1">
        <w:t xml:space="preserve"> drama expenditure for a streaming platform’s Australian service would not guarantee Australian content is commissioned by </w:t>
      </w:r>
      <w:r w:rsidR="0002641B">
        <w:t>SVOD</w:t>
      </w:r>
      <w:r w:rsidR="00EA72E1" w:rsidRPr="00EA72E1">
        <w:t xml:space="preserve">s in Australia. </w:t>
      </w:r>
    </w:p>
    <w:p w14:paraId="343872E8" w14:textId="5FCC08E0" w:rsidR="00EA72E1" w:rsidRDefault="00EA72E1" w:rsidP="00EA72E1">
      <w:r>
        <w:t xml:space="preserve">Most, but not all, Australian </w:t>
      </w:r>
      <w:r w:rsidR="0002641B">
        <w:t>SVOD</w:t>
      </w:r>
      <w:r>
        <w:t xml:space="preserve">s host three types of content on their platforms. These are: </w:t>
      </w:r>
    </w:p>
    <w:p w14:paraId="749D0C17" w14:textId="77777777" w:rsidR="00EA72E1" w:rsidRDefault="00AE427F" w:rsidP="00E61D88">
      <w:pPr>
        <w:pStyle w:val="Bullet1"/>
      </w:pPr>
      <w:r>
        <w:t>p</w:t>
      </w:r>
      <w:r w:rsidR="00EA72E1">
        <w:t xml:space="preserve">rograms that are commissioned or acquired specifically for the Australian market. These are usually made in Australia either by the streaming platform or acquired from a broadcaster or production supplier. Examples include </w:t>
      </w:r>
      <w:r w:rsidR="00EA72E1" w:rsidRPr="0048481E">
        <w:rPr>
          <w:i/>
        </w:rPr>
        <w:t>Heartbreak High</w:t>
      </w:r>
      <w:r w:rsidR="00EA72E1">
        <w:t xml:space="preserve">, </w:t>
      </w:r>
      <w:r w:rsidR="00EA72E1" w:rsidRPr="0048481E">
        <w:rPr>
          <w:i/>
        </w:rPr>
        <w:t>The Narrow Road to the Deep North</w:t>
      </w:r>
      <w:r w:rsidR="00EA72E1">
        <w:t xml:space="preserve"> and </w:t>
      </w:r>
      <w:r w:rsidR="00EA72E1" w:rsidRPr="0048481E">
        <w:rPr>
          <w:i/>
        </w:rPr>
        <w:t>Boy Swallows Universe</w:t>
      </w:r>
      <w:r>
        <w:t>;</w:t>
      </w:r>
    </w:p>
    <w:p w14:paraId="47E5B814" w14:textId="77777777" w:rsidR="00EA72E1" w:rsidRDefault="00AE427F" w:rsidP="00E61D88">
      <w:pPr>
        <w:pStyle w:val="Bullet1"/>
      </w:pPr>
      <w:r>
        <w:t>p</w:t>
      </w:r>
      <w:r w:rsidR="00EA72E1">
        <w:t xml:space="preserve">rograms that are licensed by a streaming platform for use on its Australian service. Examples include the US series </w:t>
      </w:r>
      <w:r w:rsidR="00EA72E1" w:rsidRPr="0048481E">
        <w:rPr>
          <w:i/>
        </w:rPr>
        <w:t>Yellowstone</w:t>
      </w:r>
      <w:r w:rsidR="00EA72E1">
        <w:t xml:space="preserve"> licensed by Stan for its Australian service from Paramount+</w:t>
      </w:r>
      <w:r>
        <w:t>; and</w:t>
      </w:r>
    </w:p>
    <w:p w14:paraId="52D3BC7E" w14:textId="77777777" w:rsidR="00EA72E1" w:rsidRDefault="00E048D9" w:rsidP="00E61D88">
      <w:pPr>
        <w:pStyle w:val="Bullet1"/>
      </w:pPr>
      <w:r>
        <w:t>p</w:t>
      </w:r>
      <w:r w:rsidR="00EA72E1">
        <w:t xml:space="preserve">rograms available on a streaming platform operating in Australia that are globally commissioned or licensed or otherwise not subject to licensing payment for the Australian market. Examples include </w:t>
      </w:r>
      <w:r w:rsidR="00EA72E1" w:rsidRPr="0048481E">
        <w:rPr>
          <w:i/>
        </w:rPr>
        <w:t>The Mandalorian</w:t>
      </w:r>
      <w:r w:rsidR="00EA72E1">
        <w:t xml:space="preserve"> on Disney+ and </w:t>
      </w:r>
      <w:r w:rsidR="00EA72E1" w:rsidRPr="0048481E">
        <w:rPr>
          <w:i/>
        </w:rPr>
        <w:t>The Crown</w:t>
      </w:r>
      <w:r w:rsidR="00EA72E1">
        <w:t xml:space="preserve"> on Netflix. These programs are known a ‘global content’.</w:t>
      </w:r>
    </w:p>
    <w:p w14:paraId="1FF316D3" w14:textId="2FCBB835" w:rsidR="00900295" w:rsidRDefault="00EA72E1" w:rsidP="00EA72E1">
      <w:r w:rsidRPr="00EA72E1">
        <w:t xml:space="preserve">Global content can represent a large portion of </w:t>
      </w:r>
      <w:r w:rsidR="0002641B">
        <w:t>SVOD</w:t>
      </w:r>
      <w:r w:rsidRPr="00EA72E1">
        <w:t xml:space="preserve">s’ catalogues and every </w:t>
      </w:r>
      <w:r w:rsidR="0002641B">
        <w:t>SVOD</w:t>
      </w:r>
      <w:r w:rsidRPr="00EA72E1">
        <w:t xml:space="preserve"> in Australia must ascribe a proportionate value </w:t>
      </w:r>
      <w:r w:rsidR="00E048D9">
        <w:t>(or,</w:t>
      </w:r>
      <w:r w:rsidRPr="00EA72E1">
        <w:t xml:space="preserve"> ‘transfer price’</w:t>
      </w:r>
      <w:r w:rsidR="00E048D9">
        <w:t xml:space="preserve">) </w:t>
      </w:r>
      <w:r w:rsidRPr="00EA72E1">
        <w:t>to these programs should they host such content. Under Australian tax law, this prevents multinational companies from attempting to shift their profits to low-tax jurisdictions by setting unrealistic prices for their actual commercial or financial dealings with a related party.</w:t>
      </w:r>
      <w:r>
        <w:rPr>
          <w:rStyle w:val="FootnoteReference"/>
        </w:rPr>
        <w:footnoteReference w:id="39"/>
      </w:r>
      <w:r>
        <w:t xml:space="preserve"> </w:t>
      </w:r>
    </w:p>
    <w:p w14:paraId="093D67F4" w14:textId="77777777" w:rsidR="0078778E" w:rsidRPr="001D360F" w:rsidRDefault="0078778E" w:rsidP="00B61E2A">
      <w:pPr>
        <w:pStyle w:val="Heading1"/>
        <w:rPr>
          <w:b/>
        </w:rPr>
      </w:pPr>
      <w:bookmarkStart w:id="91" w:name="_Toc156484953"/>
      <w:bookmarkStart w:id="92" w:name="_Toc156485025"/>
      <w:bookmarkStart w:id="93" w:name="_Toc156485097"/>
      <w:bookmarkStart w:id="94" w:name="_Toc156485169"/>
      <w:bookmarkStart w:id="95" w:name="_Toc156485241"/>
      <w:bookmarkStart w:id="96" w:name="_Toc212099791"/>
      <w:bookmarkEnd w:id="84"/>
      <w:bookmarkEnd w:id="85"/>
      <w:bookmarkEnd w:id="86"/>
      <w:bookmarkEnd w:id="87"/>
      <w:bookmarkEnd w:id="88"/>
      <w:bookmarkEnd w:id="89"/>
      <w:bookmarkEnd w:id="90"/>
      <w:r w:rsidRPr="001D360F">
        <w:rPr>
          <w:b/>
        </w:rPr>
        <w:t>4. What is the likely net benefit of each option?</w:t>
      </w:r>
      <w:bookmarkEnd w:id="91"/>
      <w:bookmarkEnd w:id="92"/>
      <w:bookmarkEnd w:id="93"/>
      <w:bookmarkEnd w:id="94"/>
      <w:bookmarkEnd w:id="95"/>
      <w:bookmarkEnd w:id="96"/>
    </w:p>
    <w:p w14:paraId="13C9A2D5" w14:textId="77777777" w:rsidR="007824DB" w:rsidRDefault="007824DB" w:rsidP="007824DB">
      <w:pPr>
        <w:pStyle w:val="Heading1"/>
        <w:rPr>
          <w:rFonts w:asciiTheme="minorHAnsi" w:eastAsiaTheme="minorHAnsi" w:hAnsiTheme="minorHAnsi" w:cstheme="minorBidi"/>
          <w:color w:val="000000" w:themeColor="text1"/>
          <w:sz w:val="22"/>
          <w:szCs w:val="22"/>
        </w:rPr>
      </w:pPr>
    </w:p>
    <w:p w14:paraId="397878C8" w14:textId="77777777" w:rsidR="00745F56" w:rsidRDefault="00745F56" w:rsidP="00A540D0">
      <w:r w:rsidRPr="00745F56">
        <w:t xml:space="preserve">The Australian Government is committed to the use of cost–benefit analysis (CBA) to assess policy proposals in order to encourage better decision making. A CBA involves a systematic evaluation of the impacts of a proposal, accounting for all the effects on the community and economy, not just the immediate or direct </w:t>
      </w:r>
      <w:r w:rsidRPr="00745F56">
        <w:lastRenderedPageBreak/>
        <w:t>effects, financial effects or effects on one group. It emphasises, to the extent possible, valuing the gains and losses from a proposal in monetary terms</w:t>
      </w:r>
      <w:r>
        <w:t xml:space="preserve">, </w:t>
      </w:r>
      <w:r w:rsidRPr="00745F56">
        <w:t>even when full quantification of impacts is not possible, CBA can still be useful in providing a clear decision-making framework.</w:t>
      </w:r>
    </w:p>
    <w:p w14:paraId="5DBE5B5C" w14:textId="77777777" w:rsidR="007824DB" w:rsidRPr="00CB1B01" w:rsidRDefault="007B4EAE" w:rsidP="00A540D0">
      <w:r>
        <w:t xml:space="preserve">For this Impact Analysis a </w:t>
      </w:r>
      <w:r w:rsidR="00745F56">
        <w:t xml:space="preserve">CBA </w:t>
      </w:r>
      <w:r>
        <w:t>was used for each of the proposed options</w:t>
      </w:r>
      <w:r w:rsidR="0007552E">
        <w:t>. T</w:t>
      </w:r>
      <w:r>
        <w:t>his is consistent with the Impact Analysis framework</w:t>
      </w:r>
      <w:r w:rsidR="0083417A">
        <w:t xml:space="preserve"> in which cost benefit analysis is the default method of measuring the net benefit of policy</w:t>
      </w:r>
      <w:r>
        <w:t xml:space="preserve">. A </w:t>
      </w:r>
      <w:r w:rsidR="00745F56">
        <w:t xml:space="preserve">CBA </w:t>
      </w:r>
      <w:r>
        <w:t>was undertaken with a comparison of the base case (Option 1) with the reform option (Option 2). It includes analysis of the net benefits and costs of each option, the status quo of not introducing a streaming requirement (Option 1) and introducing a streaming requirement (Option 2). This is then measured against the quantitative benefits and costs of each optio</w:t>
      </w:r>
      <w:r w:rsidR="0083417A">
        <w:t>n, including modelling of the streaming requirement and analysis of the administrative and regulatory costs of introducing the regulation</w:t>
      </w:r>
      <w:r>
        <w:t xml:space="preserve">. </w:t>
      </w:r>
    </w:p>
    <w:p w14:paraId="6AC3B5EE" w14:textId="77777777" w:rsidR="0078778E" w:rsidRPr="00E819D1" w:rsidRDefault="0078778E" w:rsidP="0078778E">
      <w:pPr>
        <w:pStyle w:val="Heading2"/>
        <w:rPr>
          <w:sz w:val="32"/>
          <w:szCs w:val="32"/>
        </w:rPr>
      </w:pPr>
      <w:bookmarkStart w:id="97" w:name="_Toc133933796"/>
      <w:bookmarkStart w:id="98" w:name="_Toc212099792"/>
      <w:bookmarkStart w:id="99" w:name="_Toc156313446"/>
      <w:bookmarkStart w:id="100" w:name="_Toc156484958"/>
      <w:bookmarkStart w:id="101" w:name="_Toc156485030"/>
      <w:bookmarkStart w:id="102" w:name="_Toc156485102"/>
      <w:bookmarkStart w:id="103" w:name="_Toc156485174"/>
      <w:bookmarkStart w:id="104" w:name="_Toc156485246"/>
      <w:bookmarkStart w:id="105" w:name="_Hlk141347196"/>
      <w:r w:rsidRPr="00E819D1">
        <w:rPr>
          <w:sz w:val="32"/>
          <w:szCs w:val="32"/>
        </w:rPr>
        <w:t>4.1 Option 1 – Status quo</w:t>
      </w:r>
      <w:bookmarkEnd w:id="97"/>
      <w:bookmarkEnd w:id="98"/>
      <w:r w:rsidRPr="00E819D1">
        <w:rPr>
          <w:sz w:val="32"/>
          <w:szCs w:val="32"/>
        </w:rPr>
        <w:t xml:space="preserve"> </w:t>
      </w:r>
      <w:bookmarkEnd w:id="99"/>
      <w:bookmarkEnd w:id="100"/>
      <w:bookmarkEnd w:id="101"/>
      <w:bookmarkEnd w:id="102"/>
      <w:bookmarkEnd w:id="103"/>
      <w:bookmarkEnd w:id="104"/>
    </w:p>
    <w:p w14:paraId="71275FAC" w14:textId="024A5532" w:rsidR="0078778E" w:rsidRPr="00690227" w:rsidRDefault="0078778E" w:rsidP="00A540D0">
      <w:bookmarkStart w:id="106" w:name="_Toc133933797"/>
      <w:r w:rsidRPr="00690227">
        <w:t>Maintaining the status quo of voluntary reporting only</w:t>
      </w:r>
      <w:r w:rsidR="008273C9">
        <w:t>,</w:t>
      </w:r>
      <w:r w:rsidRPr="00690227">
        <w:t xml:space="preserve"> would allow </w:t>
      </w:r>
      <w:r w:rsidR="0002641B">
        <w:t>SVOD</w:t>
      </w:r>
      <w:r w:rsidRPr="00690227">
        <w:t>s to operate in the Australian market without any obligation to provide or invest in Australian content</w:t>
      </w:r>
      <w:r w:rsidR="006479D8">
        <w:t xml:space="preserve"> now or into the future</w:t>
      </w:r>
      <w:r w:rsidRPr="00690227">
        <w:t xml:space="preserve">. Services could, if they choose to, continue to report expenditure and programming data voluntarily to the ACMA. Under this option, investment and programming decisions would be decided by the market and individual </w:t>
      </w:r>
      <w:r w:rsidR="0002641B">
        <w:t>SVOD</w:t>
      </w:r>
      <w:r w:rsidRPr="00690227">
        <w:t>s. Under th</w:t>
      </w:r>
      <w:r w:rsidR="003647D6">
        <w:t>e status quo</w:t>
      </w:r>
      <w:r w:rsidRPr="00690227">
        <w:t>, it is likely that Australian content expenditure would plateau or decrease over time.</w:t>
      </w:r>
      <w:r w:rsidR="006772DE">
        <w:t xml:space="preserve"> It is also possible that a</w:t>
      </w:r>
      <w:r w:rsidR="00B15A53">
        <w:t>n</w:t>
      </w:r>
      <w:r w:rsidR="006772DE">
        <w:t xml:space="preserve"> </w:t>
      </w:r>
      <w:r w:rsidR="0002641B">
        <w:t>SVOD</w:t>
      </w:r>
      <w:r w:rsidR="006772DE">
        <w:t xml:space="preserve"> </w:t>
      </w:r>
      <w:r w:rsidR="00B15A53">
        <w:t>c</w:t>
      </w:r>
      <w:r w:rsidR="004A21C6" w:rsidRPr="00B77B85">
        <w:t>ould</w:t>
      </w:r>
      <w:r w:rsidR="00B000BC">
        <w:t xml:space="preserve"> stop</w:t>
      </w:r>
      <w:r w:rsidR="004A21C6" w:rsidRPr="00B77B85">
        <w:t xml:space="preserve"> </w:t>
      </w:r>
      <w:r w:rsidR="004A21C6">
        <w:t>commission</w:t>
      </w:r>
      <w:r w:rsidR="00B000BC">
        <w:t>ing</w:t>
      </w:r>
      <w:r w:rsidR="004A21C6">
        <w:t xml:space="preserve"> or acquir</w:t>
      </w:r>
      <w:r w:rsidR="00B000BC">
        <w:t>ing</w:t>
      </w:r>
      <w:r w:rsidR="004A21C6">
        <w:t xml:space="preserve"> any Australian content.</w:t>
      </w:r>
    </w:p>
    <w:p w14:paraId="0E8E3F20" w14:textId="77777777" w:rsidR="0078778E" w:rsidRPr="00E7329A" w:rsidRDefault="0078778E" w:rsidP="0078778E">
      <w:pPr>
        <w:pStyle w:val="Heading3"/>
      </w:pPr>
      <w:bookmarkStart w:id="107" w:name="_Toc156313447"/>
      <w:bookmarkStart w:id="108" w:name="_Toc156484959"/>
      <w:bookmarkStart w:id="109" w:name="_Toc156485031"/>
      <w:bookmarkStart w:id="110" w:name="_Toc156485103"/>
      <w:bookmarkStart w:id="111" w:name="_Toc156485175"/>
      <w:bookmarkStart w:id="112" w:name="_Toc156485247"/>
      <w:bookmarkStart w:id="113" w:name="_Toc212099793"/>
      <w:r>
        <w:t>Benefits</w:t>
      </w:r>
      <w:bookmarkEnd w:id="106"/>
      <w:bookmarkEnd w:id="107"/>
      <w:bookmarkEnd w:id="108"/>
      <w:bookmarkEnd w:id="109"/>
      <w:bookmarkEnd w:id="110"/>
      <w:bookmarkEnd w:id="111"/>
      <w:bookmarkEnd w:id="112"/>
      <w:bookmarkEnd w:id="113"/>
    </w:p>
    <w:p w14:paraId="02186900" w14:textId="1277C5D1" w:rsidR="0078778E" w:rsidRPr="00690227" w:rsidRDefault="0078778E" w:rsidP="00A540D0">
      <w:bookmarkStart w:id="114" w:name="_Hlk140580331"/>
      <w:r w:rsidRPr="00690227">
        <w:t xml:space="preserve">Maintaining the status quo would mean relevant </w:t>
      </w:r>
      <w:r w:rsidR="0002641B">
        <w:t>SVOD</w:t>
      </w:r>
      <w:r w:rsidRPr="00690227">
        <w:t xml:space="preserve">s would not be subject to any </w:t>
      </w:r>
      <w:r w:rsidR="004A21C6">
        <w:t xml:space="preserve">future </w:t>
      </w:r>
      <w:r w:rsidRPr="00690227">
        <w:t xml:space="preserve">regulatory costs. It would also give </w:t>
      </w:r>
      <w:r w:rsidR="0002641B">
        <w:t>SVOD</w:t>
      </w:r>
      <w:r w:rsidRPr="00690227">
        <w:t xml:space="preserve">s the flexibility to set their level of investment in Australian content. If services chose to continue voluntary reporting, it would provide publicly available data on </w:t>
      </w:r>
      <w:r w:rsidR="0007552E">
        <w:t xml:space="preserve">the reported </w:t>
      </w:r>
      <w:r w:rsidRPr="00690227">
        <w:t>investment in Australian content in terms of titles, genres, expenditure and program availability</w:t>
      </w:r>
      <w:bookmarkEnd w:id="114"/>
      <w:r w:rsidRPr="00690227">
        <w:t>. Other providers that are not currently reporting annually to the ACMA could join the reporting regime and contribute their data, allowing for a more complete data set.</w:t>
      </w:r>
      <w:r w:rsidR="004A21C6">
        <w:t xml:space="preserve"> </w:t>
      </w:r>
      <w:r w:rsidRPr="00690227">
        <w:t xml:space="preserve">According to expenditure data collected and published by the ACMA, </w:t>
      </w:r>
      <w:r w:rsidR="004A21C6">
        <w:t xml:space="preserve">recent </w:t>
      </w:r>
      <w:r w:rsidRPr="00690227">
        <w:t xml:space="preserve">investment in Australian programs by </w:t>
      </w:r>
      <w:r w:rsidR="00362D3B">
        <w:t xml:space="preserve">most </w:t>
      </w:r>
      <w:r w:rsidR="0002641B">
        <w:t>SVOD</w:t>
      </w:r>
      <w:r w:rsidRPr="00690227">
        <w:t xml:space="preserve">s has been </w:t>
      </w:r>
      <w:r w:rsidR="004A21C6">
        <w:t>stable, but as outlined previously, this is not guaranteed</w:t>
      </w:r>
      <w:r w:rsidRPr="00690227">
        <w:t xml:space="preserve">. </w:t>
      </w:r>
    </w:p>
    <w:p w14:paraId="7D80C537" w14:textId="77777777" w:rsidR="0078778E" w:rsidRPr="00E7329A" w:rsidRDefault="0078778E" w:rsidP="0078778E">
      <w:pPr>
        <w:pStyle w:val="Heading3"/>
      </w:pPr>
      <w:bookmarkStart w:id="115" w:name="_Toc156313448"/>
      <w:bookmarkStart w:id="116" w:name="_Toc156484960"/>
      <w:bookmarkStart w:id="117" w:name="_Toc156485032"/>
      <w:bookmarkStart w:id="118" w:name="_Toc156485104"/>
      <w:bookmarkStart w:id="119" w:name="_Toc156485176"/>
      <w:bookmarkStart w:id="120" w:name="_Toc156485248"/>
      <w:bookmarkStart w:id="121" w:name="_Toc212099794"/>
      <w:r>
        <w:t>Costs</w:t>
      </w:r>
      <w:bookmarkEnd w:id="115"/>
      <w:bookmarkEnd w:id="116"/>
      <w:bookmarkEnd w:id="117"/>
      <w:bookmarkEnd w:id="118"/>
      <w:bookmarkEnd w:id="119"/>
      <w:bookmarkEnd w:id="120"/>
      <w:bookmarkEnd w:id="121"/>
    </w:p>
    <w:p w14:paraId="501AD33B" w14:textId="17EC9B20" w:rsidR="0078778E" w:rsidRPr="00690227" w:rsidRDefault="0078778E" w:rsidP="00A540D0">
      <w:bookmarkStart w:id="122" w:name="_Hlk140580819"/>
      <w:bookmarkEnd w:id="105"/>
      <w:r w:rsidRPr="00690227">
        <w:t>Maintaining the status quo would mean that entities that are currently regulated</w:t>
      </w:r>
      <w:r w:rsidR="004A21C6">
        <w:t xml:space="preserve">, </w:t>
      </w:r>
      <w:r w:rsidR="009F07E2">
        <w:t>c</w:t>
      </w:r>
      <w:r w:rsidRPr="00690227">
        <w:t xml:space="preserve">ommercial free-to-air broadcasters and </w:t>
      </w:r>
      <w:r w:rsidR="004A21C6">
        <w:t xml:space="preserve">other </w:t>
      </w:r>
      <w:r w:rsidRPr="00690227">
        <w:t xml:space="preserve">subscription </w:t>
      </w:r>
      <w:r w:rsidR="004A21C6" w:rsidRPr="00690227">
        <w:t>broadcasters</w:t>
      </w:r>
      <w:r w:rsidR="004A21C6">
        <w:t xml:space="preserve"> using satellite and cable,</w:t>
      </w:r>
      <w:r w:rsidR="009F07E2">
        <w:t xml:space="preserve"> </w:t>
      </w:r>
      <w:r w:rsidRPr="00690227">
        <w:t xml:space="preserve">would continue to incur the cost of regulation, while </w:t>
      </w:r>
      <w:r w:rsidR="0002641B">
        <w:t>SVOD</w:t>
      </w:r>
      <w:r w:rsidRPr="00690227">
        <w:t xml:space="preserve">s would not. </w:t>
      </w:r>
      <w:r w:rsidR="00657CC5">
        <w:t>Costs to</w:t>
      </w:r>
      <w:r w:rsidRPr="00690227">
        <w:t xml:space="preserve"> the screen production industry and the Australian community are difficult to quantify. For instance, a non-regulatory option such as voluntary reporting would not provide the Australian screen production industry with a guaranteed level of investment or ensure Australian subscribers have access to a minimum amount of Australian content over time. </w:t>
      </w:r>
    </w:p>
    <w:p w14:paraId="30265FC4" w14:textId="77777777" w:rsidR="0078778E" w:rsidRPr="00690227" w:rsidRDefault="0078778E" w:rsidP="00A540D0">
      <w:r w:rsidRPr="00690227">
        <w:t xml:space="preserve">Without demand, the sector may lack the certainty required to produce quality Australian content and long-term benefits such as productivity and innovation may be lost. Australians will not experience the cultural, social and educational benefits of the Australian content that would be produced if requirements were in place. </w:t>
      </w:r>
    </w:p>
    <w:p w14:paraId="4B34BA2B" w14:textId="22F38A09" w:rsidR="0078778E" w:rsidRPr="00690227" w:rsidRDefault="0078778E" w:rsidP="00A540D0">
      <w:r w:rsidRPr="00690227">
        <w:t xml:space="preserve">As noted above, </w:t>
      </w:r>
      <w:r w:rsidR="0007552E">
        <w:t xml:space="preserve">the </w:t>
      </w:r>
      <w:r w:rsidRPr="00690227">
        <w:t xml:space="preserve">ACMA data on </w:t>
      </w:r>
      <w:r w:rsidR="0002641B">
        <w:t>SVOD</w:t>
      </w:r>
      <w:r w:rsidRPr="00690227">
        <w:t>s’ expenditure on Australian and Australian-related programs shows expenditure has increased year on year from 2019-20 to 2021-22. In 2022-23, some levels of expenditure declined, including overall expenditure on Australian programs</w:t>
      </w:r>
      <w:r w:rsidR="00C435F0" w:rsidRPr="00690227">
        <w:t xml:space="preserve">, in 2023-24 overall expenditure increased marginally </w:t>
      </w:r>
      <w:r w:rsidR="00F46521" w:rsidRPr="00690227">
        <w:t>but there was still declines in some genres</w:t>
      </w:r>
      <w:r w:rsidRPr="00690227">
        <w:t>. Additionally, when some providers first enter a market</w:t>
      </w:r>
      <w:r w:rsidR="00377460">
        <w:t>,</w:t>
      </w:r>
      <w:r w:rsidRPr="00690227">
        <w:t xml:space="preserve"> they may invest heavily in content production to build up a bigger subscription base. This suggests that, as the market matures, expenditure is likely to decrease and plateau. Subject to market forces and production cycles, expenditure on Australian content may rise or fall between years, but there is no guarantee that investment levels will </w:t>
      </w:r>
      <w:r w:rsidR="0002641B">
        <w:t xml:space="preserve">be consistent </w:t>
      </w:r>
      <w:r w:rsidRPr="00690227">
        <w:t xml:space="preserve">or indeed increase over the longer term. </w:t>
      </w:r>
      <w:r w:rsidR="00377460">
        <w:t>W</w:t>
      </w:r>
      <w:r w:rsidR="00377460" w:rsidRPr="00690227">
        <w:t>ithout regulation</w:t>
      </w:r>
      <w:r w:rsidR="00377460">
        <w:t xml:space="preserve">, </w:t>
      </w:r>
      <w:r w:rsidR="0002641B">
        <w:t>SVOD</w:t>
      </w:r>
      <w:r w:rsidR="00377460">
        <w:t>s’ expenditure</w:t>
      </w:r>
      <w:r w:rsidR="00377460" w:rsidRPr="00690227">
        <w:t xml:space="preserve"> is driven </w:t>
      </w:r>
      <w:r w:rsidR="00377460">
        <w:t xml:space="preserve">solely by commercial interests, and </w:t>
      </w:r>
      <w:r w:rsidR="00F6384B">
        <w:t>is</w:t>
      </w:r>
      <w:r w:rsidR="00377460" w:rsidRPr="00690227">
        <w:t xml:space="preserve"> not necessarily in line with the </w:t>
      </w:r>
      <w:r w:rsidR="004A21C6">
        <w:t xml:space="preserve">Government’s </w:t>
      </w:r>
      <w:r w:rsidR="00377460" w:rsidRPr="00690227">
        <w:t>cultural objectives</w:t>
      </w:r>
      <w:r w:rsidR="004A21C6">
        <w:t xml:space="preserve"> or its cultural policy</w:t>
      </w:r>
      <w:r w:rsidR="00F6384B">
        <w:t>.</w:t>
      </w:r>
    </w:p>
    <w:p w14:paraId="40D6E6E7" w14:textId="77777777" w:rsidR="0078778E" w:rsidRPr="00B61E2A" w:rsidRDefault="0078778E">
      <w:pPr>
        <w:pStyle w:val="Heading2"/>
      </w:pPr>
      <w:bookmarkStart w:id="123" w:name="_Toc156313449"/>
      <w:bookmarkStart w:id="124" w:name="_Toc156484961"/>
      <w:bookmarkStart w:id="125" w:name="_Toc156485033"/>
      <w:bookmarkStart w:id="126" w:name="_Toc156485105"/>
      <w:bookmarkStart w:id="127" w:name="_Toc156485177"/>
      <w:bookmarkStart w:id="128" w:name="_Toc156485249"/>
      <w:bookmarkStart w:id="129" w:name="_Toc212099795"/>
      <w:bookmarkStart w:id="130" w:name="_Hlk141347255"/>
      <w:bookmarkEnd w:id="122"/>
      <w:r w:rsidRPr="00B61E2A">
        <w:lastRenderedPageBreak/>
        <w:t xml:space="preserve">4.2 Option 2 – Percentage of </w:t>
      </w:r>
      <w:r w:rsidR="00E15E42">
        <w:t xml:space="preserve">total </w:t>
      </w:r>
      <w:r w:rsidRPr="00B61E2A">
        <w:t>expenditure model</w:t>
      </w:r>
      <w:bookmarkEnd w:id="123"/>
      <w:bookmarkEnd w:id="124"/>
      <w:bookmarkEnd w:id="125"/>
      <w:bookmarkEnd w:id="126"/>
      <w:bookmarkEnd w:id="127"/>
      <w:bookmarkEnd w:id="128"/>
      <w:bookmarkEnd w:id="129"/>
    </w:p>
    <w:p w14:paraId="0F64F93F" w14:textId="77777777" w:rsidR="002C7CD1" w:rsidRPr="00B61E2A" w:rsidRDefault="002C7CD1" w:rsidP="00A540D0">
      <w:bookmarkStart w:id="131" w:name="_Toc156313450"/>
      <w:bookmarkStart w:id="132" w:name="_Toc156484962"/>
      <w:bookmarkStart w:id="133" w:name="_Toc156485034"/>
      <w:bookmarkStart w:id="134" w:name="_Toc156485106"/>
      <w:bookmarkStart w:id="135" w:name="_Toc156485178"/>
      <w:bookmarkStart w:id="136" w:name="_Toc156485250"/>
      <w:r w:rsidRPr="00B61E2A">
        <w:t>This option is to introduce an Australian content requirement that:</w:t>
      </w:r>
    </w:p>
    <w:p w14:paraId="2FBAAABF" w14:textId="74034D77" w:rsidR="00A22B42" w:rsidRPr="0048481E" w:rsidRDefault="00C7788A" w:rsidP="00E61D88">
      <w:pPr>
        <w:pStyle w:val="Bullet1"/>
      </w:pPr>
      <w:r w:rsidRPr="0048481E">
        <w:t xml:space="preserve">requires </w:t>
      </w:r>
      <w:r w:rsidR="0002641B">
        <w:t>SVOD</w:t>
      </w:r>
      <w:r w:rsidR="00A22B42" w:rsidRPr="0048481E">
        <w:t xml:space="preserve">s to invest at least 10 per cent of their </w:t>
      </w:r>
      <w:r w:rsidR="00A22B42" w:rsidRPr="00A540D0">
        <w:rPr>
          <w:b/>
        </w:rPr>
        <w:t>total program expenditure</w:t>
      </w:r>
      <w:r w:rsidR="00A22B42" w:rsidRPr="0048481E">
        <w:t xml:space="preserve"> in Australia (excluding news and sport) on new Australian commissions. </w:t>
      </w:r>
    </w:p>
    <w:p w14:paraId="27353875" w14:textId="3DBFB209" w:rsidR="00317DE1" w:rsidRPr="00B61E2A" w:rsidRDefault="00317DE1" w:rsidP="00E61D88">
      <w:pPr>
        <w:pStyle w:val="Bullet1"/>
      </w:pPr>
      <w:r w:rsidRPr="009B3EAA">
        <w:t>include</w:t>
      </w:r>
      <w:r w:rsidR="00C7788A">
        <w:t>s</w:t>
      </w:r>
      <w:r w:rsidRPr="009B3EAA">
        <w:t xml:space="preserve"> a voluntary revenue option for </w:t>
      </w:r>
      <w:r w:rsidR="0002641B">
        <w:t>SVOD</w:t>
      </w:r>
      <w:r w:rsidRPr="009B3EAA">
        <w:t>s to acquit their requirements by calculating their content obligation based on 75 per cent of the expenditure requirement numerator (for example, 7.5 per cent of their Australian subscriber and advertising revenue rather than 10 per cent of Australian expenditure)</w:t>
      </w:r>
      <w:r w:rsidRPr="00B61E2A">
        <w:t>.</w:t>
      </w:r>
    </w:p>
    <w:p w14:paraId="3FC39687" w14:textId="5A67D077" w:rsidR="002C7CD1" w:rsidRPr="00B61E2A" w:rsidRDefault="009F07E2" w:rsidP="00E61D88">
      <w:pPr>
        <w:pStyle w:val="Bullet1"/>
      </w:pPr>
      <w:r>
        <w:t>a</w:t>
      </w:r>
      <w:r w:rsidR="002C7CD1" w:rsidRPr="00B61E2A">
        <w:t xml:space="preserve">pplies to </w:t>
      </w:r>
      <w:r w:rsidR="0002641B">
        <w:t>SVOD</w:t>
      </w:r>
      <w:r w:rsidR="002C7CD1" w:rsidRPr="00B61E2A">
        <w:t>s operating in Australia with over 1 million Australian subscribers;</w:t>
      </w:r>
    </w:p>
    <w:p w14:paraId="4D729175" w14:textId="77777777" w:rsidR="002C7CD1" w:rsidRPr="00B61E2A" w:rsidRDefault="00AB3844" w:rsidP="00E61D88">
      <w:pPr>
        <w:pStyle w:val="Bullet1"/>
      </w:pPr>
      <w:r>
        <w:t>u</w:t>
      </w:r>
      <w:r w:rsidR="002C7CD1" w:rsidRPr="00B61E2A">
        <w:t>ses the definition of Australian content set out in the ACCTS that currently applies to free-to-air and other subscription broadcasters;</w:t>
      </w:r>
      <w:r w:rsidR="00317DE1" w:rsidRPr="00317DE1">
        <w:t xml:space="preserve"> </w:t>
      </w:r>
      <w:r w:rsidR="00317DE1" w:rsidRPr="00B61E2A">
        <w:t>and</w:t>
      </w:r>
    </w:p>
    <w:p w14:paraId="3F431C3B" w14:textId="77777777" w:rsidR="002C7CD1" w:rsidRPr="00B61E2A" w:rsidRDefault="00AB3844" w:rsidP="00E61D88">
      <w:pPr>
        <w:pStyle w:val="Bullet1"/>
      </w:pPr>
      <w:r>
        <w:t>h</w:t>
      </w:r>
      <w:r w:rsidR="002C7CD1" w:rsidRPr="00B61E2A">
        <w:t>as a three-year carry over period for expenditure</w:t>
      </w:r>
      <w:r w:rsidR="00317DE1">
        <w:t>.</w:t>
      </w:r>
      <w:r w:rsidR="002C7CD1" w:rsidRPr="00B61E2A">
        <w:t xml:space="preserve"> </w:t>
      </w:r>
    </w:p>
    <w:p w14:paraId="0C9EDE66" w14:textId="77777777" w:rsidR="0078778E" w:rsidRPr="00E7329A" w:rsidRDefault="0078778E" w:rsidP="0078778E">
      <w:pPr>
        <w:pStyle w:val="Heading3"/>
      </w:pPr>
      <w:bookmarkStart w:id="137" w:name="_Toc212099796"/>
      <w:r>
        <w:t>Benefits</w:t>
      </w:r>
      <w:bookmarkEnd w:id="131"/>
      <w:bookmarkEnd w:id="132"/>
      <w:bookmarkEnd w:id="133"/>
      <w:bookmarkEnd w:id="134"/>
      <w:bookmarkEnd w:id="135"/>
      <w:bookmarkEnd w:id="136"/>
      <w:bookmarkEnd w:id="137"/>
    </w:p>
    <w:p w14:paraId="45C6B629" w14:textId="77777777" w:rsidR="002C7CD1" w:rsidRPr="00690227" w:rsidRDefault="002C7CD1" w:rsidP="00A540D0">
      <w:r w:rsidRPr="00690227">
        <w:t xml:space="preserve">Broadly, this model and mechanism </w:t>
      </w:r>
      <w:r w:rsidR="00C7788A" w:rsidRPr="00690227">
        <w:t>ha</w:t>
      </w:r>
      <w:r w:rsidR="00C7788A">
        <w:t>s</w:t>
      </w:r>
      <w:r w:rsidR="00C7788A" w:rsidRPr="00690227">
        <w:t xml:space="preserve"> </w:t>
      </w:r>
      <w:r w:rsidRPr="00690227">
        <w:t>the following benefits:</w:t>
      </w:r>
    </w:p>
    <w:p w14:paraId="73472B31" w14:textId="77777777" w:rsidR="00476686" w:rsidRPr="00592D65" w:rsidRDefault="00476686" w:rsidP="00476686">
      <w:pPr>
        <w:pStyle w:val="Bullet1"/>
      </w:pPr>
      <w:r w:rsidRPr="00592D65">
        <w:t>Ensures the Government delivers on the commitment in Revive to introduce requirements for Australian screen content on streaming platforms to ensure continued access to local stories and content.</w:t>
      </w:r>
    </w:p>
    <w:p w14:paraId="0C50F103" w14:textId="5BB53F11" w:rsidR="00F40589" w:rsidRPr="00592D65" w:rsidRDefault="00F40589" w:rsidP="00E61D88">
      <w:pPr>
        <w:pStyle w:val="Bullet1"/>
      </w:pPr>
      <w:r w:rsidRPr="00592D65">
        <w:t>Guarantees expenditure on new Australian drama programs and therefore access to Australian stories and content.</w:t>
      </w:r>
    </w:p>
    <w:p w14:paraId="183ABD75" w14:textId="77777777" w:rsidR="00F40589" w:rsidRPr="00592D65" w:rsidRDefault="00F40589" w:rsidP="00E61D88">
      <w:pPr>
        <w:pStyle w:val="Bullet1"/>
      </w:pPr>
      <w:r w:rsidRPr="00592D65">
        <w:t xml:space="preserve">Australians will benefit from the cultural, social and educational benefits of the Australian content that would be produced. </w:t>
      </w:r>
    </w:p>
    <w:p w14:paraId="20830247" w14:textId="0F215C03" w:rsidR="002C7CD1" w:rsidRPr="00690227" w:rsidRDefault="002C7CD1" w:rsidP="00E61D88">
      <w:pPr>
        <w:pStyle w:val="Bullet1"/>
      </w:pPr>
      <w:r>
        <w:t xml:space="preserve">Works towards </w:t>
      </w:r>
      <w:r w:rsidRPr="00690227">
        <w:t xml:space="preserve">achieving media harmonisation objectives and ensuring consistency with </w:t>
      </w:r>
      <w:r w:rsidR="005E5660" w:rsidRPr="005E5660">
        <w:t>Australia’s trade and investment law obligations.</w:t>
      </w:r>
    </w:p>
    <w:p w14:paraId="5CFB304A" w14:textId="4EB490AB" w:rsidR="00F40589" w:rsidRPr="00690227" w:rsidRDefault="002C7CD1" w:rsidP="00E61D88">
      <w:pPr>
        <w:pStyle w:val="Bullet1"/>
      </w:pPr>
      <w:r w:rsidRPr="00690227">
        <w:t xml:space="preserve">Accommodates </w:t>
      </w:r>
      <w:r w:rsidR="0002641B">
        <w:t>SVOD</w:t>
      </w:r>
      <w:r w:rsidRPr="00690227">
        <w:t xml:space="preserve">s’ different business models, in terms of revenue sources, subscriber growth strategies, and content offering </w:t>
      </w:r>
      <w:r w:rsidR="00AB3844">
        <w:t>(</w:t>
      </w:r>
      <w:r w:rsidRPr="00690227">
        <w:t xml:space="preserve">i.e. does not have a disproportionate impact on a </w:t>
      </w:r>
      <w:r w:rsidR="0002641B">
        <w:t>SVOD</w:t>
      </w:r>
      <w:r w:rsidRPr="00690227">
        <w:t xml:space="preserve"> with a variety of content, including sporting content</w:t>
      </w:r>
      <w:r>
        <w:t>, or new entrants</w:t>
      </w:r>
      <w:r w:rsidR="00AB3844">
        <w:t>)</w:t>
      </w:r>
      <w:r w:rsidR="002E5FEC">
        <w:rPr>
          <w:lang w:val="en-AU"/>
        </w:rPr>
        <w:t xml:space="preserve"> and is not unnecessarily burdensome</w:t>
      </w:r>
      <w:r>
        <w:t>.</w:t>
      </w:r>
      <w:r w:rsidR="00F40589" w:rsidRPr="00F40589">
        <w:t xml:space="preserve"> </w:t>
      </w:r>
      <w:r w:rsidR="00F40589">
        <w:t xml:space="preserve">The lack of genre specific sub-quotas gives </w:t>
      </w:r>
      <w:r w:rsidR="0002641B">
        <w:t>SVOD</w:t>
      </w:r>
      <w:r w:rsidR="00F40589">
        <w:t xml:space="preserve">s flexibility in commissioning content. </w:t>
      </w:r>
    </w:p>
    <w:p w14:paraId="2B786033" w14:textId="77777777" w:rsidR="002C7CD1" w:rsidRPr="00690227" w:rsidRDefault="00C7788A" w:rsidP="00E61D88">
      <w:pPr>
        <w:pStyle w:val="Bullet1"/>
      </w:pPr>
      <w:r>
        <w:t>Avoids dual regulation of related entities. W</w:t>
      </w:r>
      <w:r w:rsidRPr="004E17EB">
        <w:t xml:space="preserve">here </w:t>
      </w:r>
      <w:r w:rsidR="002C7CD1" w:rsidRPr="004E17EB">
        <w:t>two or more companies are in the same corporate group, the higher obligation will apply across all related companies to avoid double regulation.</w:t>
      </w:r>
    </w:p>
    <w:p w14:paraId="440F4BC9" w14:textId="3944E7E2" w:rsidR="00C7788A" w:rsidRPr="004E1A82" w:rsidRDefault="0002641B" w:rsidP="00E61D88">
      <w:pPr>
        <w:pStyle w:val="Bullet1"/>
      </w:pPr>
      <w:r>
        <w:t>SVOD</w:t>
      </w:r>
      <w:r w:rsidR="002C7CD1" w:rsidRPr="004E17EB">
        <w:t>s will not be subject to the obligation until they are established in the market with 1</w:t>
      </w:r>
      <w:r w:rsidR="00AB3844">
        <w:t> </w:t>
      </w:r>
      <w:r w:rsidR="002C7CD1" w:rsidRPr="004E17EB">
        <w:t xml:space="preserve">million subscribers or more. </w:t>
      </w:r>
      <w:r w:rsidR="00C7788A" w:rsidRPr="0048481E">
        <w:t xml:space="preserve">This allows smaller </w:t>
      </w:r>
      <w:r>
        <w:t>SVOD</w:t>
      </w:r>
      <w:r w:rsidR="00C7788A" w:rsidRPr="0048481E">
        <w:t>s and new entrants to the Australian market to build their catalogues and subscriber base before any local content requirement would come into effect.</w:t>
      </w:r>
    </w:p>
    <w:p w14:paraId="19DB2DE5" w14:textId="77777777" w:rsidR="002C7CD1" w:rsidRDefault="002C7CD1" w:rsidP="00E61D88">
      <w:pPr>
        <w:pStyle w:val="Bullet1"/>
      </w:pPr>
      <w:r w:rsidRPr="004E17EB">
        <w:t xml:space="preserve">Additionally, new services may opt to acquit their content requirement through the revenue option while they are expanding their catalogues and may still have lower revenue. </w:t>
      </w:r>
    </w:p>
    <w:p w14:paraId="087C75CC" w14:textId="77777777" w:rsidR="002C7CD1" w:rsidRDefault="002C7CD1" w:rsidP="00E61D88">
      <w:pPr>
        <w:pStyle w:val="Bullet1"/>
      </w:pPr>
      <w:r w:rsidRPr="004E17EB">
        <w:t xml:space="preserve">A statutory review </w:t>
      </w:r>
      <w:r w:rsidR="00E03EC0">
        <w:t xml:space="preserve">four years </w:t>
      </w:r>
      <w:r w:rsidRPr="004E17EB">
        <w:t>after the reforms have been implemented will provide an opportunity for Government to evaluate the effectiveness of the program</w:t>
      </w:r>
      <w:r>
        <w:t>.</w:t>
      </w:r>
    </w:p>
    <w:bookmarkEnd w:id="130"/>
    <w:p w14:paraId="29BFD127" w14:textId="1856DEDB" w:rsidR="0078778E" w:rsidRPr="00690227" w:rsidRDefault="0007552E" w:rsidP="00A540D0">
      <w:r>
        <w:t>T</w:t>
      </w:r>
      <w:r w:rsidR="0078778E" w:rsidRPr="00690227">
        <w:t xml:space="preserve">he obligation </w:t>
      </w:r>
      <w:r>
        <w:t>makes sure</w:t>
      </w:r>
      <w:r w:rsidRPr="00690227">
        <w:t xml:space="preserve"> </w:t>
      </w:r>
      <w:r w:rsidR="0078778E" w:rsidRPr="00690227">
        <w:t>that streaming platforms invest in high-quality Australian program</w:t>
      </w:r>
      <w:r w:rsidR="00C7788A">
        <w:t>ming</w:t>
      </w:r>
      <w:r w:rsidR="0078778E" w:rsidRPr="00690227">
        <w:t xml:space="preserve">, and that the Australian screen production sector has access to the budgets, audience reach and standards available on </w:t>
      </w:r>
      <w:r w:rsidR="0002641B">
        <w:t>SVOD</w:t>
      </w:r>
      <w:r w:rsidR="0078778E" w:rsidRPr="00690227">
        <w:t>s.</w:t>
      </w:r>
    </w:p>
    <w:p w14:paraId="3EC787EE" w14:textId="77777777" w:rsidR="0078778E" w:rsidRPr="00E7329A" w:rsidRDefault="0078778E" w:rsidP="0078778E">
      <w:pPr>
        <w:pStyle w:val="Heading3"/>
      </w:pPr>
      <w:bookmarkStart w:id="138" w:name="_Toc156313454"/>
      <w:bookmarkStart w:id="139" w:name="_Toc156484966"/>
      <w:bookmarkStart w:id="140" w:name="_Toc156485038"/>
      <w:bookmarkStart w:id="141" w:name="_Toc156485110"/>
      <w:bookmarkStart w:id="142" w:name="_Toc156485182"/>
      <w:bookmarkStart w:id="143" w:name="_Toc156485254"/>
      <w:bookmarkStart w:id="144" w:name="_Toc212099797"/>
      <w:r>
        <w:t>Costs</w:t>
      </w:r>
      <w:bookmarkEnd w:id="138"/>
      <w:bookmarkEnd w:id="139"/>
      <w:bookmarkEnd w:id="140"/>
      <w:bookmarkEnd w:id="141"/>
      <w:bookmarkEnd w:id="142"/>
      <w:bookmarkEnd w:id="143"/>
      <w:bookmarkEnd w:id="144"/>
    </w:p>
    <w:p w14:paraId="07B6893C" w14:textId="1BBD91F6" w:rsidR="00734547" w:rsidRDefault="00734547" w:rsidP="001D360F">
      <w:r>
        <w:t xml:space="preserve">Under Option 2 </w:t>
      </w:r>
      <w:r w:rsidR="0002641B">
        <w:t>SVOD</w:t>
      </w:r>
      <w:r>
        <w:t>s will be required to invest at least 10 per cent of their total program expenditure (excluding news and sport) on new Australian commissions. By including global content in the denominator</w:t>
      </w:r>
      <w:r w:rsidR="001D360F">
        <w:t xml:space="preserve">, </w:t>
      </w:r>
      <w:r>
        <w:t xml:space="preserve">all streaming </w:t>
      </w:r>
      <w:r w:rsidR="001D360F">
        <w:t xml:space="preserve">businesses </w:t>
      </w:r>
      <w:r>
        <w:t xml:space="preserve">offering a service in Australia must </w:t>
      </w:r>
      <w:r w:rsidR="001D360F">
        <w:t>invest in</w:t>
      </w:r>
      <w:r>
        <w:t xml:space="preserve"> new Australian content. </w:t>
      </w:r>
      <w:r w:rsidR="00104CB3">
        <w:t xml:space="preserve">This means that the cost to the </w:t>
      </w:r>
      <w:r w:rsidR="0002641B">
        <w:t>SVOD</w:t>
      </w:r>
      <w:r w:rsidR="00104CB3">
        <w:t xml:space="preserve"> will be the requirement to invest 10 per cent of the</w:t>
      </w:r>
      <w:r w:rsidR="001D360F">
        <w:t>ir</w:t>
      </w:r>
      <w:r w:rsidR="00104CB3">
        <w:t xml:space="preserve"> total program expenditure </w:t>
      </w:r>
      <w:r w:rsidR="001D360F">
        <w:t xml:space="preserve">in Australia </w:t>
      </w:r>
      <w:r w:rsidR="00104CB3">
        <w:t xml:space="preserve">on new Australian commissions. </w:t>
      </w:r>
    </w:p>
    <w:p w14:paraId="00BB7920" w14:textId="462CAE34" w:rsidR="0078778E" w:rsidRPr="00690227" w:rsidRDefault="0078778E" w:rsidP="00592D65">
      <w:r w:rsidRPr="00690227">
        <w:lastRenderedPageBreak/>
        <w:t>A mandatory reporting scheme will</w:t>
      </w:r>
      <w:r w:rsidR="00734547">
        <w:t xml:space="preserve"> </w:t>
      </w:r>
      <w:r w:rsidRPr="00690227">
        <w:t xml:space="preserve">require </w:t>
      </w:r>
      <w:r w:rsidR="0002641B">
        <w:t>SVOD</w:t>
      </w:r>
      <w:r w:rsidRPr="00690227">
        <w:t xml:space="preserve">s to provide accurate and robust data to the ACMA. The ACMA will need to be resourced to implement robust data reporting systems, to verify this data and provide advice to Government on compliance. Regulated services may need to employ additional staff or dedicate additional work hours to the compilation, verification and reporting of data. </w:t>
      </w:r>
    </w:p>
    <w:p w14:paraId="33226830" w14:textId="77777777" w:rsidR="0078778E" w:rsidRPr="00F17E0E" w:rsidRDefault="00283BBD" w:rsidP="0078778E">
      <w:pPr>
        <w:pStyle w:val="Heading2"/>
        <w:rPr>
          <w:sz w:val="32"/>
          <w:szCs w:val="32"/>
        </w:rPr>
      </w:pPr>
      <w:bookmarkStart w:id="145" w:name="_Toc212099798"/>
      <w:bookmarkStart w:id="146" w:name="_Toc156313455"/>
      <w:bookmarkStart w:id="147" w:name="_Toc156484967"/>
      <w:bookmarkStart w:id="148" w:name="_Toc156485039"/>
      <w:bookmarkStart w:id="149" w:name="_Toc156485111"/>
      <w:bookmarkStart w:id="150" w:name="_Toc156485183"/>
      <w:bookmarkStart w:id="151" w:name="_Toc156485255"/>
      <w:r>
        <w:rPr>
          <w:sz w:val="32"/>
          <w:szCs w:val="32"/>
        </w:rPr>
        <w:t xml:space="preserve">4.3 </w:t>
      </w:r>
      <w:r w:rsidR="0078778E" w:rsidRPr="00F17E0E">
        <w:rPr>
          <w:sz w:val="32"/>
          <w:szCs w:val="32"/>
        </w:rPr>
        <w:t>Quantitative benefits of Option 1</w:t>
      </w:r>
      <w:bookmarkEnd w:id="145"/>
      <w:r w:rsidR="0078778E" w:rsidRPr="00F17E0E">
        <w:rPr>
          <w:sz w:val="32"/>
          <w:szCs w:val="32"/>
        </w:rPr>
        <w:t xml:space="preserve"> </w:t>
      </w:r>
      <w:bookmarkEnd w:id="146"/>
      <w:bookmarkEnd w:id="147"/>
      <w:bookmarkEnd w:id="148"/>
      <w:bookmarkEnd w:id="149"/>
      <w:bookmarkEnd w:id="150"/>
      <w:bookmarkEnd w:id="151"/>
    </w:p>
    <w:p w14:paraId="4A03CFAE" w14:textId="17A5028D" w:rsidR="00A85900" w:rsidRDefault="0078778E" w:rsidP="00592D65">
      <w:r w:rsidRPr="00F17E0E">
        <w:t xml:space="preserve">Option 1 cannot be fully assessed for its quantitative impact or benefit to expenditure on Australian programs. As noted above, expenditure by </w:t>
      </w:r>
      <w:r w:rsidR="0002641B">
        <w:t>SVOD</w:t>
      </w:r>
      <w:r w:rsidRPr="00F17E0E">
        <w:t>s is buoyant but there is no guarantee that they will</w:t>
      </w:r>
      <w:r w:rsidR="0007552E">
        <w:t xml:space="preserve"> maintain</w:t>
      </w:r>
      <w:r w:rsidRPr="00F17E0E">
        <w:t xml:space="preserve"> or increase their investment in Australian programs. There is currently no requirement for them to maintain any level of investment</w:t>
      </w:r>
      <w:r w:rsidR="0007552E">
        <w:t xml:space="preserve"> and there is nothing preventing a</w:t>
      </w:r>
      <w:r w:rsidR="0007552E" w:rsidRPr="0048481E">
        <w:t xml:space="preserve">ny major </w:t>
      </w:r>
      <w:r w:rsidR="0002641B">
        <w:t>SVOD</w:t>
      </w:r>
      <w:r w:rsidR="0007552E" w:rsidRPr="0048481E">
        <w:t>s from removing all Australian content from their Australian service at any time and rely solely on content sourced from overseas</w:t>
      </w:r>
      <w:r w:rsidRPr="00F17E0E">
        <w:t>.</w:t>
      </w:r>
      <w:r w:rsidR="006550D7">
        <w:t xml:space="preserve"> </w:t>
      </w:r>
    </w:p>
    <w:p w14:paraId="0F432E2D" w14:textId="77777777" w:rsidR="00A85900" w:rsidRDefault="00A85900" w:rsidP="00A85900">
      <w:pPr>
        <w:pStyle w:val="Heading2"/>
        <w:rPr>
          <w:sz w:val="32"/>
        </w:rPr>
      </w:pPr>
      <w:bookmarkStart w:id="152" w:name="_Toc212099799"/>
      <w:r w:rsidRPr="005B37F6">
        <w:rPr>
          <w:sz w:val="32"/>
        </w:rPr>
        <w:t xml:space="preserve">Regulatory </w:t>
      </w:r>
      <w:r>
        <w:rPr>
          <w:sz w:val="32"/>
        </w:rPr>
        <w:t>b</w:t>
      </w:r>
      <w:r w:rsidRPr="005B37F6">
        <w:rPr>
          <w:sz w:val="32"/>
        </w:rPr>
        <w:t>urden</w:t>
      </w:r>
      <w:r>
        <w:rPr>
          <w:sz w:val="32"/>
        </w:rPr>
        <w:t xml:space="preserve"> of Option 1</w:t>
      </w:r>
      <w:bookmarkEnd w:id="152"/>
      <w:r>
        <w:rPr>
          <w:sz w:val="32"/>
        </w:rPr>
        <w:t xml:space="preserve"> </w:t>
      </w:r>
    </w:p>
    <w:p w14:paraId="1F4F3BFB" w14:textId="5EC9A57D" w:rsidR="00A85900" w:rsidRPr="0048481E" w:rsidRDefault="00A85900" w:rsidP="0048481E">
      <w:r>
        <w:t>A</w:t>
      </w:r>
      <w:r w:rsidR="008E3D00">
        <w:t>s</w:t>
      </w:r>
      <w:r>
        <w:t xml:space="preserve"> Option 1 is the status quo and does not introduce a streaming requirement or any new regulatory costs on </w:t>
      </w:r>
      <w:r w:rsidR="0002641B">
        <w:t>SVOD</w:t>
      </w:r>
      <w:r>
        <w:t>s, t</w:t>
      </w:r>
      <w:r w:rsidRPr="00A85900">
        <w:t xml:space="preserve">he regulatory burden on individuals, and community groups, and other businesses is therefore </w:t>
      </w:r>
      <w:r>
        <w:t>zero</w:t>
      </w:r>
      <w:r w:rsidRPr="00A85900">
        <w:t>.</w:t>
      </w:r>
      <w:r w:rsidR="008E3D00">
        <w:t xml:space="preserve"> </w:t>
      </w:r>
      <w:r w:rsidR="008E3D00" w:rsidRPr="008E3D00">
        <w:t xml:space="preserve">The ACMA currently absorbs analysis of voluntary reporting from the </w:t>
      </w:r>
      <w:r w:rsidR="0002641B">
        <w:t>SVOD</w:t>
      </w:r>
      <w:r w:rsidR="008E3D00" w:rsidRPr="008E3D00">
        <w:t>s into its functions</w:t>
      </w:r>
      <w:r w:rsidR="008E3D00">
        <w:t xml:space="preserve"> </w:t>
      </w:r>
      <w:r w:rsidR="0007552E">
        <w:t>making</w:t>
      </w:r>
      <w:r w:rsidR="008E3D00">
        <w:t xml:space="preserve"> Option 1</w:t>
      </w:r>
      <w:r w:rsidR="0007552E">
        <w:t xml:space="preserve"> cost neutral</w:t>
      </w:r>
      <w:r w:rsidR="008E3D00" w:rsidRPr="008E3D00">
        <w:t>.</w:t>
      </w:r>
    </w:p>
    <w:p w14:paraId="3DBCD889" w14:textId="77777777" w:rsidR="00A85900" w:rsidRPr="0048481E" w:rsidRDefault="00A85900" w:rsidP="0048481E">
      <w:pPr>
        <w:pStyle w:val="Heading3"/>
      </w:pPr>
      <w:bookmarkStart w:id="153" w:name="_Toc212099800"/>
      <w:r>
        <w:t>Administrative costs of Option 1</w:t>
      </w:r>
      <w:bookmarkEnd w:id="153"/>
    </w:p>
    <w:p w14:paraId="10CBDD22" w14:textId="0DF33E5A" w:rsidR="0078778E" w:rsidRDefault="00A85900" w:rsidP="00C74368">
      <w:r>
        <w:t>T</w:t>
      </w:r>
      <w:r w:rsidR="006550D7">
        <w:t xml:space="preserve">he </w:t>
      </w:r>
      <w:r w:rsidR="0002641B">
        <w:t>SVOD</w:t>
      </w:r>
      <w:r w:rsidR="006550D7">
        <w:t>s could continue to voluntarily report their investment on Australian content</w:t>
      </w:r>
      <w:r w:rsidR="008E3D00">
        <w:t xml:space="preserve"> and</w:t>
      </w:r>
      <w:r w:rsidR="006550D7">
        <w:t xml:space="preserve"> new entrants may be invited by the ACMA to voluntarily report. Administrative costs to voluntarily report expenditure data would then continue to be accumulated</w:t>
      </w:r>
      <w:r w:rsidR="0007552E">
        <w:t xml:space="preserve"> (</w:t>
      </w:r>
      <w:r w:rsidR="006550D7">
        <w:t xml:space="preserve">see ‘Administrative Costs’ section and Table </w:t>
      </w:r>
      <w:r w:rsidR="005D3021">
        <w:t>3</w:t>
      </w:r>
      <w:r w:rsidR="0007552E">
        <w:t>)</w:t>
      </w:r>
      <w:r w:rsidR="006550D7">
        <w:t xml:space="preserve">. </w:t>
      </w:r>
      <w:r w:rsidR="0007552E">
        <w:t>As</w:t>
      </w:r>
      <w:r w:rsidR="006550D7">
        <w:t xml:space="preserve"> </w:t>
      </w:r>
      <w:r w:rsidR="0002641B">
        <w:t>SVOD</w:t>
      </w:r>
      <w:r w:rsidR="006550D7">
        <w:t xml:space="preserve">s report to the ACMA </w:t>
      </w:r>
      <w:r w:rsidR="00E03EC0">
        <w:t>on a voluntary basis</w:t>
      </w:r>
      <w:r w:rsidR="006550D7">
        <w:t xml:space="preserve"> they could </w:t>
      </w:r>
      <w:r w:rsidR="008E3D00">
        <w:t xml:space="preserve">also </w:t>
      </w:r>
      <w:r w:rsidR="006550D7">
        <w:t>stop doing so</w:t>
      </w:r>
      <w:r w:rsidR="008E3D00">
        <w:t xml:space="preserve"> under Option 1</w:t>
      </w:r>
      <w:r w:rsidR="006550D7">
        <w:t xml:space="preserve"> </w:t>
      </w:r>
      <w:r w:rsidR="0007552E">
        <w:t>and have</w:t>
      </w:r>
      <w:r>
        <w:t xml:space="preserve"> no administrative costs. </w:t>
      </w:r>
    </w:p>
    <w:p w14:paraId="77EF2143" w14:textId="77777777" w:rsidR="00A85900" w:rsidRPr="0048481E" w:rsidRDefault="00283BBD" w:rsidP="0048481E">
      <w:pPr>
        <w:pStyle w:val="Heading2"/>
        <w:rPr>
          <w:sz w:val="32"/>
        </w:rPr>
      </w:pPr>
      <w:bookmarkStart w:id="154" w:name="_Toc212099801"/>
      <w:r>
        <w:rPr>
          <w:sz w:val="32"/>
        </w:rPr>
        <w:t xml:space="preserve">4.4 </w:t>
      </w:r>
      <w:r w:rsidR="00A85900" w:rsidRPr="0048481E">
        <w:rPr>
          <w:sz w:val="32"/>
        </w:rPr>
        <w:t>Quantitative benefits of Option 2</w:t>
      </w:r>
      <w:bookmarkEnd w:id="154"/>
    </w:p>
    <w:p w14:paraId="2BDC0539" w14:textId="24CB6161" w:rsidR="0078778E" w:rsidRPr="00F17E0E" w:rsidRDefault="0078778E" w:rsidP="00C74368">
      <w:r w:rsidRPr="001D360F">
        <w:t>Quantitative benefits can be approximated for Option 2 which applies a</w:t>
      </w:r>
      <w:r w:rsidR="00937742" w:rsidRPr="001D360F">
        <w:t xml:space="preserve"> 10 per cent</w:t>
      </w:r>
      <w:r w:rsidRPr="001D360F">
        <w:t xml:space="preserve"> of</w:t>
      </w:r>
      <w:r w:rsidR="00713963" w:rsidRPr="001D360F">
        <w:t xml:space="preserve"> total program</w:t>
      </w:r>
      <w:r w:rsidRPr="001D360F">
        <w:t xml:space="preserve"> expenditure obligation to eligible </w:t>
      </w:r>
      <w:r w:rsidR="0002641B">
        <w:t>SVOD</w:t>
      </w:r>
      <w:r w:rsidRPr="001D360F">
        <w:t>s.</w:t>
      </w:r>
    </w:p>
    <w:p w14:paraId="32C1152E" w14:textId="3475C043" w:rsidR="0078778E" w:rsidRPr="00F17E0E" w:rsidRDefault="0002641B" w:rsidP="00C74368">
      <w:r>
        <w:t>SVOD</w:t>
      </w:r>
      <w:r w:rsidR="0078778E" w:rsidRPr="00F17E0E">
        <w:t xml:space="preserve">s receive revenue from a variety of sources, </w:t>
      </w:r>
      <w:r w:rsidR="00F40589">
        <w:t>primarily</w:t>
      </w:r>
      <w:r w:rsidR="00F40589" w:rsidRPr="00F17E0E">
        <w:t xml:space="preserve"> </w:t>
      </w:r>
      <w:r w:rsidR="0078778E" w:rsidRPr="00F17E0E">
        <w:t>subscriptions</w:t>
      </w:r>
      <w:r w:rsidR="00F40589">
        <w:t xml:space="preserve"> and </w:t>
      </w:r>
      <w:r w:rsidR="0078778E" w:rsidRPr="00F17E0E">
        <w:t xml:space="preserve">advertising. This budget is used to operate the business and populate its content library with either original commissions or acquisitions of licensed content. As </w:t>
      </w:r>
      <w:r>
        <w:t>SVOD</w:t>
      </w:r>
      <w:r w:rsidR="0078778E" w:rsidRPr="00F17E0E">
        <w:t xml:space="preserve">s’ business models in Australia </w:t>
      </w:r>
      <w:r w:rsidR="0007552E">
        <w:t xml:space="preserve">vary and are often </w:t>
      </w:r>
      <w:r w:rsidR="0078778E" w:rsidRPr="00F17E0E">
        <w:t>ancillary to a larger business, or part of a larger media or entertainment group, it is difficult to account for all of the various models of revenue generation and content expenditure.</w:t>
      </w:r>
    </w:p>
    <w:p w14:paraId="34564567" w14:textId="37732A41" w:rsidR="00E245E1" w:rsidRDefault="0078778E" w:rsidP="00C74368">
      <w:r w:rsidRPr="00F17E0E">
        <w:t xml:space="preserve">As a result of the complexity of </w:t>
      </w:r>
      <w:r w:rsidR="0002641B">
        <w:t>SVOD</w:t>
      </w:r>
      <w:r w:rsidRPr="00F17E0E">
        <w:t xml:space="preserve">s’ business models, </w:t>
      </w:r>
      <w:r w:rsidR="00F40589" w:rsidRPr="00B61E2A">
        <w:t xml:space="preserve">the confidential nature of </w:t>
      </w:r>
      <w:r w:rsidR="0002641B">
        <w:t>SVOD</w:t>
      </w:r>
      <w:r w:rsidR="00F40589" w:rsidRPr="00B61E2A">
        <w:t>s’ data and the variability of year-to-year expenditure</w:t>
      </w:r>
      <w:r w:rsidR="00F40589">
        <w:t>,</w:t>
      </w:r>
      <w:r w:rsidR="00F40589" w:rsidRPr="00F17E0E">
        <w:t xml:space="preserve"> </w:t>
      </w:r>
      <w:r w:rsidRPr="00F17E0E">
        <w:t xml:space="preserve">this section approximates a generalised </w:t>
      </w:r>
      <w:r w:rsidR="00FF4C09">
        <w:t xml:space="preserve">total program </w:t>
      </w:r>
      <w:r w:rsidRPr="00F17E0E">
        <w:t>expenditure obligation for each of the services likely to be regulated. The calculations assume that</w:t>
      </w:r>
      <w:r w:rsidR="00E245E1">
        <w:t>:</w:t>
      </w:r>
    </w:p>
    <w:p w14:paraId="6CB14307" w14:textId="77777777" w:rsidR="00E245E1" w:rsidRDefault="0078778E" w:rsidP="00E61D88">
      <w:pPr>
        <w:pStyle w:val="Bullet1"/>
      </w:pPr>
      <w:r w:rsidRPr="00F17E0E">
        <w:t>each subscriber represents approximately $150 of annual income</w:t>
      </w:r>
      <w:r w:rsidR="00E245E1">
        <w:t>;</w:t>
      </w:r>
    </w:p>
    <w:p w14:paraId="67654FBD" w14:textId="317BB0B4" w:rsidR="00E245E1" w:rsidRDefault="0078778E" w:rsidP="00E61D88">
      <w:pPr>
        <w:pStyle w:val="Bullet1"/>
      </w:pPr>
      <w:r w:rsidRPr="00F17E0E">
        <w:t xml:space="preserve">each </w:t>
      </w:r>
      <w:r w:rsidR="0002641B">
        <w:t>SVOD</w:t>
      </w:r>
      <w:r w:rsidRPr="00F17E0E">
        <w:t xml:space="preserve"> dedicates </w:t>
      </w:r>
      <w:r w:rsidR="00F40589">
        <w:t>approximately</w:t>
      </w:r>
      <w:r w:rsidR="00F40589" w:rsidRPr="00F17E0E">
        <w:t xml:space="preserve"> </w:t>
      </w:r>
      <w:r w:rsidRPr="00F17E0E">
        <w:t>40</w:t>
      </w:r>
      <w:r w:rsidR="00AB3844">
        <w:t> </w:t>
      </w:r>
      <w:r w:rsidRPr="00F32FD7">
        <w:t>per</w:t>
      </w:r>
      <w:r w:rsidR="00AB3844" w:rsidRPr="00F32FD7">
        <w:t> </w:t>
      </w:r>
      <w:r w:rsidRPr="004E1A82">
        <w:t>cent of its income to content provision or programming</w:t>
      </w:r>
      <w:r w:rsidRPr="007E3484">
        <w:t>.</w:t>
      </w:r>
      <w:r w:rsidRPr="007E3484">
        <w:rPr>
          <w:rStyle w:val="FootnoteReference"/>
        </w:rPr>
        <w:footnoteReference w:id="40"/>
      </w:r>
      <w:r w:rsidRPr="007E3484">
        <w:t xml:space="preserve"> </w:t>
      </w:r>
    </w:p>
    <w:p w14:paraId="02247009" w14:textId="5A48FE7F" w:rsidR="00E245E1" w:rsidRDefault="0078778E" w:rsidP="00C74368">
      <w:r w:rsidRPr="007E3484">
        <w:t xml:space="preserve">For example, </w:t>
      </w:r>
      <w:r w:rsidR="00F40589">
        <w:t xml:space="preserve">under this model, </w:t>
      </w:r>
      <w:r w:rsidRPr="007E3484">
        <w:t xml:space="preserve">a </w:t>
      </w:r>
      <w:r w:rsidR="0002641B">
        <w:t>SVOD</w:t>
      </w:r>
      <w:r w:rsidRPr="007E3484">
        <w:t xml:space="preserve"> with 1 million subscribers </w:t>
      </w:r>
      <w:r w:rsidR="00F40589">
        <w:t>would receive</w:t>
      </w:r>
      <w:r w:rsidRPr="007E3484">
        <w:t xml:space="preserve"> $150 million per year, of which approximately $60 million is spent on programming. The remaining 60 per cent of the company’s budget might cover operating expenses such as technology, marketing, overheads</w:t>
      </w:r>
      <w:r w:rsidR="00F40589">
        <w:t xml:space="preserve"> and </w:t>
      </w:r>
      <w:r w:rsidRPr="007E3484">
        <w:t>labour</w:t>
      </w:r>
      <w:r w:rsidR="00F40589">
        <w:t xml:space="preserve"> as well as providing a </w:t>
      </w:r>
      <w:r w:rsidRPr="007E3484">
        <w:t xml:space="preserve">profit. This will vary from company to company, and depend on the scale of operation, ownership structure, programming strategies, and so on. </w:t>
      </w:r>
    </w:p>
    <w:p w14:paraId="4AEAC031" w14:textId="7C17250A" w:rsidR="00F32FD7" w:rsidRPr="00B61E2A" w:rsidRDefault="00F32FD7" w:rsidP="00C74368">
      <w:bookmarkStart w:id="155" w:name="_Hlk204599818"/>
      <w:r>
        <w:lastRenderedPageBreak/>
        <w:t xml:space="preserve">Using these </w:t>
      </w:r>
      <w:r w:rsidR="00631C7D">
        <w:t>assumptions</w:t>
      </w:r>
      <w:r>
        <w:t xml:space="preserve">, the expenditure requirement is estimated to require all </w:t>
      </w:r>
      <w:r w:rsidR="0002641B">
        <w:t>SVOD</w:t>
      </w:r>
      <w:r>
        <w:t xml:space="preserve">s in Australia to spend a total of between $175 million to $200 million each year on new Australian content (approximately 48 to 53 hours of content). </w:t>
      </w:r>
      <w:bookmarkEnd w:id="155"/>
      <w:r w:rsidRPr="00B61E2A">
        <w:t>The hours</w:t>
      </w:r>
      <w:r>
        <w:t>-</w:t>
      </w:r>
      <w:r w:rsidRPr="00B61E2A">
        <w:t>of</w:t>
      </w:r>
      <w:r>
        <w:t>-</w:t>
      </w:r>
      <w:r w:rsidRPr="00B61E2A">
        <w:t>content calculation is based on data from Screen Australia; the average per</w:t>
      </w:r>
      <w:r>
        <w:t>-</w:t>
      </w:r>
      <w:r w:rsidRPr="00B61E2A">
        <w:t>hour cost of a drama series is calculated as $3.</w:t>
      </w:r>
      <w:r>
        <w:t>6</w:t>
      </w:r>
      <w:r w:rsidRPr="007E3484">
        <w:t xml:space="preserve"> million</w:t>
      </w:r>
      <w:r>
        <w:t>,</w:t>
      </w:r>
      <w:r w:rsidRPr="007E3484">
        <w:t xml:space="preserve"> which is the average cost for Australian general subscription TV and </w:t>
      </w:r>
      <w:r w:rsidR="0002641B">
        <w:t>SVOD</w:t>
      </w:r>
      <w:r w:rsidRPr="007E3484">
        <w:t xml:space="preserve"> drama in 202</w:t>
      </w:r>
      <w:r>
        <w:t>3</w:t>
      </w:r>
      <w:r w:rsidRPr="007E3484">
        <w:t>-2</w:t>
      </w:r>
      <w:r>
        <w:t>4</w:t>
      </w:r>
      <w:r w:rsidRPr="00B61E2A">
        <w:t>.</w:t>
      </w:r>
      <w:r w:rsidRPr="00B61E2A">
        <w:rPr>
          <w:rStyle w:val="FootnoteReference"/>
        </w:rPr>
        <w:footnoteReference w:id="41"/>
      </w:r>
      <w:r>
        <w:t xml:space="preserve"> </w:t>
      </w:r>
    </w:p>
    <w:p w14:paraId="53A3DFD0" w14:textId="1EF4EBE4" w:rsidR="00CD46B2" w:rsidRDefault="00BF437E" w:rsidP="00C74368">
      <w:r w:rsidRPr="00B61E2A">
        <w:t xml:space="preserve">According to expenditure data collected by the ACMA, five </w:t>
      </w:r>
      <w:r w:rsidR="0002641B">
        <w:t>SVOD</w:t>
      </w:r>
      <w:r w:rsidRPr="00B61E2A">
        <w:t xml:space="preserve">s operating in the Australian market </w:t>
      </w:r>
      <w:r>
        <w:t xml:space="preserve">spent the following amount on </w:t>
      </w:r>
      <w:r w:rsidR="00CD46B2">
        <w:t xml:space="preserve">commissioned and co-commissioned Australian programs. </w:t>
      </w:r>
    </w:p>
    <w:p w14:paraId="50CE04F4" w14:textId="350A5C07" w:rsidR="00CD46B2" w:rsidRPr="00B61E2A" w:rsidRDefault="00CD46B2" w:rsidP="00CD46B2">
      <w:pPr>
        <w:pStyle w:val="BodyText"/>
        <w:rPr>
          <w:b/>
          <w:sz w:val="22"/>
        </w:rPr>
      </w:pPr>
      <w:r w:rsidRPr="00B61E2A">
        <w:rPr>
          <w:b/>
          <w:sz w:val="22"/>
        </w:rPr>
        <w:t xml:space="preserve">Table </w:t>
      </w:r>
      <w:r w:rsidR="005D3021">
        <w:rPr>
          <w:b/>
          <w:sz w:val="22"/>
        </w:rPr>
        <w:t>2</w:t>
      </w:r>
      <w:r w:rsidRPr="00B61E2A">
        <w:rPr>
          <w:b/>
          <w:sz w:val="22"/>
        </w:rPr>
        <w:t xml:space="preserve"> </w:t>
      </w:r>
      <w:r w:rsidR="0002641B">
        <w:rPr>
          <w:b/>
          <w:sz w:val="22"/>
        </w:rPr>
        <w:t>SVOD</w:t>
      </w:r>
      <w:r w:rsidRPr="00B61E2A">
        <w:rPr>
          <w:b/>
          <w:sz w:val="22"/>
        </w:rPr>
        <w:t xml:space="preserve">s Expenditure on Australian programs, by financial year </w:t>
      </w:r>
      <w:r>
        <w:rPr>
          <w:b/>
          <w:sz w:val="22"/>
        </w:rPr>
        <w:t xml:space="preserve">(Source: </w:t>
      </w:r>
      <w:r w:rsidR="0048481E">
        <w:rPr>
          <w:b/>
          <w:sz w:val="22"/>
        </w:rPr>
        <w:t xml:space="preserve">the </w:t>
      </w:r>
      <w:r>
        <w:rPr>
          <w:b/>
          <w:sz w:val="22"/>
        </w:rPr>
        <w:t>ACMA)</w:t>
      </w:r>
    </w:p>
    <w:tbl>
      <w:tblPr>
        <w:tblStyle w:val="DefaultTable1"/>
        <w:tblW w:w="0" w:type="auto"/>
        <w:tblLook w:val="04A0" w:firstRow="1" w:lastRow="0" w:firstColumn="1" w:lastColumn="0" w:noHBand="0" w:noVBand="1"/>
      </w:tblPr>
      <w:tblGrid>
        <w:gridCol w:w="1922"/>
        <w:gridCol w:w="5124"/>
        <w:gridCol w:w="2818"/>
      </w:tblGrid>
      <w:tr w:rsidR="00CD46B2" w14:paraId="3563E8D1" w14:textId="77777777" w:rsidTr="00760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14:paraId="0AA0EF0B" w14:textId="77777777" w:rsidR="00CD46B2" w:rsidRDefault="00CD46B2" w:rsidP="00760E5C">
            <w:pPr>
              <w:pStyle w:val="BodyText"/>
              <w:rPr>
                <w:sz w:val="22"/>
              </w:rPr>
            </w:pPr>
            <w:r w:rsidRPr="00B61E2A">
              <w:rPr>
                <w:color w:val="FFFFFF" w:themeColor="background1"/>
                <w:sz w:val="22"/>
              </w:rPr>
              <w:t xml:space="preserve">Financial </w:t>
            </w:r>
            <w:r>
              <w:rPr>
                <w:color w:val="FFFFFF" w:themeColor="background1"/>
                <w:sz w:val="22"/>
              </w:rPr>
              <w:t>year</w:t>
            </w:r>
          </w:p>
        </w:tc>
        <w:tc>
          <w:tcPr>
            <w:tcW w:w="5158" w:type="dxa"/>
          </w:tcPr>
          <w:p w14:paraId="5AFF29C6" w14:textId="77777777" w:rsidR="00CD46B2" w:rsidRDefault="00CD46B2" w:rsidP="00760E5C">
            <w:pPr>
              <w:pStyle w:val="BodyText"/>
              <w:jc w:val="center"/>
              <w:cnfStyle w:val="100000000000" w:firstRow="1" w:lastRow="0" w:firstColumn="0" w:lastColumn="0" w:oddVBand="0" w:evenVBand="0" w:oddHBand="0" w:evenHBand="0" w:firstRowFirstColumn="0" w:firstRowLastColumn="0" w:lastRowFirstColumn="0" w:lastRowLastColumn="0"/>
              <w:rPr>
                <w:sz w:val="22"/>
              </w:rPr>
            </w:pPr>
            <w:r w:rsidRPr="0048481E">
              <w:rPr>
                <w:color w:val="FFFFFF" w:themeColor="background1"/>
                <w:sz w:val="22"/>
              </w:rPr>
              <w:t>Commissioned/ co-commissioned</w:t>
            </w:r>
            <w:r w:rsidRPr="00B61E2A">
              <w:rPr>
                <w:color w:val="FFFFFF" w:themeColor="background1"/>
                <w:sz w:val="22"/>
              </w:rPr>
              <w:t xml:space="preserve"> Expenditure</w:t>
            </w:r>
          </w:p>
        </w:tc>
        <w:tc>
          <w:tcPr>
            <w:tcW w:w="2835" w:type="dxa"/>
          </w:tcPr>
          <w:p w14:paraId="09F2744A" w14:textId="77777777" w:rsidR="00CD46B2" w:rsidRDefault="00CD46B2" w:rsidP="00760E5C">
            <w:pPr>
              <w:pStyle w:val="BodyText"/>
              <w:jc w:val="center"/>
              <w:cnfStyle w:val="100000000000" w:firstRow="1" w:lastRow="0" w:firstColumn="0" w:lastColumn="0" w:oddVBand="0" w:evenVBand="0" w:oddHBand="0" w:evenHBand="0" w:firstRowFirstColumn="0" w:firstRowLastColumn="0" w:lastRowFirstColumn="0" w:lastRowLastColumn="0"/>
              <w:rPr>
                <w:sz w:val="22"/>
              </w:rPr>
            </w:pPr>
            <w:r w:rsidRPr="00B61E2A">
              <w:rPr>
                <w:color w:val="FFFFFF" w:themeColor="background1"/>
                <w:sz w:val="22"/>
              </w:rPr>
              <w:t>Number of programs</w:t>
            </w:r>
          </w:p>
        </w:tc>
      </w:tr>
      <w:tr w:rsidR="00CD46B2" w14:paraId="1AD2AA81" w14:textId="77777777" w:rsidTr="00760E5C">
        <w:tc>
          <w:tcPr>
            <w:cnfStyle w:val="001000000000" w:firstRow="0" w:lastRow="0" w:firstColumn="1" w:lastColumn="0" w:oddVBand="0" w:evenVBand="0" w:oddHBand="0" w:evenHBand="0" w:firstRowFirstColumn="0" w:firstRowLastColumn="0" w:lastRowFirstColumn="0" w:lastRowLastColumn="0"/>
            <w:tcW w:w="1930" w:type="dxa"/>
          </w:tcPr>
          <w:p w14:paraId="54E75AAA" w14:textId="77777777" w:rsidR="00CD46B2" w:rsidRDefault="00CD46B2" w:rsidP="00CD46B2">
            <w:pPr>
              <w:pStyle w:val="BodyText"/>
              <w:rPr>
                <w:sz w:val="22"/>
              </w:rPr>
            </w:pPr>
            <w:r>
              <w:rPr>
                <w:sz w:val="22"/>
              </w:rPr>
              <w:t>2023-24</w:t>
            </w:r>
          </w:p>
        </w:tc>
        <w:tc>
          <w:tcPr>
            <w:tcW w:w="5158" w:type="dxa"/>
          </w:tcPr>
          <w:p w14:paraId="4A8E0333"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$225,192,838</w:t>
            </w:r>
          </w:p>
        </w:tc>
        <w:tc>
          <w:tcPr>
            <w:tcW w:w="2835" w:type="dxa"/>
          </w:tcPr>
          <w:p w14:paraId="451D9464"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55</w:t>
            </w:r>
          </w:p>
        </w:tc>
      </w:tr>
      <w:tr w:rsidR="00CD46B2" w14:paraId="4A22DF3E" w14:textId="77777777" w:rsidTr="00760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shd w:val="clear" w:color="auto" w:fill="E7E7E7" w:themeFill="background2"/>
          </w:tcPr>
          <w:p w14:paraId="1EE3D91A" w14:textId="77777777" w:rsidR="00CD46B2" w:rsidRDefault="00CD46B2" w:rsidP="00CD46B2">
            <w:pPr>
              <w:pStyle w:val="BodyText"/>
              <w:rPr>
                <w:sz w:val="22"/>
              </w:rPr>
            </w:pPr>
            <w:r>
              <w:rPr>
                <w:sz w:val="22"/>
              </w:rPr>
              <w:t>2022-23</w:t>
            </w:r>
          </w:p>
        </w:tc>
        <w:tc>
          <w:tcPr>
            <w:tcW w:w="5158" w:type="dxa"/>
            <w:shd w:val="clear" w:color="auto" w:fill="E7E7E7" w:themeFill="background2"/>
          </w:tcPr>
          <w:p w14:paraId="260C83CD" w14:textId="77777777" w:rsidR="00CD46B2" w:rsidRDefault="00CD46B2" w:rsidP="00CD46B2">
            <w:pPr>
              <w:pStyle w:val="BodyText"/>
              <w:jc w:val="center"/>
              <w:cnfStyle w:val="000000010000" w:firstRow="0" w:lastRow="0" w:firstColumn="0" w:lastColumn="0" w:oddVBand="0" w:evenVBand="0" w:oddHBand="0" w:evenHBand="1" w:firstRowFirstColumn="0" w:firstRowLastColumn="0" w:lastRowFirstColumn="0" w:lastRowLastColumn="0"/>
              <w:rPr>
                <w:sz w:val="22"/>
              </w:rPr>
            </w:pPr>
            <w:r>
              <w:rPr>
                <w:sz w:val="22"/>
              </w:rPr>
              <w:t>$219,179,791</w:t>
            </w:r>
          </w:p>
        </w:tc>
        <w:tc>
          <w:tcPr>
            <w:tcW w:w="2835" w:type="dxa"/>
            <w:shd w:val="clear" w:color="auto" w:fill="E7E7E7" w:themeFill="background2"/>
          </w:tcPr>
          <w:p w14:paraId="492922A5" w14:textId="77777777" w:rsidR="00CD46B2" w:rsidRDefault="00CD46B2" w:rsidP="00CD46B2">
            <w:pPr>
              <w:pStyle w:val="BodyText"/>
              <w:jc w:val="center"/>
              <w:cnfStyle w:val="000000010000" w:firstRow="0" w:lastRow="0" w:firstColumn="0" w:lastColumn="0" w:oddVBand="0" w:evenVBand="0" w:oddHBand="0" w:evenHBand="1" w:firstRowFirstColumn="0" w:firstRowLastColumn="0" w:lastRowFirstColumn="0" w:lastRowLastColumn="0"/>
              <w:rPr>
                <w:sz w:val="22"/>
              </w:rPr>
            </w:pPr>
            <w:r>
              <w:rPr>
                <w:sz w:val="22"/>
              </w:rPr>
              <w:t>67</w:t>
            </w:r>
          </w:p>
        </w:tc>
      </w:tr>
      <w:tr w:rsidR="00CD46B2" w14:paraId="0BA0B166" w14:textId="77777777" w:rsidTr="00760E5C">
        <w:tc>
          <w:tcPr>
            <w:cnfStyle w:val="001000000000" w:firstRow="0" w:lastRow="0" w:firstColumn="1" w:lastColumn="0" w:oddVBand="0" w:evenVBand="0" w:oddHBand="0" w:evenHBand="0" w:firstRowFirstColumn="0" w:firstRowLastColumn="0" w:lastRowFirstColumn="0" w:lastRowLastColumn="0"/>
            <w:tcW w:w="1930" w:type="dxa"/>
            <w:shd w:val="clear" w:color="auto" w:fill="FFFFFF" w:themeFill="background1"/>
          </w:tcPr>
          <w:p w14:paraId="36DB3C6B" w14:textId="77777777" w:rsidR="00CD46B2" w:rsidRDefault="00CD46B2" w:rsidP="00CD46B2">
            <w:pPr>
              <w:pStyle w:val="BodyText"/>
              <w:rPr>
                <w:sz w:val="22"/>
              </w:rPr>
            </w:pPr>
            <w:r>
              <w:rPr>
                <w:sz w:val="22"/>
              </w:rPr>
              <w:t>2021-22</w:t>
            </w:r>
          </w:p>
        </w:tc>
        <w:tc>
          <w:tcPr>
            <w:tcW w:w="5158" w:type="dxa"/>
            <w:shd w:val="clear" w:color="auto" w:fill="FFFFFF" w:themeFill="background1"/>
          </w:tcPr>
          <w:p w14:paraId="13A9A81F"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$253,730,420</w:t>
            </w:r>
          </w:p>
        </w:tc>
        <w:tc>
          <w:tcPr>
            <w:tcW w:w="2835" w:type="dxa"/>
            <w:shd w:val="clear" w:color="auto" w:fill="FFFFFF" w:themeFill="background1"/>
          </w:tcPr>
          <w:p w14:paraId="6EA3592B"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55</w:t>
            </w:r>
          </w:p>
        </w:tc>
      </w:tr>
      <w:tr w:rsidR="00CD46B2" w14:paraId="76113AB4" w14:textId="77777777" w:rsidTr="00760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shd w:val="clear" w:color="auto" w:fill="E7E7E7" w:themeFill="background2"/>
          </w:tcPr>
          <w:p w14:paraId="2EC24363" w14:textId="77777777" w:rsidR="00CD46B2" w:rsidRDefault="00CD46B2" w:rsidP="00CD46B2">
            <w:pPr>
              <w:pStyle w:val="BodyText"/>
              <w:rPr>
                <w:sz w:val="22"/>
              </w:rPr>
            </w:pPr>
            <w:r>
              <w:rPr>
                <w:sz w:val="22"/>
              </w:rPr>
              <w:t>2020-21</w:t>
            </w:r>
          </w:p>
        </w:tc>
        <w:tc>
          <w:tcPr>
            <w:tcW w:w="5158" w:type="dxa"/>
            <w:shd w:val="clear" w:color="auto" w:fill="E7E7E7" w:themeFill="background2"/>
          </w:tcPr>
          <w:p w14:paraId="6DA002AE" w14:textId="77777777" w:rsidR="00CD46B2" w:rsidRDefault="00CD46B2" w:rsidP="00CD46B2">
            <w:pPr>
              <w:pStyle w:val="BodyText"/>
              <w:jc w:val="center"/>
              <w:cnfStyle w:val="000000010000" w:firstRow="0" w:lastRow="0" w:firstColumn="0" w:lastColumn="0" w:oddVBand="0" w:evenVBand="0" w:oddHBand="0" w:evenHBand="1" w:firstRowFirstColumn="0" w:firstRowLastColumn="0" w:lastRowFirstColumn="0" w:lastRowLastColumn="0"/>
              <w:rPr>
                <w:sz w:val="22"/>
              </w:rPr>
            </w:pPr>
            <w:r>
              <w:rPr>
                <w:sz w:val="22"/>
              </w:rPr>
              <w:t>$125,359,020</w:t>
            </w:r>
          </w:p>
        </w:tc>
        <w:tc>
          <w:tcPr>
            <w:tcW w:w="2835" w:type="dxa"/>
            <w:shd w:val="clear" w:color="auto" w:fill="E7E7E7" w:themeFill="background2"/>
          </w:tcPr>
          <w:p w14:paraId="2E93C59F" w14:textId="77777777" w:rsidR="00CD46B2" w:rsidRDefault="00CD46B2" w:rsidP="00CD46B2">
            <w:pPr>
              <w:pStyle w:val="BodyText"/>
              <w:jc w:val="center"/>
              <w:cnfStyle w:val="000000010000" w:firstRow="0" w:lastRow="0" w:firstColumn="0" w:lastColumn="0" w:oddVBand="0" w:evenVBand="0" w:oddHBand="0" w:evenHBand="1" w:firstRowFirstColumn="0" w:firstRowLastColumn="0" w:lastRowFirstColumn="0" w:lastRowLastColumn="0"/>
              <w:rPr>
                <w:sz w:val="22"/>
              </w:rPr>
            </w:pPr>
            <w:r>
              <w:rPr>
                <w:sz w:val="22"/>
              </w:rPr>
              <w:t>27</w:t>
            </w:r>
          </w:p>
        </w:tc>
      </w:tr>
      <w:tr w:rsidR="00CD46B2" w14:paraId="08B97506" w14:textId="77777777" w:rsidTr="00760E5C">
        <w:tc>
          <w:tcPr>
            <w:cnfStyle w:val="001000000000" w:firstRow="0" w:lastRow="0" w:firstColumn="1" w:lastColumn="0" w:oddVBand="0" w:evenVBand="0" w:oddHBand="0" w:evenHBand="0" w:firstRowFirstColumn="0" w:firstRowLastColumn="0" w:lastRowFirstColumn="0" w:lastRowLastColumn="0"/>
            <w:tcW w:w="1930" w:type="dxa"/>
            <w:shd w:val="clear" w:color="auto" w:fill="FFFFFF" w:themeFill="background1"/>
          </w:tcPr>
          <w:p w14:paraId="0E05F258" w14:textId="77777777" w:rsidR="00CD46B2" w:rsidRDefault="00CD46B2" w:rsidP="00CD46B2">
            <w:pPr>
              <w:pStyle w:val="BodyText"/>
              <w:rPr>
                <w:sz w:val="22"/>
              </w:rPr>
            </w:pPr>
            <w:r>
              <w:rPr>
                <w:sz w:val="22"/>
              </w:rPr>
              <w:t>2019-20</w:t>
            </w:r>
          </w:p>
        </w:tc>
        <w:tc>
          <w:tcPr>
            <w:tcW w:w="5158" w:type="dxa"/>
            <w:shd w:val="clear" w:color="auto" w:fill="FFFFFF" w:themeFill="background1"/>
          </w:tcPr>
          <w:p w14:paraId="152EE3A0"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$129,729,693</w:t>
            </w:r>
          </w:p>
        </w:tc>
        <w:tc>
          <w:tcPr>
            <w:tcW w:w="2835" w:type="dxa"/>
            <w:shd w:val="clear" w:color="auto" w:fill="FFFFFF" w:themeFill="background1"/>
          </w:tcPr>
          <w:p w14:paraId="42DF39CE" w14:textId="77777777" w:rsidR="00CD46B2" w:rsidRDefault="00CD46B2" w:rsidP="00CD46B2">
            <w:pPr>
              <w:pStyle w:val="BodyText"/>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bl>
    <w:p w14:paraId="4DCB0AD8" w14:textId="77777777" w:rsidR="00CD46B2" w:rsidRDefault="00CD46B2" w:rsidP="0048481E">
      <w:pPr>
        <w:pStyle w:val="BodyText"/>
        <w:spacing w:after="0"/>
        <w:rPr>
          <w:sz w:val="22"/>
        </w:rPr>
      </w:pPr>
    </w:p>
    <w:p w14:paraId="016BEBFF" w14:textId="6A18DC49" w:rsidR="0078778E" w:rsidRPr="00783633" w:rsidRDefault="00BF437E" w:rsidP="001D360F">
      <w:r w:rsidRPr="00C74368">
        <w:t>This expenditure is within t</w:t>
      </w:r>
      <w:r w:rsidRPr="0082493F">
        <w:t>he anticipated outcomes modelled under Option 2. It should be noted that e</w:t>
      </w:r>
      <w:r w:rsidR="00CD46B2" w:rsidRPr="00783633">
        <w:t>xpenditure</w:t>
      </w:r>
      <w:r w:rsidR="0078778E" w:rsidRPr="00783633">
        <w:t xml:space="preserve"> </w:t>
      </w:r>
      <w:r w:rsidR="00F32FD7" w:rsidRPr="00783633">
        <w:t>may fluctuate due</w:t>
      </w:r>
      <w:r w:rsidR="0078778E" w:rsidRPr="00783633">
        <w:t xml:space="preserve"> </w:t>
      </w:r>
      <w:r w:rsidR="00371086" w:rsidRPr="00783633">
        <w:t xml:space="preserve">to </w:t>
      </w:r>
      <w:r w:rsidR="0078778E" w:rsidRPr="00783633">
        <w:t xml:space="preserve">variation across the market between small, medium and large </w:t>
      </w:r>
      <w:r w:rsidR="0002641B">
        <w:t>SVOD</w:t>
      </w:r>
      <w:r w:rsidR="0078778E" w:rsidRPr="00783633">
        <w:t>s.</w:t>
      </w:r>
      <w:r w:rsidR="00F64A03" w:rsidRPr="00783633">
        <w:t xml:space="preserve"> </w:t>
      </w:r>
      <w:r w:rsidR="00471F62" w:rsidRPr="00783633">
        <w:t>As</w:t>
      </w:r>
      <w:r w:rsidR="00F64A03" w:rsidRPr="00783633">
        <w:t xml:space="preserve"> the streaming obligation is </w:t>
      </w:r>
      <w:r w:rsidR="00CD46B2" w:rsidRPr="00380A00">
        <w:t>met by expenditure on</w:t>
      </w:r>
      <w:r w:rsidR="00F64A03" w:rsidRPr="00380A00">
        <w:t xml:space="preserve"> new and first-release Australian programs</w:t>
      </w:r>
      <w:r w:rsidR="00AB3844" w:rsidRPr="00380A00">
        <w:t>,</w:t>
      </w:r>
      <w:r w:rsidR="00F64A03" w:rsidRPr="00380A00">
        <w:t xml:space="preserve"> this will </w:t>
      </w:r>
      <w:r w:rsidR="00CD46B2" w:rsidRPr="00380A00">
        <w:t xml:space="preserve">make sure </w:t>
      </w:r>
      <w:r w:rsidR="00F64A03" w:rsidRPr="00380A00">
        <w:t xml:space="preserve">that </w:t>
      </w:r>
      <w:r w:rsidR="0002641B">
        <w:t>SVOD</w:t>
      </w:r>
      <w:r w:rsidR="00F64A03" w:rsidRPr="00380A00">
        <w:t>s have to invest in new Australian content</w:t>
      </w:r>
      <w:r w:rsidR="00D432C8" w:rsidRPr="00380A00">
        <w:t xml:space="preserve"> to meet the obligation</w:t>
      </w:r>
      <w:r w:rsidR="00F64A03" w:rsidRPr="00380A00">
        <w:t xml:space="preserve"> rather than fulfilling their obligation with acquisitions</w:t>
      </w:r>
      <w:r w:rsidR="00681A45" w:rsidRPr="00380A00">
        <w:t xml:space="preserve"> or back-catalogue Australian content. </w:t>
      </w:r>
      <w:r w:rsidR="0078778E" w:rsidRPr="00380A00">
        <w:t>For the required expenditure</w:t>
      </w:r>
      <w:r w:rsidR="0078778E" w:rsidRPr="00783633">
        <w:t xml:space="preserve"> to increase without further intervention, services would need to spend more on </w:t>
      </w:r>
      <w:r w:rsidR="00F64A03" w:rsidRPr="00783633">
        <w:t xml:space="preserve">their </w:t>
      </w:r>
      <w:r w:rsidR="0078778E" w:rsidRPr="00783633">
        <w:t xml:space="preserve">programming for the Australian market, thereby increasing the proportion they need to spend on </w:t>
      </w:r>
      <w:r w:rsidR="00F64A03" w:rsidRPr="00783633">
        <w:t xml:space="preserve">new </w:t>
      </w:r>
      <w:r w:rsidR="0078778E" w:rsidRPr="00783633">
        <w:t>Australian</w:t>
      </w:r>
      <w:r w:rsidR="00F64A03" w:rsidRPr="00783633">
        <w:t xml:space="preserve"> content</w:t>
      </w:r>
      <w:r w:rsidR="0078778E" w:rsidRPr="00783633">
        <w:t xml:space="preserve">. </w:t>
      </w:r>
    </w:p>
    <w:p w14:paraId="24493BDA" w14:textId="77777777" w:rsidR="0078778E" w:rsidRPr="001D360F" w:rsidRDefault="0078778E" w:rsidP="00A540D0">
      <w:pPr>
        <w:pStyle w:val="Heading2"/>
      </w:pPr>
      <w:bookmarkStart w:id="156" w:name="_Toc212099802"/>
      <w:bookmarkStart w:id="157" w:name="_Toc156484969"/>
      <w:bookmarkStart w:id="158" w:name="_Toc156485041"/>
      <w:bookmarkStart w:id="159" w:name="_Toc156485113"/>
      <w:bookmarkStart w:id="160" w:name="_Toc156485185"/>
      <w:bookmarkStart w:id="161" w:name="_Toc156485257"/>
      <w:r w:rsidRPr="001D360F">
        <w:t>Regulatory burden</w:t>
      </w:r>
      <w:r w:rsidR="00283BBD" w:rsidRPr="001D360F">
        <w:t xml:space="preserve"> of Option 2</w:t>
      </w:r>
      <w:bookmarkEnd w:id="156"/>
      <w:r w:rsidR="00283BBD" w:rsidRPr="001D360F">
        <w:t xml:space="preserve"> </w:t>
      </w:r>
    </w:p>
    <w:p w14:paraId="2889E61A" w14:textId="4AB3AAAA" w:rsidR="0078778E" w:rsidRPr="00B61E2A" w:rsidRDefault="0078778E" w:rsidP="00C74368">
      <w:r w:rsidRPr="00B61E2A">
        <w:t xml:space="preserve">A regulatory costing is provided for Option 2 which seeks to introduce an expenditure requirement on large </w:t>
      </w:r>
      <w:r w:rsidR="0002641B">
        <w:t>SVOD</w:t>
      </w:r>
      <w:r w:rsidRPr="00B61E2A">
        <w:t>s operating in the Australian market. In line with the Regulatory Burden Measurement Framework, these costs include administrative costs, compliance costs and delay costs. There are no anticipated delay costs associated with this regulation.</w:t>
      </w:r>
    </w:p>
    <w:p w14:paraId="4D4D327F" w14:textId="4C642431" w:rsidR="0078778E" w:rsidRPr="00B61E2A" w:rsidRDefault="0078778E" w:rsidP="00C74368">
      <w:r w:rsidRPr="00B61E2A" w:rsidDel="00540209">
        <w:t>Costs</w:t>
      </w:r>
      <w:r w:rsidRPr="00B61E2A">
        <w:t xml:space="preserve"> impacting businesses or individuals outside the immediate regulatory scope</w:t>
      </w:r>
      <w:r w:rsidR="00CD46B2">
        <w:t>,</w:t>
      </w:r>
      <w:r w:rsidRPr="00B61E2A">
        <w:t xml:space="preserve"> namely </w:t>
      </w:r>
      <w:r w:rsidR="0002641B">
        <w:t>SVOD</w:t>
      </w:r>
      <w:r w:rsidRPr="00B61E2A">
        <w:t>s</w:t>
      </w:r>
      <w:r w:rsidR="00CD46B2">
        <w:t>,</w:t>
      </w:r>
      <w:r w:rsidRPr="00B61E2A">
        <w:t xml:space="preserve"> cannot be assessed. A content requirement aims to provide benefits to the Australian public by making more Australian content available and to the screen production industry through additional and ongoing investment. In consultation, some stakeholders contend that an Australian content requirement may place additional pressure on the limited supply of labour</w:t>
      </w:r>
      <w:r w:rsidR="00BF437E">
        <w:t xml:space="preserve"> and </w:t>
      </w:r>
      <w:r w:rsidRPr="00B61E2A">
        <w:t>infrastructure</w:t>
      </w:r>
      <w:r w:rsidR="00BF437E">
        <w:t xml:space="preserve"> </w:t>
      </w:r>
      <w:r w:rsidRPr="00B61E2A">
        <w:t xml:space="preserve">in the Australian screen production sector and lead to inflationary pressures. </w:t>
      </w:r>
      <w:r w:rsidR="00BF437E">
        <w:t xml:space="preserve">However, production costs in Australia are historically increasing due to general inflationary pressures across the economy. </w:t>
      </w:r>
      <w:r w:rsidRPr="00B61E2A">
        <w:t>The department does not anticipate any increase in subscription costs due to this regulation. The regulatory burden on individuals, and community groups, and other businesses is therefore negligible.</w:t>
      </w:r>
    </w:p>
    <w:p w14:paraId="2597196D" w14:textId="77777777" w:rsidR="0078778E" w:rsidRDefault="0078778E" w:rsidP="0078778E">
      <w:pPr>
        <w:pStyle w:val="Heading3"/>
        <w:tabs>
          <w:tab w:val="center" w:pos="5102"/>
        </w:tabs>
      </w:pPr>
      <w:bookmarkStart w:id="162" w:name="_Toc212099803"/>
      <w:r>
        <w:lastRenderedPageBreak/>
        <w:t>Administrative costs</w:t>
      </w:r>
      <w:r w:rsidR="00283BBD">
        <w:t xml:space="preserve"> of Option 2</w:t>
      </w:r>
      <w:bookmarkEnd w:id="162"/>
      <w:r w:rsidR="00283BBD">
        <w:t xml:space="preserve"> </w:t>
      </w:r>
    </w:p>
    <w:p w14:paraId="30B74051" w14:textId="77777777" w:rsidR="0078778E" w:rsidRPr="00B61E2A" w:rsidRDefault="001C6F6F" w:rsidP="001C6F6F">
      <w:r w:rsidRPr="00592D65">
        <w:t xml:space="preserve">The Australian Government Guide to Policy Impact Analysis discusses the importance of avoiding imposing unnecessary regulatory burden on businesses, individuals and community organisations. This Impact Analysis includes an estimation of Administrative costs for Option 2.  </w:t>
      </w:r>
      <w:r w:rsidR="0078778E" w:rsidRPr="00592D65">
        <w:t>Administrative costs are costs incurred by entities primarily to demonstrate compliance with the policy</w:t>
      </w:r>
      <w:r w:rsidRPr="00592D65">
        <w:t xml:space="preserve"> (usually record keeping and reporting costs)</w:t>
      </w:r>
      <w:r w:rsidR="0078778E" w:rsidRPr="00592D65">
        <w:t>. Administrative costs include the time taken to demonstrate compliance with the policy as well as any associated travel costs.</w:t>
      </w:r>
      <w:r w:rsidR="00AE0010" w:rsidRPr="00592D65">
        <w:t xml:space="preserve"> Administrative costs have been estimated by using the Office of Impact Analysis’ Regulatory Burden Measurement Framework.</w:t>
      </w:r>
      <w:r w:rsidR="00AE0010" w:rsidRPr="00592D65">
        <w:rPr>
          <w:rStyle w:val="FootnoteReference"/>
        </w:rPr>
        <w:footnoteReference w:id="42"/>
      </w:r>
    </w:p>
    <w:p w14:paraId="71AF38D2" w14:textId="77777777" w:rsidR="0078778E" w:rsidRDefault="0078778E" w:rsidP="0078778E">
      <w:pPr>
        <w:pStyle w:val="Heading4"/>
      </w:pPr>
      <w:r>
        <w:t>Key assumptions</w:t>
      </w:r>
    </w:p>
    <w:p w14:paraId="6A23D6A2" w14:textId="77777777" w:rsidR="0078778E" w:rsidRPr="00B61E2A" w:rsidRDefault="0078778E" w:rsidP="00C74368">
      <w:r w:rsidRPr="00B61E2A">
        <w:t>The estimated costs given in the table below assume that the following administrative tasks would be required to demonstrate compliance:</w:t>
      </w:r>
    </w:p>
    <w:p w14:paraId="7BEE0473" w14:textId="77777777" w:rsidR="0078778E" w:rsidRPr="00E61D88" w:rsidRDefault="0078778E" w:rsidP="00E61D88">
      <w:pPr>
        <w:pStyle w:val="Bullet1"/>
      </w:pPr>
      <w:r w:rsidRPr="00E61D88">
        <w:t>Assessing content and determining whether it meets the requirements of the obligation</w:t>
      </w:r>
      <w:r w:rsidR="00471F62" w:rsidRPr="00E61D88">
        <w:t>;</w:t>
      </w:r>
    </w:p>
    <w:p w14:paraId="752DBCCA" w14:textId="77777777" w:rsidR="0078778E" w:rsidRPr="00E61D88" w:rsidRDefault="0078778E" w:rsidP="00E61D88">
      <w:pPr>
        <w:pStyle w:val="Bullet1"/>
      </w:pPr>
      <w:r w:rsidRPr="00E61D88">
        <w:t>Recording eligible spending against annual expenditure requirements under the obligation</w:t>
      </w:r>
      <w:r w:rsidR="00471F62" w:rsidRPr="00E61D88">
        <w:t>;</w:t>
      </w:r>
    </w:p>
    <w:p w14:paraId="76B08BE3" w14:textId="77777777" w:rsidR="0078778E" w:rsidRPr="00E61D88" w:rsidRDefault="0078778E" w:rsidP="00E61D88">
      <w:pPr>
        <w:pStyle w:val="Bullet1"/>
      </w:pPr>
      <w:r w:rsidRPr="00E61D88">
        <w:t>Preparing reporting material and providing required compliance information to the ACMA</w:t>
      </w:r>
      <w:r w:rsidR="00471F62" w:rsidRPr="00E61D88">
        <w:t>; and</w:t>
      </w:r>
    </w:p>
    <w:p w14:paraId="6DF38311" w14:textId="77777777" w:rsidR="0078778E" w:rsidRPr="00E61D88" w:rsidRDefault="0078778E" w:rsidP="00E61D88">
      <w:pPr>
        <w:pStyle w:val="Bullet1"/>
      </w:pPr>
      <w:r w:rsidRPr="00E61D88">
        <w:t>Training costs associated with reporting</w:t>
      </w:r>
      <w:r w:rsidR="00471F62" w:rsidRPr="00E61D88">
        <w:t>.</w:t>
      </w:r>
    </w:p>
    <w:p w14:paraId="31F809E7" w14:textId="77777777" w:rsidR="0078778E" w:rsidRPr="009F3D18" w:rsidRDefault="0078778E" w:rsidP="0078778E">
      <w:r w:rsidRPr="009F3D18">
        <w:t xml:space="preserve">It is assumed that the workload outlined above could be performed by </w:t>
      </w:r>
      <w:r w:rsidR="00A4342B">
        <w:t>one</w:t>
      </w:r>
      <w:r w:rsidRPr="009F3D18">
        <w:t xml:space="preserve"> full-time employee in each company. In accordance with advice provided in the Regulatory Burden Measurement Framework, the annual salary of </w:t>
      </w:r>
      <w:r w:rsidR="00A4342B">
        <w:t>an</w:t>
      </w:r>
      <w:r w:rsidRPr="009F3D18">
        <w:t xml:space="preserve"> employee is calculated based on an estimated hourly rate of $85.17. Assuming a standard 37.5-hour work week and including on-costs, the annual salary for </w:t>
      </w:r>
      <w:r w:rsidR="00A4342B">
        <w:t>the</w:t>
      </w:r>
      <w:r w:rsidRPr="009F3D18">
        <w:t xml:space="preserve"> employee would be $166,082.</w:t>
      </w:r>
    </w:p>
    <w:p w14:paraId="13A0BDF5" w14:textId="341B2B97" w:rsidR="0078778E" w:rsidRPr="009F3D18" w:rsidRDefault="00A4342B" w:rsidP="0078778E">
      <w:r>
        <w:t>At least s</w:t>
      </w:r>
      <w:r w:rsidR="0078778E" w:rsidRPr="009F3D18">
        <w:t xml:space="preserve">even </w:t>
      </w:r>
      <w:r w:rsidR="0002641B">
        <w:t>SVOD</w:t>
      </w:r>
      <w:r w:rsidR="0078778E" w:rsidRPr="009F3D18">
        <w:t xml:space="preserve">s are expected to be subject to the Australian content requirements. Of these seven, five currently report to the ACMA on a voluntary basis. As much of the information required to demonstrate compliance under the scheme is already being supplied by these five services voluntarily, it is assumed that their administrative compliance costs will </w:t>
      </w:r>
      <w:r w:rsidR="00912E64">
        <w:t xml:space="preserve">be similar to </w:t>
      </w:r>
      <w:r w:rsidR="0078778E" w:rsidRPr="009F3D18">
        <w:t>that incurred by the two remaining services that do not voluntarily report data to the ACMA.</w:t>
      </w:r>
    </w:p>
    <w:p w14:paraId="18A42E15" w14:textId="37C455B4" w:rsidR="0078778E" w:rsidRPr="009F3D18" w:rsidRDefault="0078778E" w:rsidP="0078778E">
      <w:r w:rsidRPr="009F3D18">
        <w:t>Total start-up costs are estimated to be 10 per cent of annual ongoing administrative costs for one year. These start-up costs are averaged over years 1–</w:t>
      </w:r>
      <w:r w:rsidR="00104CB3">
        <w:t>4</w:t>
      </w:r>
      <w:r w:rsidRPr="009F3D18">
        <w:t xml:space="preserve"> in </w:t>
      </w:r>
      <w:r w:rsidR="005D3021">
        <w:t>Table 3</w:t>
      </w:r>
      <w:r w:rsidRPr="00E44FDE">
        <w:t xml:space="preserve"> below. A 10-year average is calculated by averaging </w:t>
      </w:r>
      <w:r w:rsidR="00471F62">
        <w:t>‘</w:t>
      </w:r>
      <w:r w:rsidRPr="00E44FDE">
        <w:t>Years 1</w:t>
      </w:r>
      <w:r w:rsidRPr="009F3D18">
        <w:t>–</w:t>
      </w:r>
      <w:r w:rsidR="00104CB3">
        <w:t>4</w:t>
      </w:r>
      <w:r w:rsidR="00471F62">
        <w:t>’</w:t>
      </w:r>
      <w:r w:rsidR="00471F62" w:rsidRPr="009F3D18">
        <w:t xml:space="preserve"> </w:t>
      </w:r>
      <w:r w:rsidRPr="009F3D18">
        <w:t xml:space="preserve">for the initial </w:t>
      </w:r>
      <w:r w:rsidR="00104CB3">
        <w:t>four</w:t>
      </w:r>
      <w:r w:rsidRPr="009F3D18">
        <w:t xml:space="preserve"> years of the regulation, and ongoing annual costs for years </w:t>
      </w:r>
      <w:r w:rsidR="0067095A">
        <w:t>5</w:t>
      </w:r>
      <w:r w:rsidRPr="009F3D18">
        <w:t>–10.</w:t>
      </w:r>
      <w:r w:rsidR="00BF437E">
        <w:t xml:space="preserve"> </w:t>
      </w:r>
      <w:r w:rsidRPr="009F3D18">
        <w:t xml:space="preserve">Total sector administrative costs are provided in the table below as sum totals of the per annum administrative costs for the seven </w:t>
      </w:r>
      <w:r w:rsidR="0002641B">
        <w:t>SVOD</w:t>
      </w:r>
      <w:r w:rsidRPr="009F3D18">
        <w:t>s that are anticipated to fall within the scope of the regulation.</w:t>
      </w:r>
    </w:p>
    <w:p w14:paraId="6D889971" w14:textId="0218BE46" w:rsidR="0078778E" w:rsidRDefault="0078778E" w:rsidP="0078778E">
      <w:pPr>
        <w:pStyle w:val="Caption"/>
      </w:pPr>
      <w:bookmarkStart w:id="163" w:name="_Ref159924555"/>
      <w:r>
        <w:t xml:space="preserve">Table </w:t>
      </w:r>
      <w:bookmarkEnd w:id="163"/>
      <w:r w:rsidR="005D3021">
        <w:t>3</w:t>
      </w:r>
      <w:r>
        <w:t xml:space="preserve"> Estimated regulatory costs for </w:t>
      </w:r>
      <w:r w:rsidR="00BF437E">
        <w:t xml:space="preserve">all </w:t>
      </w:r>
      <w:r w:rsidR="0002641B">
        <w:t>SVOD</w:t>
      </w:r>
      <w:r>
        <w:t>s</w:t>
      </w:r>
      <w:r w:rsidR="00BF437E">
        <w:t xml:space="preserve"> in Australia</w:t>
      </w:r>
    </w:p>
    <w:tbl>
      <w:tblPr>
        <w:tblStyle w:val="DefaultTable1"/>
        <w:tblW w:w="5000" w:type="pct"/>
        <w:tblLayout w:type="fixed"/>
        <w:tblLook w:val="04A0" w:firstRow="1" w:lastRow="0" w:firstColumn="1" w:lastColumn="0" w:noHBand="0" w:noVBand="1"/>
      </w:tblPr>
      <w:tblGrid>
        <w:gridCol w:w="2431"/>
        <w:gridCol w:w="1953"/>
        <w:gridCol w:w="2878"/>
        <w:gridCol w:w="2602"/>
      </w:tblGrid>
      <w:tr w:rsidR="0078778E" w14:paraId="345A5617" w14:textId="77777777" w:rsidTr="00787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tcPr>
          <w:p w14:paraId="2C737EA3" w14:textId="77777777" w:rsidR="0078778E" w:rsidRPr="00B61E2A" w:rsidRDefault="0078778E" w:rsidP="0078778E">
            <w:pPr>
              <w:pStyle w:val="BodyText"/>
              <w:rPr>
                <w:color w:val="FFFFFF" w:themeColor="background1"/>
              </w:rPr>
            </w:pPr>
          </w:p>
        </w:tc>
        <w:tc>
          <w:tcPr>
            <w:tcW w:w="990" w:type="pct"/>
          </w:tcPr>
          <w:p w14:paraId="65CDECFC" w14:textId="77777777" w:rsidR="0078778E" w:rsidRPr="00B61E2A" w:rsidRDefault="0078778E" w:rsidP="0078778E">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61E2A">
              <w:rPr>
                <w:color w:val="FFFFFF" w:themeColor="background1"/>
              </w:rPr>
              <w:t xml:space="preserve">Years 1 – </w:t>
            </w:r>
            <w:r w:rsidR="00104CB3">
              <w:rPr>
                <w:color w:val="FFFFFF" w:themeColor="background1"/>
              </w:rPr>
              <w:t>4</w:t>
            </w:r>
            <w:r w:rsidRPr="00B61E2A">
              <w:rPr>
                <w:color w:val="FFFFFF" w:themeColor="background1"/>
              </w:rPr>
              <w:t xml:space="preserve"> (p.a.)</w:t>
            </w:r>
          </w:p>
        </w:tc>
        <w:tc>
          <w:tcPr>
            <w:tcW w:w="1459" w:type="pct"/>
          </w:tcPr>
          <w:p w14:paraId="28095B1C" w14:textId="77777777" w:rsidR="0078778E" w:rsidRPr="00B61E2A" w:rsidRDefault="0078778E" w:rsidP="0078778E">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61E2A">
              <w:rPr>
                <w:color w:val="FFFFFF" w:themeColor="background1"/>
              </w:rPr>
              <w:t>Ongoing costs (p.a.)</w:t>
            </w:r>
          </w:p>
        </w:tc>
        <w:tc>
          <w:tcPr>
            <w:tcW w:w="1319" w:type="pct"/>
          </w:tcPr>
          <w:p w14:paraId="09F919AA" w14:textId="77777777" w:rsidR="0078778E" w:rsidRPr="00B61E2A" w:rsidRDefault="0078778E" w:rsidP="0078778E">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61E2A">
              <w:rPr>
                <w:color w:val="FFFFFF" w:themeColor="background1"/>
              </w:rPr>
              <w:t>10-year average costs (p.a</w:t>
            </w:r>
            <w:r w:rsidR="001D360F">
              <w:rPr>
                <w:color w:val="FFFFFF" w:themeColor="background1"/>
              </w:rPr>
              <w:t>.</w:t>
            </w:r>
            <w:r w:rsidRPr="00B61E2A">
              <w:rPr>
                <w:color w:val="FFFFFF" w:themeColor="background1"/>
              </w:rPr>
              <w:t>)</w:t>
            </w:r>
          </w:p>
        </w:tc>
      </w:tr>
      <w:tr w:rsidR="0078778E" w14:paraId="503298C2" w14:textId="77777777" w:rsidTr="0078778E">
        <w:tc>
          <w:tcPr>
            <w:cnfStyle w:val="001000000000" w:firstRow="0" w:lastRow="0" w:firstColumn="1" w:lastColumn="0" w:oddVBand="0" w:evenVBand="0" w:oddHBand="0" w:evenHBand="0" w:firstRowFirstColumn="0" w:firstRowLastColumn="0" w:lastRowFirstColumn="0" w:lastRowLastColumn="0"/>
            <w:tcW w:w="1232" w:type="pct"/>
          </w:tcPr>
          <w:p w14:paraId="08A58733" w14:textId="3809EAEB" w:rsidR="0078778E" w:rsidRDefault="0002641B" w:rsidP="0078778E">
            <w:pPr>
              <w:pStyle w:val="BodyText"/>
            </w:pPr>
            <w:r>
              <w:t>SVOD</w:t>
            </w:r>
            <w:r w:rsidR="0078778E">
              <w:t>s that voluntarily report:</w:t>
            </w:r>
          </w:p>
        </w:tc>
        <w:tc>
          <w:tcPr>
            <w:tcW w:w="990" w:type="pct"/>
          </w:tcPr>
          <w:p w14:paraId="51407702"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$17</w:t>
            </w:r>
            <w:r w:rsidR="0067095A">
              <w:t>0</w:t>
            </w:r>
            <w:r w:rsidRPr="00E46062">
              <w:t>,</w:t>
            </w:r>
            <w:r w:rsidR="0067095A">
              <w:t>234</w:t>
            </w:r>
          </w:p>
        </w:tc>
        <w:tc>
          <w:tcPr>
            <w:tcW w:w="1459" w:type="pct"/>
          </w:tcPr>
          <w:p w14:paraId="31226C82"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$166,082</w:t>
            </w:r>
          </w:p>
        </w:tc>
        <w:tc>
          <w:tcPr>
            <w:tcW w:w="1319" w:type="pct"/>
          </w:tcPr>
          <w:p w14:paraId="10A97678"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$16</w:t>
            </w:r>
            <w:r w:rsidR="0067095A">
              <w:t>7</w:t>
            </w:r>
            <w:r w:rsidRPr="00E46062">
              <w:t>,</w:t>
            </w:r>
            <w:r w:rsidR="0067095A">
              <w:t>742</w:t>
            </w:r>
          </w:p>
        </w:tc>
      </w:tr>
      <w:tr w:rsidR="0078778E" w14:paraId="4E4E8C13" w14:textId="77777777" w:rsidTr="007877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tcPr>
          <w:p w14:paraId="401B2909" w14:textId="38150840" w:rsidR="0078778E" w:rsidRDefault="0002641B" w:rsidP="0078778E">
            <w:pPr>
              <w:pStyle w:val="BodyText"/>
            </w:pPr>
            <w:r>
              <w:t>SVOD</w:t>
            </w:r>
            <w:r w:rsidR="0078778E">
              <w:t>s that do not voluntarily report:</w:t>
            </w:r>
          </w:p>
        </w:tc>
        <w:tc>
          <w:tcPr>
            <w:tcW w:w="990" w:type="pct"/>
          </w:tcPr>
          <w:p w14:paraId="6D0220F3" w14:textId="77777777" w:rsidR="0078778E" w:rsidRDefault="0078778E" w:rsidP="0078778E">
            <w:pPr>
              <w:pStyle w:val="BodyText"/>
              <w:jc w:val="center"/>
              <w:cnfStyle w:val="000000010000" w:firstRow="0" w:lastRow="0" w:firstColumn="0" w:lastColumn="0" w:oddVBand="0" w:evenVBand="0" w:oddHBand="0" w:evenHBand="1" w:firstRowFirstColumn="0" w:firstRowLastColumn="0" w:lastRowFirstColumn="0" w:lastRowLastColumn="0"/>
            </w:pPr>
            <w:r w:rsidRPr="00E46062">
              <w:t>$</w:t>
            </w:r>
            <w:r w:rsidR="00912E64">
              <w:t>17</w:t>
            </w:r>
            <w:r w:rsidR="0067095A">
              <w:t>0</w:t>
            </w:r>
            <w:r w:rsidR="00912E64">
              <w:t>,</w:t>
            </w:r>
            <w:r w:rsidR="0067095A">
              <w:t>234</w:t>
            </w:r>
          </w:p>
        </w:tc>
        <w:tc>
          <w:tcPr>
            <w:tcW w:w="1459" w:type="pct"/>
          </w:tcPr>
          <w:p w14:paraId="05B6EC96" w14:textId="77777777" w:rsidR="0078778E" w:rsidRDefault="0078778E" w:rsidP="0078778E">
            <w:pPr>
              <w:pStyle w:val="BodyText"/>
              <w:jc w:val="center"/>
              <w:cnfStyle w:val="000000010000" w:firstRow="0" w:lastRow="0" w:firstColumn="0" w:lastColumn="0" w:oddVBand="0" w:evenVBand="0" w:oddHBand="0" w:evenHBand="1" w:firstRowFirstColumn="0" w:firstRowLastColumn="0" w:lastRowFirstColumn="0" w:lastRowLastColumn="0"/>
            </w:pPr>
            <w:r w:rsidRPr="00E46062">
              <w:t>$</w:t>
            </w:r>
            <w:r w:rsidR="00912E64">
              <w:t>166,082</w:t>
            </w:r>
          </w:p>
        </w:tc>
        <w:tc>
          <w:tcPr>
            <w:tcW w:w="1319" w:type="pct"/>
          </w:tcPr>
          <w:p w14:paraId="559EF5F5" w14:textId="77777777" w:rsidR="0078778E" w:rsidRDefault="0078778E" w:rsidP="0078778E">
            <w:pPr>
              <w:pStyle w:val="BodyText"/>
              <w:jc w:val="center"/>
              <w:cnfStyle w:val="000000010000" w:firstRow="0" w:lastRow="0" w:firstColumn="0" w:lastColumn="0" w:oddVBand="0" w:evenVBand="0" w:oddHBand="0" w:evenHBand="1" w:firstRowFirstColumn="0" w:firstRowLastColumn="0" w:lastRowFirstColumn="0" w:lastRowLastColumn="0"/>
            </w:pPr>
            <w:r w:rsidRPr="00E46062">
              <w:t>$</w:t>
            </w:r>
            <w:r w:rsidR="00912E64">
              <w:t>16</w:t>
            </w:r>
            <w:r w:rsidR="0067095A">
              <w:t>7</w:t>
            </w:r>
            <w:r w:rsidR="00912E64">
              <w:t>,</w:t>
            </w:r>
            <w:r w:rsidR="0067095A">
              <w:t>742</w:t>
            </w:r>
          </w:p>
        </w:tc>
      </w:tr>
      <w:tr w:rsidR="0078778E" w14:paraId="41417A2D" w14:textId="77777777" w:rsidTr="0078778E">
        <w:tc>
          <w:tcPr>
            <w:cnfStyle w:val="001000000000" w:firstRow="0" w:lastRow="0" w:firstColumn="1" w:lastColumn="0" w:oddVBand="0" w:evenVBand="0" w:oddHBand="0" w:evenHBand="0" w:firstRowFirstColumn="0" w:firstRowLastColumn="0" w:lastRowFirstColumn="0" w:lastRowLastColumn="0"/>
            <w:tcW w:w="1232" w:type="pct"/>
          </w:tcPr>
          <w:p w14:paraId="36608719" w14:textId="77777777" w:rsidR="0078778E" w:rsidRDefault="0078778E" w:rsidP="0078778E">
            <w:pPr>
              <w:pStyle w:val="BodyText"/>
            </w:pPr>
            <w:r>
              <w:t>Total sector administrative costs:</w:t>
            </w:r>
          </w:p>
        </w:tc>
        <w:tc>
          <w:tcPr>
            <w:tcW w:w="990" w:type="pct"/>
          </w:tcPr>
          <w:p w14:paraId="302BADE3"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w:t>
            </w:r>
            <w:r w:rsidR="0067095A">
              <w:t>191</w:t>
            </w:r>
            <w:r w:rsidRPr="00E46062">
              <w:t>,</w:t>
            </w:r>
            <w:r w:rsidR="0067095A">
              <w:t>638</w:t>
            </w:r>
          </w:p>
        </w:tc>
        <w:tc>
          <w:tcPr>
            <w:tcW w:w="1459" w:type="pct"/>
          </w:tcPr>
          <w:p w14:paraId="16BAB535"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w:t>
            </w:r>
            <w:r w:rsidR="0067095A">
              <w:t>162</w:t>
            </w:r>
            <w:r w:rsidRPr="00E46062">
              <w:t>,</w:t>
            </w:r>
            <w:r w:rsidR="0067095A">
              <w:t>574</w:t>
            </w:r>
          </w:p>
        </w:tc>
        <w:tc>
          <w:tcPr>
            <w:tcW w:w="1319" w:type="pct"/>
          </w:tcPr>
          <w:p w14:paraId="13C680A2" w14:textId="77777777" w:rsidR="0078778E" w:rsidRDefault="0078778E" w:rsidP="0078778E">
            <w:pPr>
              <w:pStyle w:val="BodyText"/>
              <w:jc w:val="center"/>
              <w:cnfStyle w:val="000000000000" w:firstRow="0" w:lastRow="0" w:firstColumn="0" w:lastColumn="0" w:oddVBand="0" w:evenVBand="0" w:oddHBand="0" w:evenHBand="0" w:firstRowFirstColumn="0" w:firstRowLastColumn="0" w:lastRowFirstColumn="0" w:lastRowLastColumn="0"/>
            </w:pPr>
            <w:r w:rsidRPr="00E46062">
              <w:t>$1,</w:t>
            </w:r>
            <w:r w:rsidR="0067095A">
              <w:t>174</w:t>
            </w:r>
            <w:r w:rsidRPr="00E46062">
              <w:t>,</w:t>
            </w:r>
            <w:r w:rsidR="0067095A">
              <w:t>199</w:t>
            </w:r>
          </w:p>
        </w:tc>
      </w:tr>
    </w:tbl>
    <w:p w14:paraId="07F8FA73" w14:textId="77777777" w:rsidR="0078778E" w:rsidRDefault="0078778E" w:rsidP="0048481E">
      <w:pPr>
        <w:pStyle w:val="BodyText"/>
        <w:spacing w:after="0"/>
      </w:pPr>
    </w:p>
    <w:p w14:paraId="75ACC90B" w14:textId="19EA5904" w:rsidR="0078778E" w:rsidRPr="00B61E2A" w:rsidRDefault="0078778E" w:rsidP="00C74368">
      <w:r w:rsidRPr="00B61E2A">
        <w:lastRenderedPageBreak/>
        <w:t xml:space="preserve">In the first </w:t>
      </w:r>
      <w:r w:rsidR="008B3BAE">
        <w:t>four</w:t>
      </w:r>
      <w:r w:rsidR="008B3BAE" w:rsidRPr="00B61E2A">
        <w:t xml:space="preserve"> </w:t>
      </w:r>
      <w:r w:rsidRPr="00B61E2A">
        <w:t xml:space="preserve">years of the regulation leading up to the statutory review, the estimated administrative costs to the seven affected </w:t>
      </w:r>
      <w:r w:rsidR="0002641B">
        <w:t>SVOD</w:t>
      </w:r>
      <w:r w:rsidRPr="00B61E2A">
        <w:t>s is $1,</w:t>
      </w:r>
      <w:r w:rsidR="0067095A">
        <w:t>191,638</w:t>
      </w:r>
      <w:r w:rsidRPr="00B61E2A">
        <w:t>. Following the review, the ongoing administrative cost burden is calculated as $1,</w:t>
      </w:r>
      <w:r w:rsidR="0067095A">
        <w:t>162,574</w:t>
      </w:r>
      <w:r w:rsidRPr="00B61E2A">
        <w:t xml:space="preserve"> per year. The average over ten years is $1,</w:t>
      </w:r>
      <w:r w:rsidR="0067095A">
        <w:t>174</w:t>
      </w:r>
      <w:r w:rsidRPr="00B61E2A">
        <w:t>,</w:t>
      </w:r>
      <w:r w:rsidR="0067095A">
        <w:t>199</w:t>
      </w:r>
      <w:r w:rsidRPr="00B61E2A">
        <w:t xml:space="preserve"> per year.</w:t>
      </w:r>
    </w:p>
    <w:p w14:paraId="00A99ED7" w14:textId="77777777" w:rsidR="0078778E" w:rsidRDefault="0078778E" w:rsidP="0078778E">
      <w:pPr>
        <w:pStyle w:val="Heading3"/>
      </w:pPr>
      <w:bookmarkStart w:id="164" w:name="_Toc212099804"/>
      <w:r>
        <w:t>Compliance costs</w:t>
      </w:r>
      <w:bookmarkEnd w:id="164"/>
    </w:p>
    <w:p w14:paraId="063F4AB1" w14:textId="623E741B" w:rsidR="00380A00" w:rsidRDefault="0078778E" w:rsidP="00C74368">
      <w:r w:rsidRPr="00B61E2A">
        <w:t xml:space="preserve">The primary compliance costs of this regulation relate to the expenditure required by large </w:t>
      </w:r>
      <w:r w:rsidR="0002641B">
        <w:t>SVOD</w:t>
      </w:r>
      <w:r w:rsidRPr="00B61E2A">
        <w:t xml:space="preserve">s in the Australian market. According to expenditure data collected by the ACMA, five </w:t>
      </w:r>
      <w:r w:rsidR="0002641B">
        <w:t>SVOD</w:t>
      </w:r>
      <w:r w:rsidRPr="00B61E2A">
        <w:t>s operating in the Australian market spent</w:t>
      </w:r>
      <w:r w:rsidR="002F7FDE">
        <w:t xml:space="preserve"> </w:t>
      </w:r>
      <w:r w:rsidR="00380A00">
        <w:t>the below on</w:t>
      </w:r>
      <w:r w:rsidRPr="00B61E2A">
        <w:t xml:space="preserve"> Australian </w:t>
      </w:r>
      <w:r w:rsidR="002F7FDE">
        <w:t xml:space="preserve">adult and children’s </w:t>
      </w:r>
      <w:r w:rsidRPr="00B61E2A">
        <w:t xml:space="preserve">drama and documentary. </w:t>
      </w:r>
    </w:p>
    <w:p w14:paraId="45211EB3" w14:textId="3C65F3A4" w:rsidR="00380A00" w:rsidRDefault="00CD4ECB" w:rsidP="0078778E">
      <w:pPr>
        <w:pStyle w:val="BodyText"/>
        <w:rPr>
          <w:sz w:val="22"/>
        </w:rPr>
      </w:pPr>
      <w:r>
        <w:rPr>
          <w:noProof/>
          <w:sz w:val="22"/>
          <w:lang w:eastAsia="en-AU"/>
        </w:rPr>
        <w:drawing>
          <wp:inline distT="0" distB="0" distL="0" distR="0" wp14:anchorId="3C73929A" wp14:editId="2E40B205">
            <wp:extent cx="6210300" cy="2247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300" cy="2247900"/>
                    </a:xfrm>
                    <a:prstGeom prst="rect">
                      <a:avLst/>
                    </a:prstGeom>
                    <a:noFill/>
                  </pic:spPr>
                </pic:pic>
              </a:graphicData>
            </a:graphic>
          </wp:inline>
        </w:drawing>
      </w:r>
    </w:p>
    <w:p w14:paraId="22A3996C" w14:textId="77777777" w:rsidR="00380A00" w:rsidRDefault="00380A00" w:rsidP="0078778E">
      <w:pPr>
        <w:pStyle w:val="BodyText"/>
        <w:rPr>
          <w:sz w:val="22"/>
        </w:rPr>
      </w:pPr>
    </w:p>
    <w:p w14:paraId="79417708" w14:textId="10F9108B" w:rsidR="00942A7E" w:rsidRDefault="0078778E" w:rsidP="00C74368">
      <w:r w:rsidRPr="00B61E2A">
        <w:t xml:space="preserve">The required expenditure </w:t>
      </w:r>
      <w:r w:rsidR="00607D4B">
        <w:t>modelled earlier</w:t>
      </w:r>
      <w:r w:rsidR="009023E1">
        <w:t>,</w:t>
      </w:r>
      <w:r w:rsidR="00607D4B">
        <w:t xml:space="preserve"> </w:t>
      </w:r>
      <w:r w:rsidR="0067095A" w:rsidRPr="0067095A">
        <w:t xml:space="preserve">estimates the expenditure requirement </w:t>
      </w:r>
      <w:r w:rsidR="0067095A">
        <w:t xml:space="preserve">to be a spend </w:t>
      </w:r>
      <w:r w:rsidR="0067095A" w:rsidRPr="0067095A">
        <w:t>of between $175 million to $200 million each year on new Australian content (approximately 48 to 53 hours of content)</w:t>
      </w:r>
      <w:r w:rsidR="009023E1">
        <w:t xml:space="preserve"> this</w:t>
      </w:r>
      <w:r w:rsidR="0067095A" w:rsidRPr="0067095A">
        <w:t xml:space="preserve"> </w:t>
      </w:r>
      <w:r w:rsidRPr="00B61E2A">
        <w:t xml:space="preserve">would be </w:t>
      </w:r>
      <w:r w:rsidR="008B3BAE">
        <w:t>consistent</w:t>
      </w:r>
      <w:r w:rsidR="00EC2D43">
        <w:t xml:space="preserve"> </w:t>
      </w:r>
      <w:r w:rsidR="009023E1">
        <w:t xml:space="preserve">with the </w:t>
      </w:r>
      <w:r w:rsidR="00EC2D43">
        <w:t>current expenditure for Australian adult drama, children’s and documentary programs</w:t>
      </w:r>
      <w:r w:rsidR="009023E1">
        <w:t xml:space="preserve"> by </w:t>
      </w:r>
      <w:r w:rsidR="0002641B">
        <w:t>SVOD</w:t>
      </w:r>
      <w:r w:rsidR="009023E1">
        <w:t>s</w:t>
      </w:r>
      <w:r w:rsidR="00FE238D">
        <w:t>,</w:t>
      </w:r>
      <w:r w:rsidR="00EC2D43">
        <w:t xml:space="preserve"> which is an average of $193</w:t>
      </w:r>
      <w:r w:rsidR="008B3BAE">
        <w:t>.4 million</w:t>
      </w:r>
      <w:r w:rsidR="00FE238D">
        <w:t>,</w:t>
      </w:r>
      <w:r w:rsidR="00EC2D43">
        <w:t xml:space="preserve"> </w:t>
      </w:r>
      <w:r w:rsidRPr="00B61E2A">
        <w:t>accounting for the lumpy nature of production cycles.</w:t>
      </w:r>
      <w:r w:rsidR="007F59CF">
        <w:t xml:space="preserve"> This would confirm ongoing investment for future years. </w:t>
      </w:r>
    </w:p>
    <w:p w14:paraId="5F8073F4" w14:textId="17A4BC27" w:rsidR="00D25280" w:rsidRDefault="00942A7E" w:rsidP="00C74368">
      <w:r w:rsidRPr="00942A7E">
        <w:t xml:space="preserve">This model is expected to have a </w:t>
      </w:r>
      <w:r w:rsidR="006E530D" w:rsidRPr="00942A7E">
        <w:t>mode</w:t>
      </w:r>
      <w:r w:rsidR="006E530D">
        <w:t xml:space="preserve">st </w:t>
      </w:r>
      <w:r w:rsidRPr="00942A7E">
        <w:t>budgetary impact on the ACMA</w:t>
      </w:r>
      <w:r w:rsidR="006E530D">
        <w:t xml:space="preserve"> as the regulator. ACMA </w:t>
      </w:r>
      <w:r w:rsidRPr="00942A7E">
        <w:t xml:space="preserve">would be required to oversee and administer </w:t>
      </w:r>
      <w:r w:rsidR="006E530D">
        <w:t xml:space="preserve">the framework </w:t>
      </w:r>
      <w:r w:rsidRPr="00942A7E">
        <w:t xml:space="preserve">to give effect to the regulatory </w:t>
      </w:r>
      <w:r w:rsidR="006E530D">
        <w:t xml:space="preserve">streaming </w:t>
      </w:r>
      <w:r w:rsidRPr="00942A7E">
        <w:t xml:space="preserve">requirement. To ensure </w:t>
      </w:r>
      <w:r w:rsidR="0002641B">
        <w:t>SVOD</w:t>
      </w:r>
      <w:r w:rsidR="006E530D">
        <w:t xml:space="preserve">s within scope </w:t>
      </w:r>
      <w:r w:rsidRPr="00942A7E">
        <w:t>comply with these</w:t>
      </w:r>
      <w:r w:rsidR="006E530D">
        <w:t xml:space="preserve"> </w:t>
      </w:r>
      <w:r w:rsidRPr="00942A7E">
        <w:t>requirements, the ACMA would need to increase its monitoring functions</w:t>
      </w:r>
      <w:r w:rsidR="00083C5C">
        <w:t xml:space="preserve"> and </w:t>
      </w:r>
      <w:r w:rsidR="008B3BAE">
        <w:t xml:space="preserve">initiate </w:t>
      </w:r>
      <w:r w:rsidR="00083C5C">
        <w:t>a new IT build for data collection and analysis</w:t>
      </w:r>
      <w:r w:rsidRPr="00942A7E">
        <w:t xml:space="preserve">. There may also be a need for additional reporting requirements which the ACMA would have to enforce. As the </w:t>
      </w:r>
      <w:r w:rsidR="006E530D">
        <w:t xml:space="preserve">number of eligible </w:t>
      </w:r>
      <w:r w:rsidR="0002641B">
        <w:t>SVOD</w:t>
      </w:r>
      <w:r w:rsidR="006E530D">
        <w:t xml:space="preserve">s could rise </w:t>
      </w:r>
      <w:r w:rsidRPr="00942A7E">
        <w:t>under this model</w:t>
      </w:r>
      <w:r w:rsidR="006E530D">
        <w:t>,</w:t>
      </w:r>
      <w:r w:rsidR="006E530D" w:rsidRPr="006E530D">
        <w:t xml:space="preserve"> with new entries into the market</w:t>
      </w:r>
      <w:r w:rsidR="006E530D">
        <w:t xml:space="preserve"> or services that move over the 1</w:t>
      </w:r>
      <w:r w:rsidR="00BF437E">
        <w:t xml:space="preserve"> </w:t>
      </w:r>
      <w:r w:rsidR="006E530D">
        <w:t>million</w:t>
      </w:r>
      <w:r w:rsidR="00BF437E">
        <w:t xml:space="preserve"> </w:t>
      </w:r>
      <w:r w:rsidR="006E530D">
        <w:t>subscriber threshold</w:t>
      </w:r>
      <w:r w:rsidRPr="00942A7E">
        <w:t xml:space="preserve">, so </w:t>
      </w:r>
      <w:r w:rsidR="00FE238D">
        <w:t xml:space="preserve">too </w:t>
      </w:r>
      <w:r w:rsidRPr="00942A7E">
        <w:t>could the number of potential compliance issues</w:t>
      </w:r>
      <w:r w:rsidR="006E530D">
        <w:t xml:space="preserve"> and activities</w:t>
      </w:r>
      <w:r w:rsidRPr="00942A7E">
        <w:t>. This could increase the time the ACMA spends on its enforcement functions. The ACMA would require increased resources to fulfil this function.</w:t>
      </w:r>
    </w:p>
    <w:p w14:paraId="5DED2FD4" w14:textId="77777777" w:rsidR="009D5C9A" w:rsidRDefault="009D5C9A" w:rsidP="009D5C9A">
      <w:pPr>
        <w:pStyle w:val="Heading2"/>
      </w:pPr>
      <w:bookmarkStart w:id="165" w:name="_Toc212099805"/>
      <w:r>
        <w:t>Risk management</w:t>
      </w:r>
      <w:bookmarkEnd w:id="165"/>
      <w:r>
        <w:t xml:space="preserve"> </w:t>
      </w:r>
    </w:p>
    <w:p w14:paraId="6F50D033" w14:textId="32AEE7AB" w:rsidR="009D5C9A" w:rsidRDefault="009D5C9A" w:rsidP="00C74368">
      <w:r>
        <w:t>The department has identified a variety of risks during consultation and the design of the streaming requirement. Through consultation s</w:t>
      </w:r>
      <w:r w:rsidRPr="003F60C5">
        <w:t xml:space="preserve">ome </w:t>
      </w:r>
      <w:r w:rsidR="0002641B">
        <w:t>SVOD</w:t>
      </w:r>
      <w:r>
        <w:t>s</w:t>
      </w:r>
      <w:r w:rsidRPr="003F60C5">
        <w:t xml:space="preserve"> have reported expenditure on Australian content at rates that are loosely equivalent to, or exceed, the investment level that would be imposed by a 10 per cent expenditure obligation (including </w:t>
      </w:r>
      <w:r w:rsidR="00FE238D">
        <w:t xml:space="preserve">the Australian portion of a service’s </w:t>
      </w:r>
      <w:r w:rsidRPr="003F60C5">
        <w:t xml:space="preserve">global content). There is a risk that this level of expenditure becomes a ceiling for the investment targets of </w:t>
      </w:r>
      <w:r w:rsidR="0002641B">
        <w:t>SVOD</w:t>
      </w:r>
      <w:r w:rsidRPr="003F60C5">
        <w:t xml:space="preserve">s subject to the obligation, rather than the minimum. Data provided to </w:t>
      </w:r>
      <w:r w:rsidR="008B3BAE">
        <w:t xml:space="preserve">the </w:t>
      </w:r>
      <w:r w:rsidRPr="003F60C5">
        <w:t xml:space="preserve">ACMA will indicate whether this is occurring, and there will be an opportunity </w:t>
      </w:r>
      <w:r>
        <w:t xml:space="preserve">for the Government to assess options for mitigation during the </w:t>
      </w:r>
      <w:r w:rsidR="00760E5C">
        <w:t xml:space="preserve">statutory </w:t>
      </w:r>
      <w:r>
        <w:t>review four years after the introduction of the streaming requirement</w:t>
      </w:r>
      <w:r w:rsidRPr="003F60C5">
        <w:t>.</w:t>
      </w:r>
      <w:r>
        <w:t xml:space="preserve"> </w:t>
      </w:r>
    </w:p>
    <w:p w14:paraId="0A501BDB" w14:textId="70E67B38" w:rsidR="009D5C9A" w:rsidRDefault="009D5C9A" w:rsidP="00C74368">
      <w:r>
        <w:t xml:space="preserve">There is also a risk that </w:t>
      </w:r>
      <w:r w:rsidR="0002641B">
        <w:t>SVOD</w:t>
      </w:r>
      <w:r>
        <w:t>s reduce their overall total program expenditure and service offering to Australian viewers so their 10 per cent obligation for new Australian programming is lower</w:t>
      </w:r>
      <w:r w:rsidR="008B3BAE">
        <w:t>, h</w:t>
      </w:r>
      <w:r w:rsidR="00FE238D">
        <w:t>owever, t</w:t>
      </w:r>
      <w:r>
        <w:t xml:space="preserve">his risk </w:t>
      </w:r>
      <w:r>
        <w:lastRenderedPageBreak/>
        <w:t xml:space="preserve">is negligible. </w:t>
      </w:r>
      <w:r w:rsidR="0002641B">
        <w:t>SVOD</w:t>
      </w:r>
      <w:r>
        <w:t>s have a strong commercial incentive to ensure a diverse and high-quality program offering on their platforms to drive and sustain Australian subscribers, and this is expected to continue into the future.</w:t>
      </w:r>
    </w:p>
    <w:p w14:paraId="3E49669E" w14:textId="3D63EF56" w:rsidR="009D5C9A" w:rsidRDefault="009D5C9A" w:rsidP="00C74368">
      <w:pPr>
        <w:rPr>
          <w:lang w:val="en-US"/>
        </w:rPr>
      </w:pPr>
      <w:r w:rsidRPr="003F60C5">
        <w:t xml:space="preserve">The regulator and the department will </w:t>
      </w:r>
      <w:r>
        <w:t xml:space="preserve">also </w:t>
      </w:r>
      <w:r w:rsidRPr="003F60C5">
        <w:t xml:space="preserve">need to monitor any potential attempts by </w:t>
      </w:r>
      <w:r w:rsidR="0002641B">
        <w:t>SVOD</w:t>
      </w:r>
      <w:r>
        <w:t>s</w:t>
      </w:r>
      <w:r w:rsidRPr="003F60C5">
        <w:t xml:space="preserve"> to subvert the obligation via deliberate adjustments to their business models. This risk has been increasingly underscored during targeted consultations, especially as competition between </w:t>
      </w:r>
      <w:r w:rsidR="0002641B">
        <w:t>SVOD</w:t>
      </w:r>
      <w:r>
        <w:t xml:space="preserve">s </w:t>
      </w:r>
      <w:r w:rsidRPr="003F60C5">
        <w:t xml:space="preserve">grows and the trend for Australian viewers to reduce the number of online </w:t>
      </w:r>
      <w:r w:rsidR="0002641B">
        <w:t>SVOD</w:t>
      </w:r>
      <w:r>
        <w:t xml:space="preserve">s </w:t>
      </w:r>
      <w:r w:rsidRPr="003F60C5">
        <w:t>to which they subscribe, principally due to cost of living pressures.</w:t>
      </w:r>
      <w:r>
        <w:t xml:space="preserve"> For example, t</w:t>
      </w:r>
      <w:r>
        <w:rPr>
          <w:lang w:val="en-US"/>
        </w:rPr>
        <w:t xml:space="preserve">he department and </w:t>
      </w:r>
      <w:r w:rsidR="008B3BAE">
        <w:rPr>
          <w:lang w:val="en-US"/>
        </w:rPr>
        <w:t xml:space="preserve">the </w:t>
      </w:r>
      <w:r>
        <w:rPr>
          <w:lang w:val="en-US"/>
        </w:rPr>
        <w:t>ACMA will develop measures counteracting attempts to reduce subscriber numbers through the diversification of services in the same corporate group.</w:t>
      </w:r>
    </w:p>
    <w:p w14:paraId="20F28EDF" w14:textId="77777777" w:rsidR="0078778E" w:rsidRPr="00BA651D" w:rsidRDefault="0078778E" w:rsidP="00B61E2A">
      <w:pPr>
        <w:pStyle w:val="Heading1"/>
      </w:pPr>
      <w:bookmarkStart w:id="166" w:name="_Toc156484970"/>
      <w:bookmarkStart w:id="167" w:name="_Toc156485042"/>
      <w:bookmarkStart w:id="168" w:name="_Toc156485114"/>
      <w:bookmarkStart w:id="169" w:name="_Toc156485186"/>
      <w:bookmarkStart w:id="170" w:name="_Toc156485258"/>
      <w:bookmarkStart w:id="171" w:name="_Toc212099806"/>
      <w:bookmarkEnd w:id="157"/>
      <w:bookmarkEnd w:id="158"/>
      <w:bookmarkEnd w:id="159"/>
      <w:bookmarkEnd w:id="160"/>
      <w:bookmarkEnd w:id="161"/>
      <w:r w:rsidRPr="00B61E2A">
        <w:rPr>
          <w:b/>
        </w:rPr>
        <w:t>5. Who did you consult and how did you incorporate their feedback?</w:t>
      </w:r>
      <w:bookmarkEnd w:id="166"/>
      <w:bookmarkEnd w:id="167"/>
      <w:bookmarkEnd w:id="168"/>
      <w:bookmarkEnd w:id="169"/>
      <w:bookmarkEnd w:id="170"/>
      <w:bookmarkEnd w:id="171"/>
    </w:p>
    <w:p w14:paraId="145FC1D4" w14:textId="77777777" w:rsidR="0078778E" w:rsidRPr="00E819D1" w:rsidRDefault="0078778E" w:rsidP="0078778E">
      <w:pPr>
        <w:pStyle w:val="Heading2"/>
        <w:rPr>
          <w:sz w:val="32"/>
          <w:szCs w:val="32"/>
        </w:rPr>
      </w:pPr>
      <w:bookmarkStart w:id="172" w:name="_Toc156313459"/>
      <w:bookmarkStart w:id="173" w:name="_Toc156484971"/>
      <w:bookmarkStart w:id="174" w:name="_Toc156485043"/>
      <w:bookmarkStart w:id="175" w:name="_Toc156485115"/>
      <w:bookmarkStart w:id="176" w:name="_Toc156485187"/>
      <w:bookmarkStart w:id="177" w:name="_Toc156485259"/>
      <w:bookmarkStart w:id="178" w:name="_Toc212099807"/>
      <w:r w:rsidRPr="00E819D1">
        <w:rPr>
          <w:sz w:val="32"/>
          <w:szCs w:val="32"/>
        </w:rPr>
        <w:t>Consultation</w:t>
      </w:r>
      <w:bookmarkEnd w:id="172"/>
      <w:bookmarkEnd w:id="173"/>
      <w:bookmarkEnd w:id="174"/>
      <w:bookmarkEnd w:id="175"/>
      <w:bookmarkEnd w:id="176"/>
      <w:bookmarkEnd w:id="177"/>
      <w:bookmarkEnd w:id="178"/>
    </w:p>
    <w:p w14:paraId="389B9A10" w14:textId="77777777" w:rsidR="00B03555" w:rsidRDefault="00B03555" w:rsidP="00C74368">
      <w:r>
        <w:t xml:space="preserve">The </w:t>
      </w:r>
      <w:r w:rsidR="007D6FEC">
        <w:t>department</w:t>
      </w:r>
      <w:r>
        <w:t xml:space="preserve"> undertook a genuine</w:t>
      </w:r>
      <w:r w:rsidR="007D6FEC">
        <w:t xml:space="preserve">, </w:t>
      </w:r>
      <w:r w:rsidR="002343A6">
        <w:t>targeted</w:t>
      </w:r>
      <w:r w:rsidR="007D6FEC">
        <w:t>,</w:t>
      </w:r>
      <w:r>
        <w:t xml:space="preserve"> consultation process to ensure it has considered the real-world impact </w:t>
      </w:r>
      <w:r w:rsidR="007D6FEC">
        <w:t>of the streaming requirement considered for this Impact Analysis. This included meeting with affected businesses, and organisations as well as with other Australian Government agencies to avoid creating cumulative or overlapping impacts with the proposed reform.</w:t>
      </w:r>
      <w:r w:rsidR="00776E80">
        <w:t xml:space="preserve"> The department recognises that consultation was particularly important </w:t>
      </w:r>
      <w:r w:rsidR="007D104F">
        <w:t xml:space="preserve">as it helped </w:t>
      </w:r>
      <w:r w:rsidR="00776E80">
        <w:t xml:space="preserve">to understand potential distributional impacts of the proposed streaming requirement across the sector. The department also notes </w:t>
      </w:r>
      <w:r w:rsidR="008F3EA8">
        <w:t xml:space="preserve">effort that was required from affected businesses and organisations to participate in consultation for the streaming requirement. </w:t>
      </w:r>
    </w:p>
    <w:p w14:paraId="44722C8E" w14:textId="1136293E" w:rsidR="0078778E" w:rsidRPr="009F3D18" w:rsidRDefault="0078778E" w:rsidP="00C74368">
      <w:r w:rsidRPr="00E44FDE">
        <w:t xml:space="preserve">Initial public feedback on Australian screen content requirements for </w:t>
      </w:r>
      <w:r w:rsidR="0002641B">
        <w:t>SVOD</w:t>
      </w:r>
      <w:r w:rsidRPr="009F3D18">
        <w:t>s was provided in submissions to the National Cultural Policy.</w:t>
      </w:r>
      <w:r w:rsidRPr="00E44FDE">
        <w:rPr>
          <w:rStyle w:val="FootnoteReference"/>
        </w:rPr>
        <w:footnoteReference w:id="43"/>
      </w:r>
      <w:r w:rsidRPr="00E44FDE">
        <w:t xml:space="preserve"> </w:t>
      </w:r>
      <w:r w:rsidRPr="009F3D18">
        <w:rPr>
          <w:i/>
        </w:rPr>
        <w:t>Revive</w:t>
      </w:r>
      <w:r w:rsidRPr="009F3D18">
        <w:t xml:space="preserve"> required that further consultation be undertaken in the first half of 2023 on the details of actions to be taken by the Government to introduce the requirements.</w:t>
      </w:r>
    </w:p>
    <w:p w14:paraId="660AB36E" w14:textId="5245D8D9" w:rsidR="0078778E" w:rsidRPr="004E1A82" w:rsidRDefault="0078778E" w:rsidP="00C74368">
      <w:r w:rsidRPr="0048481E">
        <w:t xml:space="preserve">Consultation specific to the </w:t>
      </w:r>
      <w:r w:rsidR="009F0C3B" w:rsidRPr="0048481E">
        <w:t xml:space="preserve">streaming requirement </w:t>
      </w:r>
      <w:r w:rsidRPr="0048481E">
        <w:t xml:space="preserve">was undertaken in 2023 with a first phase of targeted consultation in March to May 2023, and a second phase in November to December 2023. Those stakeholders considered to be directly affected by the introduction of Australian content requirements for </w:t>
      </w:r>
      <w:r w:rsidR="0002641B">
        <w:t>SVOD</w:t>
      </w:r>
      <w:r w:rsidRPr="0048481E">
        <w:t>s were consulted, including the screen production sector,</w:t>
      </w:r>
      <w:r w:rsidRPr="0048481E" w:rsidDel="0095022C">
        <w:t xml:space="preserve"> </w:t>
      </w:r>
      <w:r w:rsidR="0002641B">
        <w:t>SVOD</w:t>
      </w:r>
      <w:r w:rsidRPr="0048481E">
        <w:t>s, free-to-air television broadcasters and subscription television broadcasters. In both consultations, a consultation paper was issued outlining options for consideration.</w:t>
      </w:r>
      <w:r w:rsidR="00B46914" w:rsidRPr="0048481E">
        <w:t xml:space="preserve"> The design of the questions within the consultation papers were informed by the department’s Bureau of Communications, Arts and Regional Research and the Office of Impact Analysis. </w:t>
      </w:r>
      <w:r w:rsidRPr="0048481E">
        <w:t>Roundtables were also held to further explore stakeholder views and positions.</w:t>
      </w:r>
      <w:r w:rsidR="00B46914" w:rsidRPr="0048481E">
        <w:t xml:space="preserve"> </w:t>
      </w:r>
      <w:r w:rsidR="008C6E2C">
        <w:t>Following this, t</w:t>
      </w:r>
      <w:r w:rsidR="008C6E2C" w:rsidRPr="00B61E2A">
        <w:t xml:space="preserve">he Government </w:t>
      </w:r>
      <w:r w:rsidR="008C6E2C">
        <w:t xml:space="preserve">has </w:t>
      </w:r>
      <w:r w:rsidR="008C6E2C" w:rsidRPr="00B61E2A">
        <w:t xml:space="preserve">continued </w:t>
      </w:r>
      <w:r w:rsidR="008B3BAE">
        <w:t xml:space="preserve">to </w:t>
      </w:r>
      <w:r w:rsidR="008C6E2C" w:rsidRPr="00B61E2A">
        <w:t>consul</w:t>
      </w:r>
      <w:r w:rsidR="008C6E2C">
        <w:t>t</w:t>
      </w:r>
      <w:r w:rsidR="008C6E2C" w:rsidRPr="00B61E2A">
        <w:t xml:space="preserve"> </w:t>
      </w:r>
      <w:r w:rsidR="008C6E2C">
        <w:t xml:space="preserve">extensively </w:t>
      </w:r>
      <w:r w:rsidR="008C6E2C" w:rsidRPr="00B61E2A">
        <w:t xml:space="preserve">with industry and </w:t>
      </w:r>
      <w:r w:rsidR="008C6E2C">
        <w:t>G</w:t>
      </w:r>
      <w:r w:rsidR="008C6E2C" w:rsidRPr="00B61E2A">
        <w:t>overnment stakeholders through</w:t>
      </w:r>
      <w:r w:rsidR="008C6E2C">
        <w:t>out</w:t>
      </w:r>
      <w:r w:rsidR="008C6E2C" w:rsidRPr="00B61E2A">
        <w:t xml:space="preserve"> 2024</w:t>
      </w:r>
      <w:r w:rsidR="008C6E2C">
        <w:t xml:space="preserve"> and 20</w:t>
      </w:r>
      <w:r w:rsidR="008C6E2C" w:rsidRPr="00B61E2A">
        <w:t>25.</w:t>
      </w:r>
    </w:p>
    <w:p w14:paraId="43925E26" w14:textId="77777777" w:rsidR="008C6E2C" w:rsidRPr="004422DE" w:rsidRDefault="008C6E2C" w:rsidP="00C74368">
      <w:r w:rsidRPr="004422DE">
        <w:t xml:space="preserve">As agencies responsible for providing policy advice to the Government should also consult the relevant regulators and government bodies to ensure that policies can be administered in a manner that is consistent with the Government’s intent, the department has consulted regularly with Screen Australia and the ACMA on models for the streaming requirement and the potential impacts of the new regulation. </w:t>
      </w:r>
    </w:p>
    <w:p w14:paraId="6132B3D1" w14:textId="5C9CE7FA" w:rsidR="0078778E" w:rsidRPr="0048481E" w:rsidRDefault="0078778E" w:rsidP="00C74368">
      <w:r w:rsidRPr="0048481E">
        <w:t>Stakeholder views during and following consultation have remained largely entrenched</w:t>
      </w:r>
      <w:r w:rsidR="008C6E2C" w:rsidRPr="0048481E">
        <w:t xml:space="preserve"> and polarised</w:t>
      </w:r>
      <w:r w:rsidRPr="0048481E">
        <w:t xml:space="preserve">. </w:t>
      </w:r>
      <w:r w:rsidR="008C6E2C" w:rsidRPr="0048481E">
        <w:t xml:space="preserve">The screen production sector remains committed to a percentage of revenue-based model with sub-quotas for drama, documentary and children’s programs. These stakeholders also advocate a narrow definition of Australian content, based on Australian creative control. </w:t>
      </w:r>
      <w:r w:rsidR="0002641B">
        <w:t>SVOD</w:t>
      </w:r>
      <w:r w:rsidR="008C6E2C" w:rsidRPr="0048481E">
        <w:t xml:space="preserve"> providers have continually advocated for a regulatory model based on the NEDE scheme, </w:t>
      </w:r>
      <w:r w:rsidR="008C6E2C" w:rsidRPr="00BA651D">
        <w:t>requir</w:t>
      </w:r>
      <w:r w:rsidR="008B3BAE">
        <w:t>ing</w:t>
      </w:r>
      <w:r w:rsidR="008C6E2C" w:rsidRPr="00BA651D">
        <w:t xml:space="preserve"> </w:t>
      </w:r>
      <w:r w:rsidR="008C6E2C">
        <w:t>them</w:t>
      </w:r>
      <w:r w:rsidR="008C6E2C" w:rsidRPr="00BA651D">
        <w:t xml:space="preserve"> </w:t>
      </w:r>
      <w:r w:rsidR="008B3BAE">
        <w:t xml:space="preserve">to </w:t>
      </w:r>
      <w:r w:rsidR="008C6E2C" w:rsidRPr="00BA651D">
        <w:t xml:space="preserve">invest at least 10 per cent of their </w:t>
      </w:r>
      <w:r w:rsidR="008C6E2C">
        <w:t xml:space="preserve">Australian </w:t>
      </w:r>
      <w:r w:rsidR="008C6E2C" w:rsidRPr="00BA651D">
        <w:t xml:space="preserve">drama expenditure on new Australian </w:t>
      </w:r>
      <w:r w:rsidR="008C6E2C">
        <w:t>content</w:t>
      </w:r>
      <w:r w:rsidR="008C6E2C" w:rsidRPr="0048481E">
        <w:t xml:space="preserve"> with no sub-quotas for specific genres. </w:t>
      </w:r>
      <w:r w:rsidRPr="0048481E">
        <w:t xml:space="preserve">Free-to-air broadcasters are most concerned about the potential inflationary impacts of the obligation on costs across the screen production sector and the resulting impact on their ability to provide Australian content to their audiences. </w:t>
      </w:r>
      <w:r w:rsidRPr="0048481E">
        <w:lastRenderedPageBreak/>
        <w:t xml:space="preserve">They support a </w:t>
      </w:r>
      <w:r w:rsidR="008C6E2C" w:rsidRPr="0048481E">
        <w:t>model based on the NEDE scheme</w:t>
      </w:r>
      <w:r w:rsidR="008C6E2C" w:rsidRPr="0048481E" w:rsidDel="008C6E2C">
        <w:t xml:space="preserve"> </w:t>
      </w:r>
      <w:r w:rsidRPr="0048481E">
        <w:t>using the existing Australian content definition that applies to free-to-air broadcasters and subscription television broadcasters.</w:t>
      </w:r>
      <w:r w:rsidR="008C6E2C">
        <w:t xml:space="preserve"> </w:t>
      </w:r>
      <w:r w:rsidRPr="0048481E">
        <w:t xml:space="preserve">While a number of alternative models have been developed and proposed over the course of the two-phase consultation process, no proposed model </w:t>
      </w:r>
      <w:r w:rsidR="00806DD8" w:rsidRPr="0048481E">
        <w:t xml:space="preserve">was </w:t>
      </w:r>
      <w:r w:rsidRPr="0048481E">
        <w:t xml:space="preserve">endorsed by all stakeholder groups. </w:t>
      </w:r>
    </w:p>
    <w:p w14:paraId="712934DC" w14:textId="1D611B5C" w:rsidR="007538C6" w:rsidRDefault="008C6E2C" w:rsidP="00C74368">
      <w:r w:rsidRPr="002343A6">
        <w:t xml:space="preserve">It </w:t>
      </w:r>
      <w:r>
        <w:t xml:space="preserve">has </w:t>
      </w:r>
      <w:r w:rsidR="00C46DBE" w:rsidRPr="002343A6">
        <w:t>bec</w:t>
      </w:r>
      <w:r w:rsidR="00C46DBE">
        <w:t>o</w:t>
      </w:r>
      <w:r w:rsidR="00C46DBE" w:rsidRPr="002343A6">
        <w:t>me</w:t>
      </w:r>
      <w:r w:rsidRPr="002343A6">
        <w:t xml:space="preserve"> clear through the targeted consultation process that any requirement based </w:t>
      </w:r>
      <w:r w:rsidRPr="001B2E65">
        <w:rPr>
          <w:u w:val="single"/>
        </w:rPr>
        <w:t>solely</w:t>
      </w:r>
      <w:r w:rsidRPr="002343A6">
        <w:t xml:space="preserve"> on total drama expenditure for a streaming platform’s Australian service and does not include ‘global content’ in its denominator</w:t>
      </w:r>
      <w:r>
        <w:t xml:space="preserve"> </w:t>
      </w:r>
      <w:r w:rsidRPr="002343A6">
        <w:t xml:space="preserve">would not guarantee Australian content is commissioned by </w:t>
      </w:r>
      <w:r w:rsidR="0002641B">
        <w:t>SVOD</w:t>
      </w:r>
      <w:r w:rsidRPr="002343A6">
        <w:t>s in Australia.</w:t>
      </w:r>
      <w:r>
        <w:t xml:space="preserve"> </w:t>
      </w:r>
      <w:r w:rsidR="00C46DBE">
        <w:t>This, and t</w:t>
      </w:r>
      <w:r w:rsidR="00806DD8" w:rsidRPr="00B61E2A">
        <w:t>he views of stakeholders and the analysis undertaken through the review process</w:t>
      </w:r>
      <w:r w:rsidR="00C46DBE">
        <w:t>,</w:t>
      </w:r>
      <w:r w:rsidR="00806DD8" w:rsidRPr="00B61E2A">
        <w:t xml:space="preserve"> informed the development of the recommended model for Australian screen content requirements on </w:t>
      </w:r>
      <w:r w:rsidR="0002641B">
        <w:t>SVOD</w:t>
      </w:r>
      <w:r w:rsidR="00806DD8" w:rsidRPr="00B61E2A">
        <w:t>s</w:t>
      </w:r>
      <w:r w:rsidR="00506477">
        <w:t>:</w:t>
      </w:r>
      <w:r w:rsidR="00806DD8" w:rsidRPr="00B61E2A">
        <w:t xml:space="preserve"> to introduce a requirement for </w:t>
      </w:r>
      <w:r w:rsidR="0002641B">
        <w:t>SVOD</w:t>
      </w:r>
      <w:r w:rsidR="00806DD8" w:rsidRPr="00B61E2A">
        <w:t>s to invest at least 10 per cent of their total program expenditure for Australia (excluding news and sport) in new Australian screen content</w:t>
      </w:r>
      <w:r w:rsidR="00806DD8">
        <w:t xml:space="preserve"> (Option 2)</w:t>
      </w:r>
      <w:r w:rsidR="00806DD8" w:rsidRPr="00B61E2A">
        <w:t xml:space="preserve">. </w:t>
      </w:r>
    </w:p>
    <w:p w14:paraId="54DDD741" w14:textId="77777777" w:rsidR="0078778E" w:rsidRPr="00C74368" w:rsidRDefault="0078778E" w:rsidP="00C74368">
      <w:pPr>
        <w:pStyle w:val="Heading1"/>
        <w:rPr>
          <w:b/>
        </w:rPr>
      </w:pPr>
      <w:bookmarkStart w:id="179" w:name="_Toc156484980"/>
      <w:bookmarkStart w:id="180" w:name="_Toc156485052"/>
      <w:bookmarkStart w:id="181" w:name="_Toc156485124"/>
      <w:bookmarkStart w:id="182" w:name="_Toc156485196"/>
      <w:bookmarkStart w:id="183" w:name="_Toc156485268"/>
      <w:bookmarkStart w:id="184" w:name="_Toc212099808"/>
      <w:r w:rsidRPr="00C74368">
        <w:rPr>
          <w:b/>
        </w:rPr>
        <w:t>6. What is the best option from those you have considered?</w:t>
      </w:r>
      <w:bookmarkEnd w:id="179"/>
      <w:bookmarkEnd w:id="180"/>
      <w:bookmarkEnd w:id="181"/>
      <w:bookmarkEnd w:id="182"/>
      <w:bookmarkEnd w:id="183"/>
      <w:bookmarkEnd w:id="184"/>
    </w:p>
    <w:p w14:paraId="5D97B1DA" w14:textId="77777777" w:rsidR="0078778E" w:rsidRPr="005360C6" w:rsidRDefault="0078778E" w:rsidP="0078778E">
      <w:pPr>
        <w:pStyle w:val="Heading2"/>
        <w:rPr>
          <w:sz w:val="32"/>
        </w:rPr>
      </w:pPr>
      <w:bookmarkStart w:id="185" w:name="_Toc212099809"/>
      <w:bookmarkStart w:id="186" w:name="_Toc156313470"/>
      <w:bookmarkStart w:id="187" w:name="_Toc156484982"/>
      <w:bookmarkStart w:id="188" w:name="_Toc156485054"/>
      <w:bookmarkStart w:id="189" w:name="_Toc156485126"/>
      <w:bookmarkStart w:id="190" w:name="_Toc156485198"/>
      <w:bookmarkStart w:id="191" w:name="_Toc156485270"/>
      <w:r w:rsidRPr="005360C6">
        <w:rPr>
          <w:sz w:val="32"/>
        </w:rPr>
        <w:t>Considerations</w:t>
      </w:r>
      <w:bookmarkEnd w:id="185"/>
    </w:p>
    <w:p w14:paraId="1F8EDED9" w14:textId="77777777" w:rsidR="00C46DBE" w:rsidRDefault="0078778E" w:rsidP="00C74368">
      <w:r w:rsidRPr="00B61E2A">
        <w:t>The proposed regulation seeks to balance a variety of important considerations in achieving the Government’s objectives</w:t>
      </w:r>
      <w:r w:rsidR="004971DF">
        <w:t xml:space="preserve">. </w:t>
      </w:r>
    </w:p>
    <w:p w14:paraId="4707FED4" w14:textId="316361A1" w:rsidR="00C46DBE" w:rsidRDefault="00C46DBE" w:rsidP="00C74368">
      <w:r w:rsidRPr="00B61E2A">
        <w:t xml:space="preserve">Australian stories reflect a sense of Australian identity, character and cultural diversity for local audiences. There is public value in Australian screen content that speaks directly to audiences through its depiction of Australian themes, language and social values that enhance our understanding and experience of our culture. </w:t>
      </w:r>
      <w:r>
        <w:t>It is vital to ensure the</w:t>
      </w:r>
      <w:r w:rsidR="004971DF">
        <w:t xml:space="preserve"> </w:t>
      </w:r>
      <w:r w:rsidR="00283BBD" w:rsidRPr="00283BBD">
        <w:t xml:space="preserve">sustained and ongoing investment in Australian </w:t>
      </w:r>
      <w:r w:rsidR="004971DF">
        <w:t>stories into the future. Option 2 guarantees the</w:t>
      </w:r>
      <w:r w:rsidR="00F771F6">
        <w:t xml:space="preserve"> continued</w:t>
      </w:r>
      <w:r w:rsidR="004971DF">
        <w:t xml:space="preserve"> production of new Australian programs on </w:t>
      </w:r>
      <w:r w:rsidR="0002641B">
        <w:t>SVOD</w:t>
      </w:r>
      <w:r w:rsidR="004971DF">
        <w:t xml:space="preserve">s operating in Australia, this is </w:t>
      </w:r>
      <w:r w:rsidR="00283BBD" w:rsidRPr="00283BBD">
        <w:t xml:space="preserve">beneficial to Australian </w:t>
      </w:r>
      <w:r>
        <w:t>society</w:t>
      </w:r>
      <w:r w:rsidR="00283BBD" w:rsidRPr="00283BBD">
        <w:t xml:space="preserve">, </w:t>
      </w:r>
      <w:r w:rsidR="004971DF">
        <w:t xml:space="preserve">as it </w:t>
      </w:r>
      <w:r w:rsidR="00283BBD" w:rsidRPr="00283BBD">
        <w:t>help</w:t>
      </w:r>
      <w:r w:rsidR="004971DF">
        <w:t>s</w:t>
      </w:r>
      <w:r w:rsidR="00283BBD" w:rsidRPr="00283BBD">
        <w:t xml:space="preserve"> to foster a</w:t>
      </w:r>
      <w:r w:rsidR="004971DF">
        <w:t xml:space="preserve"> shared</w:t>
      </w:r>
      <w:r w:rsidR="00283BBD" w:rsidRPr="00283BBD">
        <w:t xml:space="preserve"> sense of Australian identity and national cohesion</w:t>
      </w:r>
      <w:r w:rsidR="004971DF">
        <w:t xml:space="preserve">. </w:t>
      </w:r>
    </w:p>
    <w:p w14:paraId="18C7D63F" w14:textId="736E41E4" w:rsidR="0078778E" w:rsidRDefault="004971DF" w:rsidP="00C74368">
      <w:r>
        <w:t xml:space="preserve">Option 2 </w:t>
      </w:r>
      <w:r w:rsidR="0078778E" w:rsidRPr="00B61E2A">
        <w:t>achiev</w:t>
      </w:r>
      <w:r>
        <w:t>es</w:t>
      </w:r>
      <w:r w:rsidR="0078778E" w:rsidRPr="00B61E2A">
        <w:t xml:space="preserve"> </w:t>
      </w:r>
      <w:r>
        <w:t xml:space="preserve">a level of consistent </w:t>
      </w:r>
      <w:r w:rsidR="0078778E" w:rsidRPr="00B61E2A">
        <w:t>media harmonisation across like platforms</w:t>
      </w:r>
      <w:r>
        <w:t xml:space="preserve"> who have Australian content requirements</w:t>
      </w:r>
      <w:r w:rsidR="00F771F6">
        <w:t xml:space="preserve"> under the</w:t>
      </w:r>
      <w:r w:rsidR="002727AA">
        <w:t xml:space="preserve"> BSA</w:t>
      </w:r>
      <w:r>
        <w:t>. Option 2 does this whil</w:t>
      </w:r>
      <w:r w:rsidR="008B3BAE">
        <w:t>e</w:t>
      </w:r>
      <w:r w:rsidR="0078778E" w:rsidRPr="00B61E2A">
        <w:t xml:space="preserve"> </w:t>
      </w:r>
      <w:r>
        <w:t xml:space="preserve">balancing </w:t>
      </w:r>
      <w:r w:rsidR="0078778E" w:rsidRPr="00B61E2A">
        <w:t xml:space="preserve">the need to ensure equitable treatment of </w:t>
      </w:r>
      <w:r w:rsidR="0002641B">
        <w:t>SVOD</w:t>
      </w:r>
      <w:r w:rsidR="0078778E" w:rsidRPr="00B61E2A">
        <w:t xml:space="preserve">s with different business models, and </w:t>
      </w:r>
      <w:r>
        <w:t xml:space="preserve">is consistent with </w:t>
      </w:r>
      <w:r w:rsidR="005E5660" w:rsidRPr="005E5660">
        <w:t>Australia’s trade and investment law obligations.</w:t>
      </w:r>
      <w:r w:rsidR="005E5660">
        <w:t xml:space="preserve"> </w:t>
      </w:r>
      <w:r w:rsidRPr="004971DF">
        <w:t xml:space="preserve">The </w:t>
      </w:r>
      <w:r>
        <w:t>introduction of the streaming requirement</w:t>
      </w:r>
      <w:r w:rsidRPr="004971DF">
        <w:t xml:space="preserve"> </w:t>
      </w:r>
      <w:r>
        <w:t xml:space="preserve">outlined in </w:t>
      </w:r>
      <w:r w:rsidR="00C46DBE">
        <w:t>Option 2</w:t>
      </w:r>
      <w:r>
        <w:t xml:space="preserve"> </w:t>
      </w:r>
      <w:r w:rsidRPr="004971DF">
        <w:t>w</w:t>
      </w:r>
      <w:r>
        <w:t xml:space="preserve">ill </w:t>
      </w:r>
      <w:r w:rsidRPr="004971DF">
        <w:t xml:space="preserve">have a long-term benefit for Australia’s </w:t>
      </w:r>
      <w:r>
        <w:t xml:space="preserve">creative economy particularly the </w:t>
      </w:r>
      <w:r w:rsidRPr="004971DF">
        <w:t>screen production sector,</w:t>
      </w:r>
      <w:r>
        <w:t xml:space="preserve"> growing capacity</w:t>
      </w:r>
      <w:r w:rsidR="00F771F6">
        <w:t>,</w:t>
      </w:r>
      <w:r w:rsidRPr="004971DF">
        <w:t xml:space="preserve"> stimulating investment in jobs, infrastructure, new technologies, skills and training.</w:t>
      </w:r>
    </w:p>
    <w:p w14:paraId="4572F073" w14:textId="67E2C8A1" w:rsidR="00283BBD" w:rsidRPr="00B61E2A" w:rsidRDefault="004971DF" w:rsidP="00C74368">
      <w:r w:rsidRPr="004971DF">
        <w:t xml:space="preserve">If </w:t>
      </w:r>
      <w:r>
        <w:t>the Government</w:t>
      </w:r>
      <w:r w:rsidRPr="004971DF">
        <w:t xml:space="preserve"> do</w:t>
      </w:r>
      <w:r>
        <w:t>es</w:t>
      </w:r>
      <w:r w:rsidRPr="004971DF">
        <w:t xml:space="preserve"> not safeguard Australian content</w:t>
      </w:r>
      <w:r>
        <w:t xml:space="preserve"> with a legislated minimum level of expenditure as outlined in Option 2</w:t>
      </w:r>
      <w:r w:rsidRPr="004971DF">
        <w:t>, there is a risk that it will be sidelined in favour of international content, disadvantaging our local production sector</w:t>
      </w:r>
      <w:r w:rsidR="00506477">
        <w:t xml:space="preserve"> and Australian audiences</w:t>
      </w:r>
      <w:r w:rsidRPr="004971DF">
        <w:t xml:space="preserve">. Our regulatory approach to Australian screen content needs to keep pace with the audience shift to </w:t>
      </w:r>
      <w:r w:rsidR="0002641B">
        <w:t>SVOD</w:t>
      </w:r>
      <w:r w:rsidRPr="004971DF">
        <w:t>s as dominant viewing platforms, fostering a sustainable media sector by securing healthy levels of Australian content on our screens</w:t>
      </w:r>
      <w:r w:rsidR="00D53BF3">
        <w:t>.</w:t>
      </w:r>
      <w:r>
        <w:t xml:space="preserve"> Option 2 achieves this</w:t>
      </w:r>
      <w:r w:rsidRPr="004971DF">
        <w:t xml:space="preserve">.  </w:t>
      </w:r>
    </w:p>
    <w:p w14:paraId="657F4324" w14:textId="6F5B63D9" w:rsidR="0078778E" w:rsidRPr="00B61E2A" w:rsidRDefault="0078778E" w:rsidP="00C74368">
      <w:r w:rsidRPr="00B61E2A">
        <w:t xml:space="preserve">As </w:t>
      </w:r>
      <w:r w:rsidR="00D53BF3">
        <w:t xml:space="preserve">the </w:t>
      </w:r>
      <w:r w:rsidRPr="00B61E2A">
        <w:t xml:space="preserve">ACMA data indicates, </w:t>
      </w:r>
      <w:r w:rsidR="0002641B">
        <w:t>SVOD</w:t>
      </w:r>
      <w:r w:rsidRPr="00B61E2A">
        <w:t xml:space="preserve">s are currently investing in and providing access to Australian programs. The </w:t>
      </w:r>
      <w:r w:rsidR="00C46DBE">
        <w:t>goal</w:t>
      </w:r>
      <w:r w:rsidR="00C46DBE" w:rsidRPr="00B61E2A">
        <w:t xml:space="preserve"> </w:t>
      </w:r>
      <w:r w:rsidRPr="00B61E2A">
        <w:t xml:space="preserve">of the regulation is to ensure </w:t>
      </w:r>
      <w:r w:rsidR="0002641B">
        <w:t>SVOD</w:t>
      </w:r>
      <w:r w:rsidR="00AD1C34" w:rsidRPr="00AD1C34">
        <w:t>s will produce and make Australian content available to Australian consumers</w:t>
      </w:r>
      <w:r w:rsidRPr="00B61E2A">
        <w:t xml:space="preserve">. This will give </w:t>
      </w:r>
      <w:r w:rsidR="0002641B">
        <w:t>SVOD</w:t>
      </w:r>
      <w:r w:rsidRPr="00B61E2A">
        <w:t>s flexibility in their programming decisions, while guaranteeing that a proportion of their expenditure is on Australian scripted dr</w:t>
      </w:r>
      <w:r w:rsidR="00161831">
        <w:t>ama</w:t>
      </w:r>
      <w:r w:rsidR="00C46DBE">
        <w:t>, children’s and/or documentary content</w:t>
      </w:r>
      <w:r w:rsidRPr="00B61E2A">
        <w:t>.</w:t>
      </w:r>
    </w:p>
    <w:p w14:paraId="5E3FB456" w14:textId="7ED44688" w:rsidR="0078778E" w:rsidRPr="00B61E2A" w:rsidRDefault="0078778E" w:rsidP="00C74368">
      <w:r w:rsidRPr="00B61E2A">
        <w:t xml:space="preserve">The proposed obligation does not deny Australian </w:t>
      </w:r>
      <w:r w:rsidR="00C46DBE" w:rsidRPr="00B61E2A">
        <w:t>audiences’</w:t>
      </w:r>
      <w:r w:rsidRPr="00B61E2A">
        <w:t xml:space="preserve"> access to international content, nor does it mandate unsustainable levels of expenditure on Australian content. Rather, it </w:t>
      </w:r>
      <w:r w:rsidR="00161831">
        <w:t xml:space="preserve">ensures </w:t>
      </w:r>
      <w:r w:rsidR="0002641B">
        <w:t>SVOD</w:t>
      </w:r>
      <w:r w:rsidR="0002641B" w:rsidRPr="0002641B">
        <w:t>s will produce and make Australian content available to Australian consumers</w:t>
      </w:r>
      <w:r w:rsidRPr="00B61E2A">
        <w:t xml:space="preserve"> in</w:t>
      </w:r>
      <w:r w:rsidR="00161831">
        <w:t xml:space="preserve"> the</w:t>
      </w:r>
      <w:r w:rsidRPr="00B61E2A">
        <w:t xml:space="preserve"> genre</w:t>
      </w:r>
      <w:r w:rsidR="00C46DBE">
        <w:t>s</w:t>
      </w:r>
      <w:r w:rsidRPr="00B61E2A">
        <w:t xml:space="preserve"> central to their business models</w:t>
      </w:r>
      <w:r w:rsidR="00C46DBE">
        <w:t xml:space="preserve"> and</w:t>
      </w:r>
      <w:r w:rsidRPr="00B61E2A">
        <w:t xml:space="preserve"> ensure</w:t>
      </w:r>
      <w:r w:rsidR="00C46DBE">
        <w:t>s</w:t>
      </w:r>
      <w:r w:rsidRPr="00B61E2A">
        <w:t xml:space="preserve"> reasonable </w:t>
      </w:r>
      <w:r w:rsidR="00161831">
        <w:t xml:space="preserve">future </w:t>
      </w:r>
      <w:r w:rsidRPr="00B61E2A">
        <w:t>availability of Australian content to Australian audiences.</w:t>
      </w:r>
    </w:p>
    <w:p w14:paraId="4CF63589" w14:textId="30A2D1EF" w:rsidR="0078778E" w:rsidRPr="00B61E2A" w:rsidRDefault="0078778E" w:rsidP="00C74368">
      <w:r w:rsidRPr="00B61E2A">
        <w:t xml:space="preserve">This Australian content requirement will result in significant benefits for all stakeholders: attraction and retention of </w:t>
      </w:r>
      <w:r w:rsidR="0002641B">
        <w:t>SVOD</w:t>
      </w:r>
      <w:r w:rsidRPr="00B61E2A">
        <w:t xml:space="preserve"> subscribers; export of Australian culture around the world; increased opportunities for the </w:t>
      </w:r>
      <w:r w:rsidRPr="00B61E2A">
        <w:lastRenderedPageBreak/>
        <w:t>screen production industry sector and more home-grown content for Australian to watch</w:t>
      </w:r>
      <w:r w:rsidR="00161831">
        <w:t xml:space="preserve"> now and into the future</w:t>
      </w:r>
      <w:r w:rsidRPr="00B61E2A">
        <w:t>.</w:t>
      </w:r>
    </w:p>
    <w:p w14:paraId="1C70B0FF" w14:textId="77777777" w:rsidR="0078778E" w:rsidRPr="00E819D1" w:rsidRDefault="0078778E" w:rsidP="0078778E">
      <w:pPr>
        <w:pStyle w:val="Heading2"/>
        <w:rPr>
          <w:sz w:val="32"/>
          <w:szCs w:val="32"/>
        </w:rPr>
      </w:pPr>
      <w:bookmarkStart w:id="192" w:name="_Toc212099810"/>
      <w:r w:rsidRPr="00E819D1">
        <w:rPr>
          <w:sz w:val="32"/>
          <w:szCs w:val="32"/>
        </w:rPr>
        <w:t xml:space="preserve">Recommended </w:t>
      </w:r>
      <w:bookmarkEnd w:id="186"/>
      <w:bookmarkEnd w:id="187"/>
      <w:bookmarkEnd w:id="188"/>
      <w:bookmarkEnd w:id="189"/>
      <w:bookmarkEnd w:id="190"/>
      <w:bookmarkEnd w:id="191"/>
      <w:r w:rsidRPr="00E819D1">
        <w:rPr>
          <w:sz w:val="32"/>
          <w:szCs w:val="32"/>
        </w:rPr>
        <w:t>option</w:t>
      </w:r>
      <w:bookmarkEnd w:id="192"/>
    </w:p>
    <w:p w14:paraId="2A42F384" w14:textId="715C817B" w:rsidR="00E61D88" w:rsidRDefault="00C46DBE" w:rsidP="00C74368">
      <w:r>
        <w:t>A regulatory model</w:t>
      </w:r>
      <w:r w:rsidR="00161831">
        <w:t xml:space="preserve"> </w:t>
      </w:r>
      <w:r>
        <w:t xml:space="preserve">requiring </w:t>
      </w:r>
      <w:r w:rsidR="0002641B">
        <w:t>SVOD</w:t>
      </w:r>
      <w:r w:rsidRPr="00F93F2A">
        <w:t xml:space="preserve">s to invest at least 10 per cent of their </w:t>
      </w:r>
      <w:r w:rsidRPr="00A936A2">
        <w:rPr>
          <w:b/>
        </w:rPr>
        <w:t>total program expenditure</w:t>
      </w:r>
      <w:r w:rsidRPr="00F93F2A">
        <w:t xml:space="preserve"> </w:t>
      </w:r>
      <w:r>
        <w:t xml:space="preserve">in Australia </w:t>
      </w:r>
      <w:r w:rsidRPr="00F93F2A">
        <w:t>(excluding news and sport) on new Australian commissions</w:t>
      </w:r>
      <w:r w:rsidDel="00C46DBE">
        <w:t xml:space="preserve"> </w:t>
      </w:r>
      <w:r w:rsidR="0078778E">
        <w:t>(Option 2) is considered to be the optimal model as it:</w:t>
      </w:r>
    </w:p>
    <w:p w14:paraId="6584D05D" w14:textId="77777777" w:rsidR="0048481E" w:rsidRDefault="002A72AC" w:rsidP="00E61D88">
      <w:pPr>
        <w:pStyle w:val="Bullet1"/>
      </w:pPr>
      <w:r>
        <w:rPr>
          <w:lang w:val="en-AU"/>
        </w:rPr>
        <w:t>i</w:t>
      </w:r>
      <w:r w:rsidR="0048481E" w:rsidRPr="00E61D88">
        <w:t>s consistent with the objectives of</w:t>
      </w:r>
      <w:r w:rsidR="0048481E" w:rsidRPr="00592D65">
        <w:rPr>
          <w:i/>
        </w:rPr>
        <w:t xml:space="preserve"> Revive</w:t>
      </w:r>
      <w:r w:rsidR="0048481E" w:rsidRPr="00E61D88">
        <w:t xml:space="preserve"> to </w:t>
      </w:r>
      <w:r w:rsidR="0084426F" w:rsidRPr="00E61D88">
        <w:t xml:space="preserve">ensure continued access to local stories; </w:t>
      </w:r>
      <w:r w:rsidR="0048481E" w:rsidRPr="00E61D88">
        <w:t xml:space="preserve"> </w:t>
      </w:r>
    </w:p>
    <w:p w14:paraId="333A6F94" w14:textId="04E04CB7" w:rsidR="002A72AC" w:rsidRPr="00E61D88" w:rsidRDefault="002A72AC" w:rsidP="00E61D88">
      <w:pPr>
        <w:pStyle w:val="Bullet1"/>
      </w:pPr>
      <w:r>
        <w:rPr>
          <w:lang w:val="en-AU"/>
        </w:rPr>
        <w:t xml:space="preserve">ensures </w:t>
      </w:r>
      <w:r w:rsidR="0002641B">
        <w:rPr>
          <w:lang w:val="en-AU"/>
        </w:rPr>
        <w:t>SVOD</w:t>
      </w:r>
      <w:r>
        <w:rPr>
          <w:lang w:val="en-AU"/>
        </w:rPr>
        <w:t xml:space="preserve">s are contributing to </w:t>
      </w:r>
      <w:r w:rsidR="00476686" w:rsidRPr="00476686">
        <w:rPr>
          <w:lang w:val="en-AU"/>
        </w:rPr>
        <w:t>the development of a sense of Australian identity, character and cultural diversity</w:t>
      </w:r>
      <w:r w:rsidR="00476686">
        <w:rPr>
          <w:lang w:val="en-AU"/>
        </w:rPr>
        <w:t>;</w:t>
      </w:r>
    </w:p>
    <w:p w14:paraId="63D75AE7" w14:textId="77777777" w:rsidR="0078778E" w:rsidRPr="00E61D88" w:rsidRDefault="00626B04" w:rsidP="00E61D88">
      <w:pPr>
        <w:pStyle w:val="Bullet1"/>
      </w:pPr>
      <w:r w:rsidRPr="00E61D88">
        <w:t>g</w:t>
      </w:r>
      <w:r w:rsidR="0078778E" w:rsidRPr="00E61D88">
        <w:t>uarantees an ongoing level of expenditure on Australian programs over time</w:t>
      </w:r>
      <w:r w:rsidRPr="00E61D88">
        <w:t>;</w:t>
      </w:r>
    </w:p>
    <w:p w14:paraId="57C73D76" w14:textId="77777777" w:rsidR="00DE4ED8" w:rsidRPr="00E61D88" w:rsidRDefault="00626B04" w:rsidP="00E61D88">
      <w:pPr>
        <w:pStyle w:val="Bullet1"/>
      </w:pPr>
      <w:r w:rsidRPr="00E61D88">
        <w:t>p</w:t>
      </w:r>
      <w:r w:rsidR="00DE4ED8" w:rsidRPr="00E61D88">
        <w:t>rovides certainty to the screen production sector and enables companies to invest in production facilities</w:t>
      </w:r>
      <w:r w:rsidRPr="00E61D88">
        <w:t>;</w:t>
      </w:r>
    </w:p>
    <w:p w14:paraId="118DC724" w14:textId="77777777" w:rsidR="0078778E" w:rsidRPr="00E61D88" w:rsidRDefault="00626B04" w:rsidP="00E61D88">
      <w:pPr>
        <w:pStyle w:val="Bullet1"/>
      </w:pPr>
      <w:r w:rsidRPr="00E61D88">
        <w:t>e</w:t>
      </w:r>
      <w:r w:rsidR="0078778E" w:rsidRPr="00E61D88">
        <w:t>nsures that Australian stories are produced in line with the definition of ‘Australian program’ under the ACCTS</w:t>
      </w:r>
      <w:r w:rsidR="00DE4ED8" w:rsidRPr="00E61D88">
        <w:t>, harmonising with other ‘like’ media services</w:t>
      </w:r>
      <w:r w:rsidRPr="00E61D88">
        <w:t>;</w:t>
      </w:r>
    </w:p>
    <w:p w14:paraId="071D5971" w14:textId="2BEBB3DE" w:rsidR="00C46DBE" w:rsidRPr="00E61D88" w:rsidRDefault="00C46DBE" w:rsidP="00E61D88">
      <w:pPr>
        <w:pStyle w:val="Bullet1"/>
      </w:pPr>
      <w:r w:rsidRPr="00E61D88">
        <w:t>is consistent</w:t>
      </w:r>
      <w:r w:rsidR="005E5660">
        <w:rPr>
          <w:lang w:val="en-AU"/>
        </w:rPr>
        <w:t xml:space="preserve"> with</w:t>
      </w:r>
      <w:r w:rsidRPr="00E61D88">
        <w:t xml:space="preserve"> </w:t>
      </w:r>
      <w:r w:rsidR="005E5660" w:rsidRPr="005E5660">
        <w:t>Australia’s trade and investment law obligations</w:t>
      </w:r>
      <w:r w:rsidRPr="00E61D88">
        <w:t>;</w:t>
      </w:r>
    </w:p>
    <w:p w14:paraId="0BFD01B8" w14:textId="77777777" w:rsidR="0078778E" w:rsidRPr="00E61D88" w:rsidRDefault="00626B04" w:rsidP="00E61D88">
      <w:pPr>
        <w:pStyle w:val="Bullet1"/>
      </w:pPr>
      <w:r w:rsidRPr="00E61D88">
        <w:t>s</w:t>
      </w:r>
      <w:r w:rsidR="0078778E" w:rsidRPr="00E61D88">
        <w:t>atisfies the media harmonisation objective</w:t>
      </w:r>
      <w:r w:rsidRPr="00E61D88">
        <w:t>; and</w:t>
      </w:r>
    </w:p>
    <w:p w14:paraId="0437B621" w14:textId="5AC5550B" w:rsidR="00300317" w:rsidRDefault="00626B04" w:rsidP="00C74368">
      <w:pPr>
        <w:pStyle w:val="Bullet1"/>
      </w:pPr>
      <w:r w:rsidRPr="00E61D88">
        <w:t>a</w:t>
      </w:r>
      <w:r w:rsidR="0078778E" w:rsidRPr="00E61D88">
        <w:t xml:space="preserve">ccommodates a variety of </w:t>
      </w:r>
      <w:r w:rsidR="0002641B">
        <w:t>SVOD</w:t>
      </w:r>
      <w:r w:rsidR="0078778E" w:rsidRPr="00E61D88">
        <w:t>s’ business models.</w:t>
      </w:r>
      <w:bookmarkStart w:id="193" w:name="_Toc156484984"/>
      <w:bookmarkStart w:id="194" w:name="_Toc156485056"/>
      <w:bookmarkStart w:id="195" w:name="_Toc156485128"/>
      <w:bookmarkStart w:id="196" w:name="_Toc156485200"/>
      <w:bookmarkStart w:id="197" w:name="_Toc156485272"/>
    </w:p>
    <w:p w14:paraId="6852D1FF" w14:textId="77777777" w:rsidR="00300317" w:rsidRPr="00300317" w:rsidRDefault="00300317" w:rsidP="00300317">
      <w:pPr>
        <w:pStyle w:val="Heading1"/>
        <w:rPr>
          <w:b/>
        </w:rPr>
      </w:pPr>
      <w:bookmarkStart w:id="198" w:name="_Toc212099811"/>
      <w:bookmarkEnd w:id="193"/>
      <w:bookmarkEnd w:id="194"/>
      <w:bookmarkEnd w:id="195"/>
      <w:bookmarkEnd w:id="196"/>
      <w:bookmarkEnd w:id="197"/>
      <w:r w:rsidRPr="00300317">
        <w:rPr>
          <w:b/>
        </w:rPr>
        <w:t>7. How will you implement and evaluate your chosen option?</w:t>
      </w:r>
      <w:bookmarkEnd w:id="198"/>
    </w:p>
    <w:p w14:paraId="4C4F24D0" w14:textId="77777777" w:rsidR="0078778E" w:rsidRPr="00C74368" w:rsidRDefault="0078778E" w:rsidP="00C74368">
      <w:pPr>
        <w:pStyle w:val="Heading2"/>
        <w:rPr>
          <w:sz w:val="44"/>
        </w:rPr>
      </w:pPr>
      <w:bookmarkStart w:id="199" w:name="_Toc212099812"/>
      <w:r>
        <w:t>Commencement</w:t>
      </w:r>
      <w:bookmarkEnd w:id="199"/>
    </w:p>
    <w:p w14:paraId="13441F19" w14:textId="79AD78DD" w:rsidR="0078778E" w:rsidRPr="00B61E2A" w:rsidRDefault="0078778E" w:rsidP="00C74368">
      <w:r w:rsidRPr="00B61E2A">
        <w:t xml:space="preserve">Australian content requirements for </w:t>
      </w:r>
      <w:r w:rsidR="0002641B">
        <w:t>SVOD</w:t>
      </w:r>
      <w:r w:rsidRPr="00B61E2A">
        <w:t>s will commence on</w:t>
      </w:r>
      <w:r w:rsidR="00161831" w:rsidRPr="00083C5C">
        <w:t xml:space="preserve">ce the legislative changes </w:t>
      </w:r>
      <w:r w:rsidR="00161831" w:rsidRPr="00B61E2A">
        <w:t xml:space="preserve">to the </w:t>
      </w:r>
      <w:r w:rsidR="0048481E">
        <w:t xml:space="preserve">BSA </w:t>
      </w:r>
      <w:r w:rsidR="00161831" w:rsidRPr="00083C5C">
        <w:t>have been enacted</w:t>
      </w:r>
      <w:r w:rsidRPr="00B61E2A">
        <w:t xml:space="preserve">. </w:t>
      </w:r>
      <w:r w:rsidR="00A3083A">
        <w:t xml:space="preserve">An </w:t>
      </w:r>
      <w:r w:rsidR="00D53BF3">
        <w:t>i</w:t>
      </w:r>
      <w:r w:rsidR="00A3083A">
        <w:t xml:space="preserve">mplementation timeline will be developed by the department in conjunction with the introduction of legislative </w:t>
      </w:r>
      <w:r w:rsidR="006550E3">
        <w:t>amendments</w:t>
      </w:r>
      <w:r w:rsidR="00A3083A">
        <w:t xml:space="preserve">. </w:t>
      </w:r>
      <w:r w:rsidRPr="00B61E2A">
        <w:t xml:space="preserve">Officials from the </w:t>
      </w:r>
      <w:r w:rsidR="007538C6">
        <w:t xml:space="preserve">department </w:t>
      </w:r>
      <w:r w:rsidRPr="00B61E2A">
        <w:t xml:space="preserve">will work closely with the ACMA before and after the commencement date to implement the measure. </w:t>
      </w:r>
    </w:p>
    <w:p w14:paraId="3769CC43" w14:textId="4059E72E" w:rsidR="0078778E" w:rsidRPr="00B61E2A" w:rsidRDefault="0078778E" w:rsidP="00C74368">
      <w:r w:rsidRPr="00B61E2A">
        <w:t xml:space="preserve">On commencement of the obligation, the ACMA will establish a list of </w:t>
      </w:r>
      <w:r w:rsidR="0002641B">
        <w:t>SVOD</w:t>
      </w:r>
      <w:r w:rsidRPr="00B61E2A">
        <w:t xml:space="preserve">s operating in Australia, develop and publish guidelines to support implementation, work with eligible </w:t>
      </w:r>
      <w:r w:rsidR="0002641B">
        <w:t>SVOD</w:t>
      </w:r>
      <w:r w:rsidRPr="00B61E2A">
        <w:t xml:space="preserve">s to inform them of their Australian content obligations and develop reporting forms. The ACMA will also develop a framework for internal reporting and reporting to Government on compliance with the obligation. To facilitate this work, the ACMA will build an IT system capable of collecting </w:t>
      </w:r>
      <w:r w:rsidR="0002641B">
        <w:t>SVOD</w:t>
      </w:r>
      <w:r w:rsidR="009F0C3B" w:rsidRPr="00B61E2A">
        <w:t>s’</w:t>
      </w:r>
      <w:r w:rsidRPr="00B61E2A">
        <w:t xml:space="preserve"> data, allowing them to assess and record compliance and extract data and produce reports.</w:t>
      </w:r>
    </w:p>
    <w:p w14:paraId="70CDF96F" w14:textId="77777777" w:rsidR="0078778E" w:rsidRDefault="0078778E" w:rsidP="0078778E">
      <w:pPr>
        <w:pStyle w:val="Heading3"/>
      </w:pPr>
      <w:bookmarkStart w:id="200" w:name="_Toc212099813"/>
      <w:r>
        <w:t>Compliance, reporting and enforcement</w:t>
      </w:r>
      <w:bookmarkEnd w:id="200"/>
    </w:p>
    <w:p w14:paraId="24C4FD09" w14:textId="77777777" w:rsidR="00327044" w:rsidRPr="00327044" w:rsidRDefault="00327044" w:rsidP="00327044">
      <w:pPr>
        <w:pStyle w:val="ListParagraph"/>
        <w:suppressAutoHyphens w:val="0"/>
        <w:spacing w:before="0" w:after="200"/>
        <w:ind w:left="0"/>
      </w:pPr>
      <w:r w:rsidRPr="00327044">
        <w:t>It is intended that compliance with the obligations will be enforced through:</w:t>
      </w:r>
    </w:p>
    <w:p w14:paraId="342C1272" w14:textId="77777777" w:rsidR="00327044" w:rsidRPr="00327044" w:rsidRDefault="00327044" w:rsidP="00327044">
      <w:pPr>
        <w:pStyle w:val="ListParagraph"/>
        <w:numPr>
          <w:ilvl w:val="1"/>
          <w:numId w:val="76"/>
        </w:numPr>
        <w:suppressAutoHyphens w:val="0"/>
        <w:spacing w:before="0" w:after="200"/>
      </w:pPr>
      <w:r w:rsidRPr="00327044">
        <w:t>Formal warnings;</w:t>
      </w:r>
    </w:p>
    <w:p w14:paraId="19CC6088" w14:textId="77777777" w:rsidR="00327044" w:rsidRPr="00327044" w:rsidRDefault="00327044" w:rsidP="00327044">
      <w:pPr>
        <w:pStyle w:val="ListParagraph"/>
        <w:numPr>
          <w:ilvl w:val="1"/>
          <w:numId w:val="76"/>
        </w:numPr>
        <w:suppressAutoHyphens w:val="0"/>
        <w:spacing w:before="0" w:after="200"/>
      </w:pPr>
      <w:r w:rsidRPr="00327044">
        <w:t>Infringement notices;</w:t>
      </w:r>
    </w:p>
    <w:p w14:paraId="509FEEF6" w14:textId="77777777" w:rsidR="00327044" w:rsidRPr="00327044" w:rsidRDefault="00327044" w:rsidP="00327044">
      <w:pPr>
        <w:pStyle w:val="ListParagraph"/>
        <w:numPr>
          <w:ilvl w:val="1"/>
          <w:numId w:val="76"/>
        </w:numPr>
        <w:suppressAutoHyphens w:val="0"/>
        <w:spacing w:before="0" w:after="200"/>
      </w:pPr>
      <w:r w:rsidRPr="00327044">
        <w:t>Enforceable undertakings;</w:t>
      </w:r>
    </w:p>
    <w:p w14:paraId="229F3DFE" w14:textId="77777777" w:rsidR="00327044" w:rsidRPr="00327044" w:rsidRDefault="00327044" w:rsidP="00327044">
      <w:pPr>
        <w:pStyle w:val="ListParagraph"/>
        <w:numPr>
          <w:ilvl w:val="1"/>
          <w:numId w:val="76"/>
        </w:numPr>
        <w:suppressAutoHyphens w:val="0"/>
        <w:spacing w:before="0" w:after="200"/>
      </w:pPr>
      <w:r w:rsidRPr="00327044">
        <w:t xml:space="preserve">Remedial directions; </w:t>
      </w:r>
    </w:p>
    <w:p w14:paraId="0558D427" w14:textId="77777777" w:rsidR="00327044" w:rsidRPr="00327044" w:rsidRDefault="00327044" w:rsidP="00327044">
      <w:pPr>
        <w:pStyle w:val="ListParagraph"/>
        <w:numPr>
          <w:ilvl w:val="1"/>
          <w:numId w:val="76"/>
        </w:numPr>
        <w:suppressAutoHyphens w:val="0"/>
        <w:spacing w:before="0" w:after="200"/>
      </w:pPr>
      <w:r w:rsidRPr="00327044">
        <w:t>Injunctions; and</w:t>
      </w:r>
    </w:p>
    <w:p w14:paraId="4CCAB2CE" w14:textId="6DE7DE80" w:rsidR="00327044" w:rsidRDefault="00327044" w:rsidP="00327044">
      <w:pPr>
        <w:pStyle w:val="ListParagraph"/>
        <w:numPr>
          <w:ilvl w:val="1"/>
          <w:numId w:val="76"/>
        </w:numPr>
        <w:suppressAutoHyphens w:val="0"/>
        <w:spacing w:before="0" w:after="200"/>
      </w:pPr>
      <w:r w:rsidRPr="00327044">
        <w:t>Civil penalties;</w:t>
      </w:r>
    </w:p>
    <w:p w14:paraId="41456CD5" w14:textId="204FA4A1" w:rsidR="0078778E" w:rsidRDefault="0078778E" w:rsidP="00C74368">
      <w:r w:rsidRPr="00B61E2A">
        <w:t>The ACMA will be empowered and resourced to collect data, monitor the effectiveness of</w:t>
      </w:r>
      <w:r w:rsidR="00D53BF3">
        <w:t>,</w:t>
      </w:r>
      <w:r w:rsidRPr="00B61E2A">
        <w:t xml:space="preserve"> and enforce the measure. The ACMA will report compliance data annually to Government and the public, and work with the </w:t>
      </w:r>
      <w:r w:rsidR="007538C6">
        <w:lastRenderedPageBreak/>
        <w:t>d</w:t>
      </w:r>
      <w:r w:rsidRPr="00B61E2A">
        <w:t>epartment to monitor and report to Government on the effectiveness of the scheme. Legislation will provide for a range of enforcement measures which the regulator will be empowered to impose if necessary, following compliance review.</w:t>
      </w:r>
      <w:r w:rsidR="002F5065">
        <w:t xml:space="preserve"> </w:t>
      </w:r>
      <w:r w:rsidRPr="00B61E2A">
        <w:t>Data collection and reporting will provide the Australian public, policy</w:t>
      </w:r>
      <w:r w:rsidR="00D53BF3">
        <w:t xml:space="preserve"> </w:t>
      </w:r>
      <w:r w:rsidRPr="00B61E2A">
        <w:t xml:space="preserve">makers and the media industry with a detailed understanding of </w:t>
      </w:r>
      <w:r w:rsidR="0002641B">
        <w:t>SVOD</w:t>
      </w:r>
      <w:r w:rsidRPr="00B61E2A">
        <w:t xml:space="preserve">s’ contribution to the Australian screen production industry and Australian cultural life. </w:t>
      </w:r>
    </w:p>
    <w:p w14:paraId="1F6CFA40" w14:textId="77777777" w:rsidR="0058549F" w:rsidRPr="00486D1C" w:rsidRDefault="0058549F" w:rsidP="0058549F">
      <w:pPr>
        <w:pStyle w:val="Heading3"/>
      </w:pPr>
      <w:bookmarkStart w:id="201" w:name="_Toc212099814"/>
      <w:r>
        <w:t>Implementation Risks</w:t>
      </w:r>
      <w:bookmarkEnd w:id="201"/>
      <w:r>
        <w:t xml:space="preserve"> </w:t>
      </w:r>
    </w:p>
    <w:p w14:paraId="32C93F0B" w14:textId="77777777" w:rsidR="0058549F" w:rsidRPr="004E1A82" w:rsidRDefault="0058549F" w:rsidP="00C74368">
      <w:r w:rsidRPr="0048481E">
        <w:t xml:space="preserve">The potential risks associated with implementation of the streaming requirement include opposition from some sectors of the industry and the complexity of implementing effective regulations in a rapidly evolving technological and business landscape. The potential for industry opposition exists, given concerns about market pressures, regulatory burdens and operational flexibility. The consequences may include resistance to compliance, affecting the success of the streaming requirement. To mitigate industry concerns, the department and </w:t>
      </w:r>
      <w:r w:rsidR="00D53BF3">
        <w:t xml:space="preserve">the </w:t>
      </w:r>
      <w:r w:rsidRPr="0048481E">
        <w:t xml:space="preserve">ACMA has, and will, ensure a collaborative approach, engaging in regular and transparent communication with affected businesses and organisations to address concerns constructively. The ACMA will monitor and evaluate the implementation of the streaming requirement to ensure it aligns with the objectives and gauge its effectiveness. This evaluation will be an integral part of the ACMA’s monitoring and compliance activities for the streaming requirement. The proposed legislative reform includes a review that will be undertaken four years after the legislation’s commencement.  All compliance data collected by the ACMA </w:t>
      </w:r>
      <w:r w:rsidR="006550E3">
        <w:t>before</w:t>
      </w:r>
      <w:r w:rsidRPr="0048481E">
        <w:t xml:space="preserve"> this review will be considered by the Government as part of review process</w:t>
      </w:r>
      <w:r w:rsidR="00D53BF3">
        <w:t>. T</w:t>
      </w:r>
      <w:r w:rsidRPr="0048481E">
        <w:t>he review presents the opportunity for the Government to assess options for addressing compliance challenges or any lingering implementation issues.</w:t>
      </w:r>
    </w:p>
    <w:p w14:paraId="6D846202" w14:textId="77777777" w:rsidR="0058549F" w:rsidRDefault="0058549F" w:rsidP="0058549F">
      <w:pPr>
        <w:pStyle w:val="Heading3"/>
      </w:pPr>
      <w:bookmarkStart w:id="202" w:name="_Toc212099815"/>
      <w:r>
        <w:t>Review</w:t>
      </w:r>
      <w:bookmarkEnd w:id="202"/>
    </w:p>
    <w:p w14:paraId="0AB0DED7" w14:textId="77777777" w:rsidR="00453D8B" w:rsidRPr="0048481E" w:rsidRDefault="0058549F" w:rsidP="00C74368">
      <w:r w:rsidRPr="0048481E">
        <w:t xml:space="preserve">A full review of the effectiveness of the scheme, including recommendations on ways it can be improved, will be undertaken by the department </w:t>
      </w:r>
      <w:r w:rsidR="007538C6" w:rsidRPr="0048481E">
        <w:t xml:space="preserve">and the ACMA </w:t>
      </w:r>
      <w:r w:rsidRPr="0048481E">
        <w:t xml:space="preserve">after four years of the scheme’s operation. </w:t>
      </w:r>
      <w:r w:rsidR="00453D8B" w:rsidRPr="0048481E">
        <w:t xml:space="preserve">The review would enable the impacts and outcomes of the reforms to be thoroughly assessed and to consider the need for any changes to scheme. This review would be informed by information gathered by the ACMA in its oversight of the scheme, as well as broad-based stakeholder and public engagement. </w:t>
      </w:r>
      <w:r w:rsidR="00AF7689" w:rsidRPr="0048481E">
        <w:t>This ability will enable the</w:t>
      </w:r>
      <w:r w:rsidR="00453D8B" w:rsidRPr="0048481E">
        <w:t xml:space="preserve"> department and the</w:t>
      </w:r>
      <w:r w:rsidR="00AF7689" w:rsidRPr="0048481E">
        <w:t xml:space="preserve"> ACMA to fine tune the </w:t>
      </w:r>
      <w:r w:rsidR="00453D8B" w:rsidRPr="0048481E">
        <w:t>streaming requirement</w:t>
      </w:r>
      <w:r w:rsidR="00AF7689" w:rsidRPr="0048481E">
        <w:t xml:space="preserve"> and ensure the regulation </w:t>
      </w:r>
      <w:r w:rsidR="00453D8B" w:rsidRPr="0048481E">
        <w:t>is</w:t>
      </w:r>
      <w:r w:rsidR="00AF7689" w:rsidRPr="0048481E">
        <w:t xml:space="preserve"> well targeted, effective and not overly burdensome. </w:t>
      </w:r>
    </w:p>
    <w:p w14:paraId="110C7DE6" w14:textId="09958BA7" w:rsidR="00C022E4" w:rsidRPr="0078778E" w:rsidRDefault="00453D8B" w:rsidP="008E6350">
      <w:r w:rsidRPr="0048481E">
        <w:t xml:space="preserve">Specifically, the review would assess the extent to which it has supported the overall objective, to ensure that Australian’s have access to Australian stories, wherever they choose to watch their screen content, now and into the future. </w:t>
      </w:r>
    </w:p>
    <w:p w14:paraId="700627B6" w14:textId="77777777" w:rsidR="0058549F" w:rsidRDefault="0058549F" w:rsidP="00C74368">
      <w:r w:rsidRPr="00E62D39">
        <w:t xml:space="preserve">The success of the proposal’s objectives to increase investment in the production and availability of Australian content will be measured predominantly by the collection of a qualifying service’s data </w:t>
      </w:r>
      <w:r w:rsidR="00453D8B">
        <w:t xml:space="preserve">on expenditure of new and first release Australian programs </w:t>
      </w:r>
      <w:r w:rsidRPr="00E62D39">
        <w:t>and</w:t>
      </w:r>
      <w:r>
        <w:t xml:space="preserve"> its</w:t>
      </w:r>
      <w:r w:rsidRPr="00E62D39">
        <w:t xml:space="preserve"> analysis by the regulator.</w:t>
      </w:r>
      <w:r>
        <w:t xml:space="preserve"> </w:t>
      </w:r>
    </w:p>
    <w:p w14:paraId="372E5D64" w14:textId="75666190" w:rsidR="0058549F" w:rsidRDefault="0002641B" w:rsidP="00C74368">
      <w:r>
        <w:t>SVOD</w:t>
      </w:r>
      <w:r w:rsidR="00F50E33">
        <w:t>s will be compelled by the streaming requirement to report their total program expenditure in Australia and other data to the ACMA. The ACMA will report this data back to the department who will also validate this against other available data sources.</w:t>
      </w:r>
      <w:r w:rsidR="0058549F">
        <w:t xml:space="preserve"> This will enable a greater understanding of the operation and effectiveness of the Australia content obligation.</w:t>
      </w:r>
    </w:p>
    <w:p w14:paraId="08C18AF1" w14:textId="77777777" w:rsidR="00453D8B" w:rsidRDefault="00453D8B" w:rsidP="0058549F"/>
    <w:p w14:paraId="03FBE937" w14:textId="77777777" w:rsidR="004A3726" w:rsidRPr="005A6DAA" w:rsidRDefault="004A3726" w:rsidP="00592D65"/>
    <w:sectPr w:rsidR="004A3726" w:rsidRPr="005A6DAA" w:rsidSect="0078778E">
      <w:headerReference w:type="default" r:id="rId24"/>
      <w:headerReference w:type="first" r:id="rId25"/>
      <w:pgSz w:w="11906" w:h="16838" w:code="9"/>
      <w:pgMar w:top="1021" w:right="1021" w:bottom="1021" w:left="1021" w:header="340"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D9EC1" w16cex:dateUtc="2025-10-15T05:01:00Z"/>
  <w16cex:commentExtensible w16cex:durableId="17B3DBF0" w16cex:dateUtc="2025-10-15T05:02:00Z"/>
  <w16cex:commentExtensible w16cex:durableId="13486557" w16cex:dateUtc="2025-10-16T01:52:00Z"/>
  <w16cex:commentExtensible w16cex:durableId="612E2AFA" w16cex:dateUtc="2025-10-15T05:03:00Z"/>
  <w16cex:commentExtensible w16cex:durableId="198A6CB0" w16cex:dateUtc="2025-10-15T22:12:00Z"/>
  <w16cex:commentExtensible w16cex:durableId="3060636D" w16cex:dateUtc="2025-10-15T05:04:00Z"/>
  <w16cex:commentExtensible w16cex:durableId="284192B7" w16cex:dateUtc="2025-10-15T22:50:00Z"/>
  <w16cex:commentExtensible w16cex:durableId="2A3142DB" w16cex:dateUtc="2025-10-15T22:52:00Z"/>
  <w16cex:commentExtensible w16cex:durableId="3A31D03E" w16cex:dateUtc="2025-10-15T05:07:00Z"/>
  <w16cex:commentExtensible w16cex:durableId="7B6B8761" w16cex:dateUtc="2025-10-17T01:12:00Z"/>
  <w16cex:commentExtensible w16cex:durableId="6E942654" w16cex:dateUtc="2025-10-15T05:09:00Z"/>
  <w16cex:commentExtensible w16cex:durableId="43FDB5DC" w16cex:dateUtc="2025-10-15T05:09:00Z"/>
  <w16cex:commentExtensible w16cex:durableId="620858F0" w16cex:dateUtc="2025-10-15T2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B7270" w14:textId="77777777" w:rsidR="00317079" w:rsidRDefault="00317079" w:rsidP="008456D5">
      <w:pPr>
        <w:spacing w:before="0" w:after="0"/>
      </w:pPr>
      <w:r>
        <w:separator/>
      </w:r>
    </w:p>
  </w:endnote>
  <w:endnote w:type="continuationSeparator" w:id="0">
    <w:p w14:paraId="5D6B2663" w14:textId="77777777" w:rsidR="00317079" w:rsidRDefault="00317079" w:rsidP="008456D5">
      <w:pPr>
        <w:spacing w:before="0" w:after="0"/>
      </w:pPr>
      <w:r>
        <w:continuationSeparator/>
      </w:r>
    </w:p>
  </w:endnote>
  <w:endnote w:type="continuationNotice" w:id="1">
    <w:p w14:paraId="5EB395E3" w14:textId="77777777" w:rsidR="00317079" w:rsidRDefault="003170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5C53" w14:textId="77777777" w:rsidR="00CD4ECB" w:rsidRDefault="00CD4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2EC2" w14:textId="6D465C61" w:rsidR="00F048B0" w:rsidRPr="003C67CE" w:rsidRDefault="00F048B0" w:rsidP="00875EA4">
    <w:pPr>
      <w:pStyle w:val="SecurityMark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8297" w14:textId="77777777" w:rsidR="00F048B0" w:rsidRDefault="00F048B0" w:rsidP="00BA24FB">
    <w:pPr>
      <w:pStyle w:val="Footer"/>
      <w:spacing w:before="360"/>
    </w:pPr>
  </w:p>
  <w:p w14:paraId="7FAACACB" w14:textId="279F287F" w:rsidR="00F048B0" w:rsidRDefault="00F048B0" w:rsidP="00827492">
    <w:pPr>
      <w:pStyle w:val="SecurityMarker"/>
    </w:pPr>
    <w:r>
      <w:t>OFFICIAL / OFFICIAL: SENSITIVE / PROTECTEDSELECT THE CLASSIFICATION MARKER ABOVE THAT APPLIES TO YOUR DOCUMENT, THEN DELETE THE OTHERS AND THIS TEXT&gt;</w:t>
    </w:r>
    <w:r>
      <w:rPr>
        <w:noProof/>
        <w:lang w:eastAsia="en-AU"/>
      </w:rPr>
      <mc:AlternateContent>
        <mc:Choice Requires="wps">
          <w:drawing>
            <wp:inline distT="0" distB="0" distL="0" distR="0" wp14:anchorId="62AAFF95" wp14:editId="551BE2CD">
              <wp:extent cx="1007640" cy="720000"/>
              <wp:effectExtent l="0" t="0" r="0" b="0"/>
              <wp:docPr id="10" name="Text Box 1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40DCAA51" w14:textId="77777777" w:rsidR="00F048B0" w:rsidRDefault="00F048B0"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C7ECDE0" w14:textId="77777777" w:rsidR="00F048B0" w:rsidRPr="00077FE0" w:rsidRDefault="00F048B0"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AAFF95" id="_x0000_t202" coordsize="21600,21600" o:spt="202" path="m,l,21600r21600,l21600,xe">
              <v:stroke joinstyle="miter"/>
              <v:path gradientshapeok="t" o:connecttype="rect"/>
            </v:shapetype>
            <v:shape id="Text Box 10" o:spid="_x0000_s1026" type="#_x0000_t202"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VkhAIAAAwFAAAOAAAAZHJzL2Uyb0RvYy54bWysVE1v2zAMvQ/YfxB0T+18NEmNOEXSLsOA&#10;oi3QDj0rspwYsCVNUmJ3Q//7nmQ7GbodhmEHyxQpkXyPpBbXTVWSozC2UDKlw4uYEiG5ygq5S+nX&#10;581gTol1TGasVFKk9FVYer38+GFR60SM1F6VmTAETqRNap3SvXM6iSLL96Ji9kJpIWHMlamYw9bs&#10;osywGt6rMhrF8TSqlcm0UVxYC+1ta6TL4D/PBXcPeW6FI2VKkZsLqwnr1q/RcsGSnWF6X/AuDfYP&#10;WVSskAh6cnXLHCMHU/zmqiq4UVbl7oKrKlJ5XnARMADNMH6H5mnPtAhYQI7VJ5rs/3PL74+PhhQZ&#10;agd6JKtQo2fROLJWDYHKY8L2zrpOalH9uBnOx7ezzXSwnlzNB5Pxejy4mszXg+FsNF9fjlar6afJ&#10;m7+dCZ7gU4a54ih6iqH5OwxdtT07s+jsh5IjQ0WHvn5RyLD/h0yjWtskQPONEMQnDZyuAazumtdb&#10;KD2uJjeV/6MeBHYw8XpqDk8G95fieDadwMRhm6H34tA9iN7f1sa6z0JVxAspNWi+wB87Iqk20f6I&#10;DybVpijL0IClJHVKp+PLlvCTBc5LCWTnXL3kmm2Da17cquwVuIxqG9tqvikQ/I5Z98gMOhn5Yjrd&#10;A5a8VAiiOomSvTLf/6T351EcWCmpMRkptd8OzAhKyi8SrQeXrhdMEKaTuWeDbMNudOnJQTMdqhsV&#10;ikSQVxChNa7sxdyo6gXju/LxYGKSI2pKt71449pJxfhzsVqFQxgbzdydfNLooGHg15P63Lwwozvm&#10;HWp2r/rpYcm7ArRn2xKsDk7lRajOmc+OcYxc6KruefAz/es+nDo/YsufAAAA//8DAFBLAwQUAAYA&#10;CAAAACEAKCSg5t4AAAAFAQAADwAAAGRycy9kb3ducmV2LnhtbEyPQU/DMAyF70j8h8hIXBBLB2Od&#10;StMJgRBiEge2ibPXeE2hcbomW7t/T8ZlXKxnPeu9z/l8sI04UOdrxwrGowQEcel0zZWC9er1dgbC&#10;B2SNjWNScCQP8+LyIsdMu54/6bAMlYgh7DNUYEJoMyl9aciiH7mWOHpb11kMce0qqTvsY7ht5F2S&#10;TKXFmmODwZaeDZU/y71V0L/jzSLF76/11Bzf0o/Vbrd9WSh1fTU8PYIINITzMZzwIzoUkWnj9qy9&#10;aBTER8LfPHkPsxTEJorx/QRkkcv/9MUvAAAA//8DAFBLAQItABQABgAIAAAAIQC2gziS/gAAAOEB&#10;AAATAAAAAAAAAAAAAAAAAAAAAABbQ29udGVudF9UeXBlc10ueG1sUEsBAi0AFAAGAAgAAAAhADj9&#10;If/WAAAAlAEAAAsAAAAAAAAAAAAAAAAALwEAAF9yZWxzLy5yZWxzUEsBAi0AFAAGAAgAAAAhAJms&#10;1WSEAgAADAUAAA4AAAAAAAAAAAAAAAAALgIAAGRycy9lMm9Eb2MueG1sUEsBAi0AFAAGAAgAAAAh&#10;ACgkoObeAAAABQEAAA8AAAAAAAAAAAAAAAAA3gQAAGRycy9kb3ducmV2LnhtbFBLBQYAAAAABAAE&#10;APMAAADpBQAAAAA=&#10;" filled="f" stroked="f" strokeweight=".5pt">
              <v:textbox inset="0,0,18mm,7mm">
                <w:txbxContent>
                  <w:p w14:paraId="40DCAA51" w14:textId="77777777" w:rsidR="00F048B0" w:rsidRDefault="00F048B0"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6C7ECDE0" w14:textId="77777777" w:rsidR="00F048B0" w:rsidRPr="00077FE0" w:rsidRDefault="00F048B0"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60113" w14:textId="77777777" w:rsidR="00F048B0" w:rsidRDefault="00F048B0" w:rsidP="00C3007A">
    <w:pPr>
      <w:framePr w:w="11907" w:h="284" w:hSpace="181" w:wrap="around" w:vAnchor="page" w:hAnchor="page" w:yAlign="bottom"/>
      <w:spacing w:before="0" w:after="0"/>
    </w:pPr>
    <w:r>
      <w:rPr>
        <w:noProof/>
        <w:lang w:eastAsia="en-AU"/>
      </w:rPr>
      <w:drawing>
        <wp:inline distT="0" distB="0" distL="0" distR="0" wp14:anchorId="29D8B874" wp14:editId="7A28F5C8">
          <wp:extent cx="7562850" cy="179922"/>
          <wp:effectExtent l="0" t="0" r="0" b="0"/>
          <wp:docPr id="8" name="Picture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0542552" w14:textId="631C4103" w:rsidR="00F048B0" w:rsidRPr="00654E6E" w:rsidRDefault="00F048B0" w:rsidP="005A6DAA">
    <w:pPr>
      <w:pStyle w:val="Footer"/>
      <w:tabs>
        <w:tab w:val="clear" w:pos="4513"/>
        <w:tab w:val="clear" w:pos="9026"/>
        <w:tab w:val="center" w:pos="4820"/>
        <w:tab w:val="right" w:pos="14742"/>
      </w:tabs>
      <w:spacing w:after="160"/>
      <w:rPr>
        <w:color w:val="auto"/>
      </w:rPr>
    </w:pPr>
    <w:r>
      <w:rPr>
        <w:color w:val="auto"/>
        <w:sz w:val="18"/>
        <w:szCs w:val="18"/>
        <w:lang w:val="en-US"/>
      </w:rPr>
      <w:t>Australian screen content requirements for subscription video on demand services</w:t>
    </w:r>
    <w:r w:rsidRPr="00654E6E">
      <w:rPr>
        <w:color w:val="auto"/>
        <w:sz w:val="18"/>
        <w:szCs w:val="18"/>
        <w:lang w:val="en-US"/>
      </w:rPr>
      <w:tab/>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sidR="00146846">
      <w:rPr>
        <w:noProof/>
        <w:color w:val="auto"/>
        <w:sz w:val="18"/>
        <w:szCs w:val="18"/>
        <w:lang w:val="en-US"/>
      </w:rPr>
      <w:t>4</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sidR="00146846">
      <w:rPr>
        <w:noProof/>
        <w:color w:val="auto"/>
        <w:sz w:val="18"/>
        <w:szCs w:val="18"/>
        <w:lang w:val="en-US"/>
      </w:rPr>
      <w:t>25</w:t>
    </w:r>
    <w:r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4C836" w14:textId="77777777" w:rsidR="00317079" w:rsidRPr="005912BE" w:rsidRDefault="00317079" w:rsidP="005912BE">
      <w:pPr>
        <w:spacing w:before="300"/>
        <w:rPr>
          <w:color w:val="008089" w:themeColor="accent2"/>
        </w:rPr>
      </w:pPr>
      <w:r w:rsidRPr="004063DE">
        <w:rPr>
          <w:color w:val="004044" w:themeColor="accent2" w:themeShade="80"/>
        </w:rPr>
        <w:t>----------</w:t>
      </w:r>
    </w:p>
  </w:footnote>
  <w:footnote w:type="continuationSeparator" w:id="0">
    <w:p w14:paraId="339A74DE" w14:textId="77777777" w:rsidR="00317079" w:rsidRDefault="00317079" w:rsidP="008456D5">
      <w:pPr>
        <w:spacing w:before="0" w:after="0"/>
      </w:pPr>
      <w:r>
        <w:continuationSeparator/>
      </w:r>
    </w:p>
  </w:footnote>
  <w:footnote w:type="continuationNotice" w:id="1">
    <w:p w14:paraId="6999D9F6" w14:textId="77777777" w:rsidR="00317079" w:rsidRDefault="00317079">
      <w:pPr>
        <w:spacing w:before="0" w:after="0"/>
      </w:pPr>
    </w:p>
  </w:footnote>
  <w:footnote w:id="2">
    <w:p w14:paraId="559D6011" w14:textId="77777777" w:rsidR="00F048B0" w:rsidRPr="0048481E" w:rsidRDefault="00F048B0" w:rsidP="007F59CF">
      <w:pPr>
        <w:pStyle w:val="BodyText"/>
      </w:pPr>
      <w:r w:rsidRPr="007F59CF">
        <w:rPr>
          <w:rStyle w:val="FootnoteReference"/>
          <w:sz w:val="14"/>
          <w:szCs w:val="16"/>
        </w:rPr>
        <w:footnoteRef/>
      </w:r>
      <w:r w:rsidRPr="007F59CF">
        <w:rPr>
          <w:sz w:val="18"/>
        </w:rPr>
        <w:t xml:space="preserve"> </w:t>
      </w:r>
      <w:r w:rsidRPr="007F59CF">
        <w:rPr>
          <w:sz w:val="16"/>
          <w:szCs w:val="16"/>
        </w:rPr>
        <w:t xml:space="preserve">Labor to deliver landmark cultural policy, Tony Burke MP, 16 May 2022, </w:t>
      </w:r>
      <w:hyperlink r:id="rId1" w:history="1">
        <w:r w:rsidRPr="00A540D0">
          <w:rPr>
            <w:rStyle w:val="Hyperlink"/>
            <w:sz w:val="16"/>
            <w:szCs w:val="16"/>
          </w:rPr>
          <w:t>https://www.tonyburke.com.au/media-releases/2022/5/17/labor-to-deliver-landmark-cultural-policy</w:t>
        </w:r>
      </w:hyperlink>
    </w:p>
  </w:footnote>
  <w:footnote w:id="3">
    <w:p w14:paraId="452ACBBB" w14:textId="77777777" w:rsidR="00F048B0" w:rsidRPr="0048481E" w:rsidRDefault="00F048B0">
      <w:pPr>
        <w:pStyle w:val="FootnoteText"/>
        <w:rPr>
          <w:sz w:val="16"/>
          <w:szCs w:val="16"/>
        </w:rPr>
      </w:pPr>
      <w:r w:rsidRPr="0048481E">
        <w:rPr>
          <w:rStyle w:val="FootnoteReference"/>
          <w:sz w:val="16"/>
          <w:szCs w:val="16"/>
        </w:rPr>
        <w:footnoteRef/>
      </w:r>
      <w:r w:rsidRPr="0048481E">
        <w:rPr>
          <w:sz w:val="16"/>
          <w:szCs w:val="16"/>
        </w:rPr>
        <w:t xml:space="preserve"> Tony Burke video on the arts (6:40), </w:t>
      </w:r>
      <w:hyperlink r:id="rId2" w:history="1">
        <w:r w:rsidRPr="0048481E">
          <w:rPr>
            <w:rStyle w:val="Hyperlink"/>
            <w:sz w:val="16"/>
            <w:szCs w:val="16"/>
          </w:rPr>
          <w:t>https://www.saveourarts.com.au/labor</w:t>
        </w:r>
      </w:hyperlink>
    </w:p>
  </w:footnote>
  <w:footnote w:id="4">
    <w:p w14:paraId="15D6A9A4" w14:textId="77777777" w:rsidR="00F048B0" w:rsidRPr="0048481E" w:rsidRDefault="00F048B0" w:rsidP="0078778E">
      <w:pPr>
        <w:pStyle w:val="FootnoteText"/>
        <w:rPr>
          <w:sz w:val="16"/>
          <w:szCs w:val="16"/>
        </w:rPr>
      </w:pPr>
      <w:r w:rsidRPr="0048481E">
        <w:rPr>
          <w:rStyle w:val="FootnoteReference"/>
          <w:sz w:val="16"/>
          <w:szCs w:val="16"/>
        </w:rPr>
        <w:footnoteRef/>
      </w:r>
      <w:r w:rsidRPr="0048481E">
        <w:rPr>
          <w:sz w:val="16"/>
          <w:szCs w:val="16"/>
        </w:rPr>
        <w:t xml:space="preserve"> Objects of this Act (Part 1:3), </w:t>
      </w:r>
      <w:r w:rsidRPr="00592D65">
        <w:rPr>
          <w:i/>
          <w:sz w:val="16"/>
          <w:szCs w:val="16"/>
        </w:rPr>
        <w:t>Broadcasting Services Act 1992</w:t>
      </w:r>
      <w:r w:rsidRPr="0048481E">
        <w:rPr>
          <w:sz w:val="16"/>
          <w:szCs w:val="16"/>
        </w:rPr>
        <w:t xml:space="preserve">, </w:t>
      </w:r>
      <w:hyperlink r:id="rId3" w:history="1">
        <w:r w:rsidRPr="0048481E">
          <w:rPr>
            <w:rStyle w:val="Hyperlink"/>
            <w:sz w:val="16"/>
            <w:szCs w:val="16"/>
          </w:rPr>
          <w:t>https://www.legislation.gov.au/C2004A04401/latest/text</w:t>
        </w:r>
      </w:hyperlink>
      <w:r w:rsidRPr="0048481E">
        <w:rPr>
          <w:sz w:val="16"/>
          <w:szCs w:val="16"/>
        </w:rPr>
        <w:t xml:space="preserve"> </w:t>
      </w:r>
    </w:p>
  </w:footnote>
  <w:footnote w:id="5">
    <w:p w14:paraId="6736B0D9" w14:textId="77777777" w:rsidR="00F048B0" w:rsidRPr="00A530E8" w:rsidRDefault="00F048B0" w:rsidP="0078778E">
      <w:pPr>
        <w:pStyle w:val="FootnoteText"/>
        <w:rPr>
          <w:szCs w:val="18"/>
        </w:rPr>
      </w:pPr>
      <w:r w:rsidRPr="0048481E">
        <w:rPr>
          <w:rStyle w:val="FootnoteReference"/>
          <w:sz w:val="16"/>
          <w:szCs w:val="16"/>
        </w:rPr>
        <w:footnoteRef/>
      </w:r>
      <w:r w:rsidRPr="0048481E">
        <w:rPr>
          <w:sz w:val="16"/>
          <w:szCs w:val="16"/>
        </w:rPr>
        <w:t xml:space="preserve"> A new National Cultural Policy, </w:t>
      </w:r>
      <w:hyperlink r:id="rId4" w:history="1">
        <w:r w:rsidRPr="0048481E">
          <w:rPr>
            <w:rStyle w:val="Hyperlink"/>
            <w:sz w:val="16"/>
            <w:szCs w:val="16"/>
          </w:rPr>
          <w:t>https://www.arts.gov.au/what-we-do/new-national-cultural-policy</w:t>
        </w:r>
      </w:hyperlink>
      <w:r w:rsidRPr="00A530E8">
        <w:rPr>
          <w:szCs w:val="18"/>
        </w:rPr>
        <w:t xml:space="preserve"> </w:t>
      </w:r>
    </w:p>
  </w:footnote>
  <w:footnote w:id="6">
    <w:p w14:paraId="382B5E7B" w14:textId="77777777" w:rsidR="00F048B0" w:rsidRPr="0048481E" w:rsidRDefault="00F048B0" w:rsidP="0078778E">
      <w:pPr>
        <w:pStyle w:val="FootnoteText"/>
        <w:rPr>
          <w:sz w:val="16"/>
          <w:szCs w:val="16"/>
        </w:rPr>
      </w:pPr>
      <w:r w:rsidRPr="0048481E">
        <w:rPr>
          <w:rStyle w:val="FootnoteReference"/>
          <w:sz w:val="16"/>
          <w:szCs w:val="16"/>
        </w:rPr>
        <w:footnoteRef/>
      </w:r>
      <w:r w:rsidRPr="0048481E">
        <w:rPr>
          <w:sz w:val="16"/>
          <w:szCs w:val="16"/>
        </w:rPr>
        <w:t xml:space="preserve"> Social Research Centre (February 2023), </w:t>
      </w:r>
      <w:hyperlink r:id="rId5" w:history="1">
        <w:r w:rsidRPr="0048481E">
          <w:rPr>
            <w:rStyle w:val="Hyperlink"/>
            <w:i/>
            <w:sz w:val="16"/>
            <w:szCs w:val="16"/>
          </w:rPr>
          <w:t>The 2022 Media Content Consumption Survey – Summary Report</w:t>
        </w:r>
      </w:hyperlink>
      <w:r w:rsidRPr="0048481E">
        <w:rPr>
          <w:i/>
          <w:sz w:val="16"/>
          <w:szCs w:val="16"/>
        </w:rPr>
        <w:t xml:space="preserve">, </w:t>
      </w:r>
      <w:r w:rsidRPr="0048481E">
        <w:rPr>
          <w:sz w:val="16"/>
          <w:szCs w:val="16"/>
        </w:rPr>
        <w:t>p.13</w:t>
      </w:r>
      <w:r w:rsidRPr="0048481E">
        <w:rPr>
          <w:i/>
          <w:sz w:val="16"/>
          <w:szCs w:val="16"/>
        </w:rPr>
        <w:t>.</w:t>
      </w:r>
    </w:p>
  </w:footnote>
  <w:footnote w:id="7">
    <w:p w14:paraId="72D472DE" w14:textId="77777777" w:rsidR="00F048B0" w:rsidRPr="0048481E" w:rsidRDefault="00F048B0" w:rsidP="00F17F55">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hyperlink r:id="rId6" w:history="1">
        <w:r w:rsidRPr="0048481E">
          <w:rPr>
            <w:rStyle w:val="Hyperlink"/>
            <w:i/>
            <w:sz w:val="16"/>
            <w:szCs w:val="16"/>
          </w:rPr>
          <w:t>Trends and developments in viewing and listening 2023–24.pd</w:t>
        </w:r>
        <w:r w:rsidRPr="0048481E">
          <w:rPr>
            <w:rStyle w:val="Hyperlink"/>
            <w:sz w:val="16"/>
            <w:szCs w:val="16"/>
          </w:rPr>
          <w:t>f</w:t>
        </w:r>
      </w:hyperlink>
      <w:r w:rsidRPr="0048481E">
        <w:rPr>
          <w:rStyle w:val="Hyperlink"/>
          <w:color w:val="auto"/>
          <w:sz w:val="16"/>
          <w:szCs w:val="16"/>
          <w:u w:val="none"/>
        </w:rPr>
        <w:t>,</w:t>
      </w:r>
      <w:r w:rsidRPr="0048481E">
        <w:rPr>
          <w:sz w:val="16"/>
          <w:szCs w:val="16"/>
        </w:rPr>
        <w:t xml:space="preserve"> p.5. </w:t>
      </w:r>
    </w:p>
  </w:footnote>
  <w:footnote w:id="8">
    <w:p w14:paraId="5B4794D9" w14:textId="77777777" w:rsidR="00F048B0" w:rsidRPr="0048481E" w:rsidRDefault="00F048B0" w:rsidP="0078778E">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r w:rsidRPr="0048481E" w:rsidDel="00F17F55">
        <w:rPr>
          <w:sz w:val="16"/>
          <w:szCs w:val="16"/>
        </w:rPr>
        <w:t xml:space="preserve"> </w:t>
      </w:r>
      <w:hyperlink r:id="rId7" w:history="1">
        <w:r w:rsidRPr="0048481E">
          <w:rPr>
            <w:rStyle w:val="Hyperlink"/>
            <w:i/>
            <w:sz w:val="16"/>
            <w:szCs w:val="16"/>
          </w:rPr>
          <w:t>Trends and developments in viewing and listening 2022-23</w:t>
        </w:r>
      </w:hyperlink>
      <w:r w:rsidRPr="0048481E">
        <w:rPr>
          <w:color w:val="auto"/>
          <w:sz w:val="16"/>
          <w:szCs w:val="16"/>
        </w:rPr>
        <w:t>, p.5.</w:t>
      </w:r>
      <w:r w:rsidRPr="0048481E" w:rsidDel="00F17F55">
        <w:rPr>
          <w:sz w:val="16"/>
          <w:szCs w:val="16"/>
        </w:rPr>
        <w:t xml:space="preserve"> </w:t>
      </w:r>
    </w:p>
  </w:footnote>
  <w:footnote w:id="9">
    <w:p w14:paraId="64263FBE" w14:textId="77777777" w:rsidR="00F048B0" w:rsidRPr="0048481E" w:rsidRDefault="00F048B0">
      <w:pPr>
        <w:pStyle w:val="FootnoteText"/>
        <w:rPr>
          <w:color w:val="auto"/>
          <w:sz w:val="16"/>
          <w:szCs w:val="16"/>
        </w:rPr>
      </w:pPr>
      <w:r w:rsidRPr="0048481E">
        <w:rPr>
          <w:rStyle w:val="FootnoteReference"/>
          <w:sz w:val="16"/>
          <w:szCs w:val="16"/>
        </w:rPr>
        <w:footnoteRef/>
      </w:r>
      <w:r w:rsidRPr="0048481E">
        <w:rPr>
          <w:sz w:val="16"/>
          <w:szCs w:val="16"/>
        </w:rPr>
        <w:t xml:space="preserve"> Australian Communications and Media Authority,  </w:t>
      </w:r>
      <w:hyperlink r:id="rId8" w:history="1">
        <w:r w:rsidRPr="0048481E">
          <w:rPr>
            <w:rStyle w:val="Hyperlink"/>
            <w:i/>
            <w:sz w:val="16"/>
            <w:szCs w:val="16"/>
          </w:rPr>
          <w:t>Trends and developments in viewing and listening 2020-21</w:t>
        </w:r>
      </w:hyperlink>
      <w:r w:rsidRPr="0048481E">
        <w:rPr>
          <w:color w:val="auto"/>
          <w:sz w:val="16"/>
          <w:szCs w:val="16"/>
        </w:rPr>
        <w:t>, p.6.</w:t>
      </w:r>
    </w:p>
  </w:footnote>
  <w:footnote w:id="10">
    <w:p w14:paraId="2A683FFB" w14:textId="77777777" w:rsidR="00F048B0" w:rsidRPr="0048481E" w:rsidRDefault="00F048B0" w:rsidP="006666A8">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hyperlink r:id="rId9" w:history="1">
        <w:r w:rsidRPr="0048481E">
          <w:rPr>
            <w:rStyle w:val="Hyperlink"/>
            <w:i/>
            <w:sz w:val="16"/>
            <w:szCs w:val="16"/>
          </w:rPr>
          <w:t>Trends and developments in viewing and listening 2023–24.pd</w:t>
        </w:r>
        <w:r w:rsidRPr="0048481E">
          <w:rPr>
            <w:rStyle w:val="Hyperlink"/>
            <w:sz w:val="16"/>
            <w:szCs w:val="16"/>
          </w:rPr>
          <w:t>f</w:t>
        </w:r>
      </w:hyperlink>
      <w:r w:rsidRPr="0048481E">
        <w:rPr>
          <w:rStyle w:val="Hyperlink"/>
          <w:color w:val="auto"/>
          <w:sz w:val="16"/>
          <w:szCs w:val="16"/>
          <w:u w:val="none"/>
        </w:rPr>
        <w:t>,</w:t>
      </w:r>
      <w:r w:rsidRPr="0048481E">
        <w:rPr>
          <w:sz w:val="16"/>
          <w:szCs w:val="16"/>
        </w:rPr>
        <w:t xml:space="preserve"> p.5.</w:t>
      </w:r>
    </w:p>
  </w:footnote>
  <w:footnote w:id="11">
    <w:p w14:paraId="7C6B3F7F" w14:textId="77777777" w:rsidR="00F048B0" w:rsidRPr="0048481E" w:rsidRDefault="00F048B0" w:rsidP="006666A8">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r w:rsidRPr="0048481E" w:rsidDel="00F17F55">
        <w:rPr>
          <w:sz w:val="16"/>
          <w:szCs w:val="16"/>
        </w:rPr>
        <w:t xml:space="preserve"> </w:t>
      </w:r>
      <w:hyperlink r:id="rId10" w:history="1">
        <w:r w:rsidRPr="0048481E">
          <w:rPr>
            <w:rStyle w:val="Hyperlink"/>
            <w:i/>
            <w:sz w:val="16"/>
            <w:szCs w:val="16"/>
          </w:rPr>
          <w:t>Trends and developments in viewing and listening 2022-23</w:t>
        </w:r>
      </w:hyperlink>
      <w:r w:rsidRPr="0048481E">
        <w:rPr>
          <w:color w:val="auto"/>
          <w:sz w:val="16"/>
          <w:szCs w:val="16"/>
        </w:rPr>
        <w:t>, p.5.</w:t>
      </w:r>
    </w:p>
  </w:footnote>
  <w:footnote w:id="12">
    <w:p w14:paraId="396FD7A2" w14:textId="77777777" w:rsidR="00F048B0" w:rsidRPr="0048481E" w:rsidRDefault="00F048B0" w:rsidP="006666A8">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hyperlink r:id="rId11" w:history="1">
        <w:r w:rsidRPr="0048481E">
          <w:rPr>
            <w:rStyle w:val="Hyperlink"/>
            <w:i/>
            <w:sz w:val="16"/>
            <w:szCs w:val="16"/>
          </w:rPr>
          <w:t>Trends and developments in viewing and listening 2020-21</w:t>
        </w:r>
      </w:hyperlink>
      <w:r w:rsidRPr="0048481E">
        <w:rPr>
          <w:color w:val="auto"/>
          <w:sz w:val="16"/>
          <w:szCs w:val="16"/>
        </w:rPr>
        <w:t>, p.6.</w:t>
      </w:r>
    </w:p>
  </w:footnote>
  <w:footnote w:id="13">
    <w:p w14:paraId="12B03C4B" w14:textId="77777777" w:rsidR="00F048B0" w:rsidRPr="0048481E" w:rsidRDefault="00F048B0">
      <w:pPr>
        <w:pStyle w:val="FootnoteText"/>
        <w:rPr>
          <w:sz w:val="16"/>
          <w:szCs w:val="16"/>
        </w:rPr>
      </w:pPr>
      <w:r w:rsidRPr="0048481E">
        <w:rPr>
          <w:rStyle w:val="FootnoteReference"/>
          <w:sz w:val="16"/>
          <w:szCs w:val="16"/>
        </w:rPr>
        <w:footnoteRef/>
      </w:r>
      <w:r w:rsidRPr="0048481E">
        <w:rPr>
          <w:sz w:val="16"/>
          <w:szCs w:val="16"/>
        </w:rPr>
        <w:t xml:space="preserve"> Australian Communications and Media Authority,  </w:t>
      </w:r>
      <w:hyperlink r:id="rId12" w:history="1">
        <w:r w:rsidRPr="0048481E">
          <w:rPr>
            <w:rStyle w:val="Hyperlink"/>
            <w:i/>
            <w:sz w:val="16"/>
            <w:szCs w:val="16"/>
          </w:rPr>
          <w:t>Trends and developments in viewing and listening 2020-21</w:t>
        </w:r>
      </w:hyperlink>
      <w:r w:rsidRPr="0048481E">
        <w:rPr>
          <w:color w:val="auto"/>
          <w:sz w:val="16"/>
          <w:szCs w:val="16"/>
        </w:rPr>
        <w:t>, p.6.</w:t>
      </w:r>
    </w:p>
  </w:footnote>
  <w:footnote w:id="14">
    <w:p w14:paraId="0E05C5F1" w14:textId="77777777" w:rsidR="00F048B0" w:rsidRDefault="00F048B0">
      <w:pPr>
        <w:pStyle w:val="FootnoteText"/>
      </w:pPr>
      <w:r w:rsidRPr="0048481E">
        <w:rPr>
          <w:rStyle w:val="FootnoteReference"/>
          <w:sz w:val="16"/>
          <w:szCs w:val="16"/>
        </w:rPr>
        <w:footnoteRef/>
      </w:r>
      <w:r w:rsidRPr="0048481E">
        <w:rPr>
          <w:sz w:val="16"/>
          <w:szCs w:val="16"/>
        </w:rPr>
        <w:t xml:space="preserve"> Australian Communications and Media Authority, </w:t>
      </w:r>
      <w:hyperlink r:id="rId13" w:history="1">
        <w:r w:rsidRPr="0048481E">
          <w:rPr>
            <w:rStyle w:val="Hyperlink"/>
            <w:i/>
            <w:sz w:val="16"/>
            <w:szCs w:val="16"/>
          </w:rPr>
          <w:t>Trends and developments in viewing and listening 2023–24.pd</w:t>
        </w:r>
        <w:r w:rsidRPr="0048481E">
          <w:rPr>
            <w:rStyle w:val="Hyperlink"/>
            <w:sz w:val="16"/>
            <w:szCs w:val="16"/>
          </w:rPr>
          <w:t>f</w:t>
        </w:r>
      </w:hyperlink>
      <w:r w:rsidRPr="0048481E">
        <w:rPr>
          <w:rStyle w:val="Hyperlink"/>
          <w:color w:val="auto"/>
          <w:sz w:val="16"/>
          <w:szCs w:val="16"/>
          <w:u w:val="none"/>
        </w:rPr>
        <w:t>,</w:t>
      </w:r>
      <w:r w:rsidRPr="0048481E">
        <w:rPr>
          <w:sz w:val="16"/>
          <w:szCs w:val="16"/>
        </w:rPr>
        <w:t xml:space="preserve"> p.5.</w:t>
      </w:r>
    </w:p>
  </w:footnote>
  <w:footnote w:id="15">
    <w:p w14:paraId="0E8766FA" w14:textId="77777777" w:rsidR="00F048B0" w:rsidRPr="0086223E" w:rsidRDefault="00F048B0" w:rsidP="0086223E">
      <w:pPr>
        <w:pStyle w:val="NoSpacing"/>
        <w:rPr>
          <w:sz w:val="16"/>
          <w:szCs w:val="16"/>
        </w:rPr>
      </w:pPr>
      <w:r w:rsidRPr="0086223E">
        <w:rPr>
          <w:rStyle w:val="FootnoteReference"/>
          <w:sz w:val="16"/>
          <w:szCs w:val="16"/>
        </w:rPr>
        <w:footnoteRef/>
      </w:r>
      <w:r w:rsidRPr="0086223E">
        <w:rPr>
          <w:sz w:val="16"/>
          <w:szCs w:val="16"/>
        </w:rPr>
        <w:t xml:space="preserve"> ACMA, Australian content on commercial TV, </w:t>
      </w:r>
      <w:hyperlink r:id="rId14" w:anchor="first-release-australian-programs-quota" w:history="1">
        <w:r w:rsidRPr="0086223E">
          <w:rPr>
            <w:rStyle w:val="Hyperlink"/>
            <w:sz w:val="16"/>
            <w:szCs w:val="16"/>
          </w:rPr>
          <w:t>https://www.acma.gov.au/australian-content-commercial-tv#first-release-australian-programs-quota</w:t>
        </w:r>
      </w:hyperlink>
      <w:r w:rsidRPr="0086223E">
        <w:rPr>
          <w:sz w:val="16"/>
          <w:szCs w:val="16"/>
        </w:rPr>
        <w:t xml:space="preserve"> </w:t>
      </w:r>
    </w:p>
  </w:footnote>
  <w:footnote w:id="16">
    <w:p w14:paraId="7B862FAD" w14:textId="77777777" w:rsidR="00F048B0" w:rsidRPr="0086223E" w:rsidRDefault="00F048B0" w:rsidP="0086223E">
      <w:pPr>
        <w:pStyle w:val="NoSpacing"/>
        <w:rPr>
          <w:sz w:val="16"/>
          <w:szCs w:val="16"/>
        </w:rPr>
      </w:pPr>
      <w:r w:rsidRPr="0086223E">
        <w:rPr>
          <w:rStyle w:val="FootnoteReference"/>
          <w:sz w:val="16"/>
          <w:szCs w:val="16"/>
        </w:rPr>
        <w:footnoteRef/>
      </w:r>
      <w:r w:rsidRPr="0086223E">
        <w:rPr>
          <w:sz w:val="16"/>
          <w:szCs w:val="16"/>
        </w:rPr>
        <w:t xml:space="preserve"> ACMA, Spending on subscription TV drama, </w:t>
      </w:r>
      <w:hyperlink r:id="rId15" w:history="1">
        <w:r w:rsidRPr="0086223E">
          <w:rPr>
            <w:rStyle w:val="Hyperlink"/>
            <w:sz w:val="16"/>
            <w:szCs w:val="16"/>
          </w:rPr>
          <w:t>Spending on subscription TV drama | ACMA</w:t>
        </w:r>
      </w:hyperlink>
    </w:p>
  </w:footnote>
  <w:footnote w:id="17">
    <w:p w14:paraId="65DFFC27" w14:textId="77777777" w:rsidR="00F048B0" w:rsidRPr="0086223E" w:rsidRDefault="00F048B0" w:rsidP="0086223E">
      <w:pPr>
        <w:pStyle w:val="NoSpacing"/>
      </w:pPr>
      <w:r w:rsidRPr="0086223E">
        <w:rPr>
          <w:rStyle w:val="FootnoteReference"/>
          <w:sz w:val="16"/>
          <w:szCs w:val="16"/>
        </w:rPr>
        <w:footnoteRef/>
      </w:r>
      <w:r w:rsidRPr="0086223E">
        <w:rPr>
          <w:sz w:val="16"/>
          <w:szCs w:val="16"/>
        </w:rPr>
        <w:t xml:space="preserve"> </w:t>
      </w:r>
      <w:r w:rsidRPr="0086223E">
        <w:rPr>
          <w:i/>
          <w:sz w:val="16"/>
          <w:szCs w:val="16"/>
        </w:rPr>
        <w:t>Broadcasting Services (“Broadcasting Service” Definition – Exclusion) Determination 2022</w:t>
      </w:r>
      <w:r w:rsidRPr="0086223E">
        <w:rPr>
          <w:sz w:val="16"/>
          <w:szCs w:val="16"/>
        </w:rPr>
        <w:t xml:space="preserve">, </w:t>
      </w:r>
      <w:hyperlink r:id="rId16" w:history="1">
        <w:r w:rsidRPr="0086223E">
          <w:rPr>
            <w:rStyle w:val="Hyperlink"/>
            <w:sz w:val="16"/>
            <w:szCs w:val="16"/>
          </w:rPr>
          <w:t>https://www.legislation.gov.au/F2022L01200/asmade/text</w:t>
        </w:r>
      </w:hyperlink>
      <w:r w:rsidRPr="0086223E">
        <w:rPr>
          <w:sz w:val="16"/>
          <w:szCs w:val="16"/>
        </w:rPr>
        <w:t>.</w:t>
      </w:r>
      <w:r w:rsidRPr="0086223E">
        <w:t xml:space="preserve"> </w:t>
      </w:r>
    </w:p>
  </w:footnote>
  <w:footnote w:id="18">
    <w:p w14:paraId="5CD94B31" w14:textId="77777777" w:rsidR="00F048B0" w:rsidRPr="00592D65" w:rsidRDefault="00F048B0" w:rsidP="00592D65">
      <w:pPr>
        <w:pStyle w:val="NoSpacing"/>
        <w:rPr>
          <w:sz w:val="16"/>
          <w:szCs w:val="16"/>
        </w:rPr>
      </w:pPr>
      <w:r w:rsidRPr="0082493F">
        <w:rPr>
          <w:rStyle w:val="FootnoteReference"/>
          <w:sz w:val="16"/>
          <w:szCs w:val="16"/>
        </w:rPr>
        <w:footnoteRef/>
      </w:r>
      <w:r w:rsidRPr="00592D65">
        <w:rPr>
          <w:sz w:val="16"/>
          <w:szCs w:val="16"/>
        </w:rPr>
        <w:t xml:space="preserve"> </w:t>
      </w:r>
      <w:r w:rsidRPr="00592D65">
        <w:rPr>
          <w:i/>
          <w:sz w:val="16"/>
          <w:szCs w:val="16"/>
        </w:rPr>
        <w:t>Revive: a place for every story, a story for every place,</w:t>
      </w:r>
      <w:r w:rsidRPr="00592D65">
        <w:rPr>
          <w:sz w:val="16"/>
          <w:szCs w:val="16"/>
        </w:rPr>
        <w:t xml:space="preserve"> </w:t>
      </w:r>
      <w:hyperlink r:id="rId17" w:history="1">
        <w:r w:rsidRPr="00592D65">
          <w:rPr>
            <w:rStyle w:val="Hyperlink"/>
            <w:sz w:val="16"/>
            <w:szCs w:val="16"/>
          </w:rPr>
          <w:t>https://www.arts.gov.au/publications/national-cultural-policy-revive-place-every-story-story-every-place</w:t>
        </w:r>
      </w:hyperlink>
      <w:r w:rsidRPr="00592D65">
        <w:rPr>
          <w:sz w:val="16"/>
          <w:szCs w:val="16"/>
        </w:rPr>
        <w:t>, p.89.</w:t>
      </w:r>
    </w:p>
  </w:footnote>
  <w:footnote w:id="19">
    <w:p w14:paraId="3D148334" w14:textId="77777777" w:rsidR="00F048B0" w:rsidRPr="00592D65" w:rsidRDefault="00F048B0" w:rsidP="00592D65">
      <w:pPr>
        <w:pStyle w:val="NoSpacing"/>
        <w:rPr>
          <w:color w:val="0046FF" w:themeColor="hyperlink"/>
          <w:sz w:val="16"/>
          <w:szCs w:val="16"/>
          <w:u w:val="single"/>
        </w:rPr>
      </w:pPr>
      <w:r w:rsidRPr="0082493F">
        <w:rPr>
          <w:rStyle w:val="FootnoteReference"/>
          <w:sz w:val="16"/>
          <w:szCs w:val="16"/>
        </w:rPr>
        <w:footnoteRef/>
      </w:r>
      <w:r w:rsidRPr="00592D65">
        <w:rPr>
          <w:sz w:val="16"/>
          <w:szCs w:val="16"/>
        </w:rPr>
        <w:t xml:space="preserve"> Tony Burke video on the arts (6:40), </w:t>
      </w:r>
      <w:hyperlink r:id="rId18" w:history="1">
        <w:r w:rsidRPr="00592D65">
          <w:rPr>
            <w:rStyle w:val="Hyperlink"/>
            <w:sz w:val="16"/>
            <w:szCs w:val="16"/>
          </w:rPr>
          <w:t>https://www.saveourarts.com.au/labor</w:t>
        </w:r>
      </w:hyperlink>
    </w:p>
  </w:footnote>
  <w:footnote w:id="20">
    <w:p w14:paraId="56FA2553" w14:textId="77777777" w:rsidR="00F048B0" w:rsidRPr="00592D65" w:rsidRDefault="00F048B0" w:rsidP="00592D65">
      <w:pPr>
        <w:pStyle w:val="NoSpacing"/>
        <w:rPr>
          <w:sz w:val="16"/>
          <w:szCs w:val="16"/>
        </w:rPr>
      </w:pPr>
      <w:r w:rsidRPr="0082493F">
        <w:rPr>
          <w:rStyle w:val="FootnoteReference"/>
          <w:sz w:val="16"/>
          <w:szCs w:val="16"/>
        </w:rPr>
        <w:footnoteRef/>
      </w:r>
      <w:r w:rsidRPr="00592D65">
        <w:rPr>
          <w:sz w:val="16"/>
          <w:szCs w:val="16"/>
        </w:rPr>
        <w:t xml:space="preserve"> </w:t>
      </w:r>
      <w:r w:rsidRPr="00592D65">
        <w:rPr>
          <w:i/>
          <w:sz w:val="16"/>
          <w:szCs w:val="16"/>
        </w:rPr>
        <w:t>Revive: a place for every story, a story for every place,</w:t>
      </w:r>
      <w:r w:rsidRPr="00592D65">
        <w:rPr>
          <w:sz w:val="16"/>
          <w:szCs w:val="16"/>
        </w:rPr>
        <w:t xml:space="preserve"> </w:t>
      </w:r>
      <w:hyperlink r:id="rId19" w:history="1">
        <w:r w:rsidRPr="00592D65">
          <w:rPr>
            <w:rStyle w:val="Hyperlink"/>
            <w:sz w:val="16"/>
            <w:szCs w:val="16"/>
          </w:rPr>
          <w:t>https://www.arts.gov.au/publications/national-cultural-policy-revive-place-every-story-story-every-place</w:t>
        </w:r>
      </w:hyperlink>
      <w:r w:rsidRPr="00592D65">
        <w:rPr>
          <w:sz w:val="16"/>
          <w:szCs w:val="16"/>
        </w:rPr>
        <w:t>, p.</w:t>
      </w:r>
      <w:r>
        <w:rPr>
          <w:sz w:val="16"/>
          <w:szCs w:val="16"/>
        </w:rPr>
        <w:t>38</w:t>
      </w:r>
      <w:r w:rsidRPr="00592D65">
        <w:rPr>
          <w:sz w:val="16"/>
          <w:szCs w:val="16"/>
        </w:rPr>
        <w:t>.</w:t>
      </w:r>
    </w:p>
  </w:footnote>
  <w:footnote w:id="21">
    <w:p w14:paraId="5576CD46" w14:textId="77777777" w:rsidR="00F048B0" w:rsidRPr="00032431" w:rsidRDefault="00F048B0" w:rsidP="00A31E48">
      <w:pPr>
        <w:pStyle w:val="BodyText"/>
      </w:pPr>
      <w:r w:rsidRPr="00A31E48">
        <w:rPr>
          <w:rStyle w:val="FootnoteReference"/>
          <w:sz w:val="16"/>
        </w:rPr>
        <w:footnoteRef/>
      </w:r>
      <w:r w:rsidRPr="00A31E48">
        <w:rPr>
          <w:sz w:val="16"/>
        </w:rPr>
        <w:t xml:space="preserve"> </w:t>
      </w:r>
      <w:r w:rsidRPr="00A31E48">
        <w:rPr>
          <w:i/>
          <w:sz w:val="16"/>
        </w:rPr>
        <w:t>Supporting Australian stories on our screens -options paper</w:t>
      </w:r>
      <w:r w:rsidRPr="00A31E48">
        <w:rPr>
          <w:sz w:val="16"/>
        </w:rPr>
        <w:t xml:space="preserve">, </w:t>
      </w:r>
      <w:hyperlink r:id="rId20" w:history="1">
        <w:r w:rsidRPr="00A31E48">
          <w:rPr>
            <w:rStyle w:val="Hyperlink"/>
            <w:sz w:val="16"/>
          </w:rPr>
          <w:t>https://www.infrastructure.gov.au/have-your-say/supporting-australian-stories-our-screens-options-paper</w:t>
        </w:r>
      </w:hyperlink>
      <w:r w:rsidRPr="00A31E48">
        <w:rPr>
          <w:sz w:val="16"/>
        </w:rPr>
        <w:t xml:space="preserve"> p.6.</w:t>
      </w:r>
    </w:p>
  </w:footnote>
  <w:footnote w:id="22">
    <w:p w14:paraId="49ADD464" w14:textId="77777777" w:rsidR="00F048B0" w:rsidRPr="00592D65" w:rsidRDefault="00F048B0" w:rsidP="00592D65">
      <w:pPr>
        <w:rPr>
          <w:i/>
          <w:sz w:val="16"/>
          <w:szCs w:val="16"/>
        </w:rPr>
      </w:pPr>
      <w:r w:rsidRPr="00592D65">
        <w:rPr>
          <w:rStyle w:val="FootnoteReference"/>
          <w:sz w:val="16"/>
          <w:szCs w:val="16"/>
        </w:rPr>
        <w:footnoteRef/>
      </w:r>
      <w:r w:rsidRPr="00592D65">
        <w:rPr>
          <w:sz w:val="16"/>
          <w:szCs w:val="16"/>
        </w:rPr>
        <w:t xml:space="preserve"> Screen Australia, </w:t>
      </w:r>
      <w:r w:rsidRPr="00592D65">
        <w:rPr>
          <w:i/>
          <w:sz w:val="16"/>
          <w:szCs w:val="16"/>
        </w:rPr>
        <w:t>Screen Currency: Valuing our screen industry,</w:t>
      </w:r>
      <w:r w:rsidRPr="00592D65">
        <w:rPr>
          <w:sz w:val="16"/>
          <w:szCs w:val="16"/>
        </w:rPr>
        <w:t xml:space="preserve"> </w:t>
      </w:r>
      <w:hyperlink r:id="rId21" w:history="1">
        <w:r w:rsidRPr="00592D65">
          <w:rPr>
            <w:rStyle w:val="Hyperlink"/>
            <w:sz w:val="16"/>
            <w:szCs w:val="16"/>
          </w:rPr>
          <w:t>https://www.screenaustralia.gov.au/getmedia/1b1312e5-89ad-4f02-abad-daeee601b739/ScreenCurrency-SA-Report.pdf</w:t>
        </w:r>
      </w:hyperlink>
      <w:r w:rsidRPr="00592D65">
        <w:rPr>
          <w:sz w:val="16"/>
          <w:szCs w:val="16"/>
        </w:rPr>
        <w:t>, p.7.</w:t>
      </w:r>
      <w:r w:rsidRPr="00592D65">
        <w:rPr>
          <w:i/>
          <w:sz w:val="16"/>
          <w:szCs w:val="16"/>
        </w:rPr>
        <w:t xml:space="preserve"> </w:t>
      </w:r>
    </w:p>
  </w:footnote>
  <w:footnote w:id="23">
    <w:p w14:paraId="2CB9D1A0" w14:textId="77777777" w:rsidR="00F048B0" w:rsidRDefault="00F048B0">
      <w:pPr>
        <w:pStyle w:val="FootnoteText"/>
      </w:pPr>
      <w:r>
        <w:rPr>
          <w:rStyle w:val="FootnoteReference"/>
        </w:rPr>
        <w:footnoteRef/>
      </w:r>
      <w:r>
        <w:t xml:space="preserve"> </w:t>
      </w:r>
      <w:r w:rsidRPr="009206E0">
        <w:rPr>
          <w:sz w:val="16"/>
          <w:szCs w:val="16"/>
        </w:rPr>
        <w:t xml:space="preserve">Telsyte, </w:t>
      </w:r>
      <w:r w:rsidRPr="009206E0">
        <w:rPr>
          <w:i/>
          <w:sz w:val="16"/>
          <w:szCs w:val="16"/>
        </w:rPr>
        <w:t>Australian Subscription Entertainment Study 2024</w:t>
      </w:r>
      <w:r w:rsidRPr="009206E0">
        <w:rPr>
          <w:sz w:val="16"/>
          <w:szCs w:val="16"/>
        </w:rPr>
        <w:t>, p.1</w:t>
      </w:r>
      <w:r w:rsidRPr="00592D65">
        <w:rPr>
          <w:sz w:val="16"/>
          <w:szCs w:val="16"/>
        </w:rPr>
        <w:t>8</w:t>
      </w:r>
      <w:r w:rsidRPr="009206E0">
        <w:rPr>
          <w:sz w:val="16"/>
          <w:szCs w:val="16"/>
        </w:rPr>
        <w:t>.</w:t>
      </w:r>
    </w:p>
  </w:footnote>
  <w:footnote w:id="24">
    <w:p w14:paraId="6FABC409" w14:textId="77777777" w:rsidR="00F048B0" w:rsidRPr="00A31E48" w:rsidRDefault="00F048B0">
      <w:pPr>
        <w:pStyle w:val="FootnoteText"/>
        <w:rPr>
          <w:sz w:val="16"/>
        </w:rPr>
      </w:pPr>
      <w:r>
        <w:rPr>
          <w:rStyle w:val="FootnoteReference"/>
        </w:rPr>
        <w:footnoteRef/>
      </w:r>
      <w:r>
        <w:t xml:space="preserve"> </w:t>
      </w:r>
      <w:r w:rsidRPr="00A31E48">
        <w:rPr>
          <w:sz w:val="16"/>
        </w:rPr>
        <w:t xml:space="preserve">Screen Australia, </w:t>
      </w:r>
      <w:r w:rsidRPr="00A31E48">
        <w:rPr>
          <w:i/>
          <w:sz w:val="16"/>
        </w:rPr>
        <w:t>Seeing ourselves: Reflections on diversity in Australian TV drama</w:t>
      </w:r>
      <w:r w:rsidRPr="00A31E48">
        <w:rPr>
          <w:sz w:val="16"/>
        </w:rPr>
        <w:t>, p.2.</w:t>
      </w:r>
    </w:p>
  </w:footnote>
  <w:footnote w:id="25">
    <w:p w14:paraId="2B8C701A" w14:textId="77777777" w:rsidR="00F048B0" w:rsidRPr="00E02B36" w:rsidRDefault="00F048B0">
      <w:pPr>
        <w:pStyle w:val="FootnoteText"/>
      </w:pPr>
      <w:r w:rsidRPr="0048481E">
        <w:rPr>
          <w:rStyle w:val="FootnoteReference"/>
          <w:sz w:val="16"/>
          <w:szCs w:val="16"/>
        </w:rPr>
        <w:footnoteRef/>
      </w:r>
      <w:r w:rsidRPr="0048481E">
        <w:rPr>
          <w:sz w:val="16"/>
          <w:szCs w:val="16"/>
        </w:rPr>
        <w:t xml:space="preserve"> Deloitte Access Economics, </w:t>
      </w:r>
      <w:r w:rsidRPr="0048481E">
        <w:rPr>
          <w:i/>
          <w:sz w:val="16"/>
          <w:szCs w:val="16"/>
        </w:rPr>
        <w:t>What are our stories worth? Measuring the economic and cultural value of Australia’s screen sector</w:t>
      </w:r>
      <w:r w:rsidRPr="0048481E">
        <w:rPr>
          <w:sz w:val="16"/>
          <w:szCs w:val="16"/>
        </w:rPr>
        <w:t>, 2016, p. 2.</w:t>
      </w:r>
    </w:p>
  </w:footnote>
  <w:footnote w:id="26">
    <w:p w14:paraId="45B55F66" w14:textId="77777777" w:rsidR="00F048B0" w:rsidRPr="0048481E" w:rsidRDefault="00F048B0">
      <w:pPr>
        <w:pStyle w:val="FootnoteText"/>
        <w:rPr>
          <w:sz w:val="16"/>
          <w:szCs w:val="16"/>
        </w:rPr>
      </w:pPr>
      <w:r w:rsidRPr="0048481E">
        <w:rPr>
          <w:rStyle w:val="FootnoteReference"/>
          <w:sz w:val="16"/>
          <w:szCs w:val="16"/>
        </w:rPr>
        <w:footnoteRef/>
      </w:r>
      <w:r w:rsidRPr="0048481E">
        <w:rPr>
          <w:sz w:val="16"/>
          <w:szCs w:val="16"/>
        </w:rPr>
        <w:t xml:space="preserve"> Telsyte, </w:t>
      </w:r>
      <w:r w:rsidRPr="0048481E">
        <w:rPr>
          <w:i/>
          <w:sz w:val="16"/>
          <w:szCs w:val="16"/>
        </w:rPr>
        <w:t>Australian Subscription Entertainment Study 2024</w:t>
      </w:r>
      <w:r w:rsidRPr="0048481E">
        <w:rPr>
          <w:sz w:val="16"/>
          <w:szCs w:val="16"/>
        </w:rPr>
        <w:t>, p.10.</w:t>
      </w:r>
    </w:p>
  </w:footnote>
  <w:footnote w:id="27">
    <w:p w14:paraId="5A19B09B" w14:textId="77777777" w:rsidR="00F048B0" w:rsidRPr="0048481E" w:rsidRDefault="00F048B0" w:rsidP="0078778E">
      <w:pPr>
        <w:pStyle w:val="FootnoteText"/>
        <w:rPr>
          <w:sz w:val="16"/>
          <w:szCs w:val="16"/>
        </w:rPr>
      </w:pPr>
      <w:r w:rsidRPr="0048481E">
        <w:rPr>
          <w:rStyle w:val="FootnoteReference"/>
          <w:sz w:val="16"/>
          <w:szCs w:val="16"/>
        </w:rPr>
        <w:footnoteRef/>
      </w:r>
      <w:r w:rsidRPr="0048481E">
        <w:rPr>
          <w:sz w:val="16"/>
          <w:szCs w:val="16"/>
        </w:rPr>
        <w:t xml:space="preserve"> The 2023 Television &amp; Media Survey – summary report, </w:t>
      </w:r>
      <w:hyperlink r:id="rId22" w:history="1">
        <w:r w:rsidRPr="0048481E">
          <w:rPr>
            <w:rStyle w:val="Hyperlink"/>
            <w:i/>
            <w:sz w:val="16"/>
            <w:szCs w:val="16"/>
          </w:rPr>
          <w:t>The 2023 Television &amp; Media Survey—summary report</w:t>
        </w:r>
      </w:hyperlink>
      <w:r w:rsidRPr="0048481E">
        <w:rPr>
          <w:color w:val="auto"/>
          <w:sz w:val="16"/>
          <w:szCs w:val="16"/>
        </w:rPr>
        <w:t>, p. 20.</w:t>
      </w:r>
    </w:p>
  </w:footnote>
  <w:footnote w:id="28">
    <w:p w14:paraId="2699215F" w14:textId="77777777" w:rsidR="00F048B0" w:rsidRPr="0048481E" w:rsidRDefault="00F048B0" w:rsidP="00024126">
      <w:pPr>
        <w:pStyle w:val="FootnoteText"/>
        <w:rPr>
          <w:sz w:val="16"/>
          <w:szCs w:val="16"/>
        </w:rPr>
      </w:pPr>
      <w:r w:rsidRPr="005C5ACE">
        <w:rPr>
          <w:rStyle w:val="FootnoteReference"/>
          <w:sz w:val="16"/>
          <w:szCs w:val="16"/>
        </w:rPr>
        <w:footnoteRef/>
      </w:r>
      <w:r w:rsidRPr="005C5ACE">
        <w:rPr>
          <w:sz w:val="16"/>
          <w:szCs w:val="16"/>
        </w:rPr>
        <w:t xml:space="preserve"> ACMA, Spending by subscription video on demand providers, 13 December 2024, </w:t>
      </w:r>
      <w:hyperlink r:id="rId23" w:history="1">
        <w:r w:rsidRPr="005C5ACE">
          <w:rPr>
            <w:rStyle w:val="Hyperlink"/>
            <w:sz w:val="16"/>
            <w:szCs w:val="16"/>
          </w:rPr>
          <w:t>https://www.acma.gov.au/spending-subscription-video-demand-providers</w:t>
        </w:r>
      </w:hyperlink>
      <w:r w:rsidRPr="005C5ACE">
        <w:rPr>
          <w:sz w:val="16"/>
          <w:szCs w:val="16"/>
        </w:rPr>
        <w:t>.</w:t>
      </w:r>
    </w:p>
  </w:footnote>
  <w:footnote w:id="29">
    <w:p w14:paraId="5BA2050A" w14:textId="77777777" w:rsidR="00F048B0" w:rsidRPr="0048481E" w:rsidRDefault="00F048B0" w:rsidP="00024126">
      <w:pPr>
        <w:pStyle w:val="FootnoteText"/>
        <w:rPr>
          <w:sz w:val="16"/>
          <w:szCs w:val="16"/>
        </w:rPr>
      </w:pPr>
      <w:r w:rsidRPr="0048481E">
        <w:rPr>
          <w:rStyle w:val="FootnoteReference"/>
          <w:sz w:val="16"/>
          <w:szCs w:val="16"/>
        </w:rPr>
        <w:footnoteRef/>
      </w:r>
      <w:r w:rsidRPr="0048481E">
        <w:rPr>
          <w:sz w:val="16"/>
          <w:szCs w:val="16"/>
        </w:rPr>
        <w:t xml:space="preserve"> As defined in section 10 of the </w:t>
      </w:r>
      <w:r w:rsidRPr="0048481E">
        <w:rPr>
          <w:i/>
          <w:sz w:val="16"/>
          <w:szCs w:val="16"/>
        </w:rPr>
        <w:t>Broadcasting Services (Australian Content and Children's Television) Standards 2020</w:t>
      </w:r>
      <w:r w:rsidRPr="0048481E">
        <w:rPr>
          <w:sz w:val="16"/>
          <w:szCs w:val="16"/>
        </w:rPr>
        <w:t xml:space="preserve">. </w:t>
      </w:r>
    </w:p>
  </w:footnote>
  <w:footnote w:id="30">
    <w:p w14:paraId="71A82E11" w14:textId="77777777" w:rsidR="00F048B0" w:rsidRPr="00DA3040" w:rsidRDefault="00F048B0" w:rsidP="00024126">
      <w:pPr>
        <w:pStyle w:val="FootnoteText"/>
        <w:rPr>
          <w:lang w:val="en-US"/>
        </w:rPr>
      </w:pPr>
      <w:r w:rsidRPr="0048481E">
        <w:rPr>
          <w:rStyle w:val="FootnoteReference"/>
          <w:sz w:val="16"/>
          <w:szCs w:val="16"/>
        </w:rPr>
        <w:footnoteRef/>
      </w:r>
      <w:r w:rsidRPr="0048481E">
        <w:rPr>
          <w:sz w:val="16"/>
          <w:szCs w:val="16"/>
        </w:rPr>
        <w:t xml:space="preserve"> The expenditure data includes an additional reporting entity from the 2021-22 financial year (Paramount+)</w:t>
      </w:r>
    </w:p>
  </w:footnote>
  <w:footnote w:id="31">
    <w:p w14:paraId="5BFC2F6B" w14:textId="77777777" w:rsidR="00F048B0" w:rsidRDefault="00F048B0" w:rsidP="009E6B3E">
      <w:pPr>
        <w:pStyle w:val="FootnoteText"/>
        <w:rPr>
          <w:sz w:val="16"/>
        </w:rPr>
      </w:pPr>
      <w:r>
        <w:rPr>
          <w:rStyle w:val="FootnoteReference"/>
        </w:rPr>
        <w:footnoteRef/>
      </w:r>
      <w:r>
        <w:t xml:space="preserve"> </w:t>
      </w:r>
      <w:r w:rsidRPr="00592D65">
        <w:rPr>
          <w:sz w:val="16"/>
        </w:rPr>
        <w:t xml:space="preserve">Ampere, </w:t>
      </w:r>
      <w:r w:rsidRPr="00592D65">
        <w:rPr>
          <w:i/>
          <w:sz w:val="16"/>
        </w:rPr>
        <w:t>How will Netflix and Disney+ fare with a content quota in Australia</w:t>
      </w:r>
      <w:r w:rsidRPr="00592D65">
        <w:rPr>
          <w:sz w:val="16"/>
        </w:rPr>
        <w:t>, 1 February 2023</w:t>
      </w:r>
      <w:r>
        <w:rPr>
          <w:sz w:val="16"/>
        </w:rPr>
        <w:t xml:space="preserve">, </w:t>
      </w:r>
      <w:hyperlink r:id="rId24" w:history="1">
        <w:r w:rsidRPr="00E67164">
          <w:rPr>
            <w:rStyle w:val="Hyperlink"/>
            <w:sz w:val="16"/>
          </w:rPr>
          <w:t>https://www.ampereanalysis.com/insight/how-will-netflix-and-disney-fare-with-a-content-quota-in-australia</w:t>
        </w:r>
      </w:hyperlink>
      <w:r>
        <w:rPr>
          <w:sz w:val="16"/>
        </w:rPr>
        <w:t>.</w:t>
      </w:r>
    </w:p>
    <w:p w14:paraId="74B415C7" w14:textId="77777777" w:rsidR="00F048B0" w:rsidRPr="00592D65" w:rsidRDefault="00F048B0">
      <w:pPr>
        <w:pStyle w:val="FootnoteText"/>
        <w:rPr>
          <w:sz w:val="16"/>
        </w:rPr>
      </w:pPr>
    </w:p>
  </w:footnote>
  <w:footnote w:id="32">
    <w:p w14:paraId="3BB46170" w14:textId="77777777" w:rsidR="00F048B0" w:rsidRPr="00153B37" w:rsidRDefault="00F048B0" w:rsidP="006B6976">
      <w:pPr>
        <w:pStyle w:val="FootnoteText"/>
        <w:rPr>
          <w:sz w:val="16"/>
          <w:szCs w:val="16"/>
          <w:lang w:val="en-US"/>
        </w:rPr>
      </w:pPr>
      <w:r w:rsidRPr="00497F2A">
        <w:rPr>
          <w:rStyle w:val="FootnoteReference"/>
          <w:sz w:val="16"/>
          <w:szCs w:val="16"/>
        </w:rPr>
        <w:footnoteRef/>
      </w:r>
      <w:r w:rsidRPr="00497F2A">
        <w:rPr>
          <w:sz w:val="16"/>
          <w:szCs w:val="16"/>
        </w:rPr>
        <w:t xml:space="preserve"> Telsyte, </w:t>
      </w:r>
      <w:r w:rsidRPr="00497F2A">
        <w:rPr>
          <w:i/>
          <w:sz w:val="16"/>
          <w:szCs w:val="16"/>
        </w:rPr>
        <w:t>Australian Subscription Entertainment Study 2024</w:t>
      </w:r>
      <w:r w:rsidRPr="00497F2A">
        <w:rPr>
          <w:sz w:val="16"/>
          <w:szCs w:val="16"/>
        </w:rPr>
        <w:t>, p.23.</w:t>
      </w:r>
    </w:p>
  </w:footnote>
  <w:footnote w:id="33">
    <w:p w14:paraId="120AE021" w14:textId="77777777" w:rsidR="00F048B0" w:rsidRPr="00497F2A" w:rsidRDefault="00F048B0" w:rsidP="006B6976">
      <w:pPr>
        <w:pStyle w:val="FootnoteText"/>
        <w:rPr>
          <w:sz w:val="16"/>
          <w:szCs w:val="16"/>
        </w:rPr>
      </w:pPr>
      <w:r w:rsidRPr="00D5384D">
        <w:rPr>
          <w:rStyle w:val="FootnoteReference"/>
          <w:sz w:val="16"/>
          <w:szCs w:val="16"/>
        </w:rPr>
        <w:footnoteRef/>
      </w:r>
      <w:r w:rsidRPr="00D5384D">
        <w:rPr>
          <w:sz w:val="16"/>
          <w:szCs w:val="16"/>
        </w:rPr>
        <w:t xml:space="preserve"> The Guardian, Bluey: Australian cartoon tops US streaming charts for 2024, </w:t>
      </w:r>
      <w:hyperlink r:id="rId25" w:history="1">
        <w:r w:rsidRPr="00D5384D">
          <w:rPr>
            <w:rStyle w:val="Hyperlink"/>
            <w:sz w:val="16"/>
            <w:szCs w:val="16"/>
          </w:rPr>
          <w:t>https://www.theguardian.com/tv-and-radio/2025/jan/28/bluey-australian-cartoon-most-streamed-tv-show-us-2024-nielsen-charts</w:t>
        </w:r>
      </w:hyperlink>
    </w:p>
  </w:footnote>
  <w:footnote w:id="34">
    <w:p w14:paraId="46450EAE" w14:textId="77777777" w:rsidR="00F048B0" w:rsidRPr="00497F2A" w:rsidRDefault="00F048B0" w:rsidP="006B6976">
      <w:pPr>
        <w:pStyle w:val="FootnoteText"/>
        <w:rPr>
          <w:sz w:val="16"/>
          <w:szCs w:val="16"/>
        </w:rPr>
      </w:pPr>
      <w:r w:rsidRPr="00497F2A">
        <w:rPr>
          <w:rStyle w:val="FootnoteReference"/>
          <w:sz w:val="16"/>
          <w:szCs w:val="16"/>
        </w:rPr>
        <w:footnoteRef/>
      </w:r>
      <w:r w:rsidRPr="00497F2A">
        <w:rPr>
          <w:sz w:val="16"/>
          <w:szCs w:val="16"/>
        </w:rPr>
        <w:t xml:space="preserve"> ABC, Boy Swallows Universe sweeps Logies as streaming TV becomes more popular than free-to-air, </w:t>
      </w:r>
      <w:hyperlink r:id="rId26" w:history="1">
        <w:r w:rsidRPr="00497F2A">
          <w:rPr>
            <w:rStyle w:val="Hyperlink"/>
            <w:sz w:val="16"/>
            <w:szCs w:val="16"/>
          </w:rPr>
          <w:t>https://www.abc.net.au/news/2024-08-19/logies-2024-boy-swallows-universe-streaming-free-to-air-emdur/104241962</w:t>
        </w:r>
      </w:hyperlink>
    </w:p>
  </w:footnote>
  <w:footnote w:id="35">
    <w:p w14:paraId="625107FE" w14:textId="77777777" w:rsidR="00F048B0" w:rsidRPr="00497F2A" w:rsidRDefault="00F048B0" w:rsidP="00024126">
      <w:pPr>
        <w:pStyle w:val="FootnoteText"/>
        <w:rPr>
          <w:sz w:val="16"/>
          <w:szCs w:val="16"/>
          <w:lang w:val="en-US"/>
        </w:rPr>
      </w:pPr>
      <w:r w:rsidRPr="00497F2A">
        <w:rPr>
          <w:rStyle w:val="FootnoteReference"/>
          <w:sz w:val="16"/>
          <w:szCs w:val="16"/>
        </w:rPr>
        <w:footnoteRef/>
      </w:r>
      <w:r w:rsidRPr="00497F2A">
        <w:rPr>
          <w:sz w:val="16"/>
          <w:szCs w:val="16"/>
        </w:rPr>
        <w:t xml:space="preserve"> </w:t>
      </w:r>
      <w:hyperlink r:id="rId27" w:history="1">
        <w:r w:rsidRPr="00497F2A">
          <w:rPr>
            <w:rStyle w:val="Hyperlink"/>
            <w:sz w:val="16"/>
            <w:szCs w:val="16"/>
          </w:rPr>
          <w:t>Netflix Commits to Invest Over $1.2 Billion in Spain Over 2025-28 </w:t>
        </w:r>
      </w:hyperlink>
    </w:p>
  </w:footnote>
  <w:footnote w:id="36">
    <w:p w14:paraId="59AC92DC" w14:textId="77777777" w:rsidR="00F048B0" w:rsidRPr="00D5384D" w:rsidRDefault="00F048B0" w:rsidP="00024126">
      <w:pPr>
        <w:pStyle w:val="FootnoteText"/>
        <w:rPr>
          <w:sz w:val="16"/>
          <w:szCs w:val="16"/>
          <w:lang w:val="en-US"/>
        </w:rPr>
      </w:pPr>
      <w:r w:rsidRPr="00D5384D">
        <w:rPr>
          <w:rStyle w:val="FootnoteReference"/>
          <w:sz w:val="16"/>
          <w:szCs w:val="16"/>
        </w:rPr>
        <w:footnoteRef/>
      </w:r>
      <w:r w:rsidRPr="00D5384D">
        <w:rPr>
          <w:sz w:val="16"/>
          <w:szCs w:val="16"/>
        </w:rPr>
        <w:t xml:space="preserve"> </w:t>
      </w:r>
      <w:hyperlink r:id="rId28" w:history="1">
        <w:r w:rsidRPr="00D5384D">
          <w:rPr>
            <w:rStyle w:val="Hyperlink"/>
            <w:sz w:val="16"/>
            <w:szCs w:val="16"/>
          </w:rPr>
          <w:t>Netflix Commits to $2.5 Billion Korean Production Spend</w:t>
        </w:r>
      </w:hyperlink>
    </w:p>
  </w:footnote>
  <w:footnote w:id="37">
    <w:p w14:paraId="4C8AD7DD" w14:textId="77777777" w:rsidR="00F048B0" w:rsidRPr="00D5384D" w:rsidRDefault="00F048B0" w:rsidP="00024126">
      <w:pPr>
        <w:pStyle w:val="FootnoteText"/>
        <w:rPr>
          <w:sz w:val="16"/>
          <w:szCs w:val="16"/>
          <w:lang w:val="en-US"/>
        </w:rPr>
      </w:pPr>
      <w:r w:rsidRPr="00D5384D">
        <w:rPr>
          <w:rStyle w:val="FootnoteReference"/>
          <w:sz w:val="16"/>
          <w:szCs w:val="16"/>
        </w:rPr>
        <w:footnoteRef/>
      </w:r>
      <w:r w:rsidRPr="00D5384D">
        <w:rPr>
          <w:sz w:val="16"/>
          <w:szCs w:val="16"/>
        </w:rPr>
        <w:t xml:space="preserve"> </w:t>
      </w:r>
      <w:r w:rsidRPr="00D5384D">
        <w:rPr>
          <w:sz w:val="16"/>
          <w:szCs w:val="16"/>
          <w:lang w:val="en-US"/>
        </w:rPr>
        <w:t>It should be noted that, while Korea and Spain have higher populations than Australia (51.7 million, 48.3 million and 26.6 million respectively), subscriber numbers are proportionally higher in Australia (</w:t>
      </w:r>
      <w:r w:rsidRPr="00D5384D">
        <w:rPr>
          <w:sz w:val="16"/>
          <w:szCs w:val="16"/>
        </w:rPr>
        <w:t>8.35 million, 8.7million and 6.2 million)</w:t>
      </w:r>
    </w:p>
  </w:footnote>
  <w:footnote w:id="38">
    <w:p w14:paraId="0588203E" w14:textId="77777777" w:rsidR="00F048B0" w:rsidRPr="00A530E8" w:rsidRDefault="00F048B0" w:rsidP="00903D99">
      <w:pPr>
        <w:pStyle w:val="FootnoteText"/>
        <w:rPr>
          <w:szCs w:val="18"/>
        </w:rPr>
      </w:pPr>
      <w:r w:rsidRPr="00317C48">
        <w:rPr>
          <w:rStyle w:val="FootnoteReference"/>
          <w:szCs w:val="18"/>
        </w:rPr>
        <w:footnoteRef/>
      </w:r>
      <w:r w:rsidRPr="00317C48">
        <w:rPr>
          <w:szCs w:val="18"/>
        </w:rPr>
        <w:t xml:space="preserve"> </w:t>
      </w:r>
      <w:r w:rsidRPr="00A530E8">
        <w:rPr>
          <w:szCs w:val="18"/>
        </w:rPr>
        <w:t xml:space="preserve">Data from the 2021 Census of Population and Housing. Employment listed under “Film and video production and post-production services”. Screen Australia, Number of people working in audiovisual industries, </w:t>
      </w:r>
      <w:hyperlink r:id="rId29" w:history="1">
        <w:r w:rsidRPr="00A530E8">
          <w:rPr>
            <w:rStyle w:val="Hyperlink"/>
            <w:szCs w:val="18"/>
          </w:rPr>
          <w:t>https://www.screenaustralia.gov.au/fact-finders/people-and-businesses/employment-trends/summary</w:t>
        </w:r>
      </w:hyperlink>
      <w:r w:rsidRPr="00317C48">
        <w:rPr>
          <w:szCs w:val="18"/>
        </w:rPr>
        <w:t xml:space="preserve"> </w:t>
      </w:r>
    </w:p>
  </w:footnote>
  <w:footnote w:id="39">
    <w:p w14:paraId="52498DAA" w14:textId="77777777" w:rsidR="00F048B0" w:rsidRDefault="00F048B0">
      <w:pPr>
        <w:pStyle w:val="FootnoteText"/>
      </w:pPr>
      <w:r>
        <w:rPr>
          <w:rStyle w:val="FootnoteReference"/>
        </w:rPr>
        <w:footnoteRef/>
      </w:r>
      <w:r>
        <w:t xml:space="preserve"> ATO, Transfer pricing, </w:t>
      </w:r>
      <w:hyperlink r:id="rId30" w:history="1">
        <w:r w:rsidRPr="00E94AF4">
          <w:rPr>
            <w:rStyle w:val="Hyperlink"/>
          </w:rPr>
          <w:t>https://www.ato.gov.au/businesses-and-organisations/international-tax-for-business/transfer-pricing</w:t>
        </w:r>
      </w:hyperlink>
    </w:p>
  </w:footnote>
  <w:footnote w:id="40">
    <w:p w14:paraId="6ACC93DD" w14:textId="77777777" w:rsidR="00F048B0" w:rsidRPr="00A530E8" w:rsidRDefault="00F048B0" w:rsidP="0078778E">
      <w:pPr>
        <w:pStyle w:val="FootnoteText"/>
        <w:rPr>
          <w:szCs w:val="18"/>
        </w:rPr>
      </w:pPr>
      <w:r w:rsidRPr="007461E8">
        <w:rPr>
          <w:rStyle w:val="FootnoteReference"/>
          <w:szCs w:val="18"/>
        </w:rPr>
        <w:footnoteRef/>
      </w:r>
      <w:r w:rsidRPr="007461E8">
        <w:rPr>
          <w:szCs w:val="18"/>
        </w:rPr>
        <w:t xml:space="preserve"> This draws on the work of analysts such as Doug Shapiro, industry publications </w:t>
      </w:r>
      <w:r w:rsidRPr="00A530E8">
        <w:rPr>
          <w:i/>
          <w:szCs w:val="18"/>
        </w:rPr>
        <w:t>The Hollywood Reporter</w:t>
      </w:r>
      <w:r w:rsidRPr="00A530E8">
        <w:rPr>
          <w:szCs w:val="18"/>
        </w:rPr>
        <w:t xml:space="preserve"> and </w:t>
      </w:r>
      <w:r w:rsidRPr="00A530E8">
        <w:rPr>
          <w:i/>
          <w:szCs w:val="18"/>
        </w:rPr>
        <w:t>Variety</w:t>
      </w:r>
      <w:r w:rsidRPr="00A530E8">
        <w:rPr>
          <w:szCs w:val="18"/>
        </w:rPr>
        <w:t>, and company reports.</w:t>
      </w:r>
    </w:p>
  </w:footnote>
  <w:footnote w:id="41">
    <w:p w14:paraId="45516EB6" w14:textId="77777777" w:rsidR="00F048B0" w:rsidRPr="00592D65" w:rsidRDefault="00F048B0" w:rsidP="00592D65">
      <w:pPr>
        <w:rPr>
          <w:sz w:val="16"/>
          <w:szCs w:val="18"/>
        </w:rPr>
      </w:pPr>
      <w:r w:rsidRPr="00592D65">
        <w:rPr>
          <w:rStyle w:val="FootnoteReference"/>
          <w:sz w:val="16"/>
          <w:szCs w:val="18"/>
        </w:rPr>
        <w:footnoteRef/>
      </w:r>
      <w:r w:rsidRPr="00592D65">
        <w:rPr>
          <w:sz w:val="16"/>
          <w:szCs w:val="18"/>
        </w:rPr>
        <w:t xml:space="preserve"> Screen Australia, Australian General Subscription TV and SVOD Drama Activity Summary. </w:t>
      </w:r>
      <w:hyperlink r:id="rId31" w:history="1">
        <w:r w:rsidRPr="00592D65">
          <w:rPr>
            <w:rStyle w:val="Hyperlink"/>
            <w:sz w:val="16"/>
            <w:szCs w:val="18"/>
          </w:rPr>
          <w:t>https://www.screenaustralia.gov.au/fact-finders/production-trends/australian-tv-vod/australian-general-subscription-tv-and-svod</w:t>
        </w:r>
      </w:hyperlink>
    </w:p>
    <w:p w14:paraId="60110578" w14:textId="77777777" w:rsidR="00F048B0" w:rsidRPr="007461E8" w:rsidRDefault="00F048B0" w:rsidP="00F32FD7">
      <w:pPr>
        <w:pStyle w:val="FootnoteText"/>
        <w:rPr>
          <w:szCs w:val="18"/>
        </w:rPr>
      </w:pPr>
    </w:p>
  </w:footnote>
  <w:footnote w:id="42">
    <w:p w14:paraId="080BC622" w14:textId="77777777" w:rsidR="00F048B0" w:rsidRDefault="00F048B0">
      <w:pPr>
        <w:pStyle w:val="FootnoteText"/>
      </w:pPr>
      <w:r>
        <w:rPr>
          <w:rStyle w:val="FootnoteReference"/>
        </w:rPr>
        <w:footnoteRef/>
      </w:r>
      <w:r>
        <w:t xml:space="preserve"> The Office of Impact Analysis, Regulatory Burden Measurement Framework. </w:t>
      </w:r>
      <w:hyperlink r:id="rId32" w:history="1">
        <w:r w:rsidRPr="00E67164">
          <w:rPr>
            <w:rStyle w:val="Hyperlink"/>
          </w:rPr>
          <w:t>https://oia.pmc.gov.au/sites/default/files/2024-02/regulatory-burden-measurement-framework.pdf</w:t>
        </w:r>
      </w:hyperlink>
    </w:p>
    <w:p w14:paraId="46BCAB4B" w14:textId="77777777" w:rsidR="00F048B0" w:rsidRDefault="00F048B0">
      <w:pPr>
        <w:pStyle w:val="FootnoteText"/>
      </w:pPr>
    </w:p>
  </w:footnote>
  <w:footnote w:id="43">
    <w:p w14:paraId="4F0424C7" w14:textId="77777777" w:rsidR="00F048B0" w:rsidRPr="007461E8" w:rsidRDefault="00F048B0" w:rsidP="0078778E">
      <w:pPr>
        <w:pStyle w:val="FootnoteText"/>
        <w:rPr>
          <w:szCs w:val="18"/>
        </w:rPr>
      </w:pPr>
      <w:r w:rsidRPr="007461E8">
        <w:rPr>
          <w:rStyle w:val="FootnoteReference"/>
          <w:szCs w:val="18"/>
        </w:rPr>
        <w:footnoteRef/>
      </w:r>
      <w:r w:rsidRPr="007461E8">
        <w:rPr>
          <w:szCs w:val="18"/>
        </w:rPr>
        <w:t xml:space="preserve"> Submissions, </w:t>
      </w:r>
      <w:hyperlink r:id="rId33" w:history="1">
        <w:r w:rsidRPr="007461E8">
          <w:rPr>
            <w:rStyle w:val="Hyperlink"/>
            <w:szCs w:val="18"/>
          </w:rPr>
          <w:t>https://www.arts.gov.au/have-your-say/revive-place-every-story-story-every-place</w:t>
        </w:r>
      </w:hyperlink>
      <w:r w:rsidRPr="007461E8">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3E1E" w14:textId="77777777" w:rsidR="00CD4ECB" w:rsidRDefault="00CD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C9F7" w14:textId="77777777" w:rsidR="00F048B0" w:rsidRDefault="00F048B0" w:rsidP="00D86E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8156" w14:textId="77777777" w:rsidR="00F048B0" w:rsidRDefault="00F048B0" w:rsidP="00546218">
    <w:pPr>
      <w:pStyle w:val="Header"/>
      <w:spacing w:after="13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EADC" w14:textId="77777777" w:rsidR="00F048B0" w:rsidRDefault="00F048B0" w:rsidP="00D86E40">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6853" w14:textId="77777777" w:rsidR="00F048B0" w:rsidRPr="00D86E40" w:rsidRDefault="00F048B0" w:rsidP="00D86E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BBE8" w14:textId="21BD5AC2" w:rsidR="00F048B0" w:rsidRDefault="00F048B0" w:rsidP="00827492">
    <w:pPr>
      <w:pStyle w:val="SecurityMarker"/>
    </w:pPr>
    <w:r>
      <w:t>OFFICIAL / OFFICIAL: SENSITIVE / PROTECTEDSELECT THE CLASSIFICATION MARKER ABOVE THAT APPLIES TO YOUR DOCUMENT, THEN DELETE THE OTHERS AND THIS TEXT&gt;</w:t>
    </w:r>
  </w:p>
  <w:p w14:paraId="28A8A746" w14:textId="77777777" w:rsidR="00F048B0" w:rsidRDefault="00317079" w:rsidP="00BA24FB">
    <w:pPr>
      <w:pStyle w:val="Header"/>
      <w:spacing w:after="720"/>
    </w:pPr>
    <w:r>
      <w:fldChar w:fldCharType="begin"/>
    </w:r>
    <w:r>
      <w:instrText xml:space="preserve"> STYLEREF  "Heading 1" \l  \* MERGEFORMAT </w:instrText>
    </w:r>
    <w:r>
      <w:fldChar w:fldCharType="separate"/>
    </w:r>
    <w:r w:rsidR="00F048B0">
      <w:rPr>
        <w:noProof/>
      </w:rPr>
      <w:t>Heading 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A2E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286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EE6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220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661E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7B4F68"/>
    <w:multiLevelType w:val="hybridMultilevel"/>
    <w:tmpl w:val="8AF083D2"/>
    <w:lvl w:ilvl="0" w:tplc="4F92E570">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A03B91"/>
    <w:multiLevelType w:val="multilevel"/>
    <w:tmpl w:val="E468301C"/>
    <w:lvl w:ilvl="0">
      <w:start w:val="1"/>
      <w:numFmt w:val="bullet"/>
      <w:lvlText w:val=""/>
      <w:lvlJc w:val="left"/>
      <w:pPr>
        <w:ind w:left="283" w:hanging="283"/>
      </w:pPr>
      <w:rPr>
        <w:rFonts w:ascii="Symbol" w:hAnsi="Symbol" w:hint="default"/>
      </w:rPr>
    </w:lvl>
    <w:lvl w:ilvl="1">
      <w:start w:val="1"/>
      <w:numFmt w:val="lowerLetter"/>
      <w:lvlText w:val="%2."/>
      <w:lvlJc w:val="left"/>
      <w:pPr>
        <w:ind w:left="737" w:hanging="283"/>
      </w:pPr>
      <w:rPr>
        <w:rFonts w:hint="default"/>
      </w:rPr>
    </w:lvl>
    <w:lvl w:ilvl="2">
      <w:start w:val="1"/>
      <w:numFmt w:val="lowerRoman"/>
      <w:lvlText w:val="%3."/>
      <w:lvlJc w:val="left"/>
      <w:pPr>
        <w:ind w:left="1134" w:hanging="284"/>
      </w:pPr>
      <w:rPr>
        <w:rFonts w:hint="default"/>
      </w:rPr>
    </w:lvl>
    <w:lvl w:ilvl="3">
      <w:start w:val="1"/>
      <w:numFmt w:val="decimal"/>
      <w:lvlText w:val="%4."/>
      <w:lvlJc w:val="left"/>
      <w:pPr>
        <w:ind w:left="1645" w:hanging="283"/>
      </w:pPr>
      <w:rPr>
        <w:rFonts w:hint="default"/>
      </w:rPr>
    </w:lvl>
    <w:lvl w:ilvl="4">
      <w:start w:val="1"/>
      <w:numFmt w:val="lowerLetter"/>
      <w:lvlText w:val="%5."/>
      <w:lvlJc w:val="left"/>
      <w:pPr>
        <w:ind w:left="2099" w:hanging="283"/>
      </w:pPr>
      <w:rPr>
        <w:rFonts w:hint="default"/>
      </w:rPr>
    </w:lvl>
    <w:lvl w:ilvl="5">
      <w:start w:val="1"/>
      <w:numFmt w:val="lowerRoman"/>
      <w:lvlText w:val="%6."/>
      <w:lvlJc w:val="right"/>
      <w:pPr>
        <w:ind w:left="2553" w:hanging="283"/>
      </w:pPr>
      <w:rPr>
        <w:rFonts w:hint="default"/>
      </w:rPr>
    </w:lvl>
    <w:lvl w:ilvl="6">
      <w:start w:val="1"/>
      <w:numFmt w:val="decimal"/>
      <w:lvlText w:val="%7."/>
      <w:lvlJc w:val="left"/>
      <w:pPr>
        <w:ind w:left="3007" w:hanging="283"/>
      </w:pPr>
      <w:rPr>
        <w:rFonts w:hint="default"/>
      </w:rPr>
    </w:lvl>
    <w:lvl w:ilvl="7">
      <w:start w:val="1"/>
      <w:numFmt w:val="lowerLetter"/>
      <w:lvlText w:val="%8."/>
      <w:lvlJc w:val="left"/>
      <w:pPr>
        <w:ind w:left="3461" w:hanging="283"/>
      </w:pPr>
      <w:rPr>
        <w:rFonts w:hint="default"/>
      </w:rPr>
    </w:lvl>
    <w:lvl w:ilvl="8">
      <w:start w:val="1"/>
      <w:numFmt w:val="lowerRoman"/>
      <w:lvlText w:val="%9."/>
      <w:lvlJc w:val="right"/>
      <w:pPr>
        <w:ind w:left="3915" w:hanging="283"/>
      </w:pPr>
      <w:rPr>
        <w:rFonts w:hint="default"/>
      </w:rPr>
    </w:lvl>
  </w:abstractNum>
  <w:abstractNum w:abstractNumId="14" w15:restartNumberingAfterBreak="0">
    <w:nsid w:val="0C69371C"/>
    <w:multiLevelType w:val="multilevel"/>
    <w:tmpl w:val="B2D40500"/>
    <w:lvl w:ilvl="0">
      <w:start w:val="1"/>
      <w:numFmt w:val="decimal"/>
      <w:pStyle w:val="List"/>
      <w:lvlText w:val="%1"/>
      <w:lvlJc w:val="left"/>
      <w:pPr>
        <w:ind w:left="403" w:hanging="288"/>
      </w:pPr>
      <w:rPr>
        <w:rFonts w:hint="default"/>
        <w:color w:val="081E3E" w:themeColor="accent1"/>
      </w:rPr>
    </w:lvl>
    <w:lvl w:ilvl="1">
      <w:start w:val="1"/>
      <w:numFmt w:val="lowerRoman"/>
      <w:lvlText w:val="%2"/>
      <w:lvlJc w:val="left"/>
      <w:pPr>
        <w:ind w:left="691" w:hanging="288"/>
      </w:pPr>
      <w:rPr>
        <w:rFonts w:hint="default"/>
        <w:color w:val="081E3E" w:themeColor="accent1"/>
      </w:rPr>
    </w:lvl>
    <w:lvl w:ilvl="2">
      <w:start w:val="1"/>
      <w:numFmt w:val="upperRoman"/>
      <w:lvlText w:val="%3"/>
      <w:lvlJc w:val="left"/>
      <w:pPr>
        <w:ind w:left="979" w:hanging="288"/>
      </w:pPr>
      <w:rPr>
        <w:rFonts w:hint="default"/>
        <w:color w:val="081E3E"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15" w15:restartNumberingAfterBreak="0">
    <w:nsid w:val="0CBF272C"/>
    <w:multiLevelType w:val="hybridMultilevel"/>
    <w:tmpl w:val="02105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0D621AED"/>
    <w:multiLevelType w:val="multilevel"/>
    <w:tmpl w:val="C2EED61A"/>
    <w:numStyleLink w:val="NumberedHeadings"/>
  </w:abstractNum>
  <w:abstractNum w:abstractNumId="17" w15:restartNumberingAfterBreak="0">
    <w:nsid w:val="16B25CA2"/>
    <w:multiLevelType w:val="multilevel"/>
    <w:tmpl w:val="FFB0CEBC"/>
    <w:lvl w:ilvl="0">
      <w:start w:val="1"/>
      <w:numFmt w:val="bullet"/>
      <w:lvlText w:val="•"/>
      <w:lvlJc w:val="left"/>
      <w:pPr>
        <w:ind w:left="568" w:hanging="284"/>
      </w:pPr>
      <w:rPr>
        <w:rFonts w:ascii="Calibri" w:hAnsi="Calibri" w:hint="default"/>
        <w:color w:val="auto"/>
      </w:rPr>
    </w:lvl>
    <w:lvl w:ilvl="1">
      <w:start w:val="1"/>
      <w:numFmt w:val="bullet"/>
      <w:lvlText w:val=""/>
      <w:lvlJc w:val="left"/>
      <w:pPr>
        <w:ind w:left="852" w:hanging="284"/>
      </w:pPr>
      <w:rPr>
        <w:rFonts w:ascii="Symbol" w:hAnsi="Symbol" w:hint="default"/>
        <w:color w:val="auto"/>
      </w:rPr>
    </w:lvl>
    <w:lvl w:ilvl="2">
      <w:start w:val="1"/>
      <w:numFmt w:val="bullet"/>
      <w:lvlText w:val="›"/>
      <w:lvlJc w:val="left"/>
      <w:pPr>
        <w:ind w:left="1136" w:hanging="284"/>
      </w:pPr>
      <w:rPr>
        <w:rFonts w:ascii="Calibri" w:hAnsi="Calibri" w:hint="default"/>
        <w:color w:val="auto"/>
      </w:rPr>
    </w:lvl>
    <w:lvl w:ilvl="3">
      <w:start w:val="1"/>
      <w:numFmt w:val="bullet"/>
      <w:lvlText w:val="▫"/>
      <w:lvlJc w:val="left"/>
      <w:pPr>
        <w:ind w:left="1420" w:hanging="284"/>
      </w:pPr>
      <w:rPr>
        <w:rFonts w:ascii="Calibri" w:hAnsi="Calibri" w:hint="default"/>
        <w:color w:val="auto"/>
      </w:rPr>
    </w:lvl>
    <w:lvl w:ilvl="4">
      <w:start w:val="1"/>
      <w:numFmt w:val="bullet"/>
      <w:lvlText w:val="—"/>
      <w:lvlJc w:val="left"/>
      <w:pPr>
        <w:ind w:left="1704" w:hanging="284"/>
      </w:pPr>
      <w:rPr>
        <w:rFonts w:ascii="Calibri" w:hAnsi="Calibri" w:hint="default"/>
        <w:color w:val="auto"/>
      </w:rPr>
    </w:lvl>
    <w:lvl w:ilvl="5">
      <w:start w:val="1"/>
      <w:numFmt w:val="bullet"/>
      <w:lvlText w:val="»"/>
      <w:lvlJc w:val="left"/>
      <w:pPr>
        <w:ind w:left="1988" w:hanging="284"/>
      </w:pPr>
      <w:rPr>
        <w:rFonts w:ascii="Calibri" w:hAnsi="Calibri" w:hint="default"/>
        <w:color w:val="auto"/>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8" w15:restartNumberingAfterBreak="0">
    <w:nsid w:val="1EF60371"/>
    <w:multiLevelType w:val="hybridMultilevel"/>
    <w:tmpl w:val="E800E0F0"/>
    <w:lvl w:ilvl="0" w:tplc="D194D84E">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745BC2"/>
    <w:multiLevelType w:val="multilevel"/>
    <w:tmpl w:val="E5E89F92"/>
    <w:numStyleLink w:val="BulletList"/>
  </w:abstractNum>
  <w:abstractNum w:abstractNumId="20" w15:restartNumberingAfterBreak="0">
    <w:nsid w:val="282558ED"/>
    <w:multiLevelType w:val="hybridMultilevel"/>
    <w:tmpl w:val="AB5A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9B7F83"/>
    <w:multiLevelType w:val="multilevel"/>
    <w:tmpl w:val="4164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4034A"/>
    <w:multiLevelType w:val="hybridMultilevel"/>
    <w:tmpl w:val="B0926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F37F75"/>
    <w:multiLevelType w:val="multilevel"/>
    <w:tmpl w:val="B5C4B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AD54CD"/>
    <w:multiLevelType w:val="hybridMultilevel"/>
    <w:tmpl w:val="2C68D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520959"/>
    <w:multiLevelType w:val="multilevel"/>
    <w:tmpl w:val="E89AFFE0"/>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7" w15:restartNumberingAfterBreak="0">
    <w:nsid w:val="38DD3657"/>
    <w:multiLevelType w:val="hybridMultilevel"/>
    <w:tmpl w:val="C112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A51938"/>
    <w:multiLevelType w:val="multilevel"/>
    <w:tmpl w:val="298C34E4"/>
    <w:numStyleLink w:val="AppendixNumbers"/>
  </w:abstractNum>
  <w:abstractNum w:abstractNumId="29" w15:restartNumberingAfterBreak="0">
    <w:nsid w:val="3BBB4575"/>
    <w:multiLevelType w:val="multilevel"/>
    <w:tmpl w:val="1F38328A"/>
    <w:lvl w:ilvl="0">
      <w:start w:val="1"/>
      <w:numFmt w:val="decimal"/>
      <w:lvlText w:val="%1"/>
      <w:lvlJc w:val="left"/>
      <w:pPr>
        <w:ind w:left="3621" w:hanging="360"/>
      </w:pPr>
      <w:rPr>
        <w:rFonts w:hint="default"/>
        <w:sz w:val="28"/>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637B7A"/>
    <w:multiLevelType w:val="multilevel"/>
    <w:tmpl w:val="7FC079D2"/>
    <w:lvl w:ilvl="0">
      <w:start w:val="1"/>
      <w:numFmt w:val="bullet"/>
      <w:lvlText w:val=""/>
      <w:lvlJc w:val="left"/>
      <w:pPr>
        <w:ind w:left="283" w:hanging="283"/>
      </w:pPr>
      <w:rPr>
        <w:rFonts w:ascii="Symbol" w:hAnsi="Symbol" w:hint="default"/>
      </w:rPr>
    </w:lvl>
    <w:lvl w:ilvl="1">
      <w:start w:val="1"/>
      <w:numFmt w:val="lowerLetter"/>
      <w:lvlText w:val="%2."/>
      <w:lvlJc w:val="left"/>
      <w:pPr>
        <w:ind w:left="737" w:hanging="283"/>
      </w:pPr>
      <w:rPr>
        <w:rFonts w:hint="default"/>
      </w:rPr>
    </w:lvl>
    <w:lvl w:ilvl="2">
      <w:start w:val="1"/>
      <w:numFmt w:val="lowerRoman"/>
      <w:lvlText w:val="%3."/>
      <w:lvlJc w:val="left"/>
      <w:pPr>
        <w:ind w:left="1134" w:hanging="284"/>
      </w:pPr>
      <w:rPr>
        <w:rFonts w:hint="default"/>
      </w:rPr>
    </w:lvl>
    <w:lvl w:ilvl="3">
      <w:start w:val="1"/>
      <w:numFmt w:val="decimal"/>
      <w:lvlText w:val="%4."/>
      <w:lvlJc w:val="left"/>
      <w:pPr>
        <w:ind w:left="1645" w:hanging="283"/>
      </w:pPr>
      <w:rPr>
        <w:rFonts w:hint="default"/>
      </w:rPr>
    </w:lvl>
    <w:lvl w:ilvl="4">
      <w:start w:val="1"/>
      <w:numFmt w:val="lowerLetter"/>
      <w:lvlText w:val="%5."/>
      <w:lvlJc w:val="left"/>
      <w:pPr>
        <w:ind w:left="2099" w:hanging="283"/>
      </w:pPr>
      <w:rPr>
        <w:rFonts w:hint="default"/>
      </w:rPr>
    </w:lvl>
    <w:lvl w:ilvl="5">
      <w:start w:val="1"/>
      <w:numFmt w:val="lowerRoman"/>
      <w:lvlText w:val="%6."/>
      <w:lvlJc w:val="right"/>
      <w:pPr>
        <w:ind w:left="2553" w:hanging="283"/>
      </w:pPr>
      <w:rPr>
        <w:rFonts w:hint="default"/>
      </w:rPr>
    </w:lvl>
    <w:lvl w:ilvl="6">
      <w:start w:val="1"/>
      <w:numFmt w:val="decimal"/>
      <w:lvlText w:val="%7."/>
      <w:lvlJc w:val="left"/>
      <w:pPr>
        <w:ind w:left="3007" w:hanging="283"/>
      </w:pPr>
      <w:rPr>
        <w:rFonts w:hint="default"/>
      </w:rPr>
    </w:lvl>
    <w:lvl w:ilvl="7">
      <w:start w:val="1"/>
      <w:numFmt w:val="lowerLetter"/>
      <w:lvlText w:val="%8."/>
      <w:lvlJc w:val="left"/>
      <w:pPr>
        <w:ind w:left="3461" w:hanging="283"/>
      </w:pPr>
      <w:rPr>
        <w:rFonts w:hint="default"/>
      </w:rPr>
    </w:lvl>
    <w:lvl w:ilvl="8">
      <w:start w:val="1"/>
      <w:numFmt w:val="lowerRoman"/>
      <w:lvlText w:val="%9."/>
      <w:lvlJc w:val="right"/>
      <w:pPr>
        <w:ind w:left="3915" w:hanging="283"/>
      </w:pPr>
      <w:rPr>
        <w:rFonts w:hint="default"/>
      </w:rPr>
    </w:lvl>
  </w:abstractNum>
  <w:abstractNum w:abstractNumId="32" w15:restartNumberingAfterBreak="0">
    <w:nsid w:val="4173295E"/>
    <w:multiLevelType w:val="multilevel"/>
    <w:tmpl w:val="5B2C35CE"/>
    <w:styleLink w:val="Bullets"/>
    <w:lvl w:ilvl="0">
      <w:start w:val="1"/>
      <w:numFmt w:val="bullet"/>
      <w:pStyle w:val="Bullet1"/>
      <w:lvlText w:val="•"/>
      <w:lvlJc w:val="left"/>
      <w:pPr>
        <w:ind w:left="852" w:hanging="284"/>
      </w:pPr>
      <w:rPr>
        <w:rFonts w:ascii="Calibri" w:hAnsi="Calibri" w:hint="default"/>
        <w:color w:val="auto"/>
      </w:rPr>
    </w:lvl>
    <w:lvl w:ilvl="1">
      <w:start w:val="1"/>
      <w:numFmt w:val="bullet"/>
      <w:pStyle w:val="Bullet2"/>
      <w:lvlText w:val="–"/>
      <w:lvlJc w:val="left"/>
      <w:pPr>
        <w:ind w:left="1136" w:hanging="284"/>
      </w:pPr>
      <w:rPr>
        <w:rFonts w:ascii="Calibri" w:hAnsi="Calibri" w:hint="default"/>
        <w:color w:val="auto"/>
      </w:rPr>
    </w:lvl>
    <w:lvl w:ilvl="2">
      <w:start w:val="1"/>
      <w:numFmt w:val="bullet"/>
      <w:pStyle w:val="Bullet3"/>
      <w:lvlText w:val="›"/>
      <w:lvlJc w:val="left"/>
      <w:pPr>
        <w:ind w:left="1420" w:hanging="284"/>
      </w:pPr>
      <w:rPr>
        <w:rFonts w:ascii="Calibri" w:hAnsi="Calibri" w:hint="default"/>
        <w:color w:val="auto"/>
      </w:rPr>
    </w:lvl>
    <w:lvl w:ilvl="3">
      <w:start w:val="1"/>
      <w:numFmt w:val="bullet"/>
      <w:lvlText w:val="▫"/>
      <w:lvlJc w:val="left"/>
      <w:pPr>
        <w:ind w:left="1704" w:hanging="284"/>
      </w:pPr>
      <w:rPr>
        <w:rFonts w:ascii="Calibri" w:hAnsi="Calibri" w:hint="default"/>
        <w:color w:val="auto"/>
      </w:rPr>
    </w:lvl>
    <w:lvl w:ilvl="4">
      <w:start w:val="1"/>
      <w:numFmt w:val="bullet"/>
      <w:lvlText w:val="—"/>
      <w:lvlJc w:val="left"/>
      <w:pPr>
        <w:ind w:left="1988" w:hanging="284"/>
      </w:pPr>
      <w:rPr>
        <w:rFonts w:ascii="Calibri" w:hAnsi="Calibri" w:hint="default"/>
        <w:color w:val="auto"/>
      </w:rPr>
    </w:lvl>
    <w:lvl w:ilvl="5">
      <w:start w:val="1"/>
      <w:numFmt w:val="bullet"/>
      <w:lvlText w:val="»"/>
      <w:lvlJc w:val="left"/>
      <w:pPr>
        <w:ind w:left="2272" w:hanging="284"/>
      </w:pPr>
      <w:rPr>
        <w:rFonts w:ascii="Calibri" w:hAnsi="Calibri" w:hint="default"/>
        <w:color w:val="auto"/>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33" w15:restartNumberingAfterBreak="0">
    <w:nsid w:val="46821EA6"/>
    <w:multiLevelType w:val="hybridMultilevel"/>
    <w:tmpl w:val="F402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6E5389"/>
    <w:multiLevelType w:val="hybridMultilevel"/>
    <w:tmpl w:val="E40E7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F5464"/>
    <w:multiLevelType w:val="multilevel"/>
    <w:tmpl w:val="A934BB8C"/>
    <w:lvl w:ilvl="0">
      <w:start w:val="1"/>
      <w:numFmt w:val="bullet"/>
      <w:lvlText w:val=""/>
      <w:lvlJc w:val="left"/>
      <w:pPr>
        <w:ind w:left="283" w:hanging="283"/>
      </w:pPr>
      <w:rPr>
        <w:rFonts w:ascii="Symbol" w:hAnsi="Symbol" w:hint="default"/>
      </w:rPr>
    </w:lvl>
    <w:lvl w:ilvl="1">
      <w:start w:val="1"/>
      <w:numFmt w:val="lowerLetter"/>
      <w:lvlText w:val="%2."/>
      <w:lvlJc w:val="left"/>
      <w:pPr>
        <w:ind w:left="737" w:hanging="283"/>
      </w:pPr>
      <w:rPr>
        <w:rFonts w:hint="default"/>
      </w:rPr>
    </w:lvl>
    <w:lvl w:ilvl="2">
      <w:start w:val="1"/>
      <w:numFmt w:val="lowerRoman"/>
      <w:lvlText w:val="%3."/>
      <w:lvlJc w:val="left"/>
      <w:pPr>
        <w:ind w:left="1134" w:hanging="284"/>
      </w:pPr>
      <w:rPr>
        <w:rFonts w:hint="default"/>
      </w:rPr>
    </w:lvl>
    <w:lvl w:ilvl="3">
      <w:start w:val="1"/>
      <w:numFmt w:val="decimal"/>
      <w:lvlText w:val="%4."/>
      <w:lvlJc w:val="left"/>
      <w:pPr>
        <w:ind w:left="1645" w:hanging="283"/>
      </w:pPr>
      <w:rPr>
        <w:rFonts w:hint="default"/>
      </w:rPr>
    </w:lvl>
    <w:lvl w:ilvl="4">
      <w:start w:val="1"/>
      <w:numFmt w:val="lowerLetter"/>
      <w:lvlText w:val="%5."/>
      <w:lvlJc w:val="left"/>
      <w:pPr>
        <w:ind w:left="2099" w:hanging="283"/>
      </w:pPr>
      <w:rPr>
        <w:rFonts w:hint="default"/>
      </w:rPr>
    </w:lvl>
    <w:lvl w:ilvl="5">
      <w:start w:val="1"/>
      <w:numFmt w:val="lowerRoman"/>
      <w:lvlText w:val="%6."/>
      <w:lvlJc w:val="right"/>
      <w:pPr>
        <w:ind w:left="2553" w:hanging="283"/>
      </w:pPr>
      <w:rPr>
        <w:rFonts w:hint="default"/>
      </w:rPr>
    </w:lvl>
    <w:lvl w:ilvl="6">
      <w:start w:val="1"/>
      <w:numFmt w:val="decimal"/>
      <w:lvlText w:val="%7."/>
      <w:lvlJc w:val="left"/>
      <w:pPr>
        <w:ind w:left="3007" w:hanging="283"/>
      </w:pPr>
      <w:rPr>
        <w:rFonts w:hint="default"/>
      </w:rPr>
    </w:lvl>
    <w:lvl w:ilvl="7">
      <w:start w:val="1"/>
      <w:numFmt w:val="lowerLetter"/>
      <w:lvlText w:val="%8."/>
      <w:lvlJc w:val="left"/>
      <w:pPr>
        <w:ind w:left="3461" w:hanging="283"/>
      </w:pPr>
      <w:rPr>
        <w:rFonts w:hint="default"/>
      </w:rPr>
    </w:lvl>
    <w:lvl w:ilvl="8">
      <w:start w:val="1"/>
      <w:numFmt w:val="lowerRoman"/>
      <w:lvlText w:val="%9."/>
      <w:lvlJc w:val="right"/>
      <w:pPr>
        <w:ind w:left="3915" w:hanging="283"/>
      </w:pPr>
      <w:rPr>
        <w:rFonts w:hint="default"/>
      </w:rPr>
    </w:lvl>
  </w:abstractNum>
  <w:abstractNum w:abstractNumId="36" w15:restartNumberingAfterBreak="0">
    <w:nsid w:val="4F5C34DF"/>
    <w:multiLevelType w:val="hybridMultilevel"/>
    <w:tmpl w:val="28524B7C"/>
    <w:lvl w:ilvl="0" w:tplc="D20E01DE">
      <w:start w:val="1"/>
      <w:numFmt w:val="decimal"/>
      <w:lvlText w:val="%1."/>
      <w:lvlJc w:val="left"/>
      <w:pPr>
        <w:ind w:left="360" w:hanging="360"/>
      </w:pPr>
      <w:rPr>
        <w:b w:val="0"/>
      </w:rPr>
    </w:lvl>
    <w:lvl w:ilvl="1" w:tplc="010C76AA">
      <w:start w:val="1"/>
      <w:numFmt w:val="lowerLetter"/>
      <w:lvlText w:val="%2."/>
      <w:lvlJc w:val="left"/>
      <w:pPr>
        <w:ind w:left="927" w:hanging="360"/>
      </w:pPr>
      <w:rPr>
        <w:b w:val="0"/>
      </w:rPr>
    </w:lvl>
    <w:lvl w:ilvl="2" w:tplc="0C09001B">
      <w:start w:val="1"/>
      <w:numFmt w:val="lowerRoman"/>
      <w:lvlText w:val="%3."/>
      <w:lvlJc w:val="right"/>
      <w:pPr>
        <w:ind w:left="1314"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03667C6"/>
    <w:multiLevelType w:val="hybridMultilevel"/>
    <w:tmpl w:val="CFF8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4C1874"/>
    <w:multiLevelType w:val="hybridMultilevel"/>
    <w:tmpl w:val="B7DAB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E26C39"/>
    <w:multiLevelType w:val="hybridMultilevel"/>
    <w:tmpl w:val="4D8EC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D3A52EB"/>
    <w:multiLevelType w:val="hybridMultilevel"/>
    <w:tmpl w:val="89701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4447FA"/>
    <w:multiLevelType w:val="hybridMultilevel"/>
    <w:tmpl w:val="281E8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5" w15:restartNumberingAfterBreak="0">
    <w:nsid w:val="608F21F8"/>
    <w:multiLevelType w:val="multilevel"/>
    <w:tmpl w:val="B88C7C96"/>
    <w:lvl w:ilvl="0">
      <w:start w:val="1"/>
      <w:numFmt w:val="bullet"/>
      <w:pStyle w:val="BulletedListlvl1"/>
      <w:lvlText w:val=""/>
      <w:lvlJc w:val="left"/>
      <w:pPr>
        <w:ind w:left="563" w:hanging="283"/>
      </w:pPr>
      <w:rPr>
        <w:rFonts w:ascii="Symbol" w:hAnsi="Symbol" w:hint="default"/>
        <w:color w:val="404040" w:themeColor="text1" w:themeTint="BF"/>
        <w:sz w:val="20"/>
        <w:szCs w:val="20"/>
      </w:rPr>
    </w:lvl>
    <w:lvl w:ilvl="1">
      <w:start w:val="1"/>
      <w:numFmt w:val="bullet"/>
      <w:pStyle w:val="BulletedListlvl2"/>
      <w:lvlText w:val="‒"/>
      <w:lvlJc w:val="left"/>
      <w:pPr>
        <w:ind w:left="1130"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697" w:hanging="283"/>
      </w:pPr>
      <w:rPr>
        <w:rFonts w:ascii="Wingdings" w:hAnsi="Wingdings" w:hint="default"/>
      </w:rPr>
    </w:lvl>
    <w:lvl w:ilvl="3">
      <w:start w:val="1"/>
      <w:numFmt w:val="bullet"/>
      <w:lvlText w:val=""/>
      <w:lvlJc w:val="left"/>
      <w:pPr>
        <w:ind w:left="2264" w:hanging="283"/>
      </w:pPr>
      <w:rPr>
        <w:rFonts w:ascii="Symbol" w:hAnsi="Symbol" w:hint="default"/>
      </w:rPr>
    </w:lvl>
    <w:lvl w:ilvl="4">
      <w:start w:val="1"/>
      <w:numFmt w:val="bullet"/>
      <w:lvlText w:val="o"/>
      <w:lvlJc w:val="left"/>
      <w:pPr>
        <w:ind w:left="2831" w:hanging="283"/>
      </w:pPr>
      <w:rPr>
        <w:rFonts w:ascii="Courier New" w:hAnsi="Courier New" w:cs="Courier New" w:hint="default"/>
      </w:rPr>
    </w:lvl>
    <w:lvl w:ilvl="5">
      <w:start w:val="1"/>
      <w:numFmt w:val="bullet"/>
      <w:lvlText w:val=""/>
      <w:lvlJc w:val="left"/>
      <w:pPr>
        <w:ind w:left="3398" w:hanging="283"/>
      </w:pPr>
      <w:rPr>
        <w:rFonts w:ascii="Wingdings" w:hAnsi="Wingdings" w:hint="default"/>
      </w:rPr>
    </w:lvl>
    <w:lvl w:ilvl="6">
      <w:start w:val="1"/>
      <w:numFmt w:val="bullet"/>
      <w:lvlText w:val=""/>
      <w:lvlJc w:val="left"/>
      <w:pPr>
        <w:ind w:left="3965" w:hanging="283"/>
      </w:pPr>
      <w:rPr>
        <w:rFonts w:ascii="Symbol" w:hAnsi="Symbol" w:hint="default"/>
      </w:rPr>
    </w:lvl>
    <w:lvl w:ilvl="7">
      <w:start w:val="1"/>
      <w:numFmt w:val="bullet"/>
      <w:lvlText w:val="o"/>
      <w:lvlJc w:val="left"/>
      <w:pPr>
        <w:ind w:left="4532" w:hanging="283"/>
      </w:pPr>
      <w:rPr>
        <w:rFonts w:ascii="Courier New" w:hAnsi="Courier New" w:cs="Courier New" w:hint="default"/>
      </w:rPr>
    </w:lvl>
    <w:lvl w:ilvl="8">
      <w:start w:val="1"/>
      <w:numFmt w:val="bullet"/>
      <w:lvlText w:val=""/>
      <w:lvlJc w:val="left"/>
      <w:pPr>
        <w:ind w:left="5099" w:hanging="283"/>
      </w:pPr>
      <w:rPr>
        <w:rFonts w:ascii="Wingdings" w:hAnsi="Wingdings" w:hint="default"/>
      </w:rPr>
    </w:lvl>
  </w:abstractNum>
  <w:abstractNum w:abstractNumId="4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1AD0123"/>
    <w:multiLevelType w:val="hybridMultilevel"/>
    <w:tmpl w:val="B920B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6F2C36D3"/>
    <w:multiLevelType w:val="hybridMultilevel"/>
    <w:tmpl w:val="EDA2F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EF1E09"/>
    <w:multiLevelType w:val="multilevel"/>
    <w:tmpl w:val="2498566E"/>
    <w:lvl w:ilvl="0">
      <w:start w:val="1"/>
      <w:numFmt w:val="bullet"/>
      <w:pStyle w:val="NumberedListlvl1"/>
      <w:lvlText w:val=""/>
      <w:lvlJc w:val="left"/>
      <w:pPr>
        <w:ind w:left="283" w:hanging="283"/>
      </w:pPr>
      <w:rPr>
        <w:rFonts w:ascii="Symbol" w:hAnsi="Symbol" w:hint="default"/>
      </w:rPr>
    </w:lvl>
    <w:lvl w:ilvl="1">
      <w:start w:val="1"/>
      <w:numFmt w:val="lowerLetter"/>
      <w:pStyle w:val="NumberedListlvl2"/>
      <w:lvlText w:val="%2."/>
      <w:lvlJc w:val="left"/>
      <w:pPr>
        <w:ind w:left="737" w:hanging="283"/>
      </w:pPr>
      <w:rPr>
        <w:rFonts w:hint="default"/>
      </w:rPr>
    </w:lvl>
    <w:lvl w:ilvl="2">
      <w:start w:val="1"/>
      <w:numFmt w:val="lowerRoman"/>
      <w:pStyle w:val="NumberedListlvl3"/>
      <w:lvlText w:val="%3."/>
      <w:lvlJc w:val="left"/>
      <w:pPr>
        <w:ind w:left="1134" w:hanging="284"/>
      </w:pPr>
      <w:rPr>
        <w:rFonts w:hint="default"/>
      </w:rPr>
    </w:lvl>
    <w:lvl w:ilvl="3">
      <w:start w:val="1"/>
      <w:numFmt w:val="decimal"/>
      <w:lvlText w:val="%4."/>
      <w:lvlJc w:val="left"/>
      <w:pPr>
        <w:ind w:left="1645" w:hanging="283"/>
      </w:pPr>
      <w:rPr>
        <w:rFonts w:hint="default"/>
      </w:rPr>
    </w:lvl>
    <w:lvl w:ilvl="4">
      <w:start w:val="1"/>
      <w:numFmt w:val="lowerLetter"/>
      <w:lvlText w:val="%5."/>
      <w:lvlJc w:val="left"/>
      <w:pPr>
        <w:ind w:left="2099" w:hanging="283"/>
      </w:pPr>
      <w:rPr>
        <w:rFonts w:hint="default"/>
      </w:rPr>
    </w:lvl>
    <w:lvl w:ilvl="5">
      <w:start w:val="1"/>
      <w:numFmt w:val="lowerRoman"/>
      <w:lvlText w:val="%6."/>
      <w:lvlJc w:val="right"/>
      <w:pPr>
        <w:ind w:left="2553" w:hanging="283"/>
      </w:pPr>
      <w:rPr>
        <w:rFonts w:hint="default"/>
      </w:rPr>
    </w:lvl>
    <w:lvl w:ilvl="6">
      <w:start w:val="1"/>
      <w:numFmt w:val="decimal"/>
      <w:lvlText w:val="%7."/>
      <w:lvlJc w:val="left"/>
      <w:pPr>
        <w:ind w:left="3007" w:hanging="283"/>
      </w:pPr>
      <w:rPr>
        <w:rFonts w:hint="default"/>
      </w:rPr>
    </w:lvl>
    <w:lvl w:ilvl="7">
      <w:start w:val="1"/>
      <w:numFmt w:val="lowerLetter"/>
      <w:lvlText w:val="%8."/>
      <w:lvlJc w:val="left"/>
      <w:pPr>
        <w:ind w:left="3461" w:hanging="283"/>
      </w:pPr>
      <w:rPr>
        <w:rFonts w:hint="default"/>
      </w:rPr>
    </w:lvl>
    <w:lvl w:ilvl="8">
      <w:start w:val="1"/>
      <w:numFmt w:val="lowerRoman"/>
      <w:lvlText w:val="%9."/>
      <w:lvlJc w:val="right"/>
      <w:pPr>
        <w:ind w:left="3915" w:hanging="283"/>
      </w:pPr>
      <w:rPr>
        <w:rFonts w:hint="default"/>
      </w:rPr>
    </w:lvl>
  </w:abstractNum>
  <w:abstractNum w:abstractNumId="50" w15:restartNumberingAfterBreak="0">
    <w:nsid w:val="734602D4"/>
    <w:multiLevelType w:val="hybridMultilevel"/>
    <w:tmpl w:val="5BB829B2"/>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52" w15:restartNumberingAfterBreak="0">
    <w:nsid w:val="74094E99"/>
    <w:multiLevelType w:val="hybridMultilevel"/>
    <w:tmpl w:val="0B24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6C2B90"/>
    <w:multiLevelType w:val="hybridMultilevel"/>
    <w:tmpl w:val="C426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6"/>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6"/>
  </w:num>
  <w:num w:numId="26">
    <w:abstractNumId w:val="46"/>
  </w:num>
  <w:num w:numId="27">
    <w:abstractNumId w:val="46"/>
  </w:num>
  <w:num w:numId="28">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5"/>
  </w:num>
  <w:num w:numId="31">
    <w:abstractNumId w:val="45"/>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2">
    <w:abstractNumId w:val="26"/>
    <w:lvlOverride w:ilvl="0">
      <w:lvl w:ilvl="0">
        <w:start w:val="1"/>
        <w:numFmt w:val="decimal"/>
        <w:lvlText w:val="%1."/>
        <w:lvlJc w:val="left"/>
        <w:pPr>
          <w:ind w:left="567" w:hanging="283"/>
        </w:pPr>
        <w:rPr>
          <w:rFonts w:asciiTheme="minorHAnsi" w:hAnsiTheme="minorHAnsi" w:hint="default"/>
          <w:color w:val="081E3E"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3">
    <w:abstractNumId w:val="44"/>
  </w:num>
  <w:num w:numId="34">
    <w:abstractNumId w:val="26"/>
    <w:lvlOverride w:ilvl="0">
      <w:lvl w:ilvl="0">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5">
    <w:abstractNumId w:val="14"/>
  </w:num>
  <w:num w:numId="36">
    <w:abstractNumId w:val="51"/>
  </w:num>
  <w:num w:numId="37">
    <w:abstractNumId w:val="49"/>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7"/>
  </w:num>
  <w:num w:numId="41">
    <w:abstractNumId w:val="50"/>
  </w:num>
  <w:num w:numId="42">
    <w:abstractNumId w:val="48"/>
  </w:num>
  <w:num w:numId="43">
    <w:abstractNumId w:val="10"/>
  </w:num>
  <w:num w:numId="44">
    <w:abstractNumId w:val="19"/>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5"/>
  </w:num>
  <w:num w:numId="48">
    <w:abstractNumId w:val="12"/>
  </w:num>
  <w:num w:numId="49">
    <w:abstractNumId w:val="47"/>
  </w:num>
  <w:num w:numId="50">
    <w:abstractNumId w:val="21"/>
  </w:num>
  <w:num w:numId="51">
    <w:abstractNumId w:val="27"/>
  </w:num>
  <w:num w:numId="52">
    <w:abstractNumId w:val="21"/>
  </w:num>
  <w:num w:numId="53">
    <w:abstractNumId w:val="52"/>
  </w:num>
  <w:num w:numId="54">
    <w:abstractNumId w:val="31"/>
  </w:num>
  <w:num w:numId="55">
    <w:abstractNumId w:val="35"/>
  </w:num>
  <w:num w:numId="56">
    <w:abstractNumId w:val="13"/>
  </w:num>
  <w:num w:numId="57">
    <w:abstractNumId w:val="45"/>
  </w:num>
  <w:num w:numId="58">
    <w:abstractNumId w:val="49"/>
  </w:num>
  <w:num w:numId="59">
    <w:abstractNumId w:val="49"/>
  </w:num>
  <w:num w:numId="60">
    <w:abstractNumId w:val="29"/>
  </w:num>
  <w:num w:numId="61">
    <w:abstractNumId w:val="45"/>
  </w:num>
  <w:num w:numId="62">
    <w:abstractNumId w:val="45"/>
  </w:num>
  <w:num w:numId="63">
    <w:abstractNumId w:val="45"/>
  </w:num>
  <w:num w:numId="64">
    <w:abstractNumId w:val="42"/>
  </w:num>
  <w:num w:numId="65">
    <w:abstractNumId w:val="33"/>
  </w:num>
  <w:num w:numId="66">
    <w:abstractNumId w:val="34"/>
  </w:num>
  <w:num w:numId="67">
    <w:abstractNumId w:val="40"/>
  </w:num>
  <w:num w:numId="68">
    <w:abstractNumId w:val="53"/>
  </w:num>
  <w:num w:numId="69">
    <w:abstractNumId w:val="25"/>
  </w:num>
  <w:num w:numId="70">
    <w:abstractNumId w:val="22"/>
  </w:num>
  <w:num w:numId="71">
    <w:abstractNumId w:val="39"/>
  </w:num>
  <w:num w:numId="72">
    <w:abstractNumId w:val="43"/>
  </w:num>
  <w:num w:numId="73">
    <w:abstractNumId w:val="17"/>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num>
  <w:num w:numId="76">
    <w:abstractNumId w:val="36"/>
  </w:num>
  <w:num w:numId="77">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8E"/>
    <w:rsid w:val="00000191"/>
    <w:rsid w:val="00001157"/>
    <w:rsid w:val="000075AC"/>
    <w:rsid w:val="00007B7B"/>
    <w:rsid w:val="00013627"/>
    <w:rsid w:val="0001430B"/>
    <w:rsid w:val="000205AE"/>
    <w:rsid w:val="00023D7C"/>
    <w:rsid w:val="00024126"/>
    <w:rsid w:val="0002641B"/>
    <w:rsid w:val="00027C95"/>
    <w:rsid w:val="00032431"/>
    <w:rsid w:val="00041240"/>
    <w:rsid w:val="0004300B"/>
    <w:rsid w:val="00047A55"/>
    <w:rsid w:val="00053085"/>
    <w:rsid w:val="00054795"/>
    <w:rsid w:val="00054CC7"/>
    <w:rsid w:val="00065958"/>
    <w:rsid w:val="00071CD2"/>
    <w:rsid w:val="0007471B"/>
    <w:rsid w:val="000749C1"/>
    <w:rsid w:val="0007552E"/>
    <w:rsid w:val="00083C5C"/>
    <w:rsid w:val="00085622"/>
    <w:rsid w:val="0008788F"/>
    <w:rsid w:val="000968AF"/>
    <w:rsid w:val="00097859"/>
    <w:rsid w:val="000A1ED1"/>
    <w:rsid w:val="000A207D"/>
    <w:rsid w:val="000A214A"/>
    <w:rsid w:val="000B4FF5"/>
    <w:rsid w:val="000C100F"/>
    <w:rsid w:val="000C453E"/>
    <w:rsid w:val="000D4891"/>
    <w:rsid w:val="000D591D"/>
    <w:rsid w:val="000D74B7"/>
    <w:rsid w:val="000E24BA"/>
    <w:rsid w:val="000E5674"/>
    <w:rsid w:val="000F4943"/>
    <w:rsid w:val="0010024F"/>
    <w:rsid w:val="001019AB"/>
    <w:rsid w:val="001041F2"/>
    <w:rsid w:val="0010463D"/>
    <w:rsid w:val="00104CB3"/>
    <w:rsid w:val="00110F7F"/>
    <w:rsid w:val="001179A4"/>
    <w:rsid w:val="001226A3"/>
    <w:rsid w:val="0012425D"/>
    <w:rsid w:val="001253E6"/>
    <w:rsid w:val="00126675"/>
    <w:rsid w:val="00131112"/>
    <w:rsid w:val="001349C6"/>
    <w:rsid w:val="001356A6"/>
    <w:rsid w:val="00137A2E"/>
    <w:rsid w:val="00144594"/>
    <w:rsid w:val="001453BB"/>
    <w:rsid w:val="001459FC"/>
    <w:rsid w:val="00146846"/>
    <w:rsid w:val="001539FE"/>
    <w:rsid w:val="00156714"/>
    <w:rsid w:val="00161831"/>
    <w:rsid w:val="001639F2"/>
    <w:rsid w:val="00176512"/>
    <w:rsid w:val="001803E3"/>
    <w:rsid w:val="00180C10"/>
    <w:rsid w:val="001832D5"/>
    <w:rsid w:val="00185F6C"/>
    <w:rsid w:val="00186F7C"/>
    <w:rsid w:val="001A0585"/>
    <w:rsid w:val="001A4196"/>
    <w:rsid w:val="001A4DA7"/>
    <w:rsid w:val="001A609D"/>
    <w:rsid w:val="001B6533"/>
    <w:rsid w:val="001C2909"/>
    <w:rsid w:val="001C6F6F"/>
    <w:rsid w:val="001D1E48"/>
    <w:rsid w:val="001D360F"/>
    <w:rsid w:val="001F4AE3"/>
    <w:rsid w:val="001F6DD8"/>
    <w:rsid w:val="002003EC"/>
    <w:rsid w:val="00206DF0"/>
    <w:rsid w:val="0021019B"/>
    <w:rsid w:val="00211D3F"/>
    <w:rsid w:val="002120DA"/>
    <w:rsid w:val="00216AED"/>
    <w:rsid w:val="00220B2C"/>
    <w:rsid w:val="00221D34"/>
    <w:rsid w:val="00223CCA"/>
    <w:rsid w:val="00224E41"/>
    <w:rsid w:val="002254D5"/>
    <w:rsid w:val="0022608F"/>
    <w:rsid w:val="0022611D"/>
    <w:rsid w:val="00233110"/>
    <w:rsid w:val="002343A6"/>
    <w:rsid w:val="00235884"/>
    <w:rsid w:val="002510A1"/>
    <w:rsid w:val="002539C2"/>
    <w:rsid w:val="00262737"/>
    <w:rsid w:val="00266E01"/>
    <w:rsid w:val="002727AA"/>
    <w:rsid w:val="00283BBD"/>
    <w:rsid w:val="00284164"/>
    <w:rsid w:val="00285277"/>
    <w:rsid w:val="00291050"/>
    <w:rsid w:val="00291D51"/>
    <w:rsid w:val="00293803"/>
    <w:rsid w:val="002A5D19"/>
    <w:rsid w:val="002A72AC"/>
    <w:rsid w:val="002B0BD5"/>
    <w:rsid w:val="002B2CB5"/>
    <w:rsid w:val="002B3569"/>
    <w:rsid w:val="002B5E42"/>
    <w:rsid w:val="002B5EA2"/>
    <w:rsid w:val="002B695D"/>
    <w:rsid w:val="002B7197"/>
    <w:rsid w:val="002C7CD1"/>
    <w:rsid w:val="002D01AA"/>
    <w:rsid w:val="002D08F1"/>
    <w:rsid w:val="002D0DCF"/>
    <w:rsid w:val="002D3016"/>
    <w:rsid w:val="002D430E"/>
    <w:rsid w:val="002D49A3"/>
    <w:rsid w:val="002E1ADA"/>
    <w:rsid w:val="002E4A60"/>
    <w:rsid w:val="002E5FEC"/>
    <w:rsid w:val="002F42DC"/>
    <w:rsid w:val="002F5065"/>
    <w:rsid w:val="002F7FDE"/>
    <w:rsid w:val="00300317"/>
    <w:rsid w:val="00300C6F"/>
    <w:rsid w:val="00302183"/>
    <w:rsid w:val="00302221"/>
    <w:rsid w:val="00305786"/>
    <w:rsid w:val="00311699"/>
    <w:rsid w:val="003120F4"/>
    <w:rsid w:val="00317079"/>
    <w:rsid w:val="00317DE1"/>
    <w:rsid w:val="00321E39"/>
    <w:rsid w:val="00322207"/>
    <w:rsid w:val="003261CF"/>
    <w:rsid w:val="00327044"/>
    <w:rsid w:val="00333CC3"/>
    <w:rsid w:val="0034495C"/>
    <w:rsid w:val="00346626"/>
    <w:rsid w:val="003503D5"/>
    <w:rsid w:val="00350449"/>
    <w:rsid w:val="00350C14"/>
    <w:rsid w:val="00353F22"/>
    <w:rsid w:val="003567BD"/>
    <w:rsid w:val="00356B25"/>
    <w:rsid w:val="00361AB8"/>
    <w:rsid w:val="00362D3B"/>
    <w:rsid w:val="003647D6"/>
    <w:rsid w:val="00364F84"/>
    <w:rsid w:val="003706B9"/>
    <w:rsid w:val="00371086"/>
    <w:rsid w:val="003720E9"/>
    <w:rsid w:val="00372AAC"/>
    <w:rsid w:val="00377460"/>
    <w:rsid w:val="00380A00"/>
    <w:rsid w:val="00391EC9"/>
    <w:rsid w:val="003B0B11"/>
    <w:rsid w:val="003B1DB6"/>
    <w:rsid w:val="003B4D86"/>
    <w:rsid w:val="003B6F04"/>
    <w:rsid w:val="003C2A05"/>
    <w:rsid w:val="003C625A"/>
    <w:rsid w:val="003C7E13"/>
    <w:rsid w:val="003D580C"/>
    <w:rsid w:val="003E2D94"/>
    <w:rsid w:val="003E361A"/>
    <w:rsid w:val="003E78AF"/>
    <w:rsid w:val="003F3641"/>
    <w:rsid w:val="003F60C5"/>
    <w:rsid w:val="003F775D"/>
    <w:rsid w:val="003F7F44"/>
    <w:rsid w:val="00400580"/>
    <w:rsid w:val="004063DE"/>
    <w:rsid w:val="004103A5"/>
    <w:rsid w:val="0041103B"/>
    <w:rsid w:val="00413F28"/>
    <w:rsid w:val="00415901"/>
    <w:rsid w:val="00420F04"/>
    <w:rsid w:val="0042391F"/>
    <w:rsid w:val="00425FFA"/>
    <w:rsid w:val="0042721E"/>
    <w:rsid w:val="004324C6"/>
    <w:rsid w:val="00434064"/>
    <w:rsid w:val="00435200"/>
    <w:rsid w:val="00435F9B"/>
    <w:rsid w:val="004526FA"/>
    <w:rsid w:val="0045366E"/>
    <w:rsid w:val="00453D8B"/>
    <w:rsid w:val="00454F54"/>
    <w:rsid w:val="004603B6"/>
    <w:rsid w:val="004610F0"/>
    <w:rsid w:val="00464758"/>
    <w:rsid w:val="00467ABC"/>
    <w:rsid w:val="00471F62"/>
    <w:rsid w:val="00473398"/>
    <w:rsid w:val="00474033"/>
    <w:rsid w:val="0047429D"/>
    <w:rsid w:val="00474C4B"/>
    <w:rsid w:val="00476686"/>
    <w:rsid w:val="00477321"/>
    <w:rsid w:val="00477E77"/>
    <w:rsid w:val="0048084C"/>
    <w:rsid w:val="00483387"/>
    <w:rsid w:val="0048481E"/>
    <w:rsid w:val="00484EA3"/>
    <w:rsid w:val="0048540E"/>
    <w:rsid w:val="004909A6"/>
    <w:rsid w:val="004971DF"/>
    <w:rsid w:val="00497D73"/>
    <w:rsid w:val="004A21C6"/>
    <w:rsid w:val="004A3726"/>
    <w:rsid w:val="004B3F71"/>
    <w:rsid w:val="004B6D9C"/>
    <w:rsid w:val="004C17A9"/>
    <w:rsid w:val="004C2031"/>
    <w:rsid w:val="004D4D67"/>
    <w:rsid w:val="004E17EB"/>
    <w:rsid w:val="004E1A82"/>
    <w:rsid w:val="004E3F4B"/>
    <w:rsid w:val="004F18AA"/>
    <w:rsid w:val="004F2685"/>
    <w:rsid w:val="00502774"/>
    <w:rsid w:val="005046B1"/>
    <w:rsid w:val="00506456"/>
    <w:rsid w:val="00506477"/>
    <w:rsid w:val="00515A37"/>
    <w:rsid w:val="00516D50"/>
    <w:rsid w:val="0052119E"/>
    <w:rsid w:val="00521CE5"/>
    <w:rsid w:val="0052450E"/>
    <w:rsid w:val="00530E92"/>
    <w:rsid w:val="00535938"/>
    <w:rsid w:val="00535ECD"/>
    <w:rsid w:val="00540D28"/>
    <w:rsid w:val="00541213"/>
    <w:rsid w:val="005439C9"/>
    <w:rsid w:val="00543AEF"/>
    <w:rsid w:val="00545E49"/>
    <w:rsid w:val="00546218"/>
    <w:rsid w:val="00553C46"/>
    <w:rsid w:val="00554315"/>
    <w:rsid w:val="005603BA"/>
    <w:rsid w:val="005641D8"/>
    <w:rsid w:val="00570E54"/>
    <w:rsid w:val="0057502D"/>
    <w:rsid w:val="0058549F"/>
    <w:rsid w:val="005912BE"/>
    <w:rsid w:val="00592250"/>
    <w:rsid w:val="00592D65"/>
    <w:rsid w:val="00594A80"/>
    <w:rsid w:val="005A5A2D"/>
    <w:rsid w:val="005A6352"/>
    <w:rsid w:val="005A6DAA"/>
    <w:rsid w:val="005B2085"/>
    <w:rsid w:val="005B2CF0"/>
    <w:rsid w:val="005C1963"/>
    <w:rsid w:val="005C4C28"/>
    <w:rsid w:val="005C5ACE"/>
    <w:rsid w:val="005D2A74"/>
    <w:rsid w:val="005D3021"/>
    <w:rsid w:val="005D40F7"/>
    <w:rsid w:val="005D6B36"/>
    <w:rsid w:val="005E1E2E"/>
    <w:rsid w:val="005E3014"/>
    <w:rsid w:val="005E47A7"/>
    <w:rsid w:val="005E5660"/>
    <w:rsid w:val="005F19AC"/>
    <w:rsid w:val="005F794B"/>
    <w:rsid w:val="0060324C"/>
    <w:rsid w:val="00603634"/>
    <w:rsid w:val="00607D4B"/>
    <w:rsid w:val="00610B5B"/>
    <w:rsid w:val="0061559C"/>
    <w:rsid w:val="00615F6D"/>
    <w:rsid w:val="0062183B"/>
    <w:rsid w:val="00624431"/>
    <w:rsid w:val="00626B04"/>
    <w:rsid w:val="00631C7D"/>
    <w:rsid w:val="00632152"/>
    <w:rsid w:val="00645551"/>
    <w:rsid w:val="00646420"/>
    <w:rsid w:val="006479D8"/>
    <w:rsid w:val="00654726"/>
    <w:rsid w:val="006550D7"/>
    <w:rsid w:val="006550E3"/>
    <w:rsid w:val="00657CC5"/>
    <w:rsid w:val="0066264D"/>
    <w:rsid w:val="006629DE"/>
    <w:rsid w:val="006666A8"/>
    <w:rsid w:val="00666D51"/>
    <w:rsid w:val="006706FA"/>
    <w:rsid w:val="0067095A"/>
    <w:rsid w:val="006772DE"/>
    <w:rsid w:val="00677D8C"/>
    <w:rsid w:val="0068074D"/>
    <w:rsid w:val="00681A45"/>
    <w:rsid w:val="0068371F"/>
    <w:rsid w:val="00684C16"/>
    <w:rsid w:val="00690227"/>
    <w:rsid w:val="006A0006"/>
    <w:rsid w:val="006A3BFD"/>
    <w:rsid w:val="006B6976"/>
    <w:rsid w:val="006C05F5"/>
    <w:rsid w:val="006C5A03"/>
    <w:rsid w:val="006C7612"/>
    <w:rsid w:val="006D5FF6"/>
    <w:rsid w:val="006E0F9B"/>
    <w:rsid w:val="006E1A20"/>
    <w:rsid w:val="006E1ECA"/>
    <w:rsid w:val="006E530D"/>
    <w:rsid w:val="006E616D"/>
    <w:rsid w:val="006F1FC2"/>
    <w:rsid w:val="006F25D6"/>
    <w:rsid w:val="006F2938"/>
    <w:rsid w:val="006F45E8"/>
    <w:rsid w:val="00700752"/>
    <w:rsid w:val="00700DA1"/>
    <w:rsid w:val="00700DD8"/>
    <w:rsid w:val="00701000"/>
    <w:rsid w:val="00702F26"/>
    <w:rsid w:val="0071093B"/>
    <w:rsid w:val="00713963"/>
    <w:rsid w:val="00714A40"/>
    <w:rsid w:val="00715B03"/>
    <w:rsid w:val="00720235"/>
    <w:rsid w:val="007231B9"/>
    <w:rsid w:val="0073250D"/>
    <w:rsid w:val="0073372A"/>
    <w:rsid w:val="00734547"/>
    <w:rsid w:val="007357A4"/>
    <w:rsid w:val="007364FF"/>
    <w:rsid w:val="00736F13"/>
    <w:rsid w:val="00740289"/>
    <w:rsid w:val="00745F56"/>
    <w:rsid w:val="007470D0"/>
    <w:rsid w:val="007538C6"/>
    <w:rsid w:val="00755941"/>
    <w:rsid w:val="00756F1C"/>
    <w:rsid w:val="00760C36"/>
    <w:rsid w:val="00760E5C"/>
    <w:rsid w:val="00766BF2"/>
    <w:rsid w:val="00766C73"/>
    <w:rsid w:val="00772C92"/>
    <w:rsid w:val="00776E80"/>
    <w:rsid w:val="007824DB"/>
    <w:rsid w:val="00783633"/>
    <w:rsid w:val="0078544B"/>
    <w:rsid w:val="00785967"/>
    <w:rsid w:val="00787004"/>
    <w:rsid w:val="0078778E"/>
    <w:rsid w:val="007902B6"/>
    <w:rsid w:val="007910BF"/>
    <w:rsid w:val="0079498D"/>
    <w:rsid w:val="007A05BE"/>
    <w:rsid w:val="007A0C7D"/>
    <w:rsid w:val="007A1097"/>
    <w:rsid w:val="007A4807"/>
    <w:rsid w:val="007A5031"/>
    <w:rsid w:val="007A50FA"/>
    <w:rsid w:val="007B4EAE"/>
    <w:rsid w:val="007B7334"/>
    <w:rsid w:val="007D104F"/>
    <w:rsid w:val="007D3E38"/>
    <w:rsid w:val="007D5F2E"/>
    <w:rsid w:val="007D6B99"/>
    <w:rsid w:val="007D6FEC"/>
    <w:rsid w:val="007E266F"/>
    <w:rsid w:val="007E3484"/>
    <w:rsid w:val="007F02EA"/>
    <w:rsid w:val="007F1222"/>
    <w:rsid w:val="007F59CF"/>
    <w:rsid w:val="008067A1"/>
    <w:rsid w:val="00806DD8"/>
    <w:rsid w:val="00811A3B"/>
    <w:rsid w:val="00812C25"/>
    <w:rsid w:val="00814A0E"/>
    <w:rsid w:val="00817A8B"/>
    <w:rsid w:val="00820284"/>
    <w:rsid w:val="0082493F"/>
    <w:rsid w:val="008273C9"/>
    <w:rsid w:val="00827492"/>
    <w:rsid w:val="00831228"/>
    <w:rsid w:val="00832A3A"/>
    <w:rsid w:val="00832C3C"/>
    <w:rsid w:val="00833237"/>
    <w:rsid w:val="0083417A"/>
    <w:rsid w:val="00837049"/>
    <w:rsid w:val="0084160B"/>
    <w:rsid w:val="0084426F"/>
    <w:rsid w:val="008456D5"/>
    <w:rsid w:val="00845C59"/>
    <w:rsid w:val="0084634B"/>
    <w:rsid w:val="0085522F"/>
    <w:rsid w:val="00856A2E"/>
    <w:rsid w:val="00857064"/>
    <w:rsid w:val="0086223E"/>
    <w:rsid w:val="0087051A"/>
    <w:rsid w:val="008754B5"/>
    <w:rsid w:val="00875EA4"/>
    <w:rsid w:val="008823BC"/>
    <w:rsid w:val="00883857"/>
    <w:rsid w:val="00885913"/>
    <w:rsid w:val="008869DA"/>
    <w:rsid w:val="008A1887"/>
    <w:rsid w:val="008A39D7"/>
    <w:rsid w:val="008B3BAE"/>
    <w:rsid w:val="008B6A81"/>
    <w:rsid w:val="008C4A6C"/>
    <w:rsid w:val="008C6E2C"/>
    <w:rsid w:val="008D1CC9"/>
    <w:rsid w:val="008D5EA5"/>
    <w:rsid w:val="008E27E2"/>
    <w:rsid w:val="008E2A0D"/>
    <w:rsid w:val="008E3D00"/>
    <w:rsid w:val="008E6350"/>
    <w:rsid w:val="008E7B29"/>
    <w:rsid w:val="008F0D09"/>
    <w:rsid w:val="008F3EA8"/>
    <w:rsid w:val="00900295"/>
    <w:rsid w:val="00901BB0"/>
    <w:rsid w:val="009023E1"/>
    <w:rsid w:val="00902FB3"/>
    <w:rsid w:val="00903D99"/>
    <w:rsid w:val="00907D46"/>
    <w:rsid w:val="00912E64"/>
    <w:rsid w:val="00914A3A"/>
    <w:rsid w:val="0091510B"/>
    <w:rsid w:val="009206E0"/>
    <w:rsid w:val="00937742"/>
    <w:rsid w:val="00942A7E"/>
    <w:rsid w:val="00943E6B"/>
    <w:rsid w:val="00945CAB"/>
    <w:rsid w:val="0094712E"/>
    <w:rsid w:val="00953363"/>
    <w:rsid w:val="00970862"/>
    <w:rsid w:val="00973B6B"/>
    <w:rsid w:val="00984F28"/>
    <w:rsid w:val="009916C2"/>
    <w:rsid w:val="00991E9F"/>
    <w:rsid w:val="0099257E"/>
    <w:rsid w:val="00992711"/>
    <w:rsid w:val="00995715"/>
    <w:rsid w:val="009A5C87"/>
    <w:rsid w:val="009B00F2"/>
    <w:rsid w:val="009B01C0"/>
    <w:rsid w:val="009B0F4D"/>
    <w:rsid w:val="009B3E6C"/>
    <w:rsid w:val="009B4485"/>
    <w:rsid w:val="009B7423"/>
    <w:rsid w:val="009C2263"/>
    <w:rsid w:val="009C6A83"/>
    <w:rsid w:val="009D5C9A"/>
    <w:rsid w:val="009D7CCE"/>
    <w:rsid w:val="009E6B3E"/>
    <w:rsid w:val="009F07E2"/>
    <w:rsid w:val="009F0C3B"/>
    <w:rsid w:val="009F1E06"/>
    <w:rsid w:val="009F3D18"/>
    <w:rsid w:val="00A070A2"/>
    <w:rsid w:val="00A10E16"/>
    <w:rsid w:val="00A16C62"/>
    <w:rsid w:val="00A20C0C"/>
    <w:rsid w:val="00A21F2C"/>
    <w:rsid w:val="00A22472"/>
    <w:rsid w:val="00A22B42"/>
    <w:rsid w:val="00A2336F"/>
    <w:rsid w:val="00A25550"/>
    <w:rsid w:val="00A25863"/>
    <w:rsid w:val="00A27E8D"/>
    <w:rsid w:val="00A3083A"/>
    <w:rsid w:val="00A31E48"/>
    <w:rsid w:val="00A32E1F"/>
    <w:rsid w:val="00A369D8"/>
    <w:rsid w:val="00A409AB"/>
    <w:rsid w:val="00A4342B"/>
    <w:rsid w:val="00A504DC"/>
    <w:rsid w:val="00A50F5F"/>
    <w:rsid w:val="00A52DE0"/>
    <w:rsid w:val="00A540D0"/>
    <w:rsid w:val="00A56AD8"/>
    <w:rsid w:val="00A73F83"/>
    <w:rsid w:val="00A75B21"/>
    <w:rsid w:val="00A77FBD"/>
    <w:rsid w:val="00A85900"/>
    <w:rsid w:val="00A86D8C"/>
    <w:rsid w:val="00A9196B"/>
    <w:rsid w:val="00A95970"/>
    <w:rsid w:val="00AA09E7"/>
    <w:rsid w:val="00AA29C7"/>
    <w:rsid w:val="00AA6CC3"/>
    <w:rsid w:val="00AB3844"/>
    <w:rsid w:val="00AB64B5"/>
    <w:rsid w:val="00AB6CB6"/>
    <w:rsid w:val="00AC0584"/>
    <w:rsid w:val="00AC1302"/>
    <w:rsid w:val="00AC443E"/>
    <w:rsid w:val="00AD1C34"/>
    <w:rsid w:val="00AD20B4"/>
    <w:rsid w:val="00AD274F"/>
    <w:rsid w:val="00AD7703"/>
    <w:rsid w:val="00AE0010"/>
    <w:rsid w:val="00AE0EAF"/>
    <w:rsid w:val="00AE1C99"/>
    <w:rsid w:val="00AE427F"/>
    <w:rsid w:val="00AE5D1F"/>
    <w:rsid w:val="00AF124D"/>
    <w:rsid w:val="00AF6418"/>
    <w:rsid w:val="00AF7689"/>
    <w:rsid w:val="00B000BC"/>
    <w:rsid w:val="00B03555"/>
    <w:rsid w:val="00B06D96"/>
    <w:rsid w:val="00B15A53"/>
    <w:rsid w:val="00B21388"/>
    <w:rsid w:val="00B24AF1"/>
    <w:rsid w:val="00B32DDE"/>
    <w:rsid w:val="00B42AC2"/>
    <w:rsid w:val="00B44E4E"/>
    <w:rsid w:val="00B46183"/>
    <w:rsid w:val="00B46914"/>
    <w:rsid w:val="00B51EE2"/>
    <w:rsid w:val="00B54E13"/>
    <w:rsid w:val="00B61E2A"/>
    <w:rsid w:val="00B6369A"/>
    <w:rsid w:val="00B673F0"/>
    <w:rsid w:val="00B70553"/>
    <w:rsid w:val="00B707D7"/>
    <w:rsid w:val="00B710F6"/>
    <w:rsid w:val="00B72871"/>
    <w:rsid w:val="00B7302D"/>
    <w:rsid w:val="00B74C5F"/>
    <w:rsid w:val="00B77B85"/>
    <w:rsid w:val="00B83A99"/>
    <w:rsid w:val="00B87021"/>
    <w:rsid w:val="00B903F4"/>
    <w:rsid w:val="00B90F0F"/>
    <w:rsid w:val="00B92F3E"/>
    <w:rsid w:val="00B97D76"/>
    <w:rsid w:val="00BA24FB"/>
    <w:rsid w:val="00BA4BB6"/>
    <w:rsid w:val="00BA4EB1"/>
    <w:rsid w:val="00BA61F8"/>
    <w:rsid w:val="00BA651D"/>
    <w:rsid w:val="00BB16EA"/>
    <w:rsid w:val="00BB3AAC"/>
    <w:rsid w:val="00BB6632"/>
    <w:rsid w:val="00BB7CC9"/>
    <w:rsid w:val="00BC6D2E"/>
    <w:rsid w:val="00BD277C"/>
    <w:rsid w:val="00BD74CE"/>
    <w:rsid w:val="00BE5289"/>
    <w:rsid w:val="00BE5522"/>
    <w:rsid w:val="00BF35EF"/>
    <w:rsid w:val="00BF437E"/>
    <w:rsid w:val="00C022E4"/>
    <w:rsid w:val="00C151F5"/>
    <w:rsid w:val="00C1741B"/>
    <w:rsid w:val="00C22A9E"/>
    <w:rsid w:val="00C27C0B"/>
    <w:rsid w:val="00C3007A"/>
    <w:rsid w:val="00C3171A"/>
    <w:rsid w:val="00C357D0"/>
    <w:rsid w:val="00C374DE"/>
    <w:rsid w:val="00C435F0"/>
    <w:rsid w:val="00C46DBE"/>
    <w:rsid w:val="00C6432A"/>
    <w:rsid w:val="00C65B2C"/>
    <w:rsid w:val="00C72BEE"/>
    <w:rsid w:val="00C74368"/>
    <w:rsid w:val="00C76DD7"/>
    <w:rsid w:val="00C7788A"/>
    <w:rsid w:val="00C83B88"/>
    <w:rsid w:val="00CB0D5F"/>
    <w:rsid w:val="00CB1451"/>
    <w:rsid w:val="00CB1B01"/>
    <w:rsid w:val="00CB2016"/>
    <w:rsid w:val="00CB4204"/>
    <w:rsid w:val="00CC28AD"/>
    <w:rsid w:val="00CC63C4"/>
    <w:rsid w:val="00CD01DD"/>
    <w:rsid w:val="00CD03CE"/>
    <w:rsid w:val="00CD233E"/>
    <w:rsid w:val="00CD3D43"/>
    <w:rsid w:val="00CD46B2"/>
    <w:rsid w:val="00CD4ECB"/>
    <w:rsid w:val="00CE3B3A"/>
    <w:rsid w:val="00CE59AD"/>
    <w:rsid w:val="00CF19EE"/>
    <w:rsid w:val="00CF1D70"/>
    <w:rsid w:val="00CF26A3"/>
    <w:rsid w:val="00CF6CFD"/>
    <w:rsid w:val="00CF7FBE"/>
    <w:rsid w:val="00D01928"/>
    <w:rsid w:val="00D06BD8"/>
    <w:rsid w:val="00D11838"/>
    <w:rsid w:val="00D14014"/>
    <w:rsid w:val="00D145A1"/>
    <w:rsid w:val="00D25280"/>
    <w:rsid w:val="00D25338"/>
    <w:rsid w:val="00D3510F"/>
    <w:rsid w:val="00D36D39"/>
    <w:rsid w:val="00D37A3D"/>
    <w:rsid w:val="00D37AE8"/>
    <w:rsid w:val="00D40134"/>
    <w:rsid w:val="00D432C8"/>
    <w:rsid w:val="00D51C25"/>
    <w:rsid w:val="00D51E8F"/>
    <w:rsid w:val="00D53BF3"/>
    <w:rsid w:val="00D5655E"/>
    <w:rsid w:val="00D60E15"/>
    <w:rsid w:val="00D62C30"/>
    <w:rsid w:val="00D64EE7"/>
    <w:rsid w:val="00D86E40"/>
    <w:rsid w:val="00D87AD8"/>
    <w:rsid w:val="00D93129"/>
    <w:rsid w:val="00D9454B"/>
    <w:rsid w:val="00D9608D"/>
    <w:rsid w:val="00D977A0"/>
    <w:rsid w:val="00DB4707"/>
    <w:rsid w:val="00DB5336"/>
    <w:rsid w:val="00DB5470"/>
    <w:rsid w:val="00DC0759"/>
    <w:rsid w:val="00DC0C3E"/>
    <w:rsid w:val="00DC0EC2"/>
    <w:rsid w:val="00DC377F"/>
    <w:rsid w:val="00DD0652"/>
    <w:rsid w:val="00DE0D48"/>
    <w:rsid w:val="00DE0E88"/>
    <w:rsid w:val="00DE2E7B"/>
    <w:rsid w:val="00DE4362"/>
    <w:rsid w:val="00DE4ED8"/>
    <w:rsid w:val="00DE4FE2"/>
    <w:rsid w:val="00DE6BCA"/>
    <w:rsid w:val="00DF6C71"/>
    <w:rsid w:val="00DF731A"/>
    <w:rsid w:val="00E009BF"/>
    <w:rsid w:val="00E00EA9"/>
    <w:rsid w:val="00E019B4"/>
    <w:rsid w:val="00E02B36"/>
    <w:rsid w:val="00E038A5"/>
    <w:rsid w:val="00E03EC0"/>
    <w:rsid w:val="00E048D9"/>
    <w:rsid w:val="00E04908"/>
    <w:rsid w:val="00E15006"/>
    <w:rsid w:val="00E15E42"/>
    <w:rsid w:val="00E200FA"/>
    <w:rsid w:val="00E23718"/>
    <w:rsid w:val="00E245E1"/>
    <w:rsid w:val="00E25D26"/>
    <w:rsid w:val="00E27168"/>
    <w:rsid w:val="00E3157F"/>
    <w:rsid w:val="00E428BE"/>
    <w:rsid w:val="00E44FDE"/>
    <w:rsid w:val="00E461D7"/>
    <w:rsid w:val="00E50D64"/>
    <w:rsid w:val="00E53F71"/>
    <w:rsid w:val="00E54E81"/>
    <w:rsid w:val="00E5659F"/>
    <w:rsid w:val="00E56F2B"/>
    <w:rsid w:val="00E61D88"/>
    <w:rsid w:val="00E63305"/>
    <w:rsid w:val="00E661EA"/>
    <w:rsid w:val="00E70AB5"/>
    <w:rsid w:val="00E7149A"/>
    <w:rsid w:val="00E76963"/>
    <w:rsid w:val="00E80571"/>
    <w:rsid w:val="00E84ACE"/>
    <w:rsid w:val="00E84E8A"/>
    <w:rsid w:val="00EA0264"/>
    <w:rsid w:val="00EA72E1"/>
    <w:rsid w:val="00EC088F"/>
    <w:rsid w:val="00EC1D63"/>
    <w:rsid w:val="00EC2D43"/>
    <w:rsid w:val="00EC55AE"/>
    <w:rsid w:val="00EC680D"/>
    <w:rsid w:val="00EC7194"/>
    <w:rsid w:val="00ED34D7"/>
    <w:rsid w:val="00ED5130"/>
    <w:rsid w:val="00EE37C9"/>
    <w:rsid w:val="00EE6EBB"/>
    <w:rsid w:val="00EE7B54"/>
    <w:rsid w:val="00EF4A60"/>
    <w:rsid w:val="00F048B0"/>
    <w:rsid w:val="00F1428D"/>
    <w:rsid w:val="00F14695"/>
    <w:rsid w:val="00F17E0E"/>
    <w:rsid w:val="00F17F55"/>
    <w:rsid w:val="00F21C86"/>
    <w:rsid w:val="00F22ED9"/>
    <w:rsid w:val="00F27C17"/>
    <w:rsid w:val="00F30272"/>
    <w:rsid w:val="00F32FD7"/>
    <w:rsid w:val="00F33EF2"/>
    <w:rsid w:val="00F342AC"/>
    <w:rsid w:val="00F35537"/>
    <w:rsid w:val="00F36413"/>
    <w:rsid w:val="00F40589"/>
    <w:rsid w:val="00F40DB5"/>
    <w:rsid w:val="00F46521"/>
    <w:rsid w:val="00F4737C"/>
    <w:rsid w:val="00F50E33"/>
    <w:rsid w:val="00F5493C"/>
    <w:rsid w:val="00F5527F"/>
    <w:rsid w:val="00F6384B"/>
    <w:rsid w:val="00F64A03"/>
    <w:rsid w:val="00F66474"/>
    <w:rsid w:val="00F676A6"/>
    <w:rsid w:val="00F67CDB"/>
    <w:rsid w:val="00F71BC7"/>
    <w:rsid w:val="00F76E1F"/>
    <w:rsid w:val="00F771F6"/>
    <w:rsid w:val="00F843CA"/>
    <w:rsid w:val="00F8451E"/>
    <w:rsid w:val="00F90578"/>
    <w:rsid w:val="00F941A2"/>
    <w:rsid w:val="00F95265"/>
    <w:rsid w:val="00F96C97"/>
    <w:rsid w:val="00FA456F"/>
    <w:rsid w:val="00FA7428"/>
    <w:rsid w:val="00FB10AA"/>
    <w:rsid w:val="00FB2632"/>
    <w:rsid w:val="00FC32B2"/>
    <w:rsid w:val="00FC34AF"/>
    <w:rsid w:val="00FC6847"/>
    <w:rsid w:val="00FD3884"/>
    <w:rsid w:val="00FD4B12"/>
    <w:rsid w:val="00FE238D"/>
    <w:rsid w:val="00FE4982"/>
    <w:rsid w:val="00FF0BE3"/>
    <w:rsid w:val="00FF2852"/>
    <w:rsid w:val="00FF3D1E"/>
    <w:rsid w:val="00FF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80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3DE"/>
    <w:pPr>
      <w:suppressAutoHyphens/>
    </w:pPr>
  </w:style>
  <w:style w:type="paragraph" w:styleId="Heading1">
    <w:name w:val="heading 1"/>
    <w:aliases w:val="CAB Section Heading,Heading 1 Cab"/>
    <w:basedOn w:val="Normal"/>
    <w:next w:val="Normal"/>
    <w:link w:val="Heading1Char"/>
    <w:uiPriority w:val="4"/>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link w:val="NoSpacingChar"/>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aliases w:val="CAB Section Heading Char,Heading 1 Cab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aliases w:val="Caption table"/>
    <w:basedOn w:val="Normal"/>
    <w:next w:val="Normal"/>
    <w:link w:val="CaptionChar"/>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27"/>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EA0264"/>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543AEF"/>
    <w:pPr>
      <w:keepLines/>
      <w:tabs>
        <w:tab w:val="right" w:pos="9854"/>
      </w:tab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27"/>
      </w:numPr>
    </w:pPr>
    <w:rPr>
      <w:kern w:val="12"/>
      <w:sz w:val="20"/>
      <w:szCs w:val="20"/>
    </w:rPr>
  </w:style>
  <w:style w:type="numbering" w:customStyle="1" w:styleId="BoxedBullets">
    <w:name w:val="Boxed Bullets"/>
    <w:uiPriority w:val="99"/>
    <w:rsid w:val="009D7CCE"/>
    <w:pPr>
      <w:numPr>
        <w:numId w:val="24"/>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List Paragraph1,Recommendation,bullet point list,ACMA_ListParagraph,Bullet Points,CV text,Dot pt,F5 List Paragraph,Indicator Text,L,List Paragraph Char Char Char,List Paragraph11,List Paragraph12,MAIN CONTENT,No Spacing1,列出段,列,FooterText"/>
    <w:basedOn w:val="Normal"/>
    <w:link w:val="ListParagraphChar"/>
    <w:uiPriority w:val="34"/>
    <w:unhideWhenUsed/>
    <w:qFormat/>
    <w:rsid w:val="000075AC"/>
    <w:pPr>
      <w:ind w:left="720"/>
      <w:contextualSpacing/>
    </w:pPr>
  </w:style>
  <w:style w:type="paragraph" w:customStyle="1" w:styleId="BulletedListlvl1">
    <w:name w:val="Bulleted List lvl1"/>
    <w:uiPriority w:val="10"/>
    <w:qFormat/>
    <w:rsid w:val="0078778E"/>
    <w:pPr>
      <w:numPr>
        <w:numId w:val="30"/>
      </w:numPr>
      <w:spacing w:before="0" w:after="0" w:line="264" w:lineRule="auto"/>
    </w:pPr>
    <w:rPr>
      <w:color w:val="262626" w:themeColor="text1" w:themeTint="D9"/>
      <w:sz w:val="20"/>
      <w:szCs w:val="20"/>
    </w:rPr>
  </w:style>
  <w:style w:type="paragraph" w:styleId="BodyText">
    <w:name w:val="Body Text"/>
    <w:basedOn w:val="Normal"/>
    <w:link w:val="BodyTextChar"/>
    <w:qFormat/>
    <w:rsid w:val="0078778E"/>
    <w:pPr>
      <w:suppressAutoHyphens w:val="0"/>
      <w:spacing w:before="0" w:after="120" w:line="264" w:lineRule="auto"/>
    </w:pPr>
    <w:rPr>
      <w:color w:val="262626" w:themeColor="text1" w:themeTint="D9"/>
      <w:sz w:val="20"/>
      <w:szCs w:val="20"/>
    </w:rPr>
  </w:style>
  <w:style w:type="character" w:customStyle="1" w:styleId="BodyTextChar">
    <w:name w:val="Body Text Char"/>
    <w:basedOn w:val="DefaultParagraphFont"/>
    <w:link w:val="BodyText"/>
    <w:rsid w:val="0078778E"/>
    <w:rPr>
      <w:color w:val="262626" w:themeColor="text1" w:themeTint="D9"/>
      <w:sz w:val="20"/>
      <w:szCs w:val="20"/>
    </w:rPr>
  </w:style>
  <w:style w:type="paragraph" w:customStyle="1" w:styleId="BulletedListlvl2">
    <w:name w:val="Bulleted List lvl2"/>
    <w:basedOn w:val="BulletedListlvl1"/>
    <w:uiPriority w:val="10"/>
    <w:rsid w:val="0078778E"/>
    <w:pPr>
      <w:numPr>
        <w:ilvl w:val="1"/>
      </w:numPr>
    </w:pPr>
  </w:style>
  <w:style w:type="paragraph" w:customStyle="1" w:styleId="BulletedListlvl3">
    <w:name w:val="Bulleted List lvl3"/>
    <w:basedOn w:val="BulletedListlvl2"/>
    <w:uiPriority w:val="10"/>
    <w:rsid w:val="0078778E"/>
    <w:pPr>
      <w:numPr>
        <w:ilvl w:val="2"/>
      </w:numPr>
    </w:pPr>
    <w:rPr>
      <w:sz w:val="19"/>
      <w:szCs w:val="19"/>
    </w:rPr>
  </w:style>
  <w:style w:type="table" w:customStyle="1" w:styleId="PMCDefaultTableStyle">
    <w:name w:val="PMC Default Table Style"/>
    <w:basedOn w:val="TableNormal"/>
    <w:uiPriority w:val="99"/>
    <w:rsid w:val="0078778E"/>
    <w:pPr>
      <w:spacing w:before="60" w:after="60" w:line="264" w:lineRule="auto"/>
    </w:pPr>
    <w:rPr>
      <w:color w:val="262626" w:themeColor="text1" w:themeTint="D9"/>
      <w:sz w:val="18"/>
      <w:szCs w:val="20"/>
    </w:rPr>
    <w:tblPr>
      <w:tblStyleRowBandSize w:val="1"/>
      <w:tblBorders>
        <w:bottom w:val="single" w:sz="18" w:space="0" w:color="E7E7E7" w:themeColor="background2"/>
        <w:insideH w:val="single" w:sz="4" w:space="0" w:color="E7E7E7"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7E7"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78778E"/>
    <w:pPr>
      <w:numPr>
        <w:numId w:val="33"/>
      </w:numPr>
      <w:suppressAutoHyphens w:val="0"/>
      <w:spacing w:before="40" w:after="40"/>
      <w:contextualSpacing w:val="0"/>
    </w:pPr>
    <w:rPr>
      <w:color w:val="262626" w:themeColor="text1" w:themeTint="D9"/>
      <w:sz w:val="18"/>
      <w:szCs w:val="20"/>
    </w:rPr>
  </w:style>
  <w:style w:type="paragraph" w:customStyle="1" w:styleId="NumberedListlvl1">
    <w:name w:val="Numbered List lvl1"/>
    <w:basedOn w:val="ListParagraph"/>
    <w:uiPriority w:val="9"/>
    <w:qFormat/>
    <w:rsid w:val="0078778E"/>
    <w:pPr>
      <w:numPr>
        <w:numId w:val="37"/>
      </w:numPr>
      <w:suppressAutoHyphens w:val="0"/>
      <w:spacing w:before="0" w:after="0" w:line="264" w:lineRule="auto"/>
      <w:contextualSpacing w:val="0"/>
    </w:pPr>
    <w:rPr>
      <w:color w:val="262626" w:themeColor="text1" w:themeTint="D9"/>
      <w:sz w:val="20"/>
      <w:szCs w:val="20"/>
    </w:rPr>
  </w:style>
  <w:style w:type="paragraph" w:customStyle="1" w:styleId="NumberedListlvl2">
    <w:name w:val="Numbered List lvl2"/>
    <w:basedOn w:val="NumberedListlvl1"/>
    <w:uiPriority w:val="9"/>
    <w:rsid w:val="0078778E"/>
    <w:pPr>
      <w:numPr>
        <w:ilvl w:val="1"/>
      </w:numPr>
    </w:pPr>
  </w:style>
  <w:style w:type="paragraph" w:customStyle="1" w:styleId="TableBody">
    <w:name w:val="Table Body"/>
    <w:basedOn w:val="Normal"/>
    <w:uiPriority w:val="11"/>
    <w:qFormat/>
    <w:rsid w:val="0078778E"/>
    <w:pPr>
      <w:suppressAutoHyphens w:val="0"/>
      <w:spacing w:before="40" w:after="40" w:line="264" w:lineRule="auto"/>
    </w:pPr>
    <w:rPr>
      <w:sz w:val="18"/>
      <w:szCs w:val="20"/>
    </w:rPr>
  </w:style>
  <w:style w:type="paragraph" w:customStyle="1" w:styleId="NumberedListlvl3">
    <w:name w:val="Numbered List lvl3"/>
    <w:basedOn w:val="NumberedListlvl1"/>
    <w:uiPriority w:val="9"/>
    <w:rsid w:val="0078778E"/>
    <w:pPr>
      <w:numPr>
        <w:ilvl w:val="2"/>
      </w:numPr>
    </w:pPr>
  </w:style>
  <w:style w:type="paragraph" w:customStyle="1" w:styleId="BasicParagraph">
    <w:name w:val="[Basic Paragraph]"/>
    <w:basedOn w:val="Normal"/>
    <w:uiPriority w:val="99"/>
    <w:semiHidden/>
    <w:rsid w:val="0078778E"/>
    <w:pPr>
      <w:suppressAutoHyphens w:val="0"/>
      <w:autoSpaceDE w:val="0"/>
      <w:autoSpaceDN w:val="0"/>
      <w:adjustRightInd w:val="0"/>
      <w:spacing w:before="0" w:after="0" w:line="288" w:lineRule="auto"/>
      <w:textAlignment w:val="center"/>
    </w:pPr>
    <w:rPr>
      <w:rFonts w:cs="Minion Pro"/>
      <w:color w:val="000000"/>
      <w:sz w:val="20"/>
      <w:szCs w:val="20"/>
      <w:lang w:val="en-GB"/>
    </w:rPr>
  </w:style>
  <w:style w:type="paragraph" w:customStyle="1" w:styleId="TableHeading">
    <w:name w:val="Table Heading"/>
    <w:basedOn w:val="Normal"/>
    <w:uiPriority w:val="11"/>
    <w:qFormat/>
    <w:rsid w:val="0078778E"/>
    <w:pPr>
      <w:suppressAutoHyphens w:val="0"/>
      <w:spacing w:before="0" w:after="120" w:line="264" w:lineRule="auto"/>
    </w:pPr>
    <w:rPr>
      <w:rFonts w:asciiTheme="majorHAnsi" w:hAnsiTheme="majorHAnsi"/>
      <w:bCs/>
      <w:color w:val="FFFFFF" w:themeColor="background1"/>
      <w:sz w:val="18"/>
      <w:szCs w:val="20"/>
    </w:rPr>
  </w:style>
  <w:style w:type="paragraph" w:customStyle="1" w:styleId="ProtectiveMarking">
    <w:name w:val="Protective Marking"/>
    <w:basedOn w:val="Normal"/>
    <w:uiPriority w:val="13"/>
    <w:qFormat/>
    <w:rsid w:val="0078778E"/>
    <w:pPr>
      <w:suppressAutoHyphens w:val="0"/>
      <w:spacing w:before="0" w:after="0"/>
      <w:jc w:val="center"/>
    </w:pPr>
    <w:rPr>
      <w:rFonts w:asciiTheme="majorHAnsi" w:hAnsiTheme="majorHAnsi"/>
      <w:caps/>
      <w:noProof/>
      <w:color w:val="CD1719"/>
      <w:sz w:val="16"/>
      <w:szCs w:val="20"/>
    </w:rPr>
  </w:style>
  <w:style w:type="table" w:customStyle="1" w:styleId="PMCTableStyle2">
    <w:name w:val="PMC Table Style 2"/>
    <w:basedOn w:val="TableNormal"/>
    <w:uiPriority w:val="99"/>
    <w:rsid w:val="0078778E"/>
    <w:pPr>
      <w:spacing w:before="60" w:after="60" w:line="264" w:lineRule="auto"/>
    </w:pPr>
    <w:rPr>
      <w:color w:val="262626" w:themeColor="text1" w:themeTint="D9"/>
      <w:sz w:val="20"/>
      <w:szCs w:val="20"/>
    </w:rPr>
    <w:tblPr>
      <w:tblStyleRowBandSize w:val="1"/>
      <w:tblBorders>
        <w:top w:val="single" w:sz="4" w:space="0" w:color="D7E5FA" w:themeColor="accent1" w:themeTint="1A"/>
        <w:left w:val="single" w:sz="4" w:space="0" w:color="D7E5FA" w:themeColor="accent1" w:themeTint="1A"/>
        <w:bottom w:val="single" w:sz="12" w:space="0" w:color="081E3E" w:themeColor="text2"/>
        <w:right w:val="single" w:sz="4" w:space="0" w:color="D7E5FA" w:themeColor="accent1" w:themeTint="1A"/>
        <w:insideH w:val="single" w:sz="4" w:space="0" w:color="D7E5FA" w:themeColor="accent1" w:themeTint="1A"/>
        <w:insideV w:val="single" w:sz="4" w:space="0" w:color="D7E5FA"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81E3E"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character" w:customStyle="1" w:styleId="NoSpacingChar">
    <w:name w:val="No Spacing Char"/>
    <w:basedOn w:val="DefaultParagraphFont"/>
    <w:link w:val="NoSpacing"/>
    <w:uiPriority w:val="1"/>
    <w:rsid w:val="0078778E"/>
    <w:rPr>
      <w:kern w:val="12"/>
    </w:rPr>
  </w:style>
  <w:style w:type="paragraph" w:customStyle="1" w:styleId="CoverTitle">
    <w:name w:val="Cover Title"/>
    <w:basedOn w:val="NoSpacing"/>
    <w:uiPriority w:val="11"/>
    <w:qFormat/>
    <w:rsid w:val="0078778E"/>
    <w:pPr>
      <w:suppressAutoHyphens w:val="0"/>
      <w:spacing w:before="40" w:after="560" w:line="216" w:lineRule="auto"/>
    </w:pPr>
    <w:rPr>
      <w:rFonts w:asciiTheme="majorHAnsi" w:hAnsiTheme="majorHAnsi"/>
      <w:b/>
      <w:color w:val="FFFFFF" w:themeColor="background1"/>
      <w:kern w:val="0"/>
      <w:sz w:val="120"/>
      <w:szCs w:val="72"/>
    </w:rPr>
  </w:style>
  <w:style w:type="paragraph" w:customStyle="1" w:styleId="CoverByline">
    <w:name w:val="Cover Byline"/>
    <w:basedOn w:val="NoSpacing"/>
    <w:uiPriority w:val="11"/>
    <w:qFormat/>
    <w:rsid w:val="0078778E"/>
    <w:pPr>
      <w:suppressAutoHyphens w:val="0"/>
      <w:spacing w:before="0" w:after="360" w:line="264" w:lineRule="auto"/>
    </w:pPr>
    <w:rPr>
      <w:rFonts w:asciiTheme="majorHAnsi" w:hAnsiTheme="majorHAnsi"/>
      <w:b/>
      <w:color w:val="FFFFFF" w:themeColor="background1"/>
      <w:kern w:val="0"/>
      <w:sz w:val="44"/>
      <w:szCs w:val="28"/>
    </w:rPr>
  </w:style>
  <w:style w:type="paragraph" w:customStyle="1" w:styleId="CoverDetails">
    <w:name w:val="Cover Details"/>
    <w:basedOn w:val="NoSpacing"/>
    <w:uiPriority w:val="11"/>
    <w:qFormat/>
    <w:rsid w:val="0078778E"/>
    <w:pPr>
      <w:suppressAutoHyphens w:val="0"/>
      <w:spacing w:before="0" w:after="240" w:line="264" w:lineRule="auto"/>
    </w:pPr>
    <w:rPr>
      <w:color w:val="FFFFFF" w:themeColor="background1"/>
      <w:kern w:val="0"/>
      <w:sz w:val="24"/>
      <w:szCs w:val="28"/>
    </w:rPr>
  </w:style>
  <w:style w:type="paragraph" w:customStyle="1" w:styleId="Footerline">
    <w:name w:val="Footer line"/>
    <w:uiPriority w:val="11"/>
    <w:qFormat/>
    <w:rsid w:val="0078778E"/>
    <w:pPr>
      <w:spacing w:before="20" w:after="240" w:line="264" w:lineRule="auto"/>
    </w:pPr>
    <w:rPr>
      <w:caps/>
      <w:noProof/>
      <w:color w:val="081E3E" w:themeColor="accent1"/>
      <w:sz w:val="20"/>
      <w:szCs w:val="20"/>
    </w:rPr>
  </w:style>
  <w:style w:type="paragraph" w:customStyle="1" w:styleId="TableNumbering">
    <w:name w:val="Table Numbering"/>
    <w:uiPriority w:val="11"/>
    <w:qFormat/>
    <w:rsid w:val="0078778E"/>
    <w:pPr>
      <w:spacing w:before="40" w:after="40" w:line="264" w:lineRule="auto"/>
      <w:ind w:left="397" w:hanging="397"/>
    </w:pPr>
    <w:rPr>
      <w:sz w:val="18"/>
      <w:szCs w:val="20"/>
    </w:rPr>
  </w:style>
  <w:style w:type="paragraph" w:styleId="List">
    <w:name w:val="List"/>
    <w:uiPriority w:val="4"/>
    <w:semiHidden/>
    <w:rsid w:val="0078778E"/>
    <w:pPr>
      <w:numPr>
        <w:numId w:val="35"/>
      </w:numPr>
      <w:spacing w:before="0" w:after="120" w:line="324" w:lineRule="auto"/>
    </w:pPr>
    <w:rPr>
      <w:color w:val="464E52"/>
      <w:sz w:val="18"/>
      <w:szCs w:val="18"/>
    </w:rPr>
  </w:style>
  <w:style w:type="paragraph" w:customStyle="1" w:styleId="EmphasisPanelHeading">
    <w:name w:val="Emphasis Panel Heading"/>
    <w:basedOn w:val="Normal"/>
    <w:uiPriority w:val="11"/>
    <w:qFormat/>
    <w:rsid w:val="0078778E"/>
    <w:pPr>
      <w:keepLines/>
      <w:pBdr>
        <w:top w:val="single" w:sz="4" w:space="8" w:color="E7E7E7" w:themeColor="background2"/>
        <w:left w:val="single" w:sz="4" w:space="8" w:color="E7E7E7" w:themeColor="background2"/>
        <w:bottom w:val="single" w:sz="4" w:space="8" w:color="E7E7E7" w:themeColor="background2"/>
        <w:right w:val="single" w:sz="4" w:space="8" w:color="E7E7E7" w:themeColor="background2"/>
      </w:pBdr>
      <w:shd w:val="clear" w:color="auto" w:fill="E7E7E7" w:themeFill="background2"/>
      <w:suppressAutoHyphens w:val="0"/>
      <w:spacing w:before="60" w:after="60" w:line="240" w:lineRule="atLeast"/>
      <w:ind w:left="198" w:right="215"/>
    </w:pPr>
    <w:rPr>
      <w:rFonts w:asciiTheme="majorHAnsi" w:eastAsia="Times New Roman" w:hAnsiTheme="majorHAnsi" w:cs="Times New Roman"/>
      <w:b/>
      <w:color w:val="081E3E" w:themeColor="text2"/>
      <w:sz w:val="24"/>
      <w:szCs w:val="24"/>
      <w:lang w:val="en-US"/>
    </w:rPr>
  </w:style>
  <w:style w:type="paragraph" w:customStyle="1" w:styleId="EmphasisPanelBody">
    <w:name w:val="Emphasis Panel Body"/>
    <w:basedOn w:val="Normal"/>
    <w:uiPriority w:val="11"/>
    <w:qFormat/>
    <w:rsid w:val="0078778E"/>
    <w:pPr>
      <w:keepLines/>
      <w:pBdr>
        <w:top w:val="single" w:sz="4" w:space="8" w:color="E7E7E7" w:themeColor="background2"/>
        <w:left w:val="single" w:sz="4" w:space="8" w:color="E7E7E7" w:themeColor="background2"/>
        <w:bottom w:val="single" w:sz="4" w:space="8" w:color="E7E7E7" w:themeColor="background2"/>
        <w:right w:val="single" w:sz="4" w:space="8" w:color="E7E7E7" w:themeColor="background2"/>
      </w:pBdr>
      <w:shd w:val="clear" w:color="auto" w:fill="E7E7E7" w:themeFill="background2"/>
      <w:suppressAutoHyphens w:val="0"/>
      <w:spacing w:before="120" w:after="120" w:line="264" w:lineRule="auto"/>
      <w:ind w:left="198" w:right="215"/>
    </w:pPr>
    <w:rPr>
      <w:rFonts w:eastAsia="Times New Roman" w:cstheme="minorHAnsi"/>
      <w:color w:val="262626" w:themeColor="text1" w:themeTint="D9"/>
      <w:sz w:val="20"/>
      <w:szCs w:val="20"/>
      <w:lang w:val="en-US"/>
    </w:rPr>
  </w:style>
  <w:style w:type="paragraph" w:customStyle="1" w:styleId="EmphasisPanelBullet">
    <w:name w:val="Emphasis Panel Bullet"/>
    <w:uiPriority w:val="11"/>
    <w:qFormat/>
    <w:rsid w:val="0078778E"/>
    <w:pPr>
      <w:keepLines/>
      <w:numPr>
        <w:numId w:val="36"/>
      </w:numPr>
      <w:pBdr>
        <w:top w:val="single" w:sz="4" w:space="8" w:color="E7E7E7" w:themeColor="background2"/>
        <w:left w:val="single" w:sz="4" w:space="8" w:color="E7E7E7" w:themeColor="background2"/>
        <w:bottom w:val="single" w:sz="4" w:space="8" w:color="E7E7E7" w:themeColor="background2"/>
        <w:right w:val="single" w:sz="4" w:space="8" w:color="E7E7E7" w:themeColor="background2"/>
      </w:pBdr>
      <w:shd w:val="clear" w:color="auto" w:fill="E7E7E7" w:themeFill="background2"/>
      <w:spacing w:before="120" w:after="120" w:line="264" w:lineRule="auto"/>
      <w:ind w:right="215"/>
    </w:pPr>
    <w:rPr>
      <w:rFonts w:eastAsia="Times New Roman" w:cstheme="minorHAnsi"/>
      <w:color w:val="262626" w:themeColor="text1" w:themeTint="D9"/>
      <w:sz w:val="20"/>
      <w:lang w:val="en-US"/>
    </w:rPr>
  </w:style>
  <w:style w:type="table" w:customStyle="1" w:styleId="Clear">
    <w:name w:val="Clear"/>
    <w:basedOn w:val="TableNormal"/>
    <w:uiPriority w:val="99"/>
    <w:rsid w:val="0078778E"/>
    <w:pPr>
      <w:spacing w:before="0" w:after="0"/>
    </w:pPr>
    <w:rPr>
      <w:color w:val="081E3E" w:themeColor="text2"/>
      <w:sz w:val="20"/>
      <w:szCs w:val="18"/>
    </w:rPr>
    <w:tblPr>
      <w:tblCellMar>
        <w:left w:w="0" w:type="dxa"/>
        <w:right w:w="0" w:type="dxa"/>
      </w:tblCellMar>
    </w:tblPr>
  </w:style>
  <w:style w:type="character" w:customStyle="1" w:styleId="UnresolvedMention">
    <w:name w:val="Unresolved Mention"/>
    <w:basedOn w:val="DefaultParagraphFont"/>
    <w:uiPriority w:val="99"/>
    <w:semiHidden/>
    <w:unhideWhenUsed/>
    <w:rsid w:val="0078778E"/>
    <w:rPr>
      <w:color w:val="605E5C"/>
      <w:shd w:val="clear" w:color="auto" w:fill="E1DFDD"/>
    </w:rPr>
  </w:style>
  <w:style w:type="paragraph" w:styleId="Revision">
    <w:name w:val="Revision"/>
    <w:hidden/>
    <w:uiPriority w:val="99"/>
    <w:semiHidden/>
    <w:rsid w:val="0078778E"/>
    <w:pPr>
      <w:spacing w:before="0" w:after="0"/>
    </w:pPr>
    <w:rPr>
      <w:color w:val="262626" w:themeColor="text1" w:themeTint="D9"/>
      <w:sz w:val="20"/>
      <w:szCs w:val="20"/>
    </w:rPr>
  </w:style>
  <w:style w:type="table" w:styleId="ListTable2-Accent2">
    <w:name w:val="List Table 2 Accent 2"/>
    <w:basedOn w:val="TableNormal"/>
    <w:uiPriority w:val="47"/>
    <w:rsid w:val="0078778E"/>
    <w:pPr>
      <w:spacing w:before="0" w:after="0"/>
    </w:pPr>
    <w:rPr>
      <w:color w:val="262626" w:themeColor="text1" w:themeTint="D9"/>
      <w:sz w:val="20"/>
      <w:szCs w:val="20"/>
    </w:rPr>
    <w:tblPr>
      <w:tblStyleRowBandSize w:val="1"/>
      <w:tblStyleColBandSize w:val="1"/>
      <w:tblBorders>
        <w:top w:val="single" w:sz="4" w:space="0" w:color="1FF0FF" w:themeColor="accent2" w:themeTint="99"/>
        <w:bottom w:val="single" w:sz="4" w:space="0" w:color="1FF0FF" w:themeColor="accent2" w:themeTint="99"/>
        <w:insideH w:val="single" w:sz="4" w:space="0" w:color="1FF0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AFF" w:themeFill="accent2" w:themeFillTint="33"/>
      </w:tcPr>
    </w:tblStylePr>
    <w:tblStylePr w:type="band1Horz">
      <w:tblPr/>
      <w:tcPr>
        <w:shd w:val="clear" w:color="auto" w:fill="B4FAFF" w:themeFill="accent2" w:themeFillTint="33"/>
      </w:tcPr>
    </w:tblStylePr>
  </w:style>
  <w:style w:type="table" w:styleId="GridTable1Light-Accent2">
    <w:name w:val="Grid Table 1 Light Accent 2"/>
    <w:basedOn w:val="TableNormal"/>
    <w:uiPriority w:val="46"/>
    <w:rsid w:val="0078778E"/>
    <w:pPr>
      <w:spacing w:before="0" w:after="0"/>
    </w:pPr>
    <w:rPr>
      <w:color w:val="262626" w:themeColor="text1" w:themeTint="D9"/>
      <w:sz w:val="20"/>
      <w:szCs w:val="20"/>
    </w:rPr>
    <w:tblPr>
      <w:tblStyleRowBandSize w:val="1"/>
      <w:tblStyleColBandSize w:val="1"/>
      <w:tblBorders>
        <w:top w:val="single" w:sz="4" w:space="0" w:color="69F5FF" w:themeColor="accent2" w:themeTint="66"/>
        <w:left w:val="single" w:sz="4" w:space="0" w:color="69F5FF" w:themeColor="accent2" w:themeTint="66"/>
        <w:bottom w:val="single" w:sz="4" w:space="0" w:color="69F5FF" w:themeColor="accent2" w:themeTint="66"/>
        <w:right w:val="single" w:sz="4" w:space="0" w:color="69F5FF" w:themeColor="accent2" w:themeTint="66"/>
        <w:insideH w:val="single" w:sz="4" w:space="0" w:color="69F5FF" w:themeColor="accent2" w:themeTint="66"/>
        <w:insideV w:val="single" w:sz="4" w:space="0" w:color="69F5FF" w:themeColor="accent2" w:themeTint="66"/>
      </w:tblBorders>
    </w:tblPr>
    <w:tblStylePr w:type="firstRow">
      <w:rPr>
        <w:b/>
        <w:bCs/>
      </w:rPr>
      <w:tblPr/>
      <w:tcPr>
        <w:tcBorders>
          <w:bottom w:val="single" w:sz="12" w:space="0" w:color="1FF0FF" w:themeColor="accent2" w:themeTint="99"/>
        </w:tcBorders>
      </w:tcPr>
    </w:tblStylePr>
    <w:tblStylePr w:type="lastRow">
      <w:rPr>
        <w:b/>
        <w:bCs/>
      </w:rPr>
      <w:tblPr/>
      <w:tcPr>
        <w:tcBorders>
          <w:top w:val="double" w:sz="2" w:space="0" w:color="1FF0FF" w:themeColor="accent2"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Recommendation Char,bullet point list Char,ACMA_ListParagraph Char,Bullet Points Char,CV text Char,Dot pt Char,F5 List Paragraph Char,Indicator Text Char,L Char,List Paragraph Char Char Char Char,No Spacing1 Char"/>
    <w:link w:val="ListParagraph"/>
    <w:uiPriority w:val="34"/>
    <w:qFormat/>
    <w:rsid w:val="0078778E"/>
  </w:style>
  <w:style w:type="character" w:customStyle="1" w:styleId="markedcontent">
    <w:name w:val="markedcontent"/>
    <w:basedOn w:val="DefaultParagraphFont"/>
    <w:rsid w:val="0078778E"/>
  </w:style>
  <w:style w:type="character" w:customStyle="1" w:styleId="CaptionChar">
    <w:name w:val="Caption Char"/>
    <w:aliases w:val="Caption table Char"/>
    <w:basedOn w:val="DefaultParagraphFont"/>
    <w:link w:val="Caption"/>
    <w:uiPriority w:val="35"/>
    <w:rsid w:val="0078778E"/>
    <w:rPr>
      <w:b/>
      <w:iCs/>
      <w:szCs w:val="18"/>
    </w:rPr>
  </w:style>
  <w:style w:type="table" w:styleId="TableGridLight">
    <w:name w:val="Grid Table Light"/>
    <w:basedOn w:val="TableNormal"/>
    <w:uiPriority w:val="40"/>
    <w:rsid w:val="0078778E"/>
    <w:pPr>
      <w:spacing w:before="0" w:after="0"/>
    </w:pPr>
    <w:rPr>
      <w:color w:val="262626" w:themeColor="text1" w:themeTint="D9"/>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78778E"/>
    <w:pPr>
      <w:spacing w:before="0" w:after="0"/>
    </w:pPr>
    <w:rPr>
      <w:color w:val="auto"/>
      <w:sz w:val="20"/>
    </w:rPr>
    <w:tblPr>
      <w:tblBorders>
        <w:insideH w:val="single" w:sz="4" w:space="0" w:color="008089" w:themeColor="accent2"/>
        <w:insideV w:val="single" w:sz="4" w:space="0" w:color="008089" w:themeColor="accent2"/>
      </w:tblBorders>
    </w:tblPr>
    <w:tblStylePr w:type="firstRow">
      <w:tblPr/>
      <w:tcPr>
        <w:shd w:val="clear" w:color="auto" w:fill="B4FAFF" w:themeFill="accent2" w:themeFillTint="33"/>
      </w:tcPr>
    </w:tblStylePr>
  </w:style>
  <w:style w:type="paragraph" w:customStyle="1" w:styleId="CABHeading2">
    <w:name w:val="CAB Heading 2."/>
    <w:basedOn w:val="Normal"/>
    <w:link w:val="CABHeading2Char"/>
    <w:uiPriority w:val="98"/>
    <w:qFormat/>
    <w:rsid w:val="0078778E"/>
    <w:pPr>
      <w:keepNext/>
      <w:keepLines/>
      <w:tabs>
        <w:tab w:val="left" w:pos="567"/>
      </w:tabs>
      <w:suppressAutoHyphens w:val="0"/>
      <w:spacing w:before="200" w:after="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78778E"/>
    <w:rPr>
      <w:rFonts w:ascii="Arial" w:eastAsiaTheme="majorEastAsia" w:hAnsi="Arial" w:cstheme="majorBidi"/>
      <w:b/>
      <w:bCs/>
      <w:color w:val="003865"/>
      <w:sz w:val="24"/>
      <w:szCs w:val="28"/>
    </w:rPr>
  </w:style>
  <w:style w:type="numbering" w:customStyle="1" w:styleId="BulletList">
    <w:name w:val="Bullet List"/>
    <w:rsid w:val="0078778E"/>
    <w:pPr>
      <w:numPr>
        <w:numId w:val="43"/>
      </w:numPr>
    </w:pPr>
  </w:style>
  <w:style w:type="paragraph" w:styleId="ListBullet">
    <w:name w:val="List Bullet"/>
    <w:basedOn w:val="Normal"/>
    <w:uiPriority w:val="99"/>
    <w:unhideWhenUsed/>
    <w:qFormat/>
    <w:rsid w:val="0078778E"/>
    <w:pPr>
      <w:numPr>
        <w:numId w:val="44"/>
      </w:numPr>
      <w:suppressAutoHyphens w:val="0"/>
      <w:spacing w:before="0" w:after="0"/>
    </w:pPr>
    <w:rPr>
      <w:rFonts w:ascii="Calibri" w:hAnsi="Calibri" w:cs="Times New Roman"/>
      <w:color w:val="auto"/>
      <w:lang w:eastAsia="en-AU"/>
    </w:rPr>
  </w:style>
  <w:style w:type="paragraph" w:styleId="ListBullet2">
    <w:name w:val="List Bullet 2"/>
    <w:basedOn w:val="Normal"/>
    <w:uiPriority w:val="99"/>
    <w:unhideWhenUsed/>
    <w:rsid w:val="0078778E"/>
    <w:pPr>
      <w:numPr>
        <w:ilvl w:val="1"/>
        <w:numId w:val="44"/>
      </w:numPr>
      <w:suppressAutoHyphens w:val="0"/>
      <w:spacing w:before="0" w:after="0"/>
    </w:pPr>
    <w:rPr>
      <w:rFonts w:ascii="Calibri" w:hAnsi="Calibri" w:cs="Times New Roman"/>
      <w:color w:val="auto"/>
      <w:lang w:eastAsia="en-AU"/>
    </w:rPr>
  </w:style>
  <w:style w:type="paragraph" w:styleId="ListBullet3">
    <w:name w:val="List Bullet 3"/>
    <w:basedOn w:val="Normal"/>
    <w:uiPriority w:val="99"/>
    <w:unhideWhenUsed/>
    <w:rsid w:val="0078778E"/>
    <w:pPr>
      <w:numPr>
        <w:ilvl w:val="2"/>
        <w:numId w:val="44"/>
      </w:numPr>
      <w:suppressAutoHyphens w:val="0"/>
      <w:spacing w:before="0" w:after="0"/>
    </w:pPr>
    <w:rPr>
      <w:rFonts w:ascii="Calibri" w:hAnsi="Calibri" w:cs="Times New Roman"/>
      <w:color w:val="auto"/>
      <w:lang w:eastAsia="en-AU"/>
    </w:rPr>
  </w:style>
  <w:style w:type="paragraph" w:styleId="ListBullet4">
    <w:name w:val="List Bullet 4"/>
    <w:basedOn w:val="Normal"/>
    <w:uiPriority w:val="99"/>
    <w:unhideWhenUsed/>
    <w:rsid w:val="0078778E"/>
    <w:pPr>
      <w:numPr>
        <w:ilvl w:val="3"/>
        <w:numId w:val="44"/>
      </w:numPr>
      <w:suppressAutoHyphens w:val="0"/>
      <w:spacing w:before="0" w:after="0"/>
    </w:pPr>
    <w:rPr>
      <w:rFonts w:ascii="Calibri" w:hAnsi="Calibri" w:cs="Times New Roman"/>
      <w:color w:val="auto"/>
      <w:lang w:eastAsia="en-AU"/>
    </w:rPr>
  </w:style>
  <w:style w:type="paragraph" w:styleId="ListBullet5">
    <w:name w:val="List Bullet 5"/>
    <w:basedOn w:val="Normal"/>
    <w:uiPriority w:val="99"/>
    <w:unhideWhenUsed/>
    <w:rsid w:val="0078778E"/>
    <w:pPr>
      <w:numPr>
        <w:ilvl w:val="4"/>
        <w:numId w:val="44"/>
      </w:numPr>
      <w:suppressAutoHyphens w:val="0"/>
      <w:spacing w:before="0" w:after="0"/>
    </w:pPr>
    <w:rPr>
      <w:rFonts w:ascii="Calibri" w:hAnsi="Calibri" w:cs="Times New Roman"/>
      <w:color w:val="auto"/>
      <w:lang w:eastAsia="en-AU"/>
    </w:rPr>
  </w:style>
  <w:style w:type="paragraph" w:styleId="NormalWeb">
    <w:name w:val="Normal (Web)"/>
    <w:basedOn w:val="Normal"/>
    <w:uiPriority w:val="99"/>
    <w:semiHidden/>
    <w:unhideWhenUsed/>
    <w:rsid w:val="00E54E81"/>
    <w:pPr>
      <w:suppressAutoHyphens w:val="0"/>
      <w:spacing w:before="100" w:beforeAutospacing="1" w:after="100" w:afterAutospacing="1"/>
    </w:pPr>
    <w:rPr>
      <w:rFonts w:ascii="Calibri" w:hAnsi="Calibri" w:cs="Times New Roman"/>
      <w:color w:val="auto"/>
      <w:lang w:eastAsia="en-AU"/>
    </w:rPr>
  </w:style>
  <w:style w:type="paragraph" w:customStyle="1" w:styleId="CABParagraph">
    <w:name w:val="CAB Paragraph"/>
    <w:basedOn w:val="BodyText"/>
    <w:link w:val="CABParagraphChar"/>
    <w:uiPriority w:val="98"/>
    <w:qFormat/>
    <w:rsid w:val="004324C6"/>
    <w:pPr>
      <w:spacing w:before="120" w:after="0" w:line="240" w:lineRule="auto"/>
    </w:pPr>
    <w:rPr>
      <w:rFonts w:ascii="Arial" w:hAnsi="Arial"/>
      <w:color w:val="auto"/>
      <w:sz w:val="22"/>
      <w:szCs w:val="22"/>
    </w:rPr>
  </w:style>
  <w:style w:type="character" w:customStyle="1" w:styleId="CABParagraphChar">
    <w:name w:val="CAB Paragraph Char"/>
    <w:basedOn w:val="DefaultParagraphFont"/>
    <w:link w:val="CABParagraph"/>
    <w:uiPriority w:val="98"/>
    <w:rsid w:val="004324C6"/>
    <w:rPr>
      <w:rFonts w:ascii="Arial" w:hAnsi="Arial"/>
      <w:color w:val="auto"/>
    </w:rPr>
  </w:style>
  <w:style w:type="paragraph" w:customStyle="1" w:styleId="CABNumberedParagraph">
    <w:name w:val="CAB Numbered Paragraph"/>
    <w:basedOn w:val="Normal"/>
    <w:uiPriority w:val="98"/>
    <w:qFormat/>
    <w:rsid w:val="00C7788A"/>
    <w:pPr>
      <w:tabs>
        <w:tab w:val="num" w:pos="340"/>
      </w:tabs>
      <w:suppressAutoHyphens w:val="0"/>
      <w:spacing w:before="0" w:after="200" w:line="276" w:lineRule="auto"/>
      <w:ind w:left="340"/>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7538">
      <w:bodyDiv w:val="1"/>
      <w:marLeft w:val="0"/>
      <w:marRight w:val="0"/>
      <w:marTop w:val="0"/>
      <w:marBottom w:val="0"/>
      <w:divBdr>
        <w:top w:val="none" w:sz="0" w:space="0" w:color="auto"/>
        <w:left w:val="none" w:sz="0" w:space="0" w:color="auto"/>
        <w:bottom w:val="none" w:sz="0" w:space="0" w:color="auto"/>
        <w:right w:val="none" w:sz="0" w:space="0" w:color="auto"/>
      </w:divBdr>
    </w:div>
    <w:div w:id="194583952">
      <w:bodyDiv w:val="1"/>
      <w:marLeft w:val="0"/>
      <w:marRight w:val="0"/>
      <w:marTop w:val="0"/>
      <w:marBottom w:val="0"/>
      <w:divBdr>
        <w:top w:val="none" w:sz="0" w:space="0" w:color="auto"/>
        <w:left w:val="none" w:sz="0" w:space="0" w:color="auto"/>
        <w:bottom w:val="none" w:sz="0" w:space="0" w:color="auto"/>
        <w:right w:val="none" w:sz="0" w:space="0" w:color="auto"/>
      </w:divBdr>
    </w:div>
    <w:div w:id="512651348">
      <w:bodyDiv w:val="1"/>
      <w:marLeft w:val="0"/>
      <w:marRight w:val="0"/>
      <w:marTop w:val="0"/>
      <w:marBottom w:val="0"/>
      <w:divBdr>
        <w:top w:val="none" w:sz="0" w:space="0" w:color="auto"/>
        <w:left w:val="none" w:sz="0" w:space="0" w:color="auto"/>
        <w:bottom w:val="none" w:sz="0" w:space="0" w:color="auto"/>
        <w:right w:val="none" w:sz="0" w:space="0" w:color="auto"/>
      </w:divBdr>
    </w:div>
    <w:div w:id="625232887">
      <w:bodyDiv w:val="1"/>
      <w:marLeft w:val="0"/>
      <w:marRight w:val="0"/>
      <w:marTop w:val="0"/>
      <w:marBottom w:val="0"/>
      <w:divBdr>
        <w:top w:val="none" w:sz="0" w:space="0" w:color="auto"/>
        <w:left w:val="none" w:sz="0" w:space="0" w:color="auto"/>
        <w:bottom w:val="none" w:sz="0" w:space="0" w:color="auto"/>
        <w:right w:val="none" w:sz="0" w:space="0" w:color="auto"/>
      </w:divBdr>
    </w:div>
    <w:div w:id="730734804">
      <w:bodyDiv w:val="1"/>
      <w:marLeft w:val="0"/>
      <w:marRight w:val="0"/>
      <w:marTop w:val="0"/>
      <w:marBottom w:val="0"/>
      <w:divBdr>
        <w:top w:val="none" w:sz="0" w:space="0" w:color="auto"/>
        <w:left w:val="none" w:sz="0" w:space="0" w:color="auto"/>
        <w:bottom w:val="none" w:sz="0" w:space="0" w:color="auto"/>
        <w:right w:val="none" w:sz="0" w:space="0" w:color="auto"/>
      </w:divBdr>
    </w:div>
    <w:div w:id="791748625">
      <w:bodyDiv w:val="1"/>
      <w:marLeft w:val="0"/>
      <w:marRight w:val="0"/>
      <w:marTop w:val="0"/>
      <w:marBottom w:val="0"/>
      <w:divBdr>
        <w:top w:val="none" w:sz="0" w:space="0" w:color="auto"/>
        <w:left w:val="none" w:sz="0" w:space="0" w:color="auto"/>
        <w:bottom w:val="none" w:sz="0" w:space="0" w:color="auto"/>
        <w:right w:val="none" w:sz="0" w:space="0" w:color="auto"/>
      </w:divBdr>
    </w:div>
    <w:div w:id="803816227">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030301535">
      <w:bodyDiv w:val="1"/>
      <w:marLeft w:val="0"/>
      <w:marRight w:val="0"/>
      <w:marTop w:val="0"/>
      <w:marBottom w:val="0"/>
      <w:divBdr>
        <w:top w:val="none" w:sz="0" w:space="0" w:color="auto"/>
        <w:left w:val="none" w:sz="0" w:space="0" w:color="auto"/>
        <w:bottom w:val="none" w:sz="0" w:space="0" w:color="auto"/>
        <w:right w:val="none" w:sz="0" w:space="0" w:color="auto"/>
      </w:divBdr>
    </w:div>
    <w:div w:id="1067070490">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6289588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24063468">
      <w:bodyDiv w:val="1"/>
      <w:marLeft w:val="0"/>
      <w:marRight w:val="0"/>
      <w:marTop w:val="0"/>
      <w:marBottom w:val="0"/>
      <w:divBdr>
        <w:top w:val="none" w:sz="0" w:space="0" w:color="auto"/>
        <w:left w:val="none" w:sz="0" w:space="0" w:color="auto"/>
        <w:bottom w:val="none" w:sz="0" w:space="0" w:color="auto"/>
        <w:right w:val="none" w:sz="0" w:space="0" w:color="auto"/>
      </w:divBdr>
    </w:div>
    <w:div w:id="1509441127">
      <w:bodyDiv w:val="1"/>
      <w:marLeft w:val="0"/>
      <w:marRight w:val="0"/>
      <w:marTop w:val="0"/>
      <w:marBottom w:val="0"/>
      <w:divBdr>
        <w:top w:val="none" w:sz="0" w:space="0" w:color="auto"/>
        <w:left w:val="none" w:sz="0" w:space="0" w:color="auto"/>
        <w:bottom w:val="none" w:sz="0" w:space="0" w:color="auto"/>
        <w:right w:val="none" w:sz="0" w:space="0" w:color="auto"/>
      </w:divBdr>
    </w:div>
    <w:div w:id="1514609698">
      <w:bodyDiv w:val="1"/>
      <w:marLeft w:val="0"/>
      <w:marRight w:val="0"/>
      <w:marTop w:val="0"/>
      <w:marBottom w:val="0"/>
      <w:divBdr>
        <w:top w:val="none" w:sz="0" w:space="0" w:color="auto"/>
        <w:left w:val="none" w:sz="0" w:space="0" w:color="auto"/>
        <w:bottom w:val="none" w:sz="0" w:space="0" w:color="auto"/>
        <w:right w:val="none" w:sz="0" w:space="0" w:color="auto"/>
      </w:divBdr>
    </w:div>
    <w:div w:id="1896771006">
      <w:bodyDiv w:val="1"/>
      <w:marLeft w:val="0"/>
      <w:marRight w:val="0"/>
      <w:marTop w:val="0"/>
      <w:marBottom w:val="0"/>
      <w:divBdr>
        <w:top w:val="none" w:sz="0" w:space="0" w:color="auto"/>
        <w:left w:val="none" w:sz="0" w:space="0" w:color="auto"/>
        <w:bottom w:val="none" w:sz="0" w:space="0" w:color="auto"/>
        <w:right w:val="none" w:sz="0" w:space="0" w:color="auto"/>
      </w:divBdr>
    </w:div>
    <w:div w:id="2064206432">
      <w:bodyDiv w:val="1"/>
      <w:marLeft w:val="0"/>
      <w:marRight w:val="0"/>
      <w:marTop w:val="0"/>
      <w:marBottom w:val="0"/>
      <w:divBdr>
        <w:top w:val="none" w:sz="0" w:space="0" w:color="auto"/>
        <w:left w:val="none" w:sz="0" w:space="0" w:color="auto"/>
        <w:bottom w:val="none" w:sz="0" w:space="0" w:color="auto"/>
        <w:right w:val="none" w:sz="0" w:space="0" w:color="auto"/>
      </w:divBdr>
    </w:div>
    <w:div w:id="2090761003">
      <w:bodyDiv w:val="1"/>
      <w:marLeft w:val="0"/>
      <w:marRight w:val="0"/>
      <w:marTop w:val="0"/>
      <w:marBottom w:val="0"/>
      <w:divBdr>
        <w:top w:val="none" w:sz="0" w:space="0" w:color="auto"/>
        <w:left w:val="none" w:sz="0" w:space="0" w:color="auto"/>
        <w:bottom w:val="none" w:sz="0" w:space="0" w:color="auto"/>
        <w:right w:val="none" w:sz="0" w:space="0" w:color="auto"/>
      </w:divBdr>
    </w:div>
    <w:div w:id="21311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jpeg"/><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cma.gov.au/sites/default/files/2022-07/Trends%20and%20developments%20in%20viewing%20and%20listening%202020-21.pdf" TargetMode="External"/><Relationship Id="rId13" Type="http://schemas.openxmlformats.org/officeDocument/2006/relationships/hyperlink" Target="https://www.acma.gov.au/sites/default/files/2024-12/Trends%20and%20developments%20in%20viewing%20and%20listening%202023%E2%80%9324.pdf" TargetMode="External"/><Relationship Id="rId18" Type="http://schemas.openxmlformats.org/officeDocument/2006/relationships/hyperlink" Target="https://www.saveourarts.com.au/labor" TargetMode="External"/><Relationship Id="rId26" Type="http://schemas.openxmlformats.org/officeDocument/2006/relationships/hyperlink" Target="https://www.abc.net.au/news/2024-08-19/logies-2024-boy-swallows-universe-streaming-free-to-air-emdur/104241962" TargetMode="External"/><Relationship Id="rId3" Type="http://schemas.openxmlformats.org/officeDocument/2006/relationships/hyperlink" Target="https://www.legislation.gov.au/C2004A04401/latest/text" TargetMode="External"/><Relationship Id="rId21" Type="http://schemas.openxmlformats.org/officeDocument/2006/relationships/hyperlink" Target="https://www.screenaustralia.gov.au/getmedia/1b1312e5-89ad-4f02-abad-daeee601b739/ScreenCurrency-SA-Report.pdf" TargetMode="External"/><Relationship Id="rId7" Type="http://schemas.openxmlformats.org/officeDocument/2006/relationships/hyperlink" Target="https://www.acma.gov.au/sites/default/files/2023-12/Trends%20and%20developments%20in%20viewing%20and%20listening%202022-23.pdf" TargetMode="External"/><Relationship Id="rId12" Type="http://schemas.openxmlformats.org/officeDocument/2006/relationships/hyperlink" Target="https://www.acma.gov.au/sites/default/files/2022-07/Trends%20and%20developments%20in%20viewing%20and%20listening%202020-21.pdf" TargetMode="External"/><Relationship Id="rId17" Type="http://schemas.openxmlformats.org/officeDocument/2006/relationships/hyperlink" Target="https://www.arts.gov.au/publications/national-cultural-policy-revive-place-every-story-story-every-place" TargetMode="External"/><Relationship Id="rId25" Type="http://schemas.openxmlformats.org/officeDocument/2006/relationships/hyperlink" Target="https://www.theguardian.com/tv-and-radio/2025/jan/28/bluey-australian-cartoon-most-streamed-tv-show-us-2024-nielsen-charts" TargetMode="External"/><Relationship Id="rId33" Type="http://schemas.openxmlformats.org/officeDocument/2006/relationships/hyperlink" Target="https://www.arts.gov.au/have-your-say/revive-place-every-story-story-every-place" TargetMode="External"/><Relationship Id="rId2" Type="http://schemas.openxmlformats.org/officeDocument/2006/relationships/hyperlink" Target="https://www.saveourarts.com.au/labor" TargetMode="External"/><Relationship Id="rId16" Type="http://schemas.openxmlformats.org/officeDocument/2006/relationships/hyperlink" Target="https://www.legislation.gov.au/F2022L01200/asmade/text" TargetMode="External"/><Relationship Id="rId20" Type="http://schemas.openxmlformats.org/officeDocument/2006/relationships/hyperlink" Target="https://www.infrastructure.gov.au/have-your-say/supporting-australian-stories-our-screens-options-paper" TargetMode="External"/><Relationship Id="rId29" Type="http://schemas.openxmlformats.org/officeDocument/2006/relationships/hyperlink" Target="https://www.screenaustralia.gov.au/fact-finders/people-and-businesses/employment-trends/summary" TargetMode="External"/><Relationship Id="rId1" Type="http://schemas.openxmlformats.org/officeDocument/2006/relationships/hyperlink" Target="https://www.tonyburke.com.au/media-releases/2022/5/17/labor-to-deliver-landmark-cultural-policy" TargetMode="External"/><Relationship Id="rId6" Type="http://schemas.openxmlformats.org/officeDocument/2006/relationships/hyperlink" Target="https://www.acma.gov.au/sites/default/files/2024-12/Trends%20and%20developments%20in%20viewing%20and%20listening%202023%E2%80%9324.pdf" TargetMode="External"/><Relationship Id="rId11" Type="http://schemas.openxmlformats.org/officeDocument/2006/relationships/hyperlink" Target="https://www.acma.gov.au/sites/default/files/2022-07/Trends%20and%20developments%20in%20viewing%20and%20listening%202020-21.pdf" TargetMode="External"/><Relationship Id="rId24" Type="http://schemas.openxmlformats.org/officeDocument/2006/relationships/hyperlink" Target="https://www.ampereanalysis.com/insight/how-will-netflix-and-disney-fare-with-a-content-quota-in-australia" TargetMode="External"/><Relationship Id="rId32" Type="http://schemas.openxmlformats.org/officeDocument/2006/relationships/hyperlink" Target="https://oia.pmc.gov.au/sites/default/files/2024-02/regulatory-burden-measurement-framework.pdf" TargetMode="External"/><Relationship Id="rId5" Type="http://schemas.openxmlformats.org/officeDocument/2006/relationships/hyperlink" Target="https://www.infrastructure.gov.au/media-communications-arts/television/television-media-surveys" TargetMode="External"/><Relationship Id="rId15" Type="http://schemas.openxmlformats.org/officeDocument/2006/relationships/hyperlink" Target="https://www.acma.gov.au/spending-subscription-tv-drama" TargetMode="External"/><Relationship Id="rId23" Type="http://schemas.openxmlformats.org/officeDocument/2006/relationships/hyperlink" Target="https://www.acma.gov.au/spending-subscription-video-demand-providers" TargetMode="External"/><Relationship Id="rId28" Type="http://schemas.openxmlformats.org/officeDocument/2006/relationships/hyperlink" Target="https://variety.com/2023/tv/news/netflix-korean-content-production-spend-commitment-1235592318/" TargetMode="External"/><Relationship Id="rId10" Type="http://schemas.openxmlformats.org/officeDocument/2006/relationships/hyperlink" Target="https://www.acma.gov.au/sites/default/files/2023-12/Trends%20and%20developments%20in%20viewing%20and%20listening%202022-23.pdf" TargetMode="External"/><Relationship Id="rId19" Type="http://schemas.openxmlformats.org/officeDocument/2006/relationships/hyperlink" Target="https://www.arts.gov.au/publications/national-cultural-policy-revive-place-every-story-story-every-place" TargetMode="External"/><Relationship Id="rId31" Type="http://schemas.openxmlformats.org/officeDocument/2006/relationships/hyperlink" Target="https://www.screenaustralia.gov.au/fact-finders/production-trends/australian-tv-vod/australian-general-subscription-tv-and-svod" TargetMode="External"/><Relationship Id="rId4" Type="http://schemas.openxmlformats.org/officeDocument/2006/relationships/hyperlink" Target="https://www.arts.gov.au/what-we-do/new-national-cultural-policy" TargetMode="External"/><Relationship Id="rId9" Type="http://schemas.openxmlformats.org/officeDocument/2006/relationships/hyperlink" Target="https://www.acma.gov.au/sites/default/files/2024-12/Trends%20and%20developments%20in%20viewing%20and%20listening%202023%E2%80%9324.pdf" TargetMode="External"/><Relationship Id="rId14" Type="http://schemas.openxmlformats.org/officeDocument/2006/relationships/hyperlink" Target="https://www.acma.gov.au/australian-content-commercial-tv" TargetMode="External"/><Relationship Id="rId22" Type="http://schemas.openxmlformats.org/officeDocument/2006/relationships/hyperlink" Target="https://www.infrastructure.gov.au/sites/default/files/documents/the-2023-television-and-media-survey-summary-report-july2024.pdf" TargetMode="External"/><Relationship Id="rId27" Type="http://schemas.openxmlformats.org/officeDocument/2006/relationships/hyperlink" Target="https://variety.com/2025/tv/global/netflix-spain-1-2-billion-ted-sarandos-diego-avalos-1236424549/" TargetMode="External"/><Relationship Id="rId30" Type="http://schemas.openxmlformats.org/officeDocument/2006/relationships/hyperlink" Target="https://www.ato.gov.au/businesses-and-organisations/international-tax-for-business/transfer-pricing"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13A593-EE90-4B0C-A5E7-32EAFA70326B}">
  <ds:schemaRefs>
    <ds:schemaRef ds:uri="http://schemas.openxmlformats.org/officeDocument/2006/bibliography"/>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11289</Words>
  <Characters>64350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2025-11-06T22:06:00Z</dcterms:created>
  <dcterms:modified xsi:type="dcterms:W3CDTF">2025-11-06T22:12:00Z</dcterms:modified>
  <cp:category/>
  <cp:contentStatus/>
</cp:coreProperties>
</file>