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776EA" w14:textId="11B39E8B" w:rsidR="00A62EF3" w:rsidRPr="005E5314" w:rsidRDefault="00267C17" w:rsidP="006D71DA">
      <w:pPr>
        <w:pStyle w:val="Title"/>
        <w:spacing w:after="120"/>
        <w:rPr>
          <w:rFonts w:ascii="Calibri" w:hAnsi="Calibri" w:cs="Calibri"/>
          <w:sz w:val="44"/>
        </w:rPr>
      </w:pPr>
      <w:bookmarkStart w:id="0" w:name="_Toc96326909"/>
      <w:bookmarkStart w:id="1" w:name="_GoBack"/>
      <w:bookmarkEnd w:id="1"/>
      <w:r>
        <w:rPr>
          <w:rFonts w:ascii="Calibri" w:hAnsi="Calibri" w:cs="Calibri"/>
          <w:sz w:val="44"/>
        </w:rPr>
        <w:t>Australian screen content requirements for streaming services</w:t>
      </w:r>
    </w:p>
    <w:p w14:paraId="2C39D164" w14:textId="0CB4EF96" w:rsidR="00A62EF3" w:rsidRPr="005E5314" w:rsidRDefault="005505E3" w:rsidP="00A62EF3">
      <w:pPr>
        <w:pStyle w:val="Subtitle"/>
        <w:rPr>
          <w:rFonts w:cs="Calibri Light"/>
          <w:sz w:val="24"/>
        </w:rPr>
      </w:pPr>
      <w:r w:rsidRPr="005E5314">
        <w:rPr>
          <w:rFonts w:cs="Calibri Light"/>
          <w:sz w:val="24"/>
        </w:rPr>
        <w:t>Department</w:t>
      </w:r>
      <w:r w:rsidR="005E5314" w:rsidRPr="005E5314">
        <w:rPr>
          <w:rFonts w:cs="Calibri Light"/>
          <w:sz w:val="24"/>
        </w:rPr>
        <w:t xml:space="preserve"> of Infrastructure, Transport, Regional Development, Communications, Sport and the Arts</w:t>
      </w:r>
    </w:p>
    <w:p w14:paraId="4122AFD6" w14:textId="77777777" w:rsidR="00346D39" w:rsidRDefault="0041606D" w:rsidP="00F425D8">
      <w:pPr>
        <w:pStyle w:val="BOXHeading2"/>
        <w:ind w:firstLine="493"/>
        <w:rPr>
          <w:noProof/>
        </w:rPr>
      </w:pPr>
      <w:r>
        <w:rPr>
          <w:noProof/>
        </w:rPr>
        <w:pict w14:anchorId="0A09B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57.45pt;width:38.65pt;height:38.65pt;z-index:251661312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  <w:r w:rsidR="00BE0F4D">
        <w:t xml:space="preserve"> </w:t>
      </w:r>
    </w:p>
    <w:p w14:paraId="43448F1B" w14:textId="6E2D9D28" w:rsidR="00267C17" w:rsidRPr="00BE0F4D" w:rsidRDefault="00267C17" w:rsidP="00267C17">
      <w:pPr>
        <w:pStyle w:val="BOXBulletedList"/>
        <w:pBdr>
          <w:bottom w:val="single" w:sz="48" w:space="0" w:color="F2F2F2" w:themeColor="background1" w:themeShade="F2"/>
        </w:pBdr>
        <w:spacing w:after="0"/>
      </w:pPr>
      <w:r w:rsidRPr="00F425D8">
        <w:rPr>
          <w:color w:val="auto"/>
        </w:rPr>
        <w:t xml:space="preserve">In the </w:t>
      </w:r>
      <w:r w:rsidRPr="003A441F">
        <w:rPr>
          <w:color w:val="auto"/>
        </w:rPr>
        <w:t xml:space="preserve">National Cultural Policy, </w:t>
      </w:r>
      <w:r w:rsidRPr="003A441F">
        <w:rPr>
          <w:i/>
          <w:color w:val="auto"/>
        </w:rPr>
        <w:t>Revive</w:t>
      </w:r>
      <w:r w:rsidRPr="003A441F">
        <w:rPr>
          <w:color w:val="auto"/>
        </w:rPr>
        <w:t>:</w:t>
      </w:r>
      <w:r w:rsidRPr="00F425D8">
        <w:rPr>
          <w:color w:val="auto"/>
        </w:rPr>
        <w:t xml:space="preserve"> a place for every story, a story for every place, the Australian Government reiterated its </w:t>
      </w:r>
      <w:r w:rsidRPr="00D866D4">
        <w:rPr>
          <w:b/>
          <w:color w:val="auto"/>
        </w:rPr>
        <w:t>election commitment</w:t>
      </w:r>
      <w:r w:rsidRPr="00F425D8">
        <w:rPr>
          <w:color w:val="auto"/>
        </w:rPr>
        <w:t xml:space="preserve"> to </w:t>
      </w:r>
      <w:r w:rsidRPr="00F425D8">
        <w:rPr>
          <w:b/>
          <w:color w:val="auto"/>
        </w:rPr>
        <w:t>introduce requirements for Australian screen content</w:t>
      </w:r>
      <w:r w:rsidRPr="00F425D8">
        <w:rPr>
          <w:color w:val="auto"/>
        </w:rPr>
        <w:t xml:space="preserve"> on subscription video on</w:t>
      </w:r>
      <w:r w:rsidR="00E209A8">
        <w:rPr>
          <w:color w:val="auto"/>
        </w:rPr>
        <w:t xml:space="preserve"> </w:t>
      </w:r>
      <w:r w:rsidRPr="00F425D8">
        <w:rPr>
          <w:color w:val="auto"/>
        </w:rPr>
        <w:t>demand (</w:t>
      </w:r>
      <w:r w:rsidR="00E209A8">
        <w:rPr>
          <w:color w:val="auto"/>
        </w:rPr>
        <w:t>SVOD</w:t>
      </w:r>
      <w:r w:rsidRPr="00F425D8">
        <w:rPr>
          <w:color w:val="auto"/>
        </w:rPr>
        <w:t xml:space="preserve">) services </w:t>
      </w:r>
      <w:r>
        <w:rPr>
          <w:color w:val="auto"/>
        </w:rPr>
        <w:t xml:space="preserve">(the streaming requirement) </w:t>
      </w:r>
      <w:r w:rsidRPr="00F425D8">
        <w:rPr>
          <w:color w:val="auto"/>
        </w:rPr>
        <w:t xml:space="preserve">to </w:t>
      </w:r>
      <w:r w:rsidRPr="00F425D8">
        <w:rPr>
          <w:b/>
          <w:color w:val="auto"/>
        </w:rPr>
        <w:t>ensure access to local stories and content</w:t>
      </w:r>
      <w:r w:rsidRPr="00F425D8">
        <w:rPr>
          <w:color w:val="auto"/>
        </w:rPr>
        <w:t>.</w:t>
      </w:r>
      <w:r w:rsidR="00D866D4">
        <w:rPr>
          <w:color w:val="auto"/>
        </w:rPr>
        <w:t xml:space="preserve"> </w:t>
      </w:r>
      <w:r w:rsidR="00D866D4">
        <w:t>Both t</w:t>
      </w:r>
      <w:r w:rsidR="00D866D4" w:rsidRPr="00030223">
        <w:t xml:space="preserve">he Prime Minister and </w:t>
      </w:r>
      <w:r w:rsidR="00D866D4">
        <w:t>the</w:t>
      </w:r>
      <w:r w:rsidR="00D866D4" w:rsidRPr="00030223">
        <w:t xml:space="preserve"> </w:t>
      </w:r>
      <w:r w:rsidR="00D866D4">
        <w:t xml:space="preserve">Arts </w:t>
      </w:r>
      <w:r w:rsidR="00D866D4" w:rsidRPr="00030223">
        <w:t>Minister reiterated th</w:t>
      </w:r>
      <w:r w:rsidR="00D866D4">
        <w:t xml:space="preserve">is </w:t>
      </w:r>
      <w:r w:rsidR="00D866D4" w:rsidRPr="00030223">
        <w:t xml:space="preserve">commitment during the 2025 </w:t>
      </w:r>
      <w:r w:rsidR="00D866D4">
        <w:t>Federal E</w:t>
      </w:r>
      <w:r w:rsidR="00D866D4" w:rsidRPr="00030223">
        <w:t>lection campaign</w:t>
      </w:r>
      <w:r w:rsidR="00D866D4">
        <w:t>.</w:t>
      </w:r>
    </w:p>
    <w:p w14:paraId="7554D0D7" w14:textId="13C1B187" w:rsidR="00F425D8" w:rsidRPr="00F425D8" w:rsidRDefault="00F425D8" w:rsidP="00986367">
      <w:pPr>
        <w:pStyle w:val="BOXBulletedList"/>
        <w:pBdr>
          <w:bottom w:val="single" w:sz="48" w:space="0" w:color="F2F2F2" w:themeColor="background1" w:themeShade="F2"/>
        </w:pBdr>
        <w:spacing w:after="0"/>
      </w:pPr>
      <w:r w:rsidRPr="00F425D8">
        <w:t xml:space="preserve">Unlike free-to-air commercial television and other subscription television broadcasting services, </w:t>
      </w:r>
      <w:r w:rsidR="00E209A8">
        <w:rPr>
          <w:b/>
        </w:rPr>
        <w:t>SVODs</w:t>
      </w:r>
      <w:r w:rsidRPr="00D866D4">
        <w:rPr>
          <w:b/>
        </w:rPr>
        <w:t xml:space="preserve"> are not subject to Australian content requirements</w:t>
      </w:r>
      <w:r w:rsidRPr="00F425D8">
        <w:t xml:space="preserve">. </w:t>
      </w:r>
      <w:r w:rsidR="00203726" w:rsidRPr="00D866D4">
        <w:rPr>
          <w:b/>
        </w:rPr>
        <w:t>A</w:t>
      </w:r>
      <w:r w:rsidRPr="00D866D4">
        <w:rPr>
          <w:b/>
        </w:rPr>
        <w:t>ccess to</w:t>
      </w:r>
      <w:r w:rsidR="00203726" w:rsidRPr="00D866D4">
        <w:rPr>
          <w:b/>
        </w:rPr>
        <w:t>,</w:t>
      </w:r>
      <w:r w:rsidRPr="00D866D4">
        <w:rPr>
          <w:b/>
        </w:rPr>
        <w:t xml:space="preserve"> and </w:t>
      </w:r>
      <w:r w:rsidR="00D866D4" w:rsidRPr="00D866D4">
        <w:rPr>
          <w:b/>
        </w:rPr>
        <w:t xml:space="preserve">the production </w:t>
      </w:r>
      <w:r w:rsidRPr="00D866D4">
        <w:rPr>
          <w:b/>
        </w:rPr>
        <w:t>of</w:t>
      </w:r>
      <w:r w:rsidR="00203726" w:rsidRPr="00D866D4">
        <w:rPr>
          <w:b/>
        </w:rPr>
        <w:t>,</w:t>
      </w:r>
      <w:r w:rsidRPr="00D866D4">
        <w:rPr>
          <w:b/>
        </w:rPr>
        <w:t xml:space="preserve"> Australian content is inconsistent</w:t>
      </w:r>
      <w:r w:rsidR="00203726" w:rsidRPr="00D866D4">
        <w:rPr>
          <w:b/>
        </w:rPr>
        <w:t xml:space="preserve"> and not guaranteed</w:t>
      </w:r>
      <w:r w:rsidRPr="00F425D8">
        <w:t>.</w:t>
      </w:r>
      <w:r w:rsidR="00D866D4">
        <w:t xml:space="preserve"> </w:t>
      </w:r>
      <w:r w:rsidR="00E209A8">
        <w:rPr>
          <w:color w:val="auto"/>
        </w:rPr>
        <w:t>SVODs</w:t>
      </w:r>
      <w:r w:rsidRPr="00D866D4">
        <w:rPr>
          <w:color w:val="auto"/>
        </w:rPr>
        <w:t xml:space="preserve"> are the </w:t>
      </w:r>
      <w:r w:rsidRPr="00D866D4">
        <w:rPr>
          <w:b/>
          <w:color w:val="auto"/>
        </w:rPr>
        <w:t>most popular way</w:t>
      </w:r>
      <w:r w:rsidRPr="00D866D4">
        <w:rPr>
          <w:color w:val="auto"/>
        </w:rPr>
        <w:t xml:space="preserve"> for Australians to consume online screen content and were used by 69 per cent of Australians in 2024. </w:t>
      </w:r>
    </w:p>
    <w:p w14:paraId="1F02E4C1" w14:textId="77777777" w:rsidR="005505E3" w:rsidRPr="00D859BB" w:rsidRDefault="0041606D" w:rsidP="003C1C2C">
      <w:pPr>
        <w:pStyle w:val="BOXHeading2"/>
        <w:spacing w:before="120"/>
        <w:ind w:firstLine="493"/>
      </w:pPr>
      <w:r>
        <w:rPr>
          <w:noProof/>
        </w:rPr>
        <w:pict w14:anchorId="0A09B906">
          <v:shape id="_x0000_s1028" type="#_x0000_t75" style="position:absolute;left:0;text-align:left;margin-left:0;margin-top:222.3pt;width:38pt;height:38pt;z-index:251659264;mso-position-horizontal-relative:margin;mso-position-vertical-relative:margin;mso-width-relative:page;mso-height-relative:page">
            <v:imagedata r:id="rId9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3261"/>
        <w:gridCol w:w="4394"/>
        <w:gridCol w:w="3121"/>
      </w:tblGrid>
      <w:tr w:rsidR="00152412" w:rsidRPr="005505E3" w14:paraId="4550CF2E" w14:textId="77777777" w:rsidTr="00835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3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41C53360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1B5B861C" w14:textId="77777777" w:rsidTr="00CA2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8"/>
        </w:trPr>
        <w:tc>
          <w:tcPr>
            <w:tcW w:w="5000" w:type="pct"/>
            <w:gridSpan w:val="3"/>
            <w:tcBorders>
              <w:top w:val="single" w:sz="4" w:space="0" w:color="778E61" w:themeColor="accent2"/>
            </w:tcBorders>
            <w:shd w:val="clear" w:color="auto" w:fill="D8E2EC"/>
          </w:tcPr>
          <w:p w14:paraId="4828E15E" w14:textId="77777777" w:rsidR="005E6E22" w:rsidRDefault="0044397A" w:rsidP="005505E3">
            <w:pPr>
              <w:spacing w:after="0" w:line="240" w:lineRule="auto"/>
              <w:rPr>
                <w:szCs w:val="18"/>
              </w:rPr>
            </w:pPr>
            <w:r w:rsidRPr="00783EC4">
              <w:rPr>
                <w:szCs w:val="18"/>
              </w:rPr>
              <w:t xml:space="preserve"> </w:t>
            </w:r>
            <w:r w:rsidR="00CA2FE1">
              <w:rPr>
                <w:szCs w:val="18"/>
              </w:rPr>
              <w:t xml:space="preserve">The streaming requirement: </w:t>
            </w:r>
          </w:p>
          <w:p w14:paraId="635A9BD4" w14:textId="2C716C23" w:rsidR="005E6E22" w:rsidRPr="00CA2FE1" w:rsidRDefault="00CA2FE1" w:rsidP="005E6E2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Cs w:val="18"/>
              </w:rPr>
            </w:pPr>
            <w:r w:rsidRPr="00CA2FE1">
              <w:rPr>
                <w:rFonts w:ascii="Calibri" w:hAnsi="Calibri" w:cs="Calibri"/>
                <w:b/>
                <w:szCs w:val="18"/>
              </w:rPr>
              <w:t>Guarantees expenditure</w:t>
            </w:r>
            <w:r w:rsidRPr="00CA2FE1">
              <w:rPr>
                <w:rFonts w:ascii="Calibri" w:hAnsi="Calibri" w:cs="Calibri"/>
                <w:szCs w:val="18"/>
              </w:rPr>
              <w:t xml:space="preserve"> on </w:t>
            </w:r>
            <w:r w:rsidRPr="00CA2FE1">
              <w:rPr>
                <w:rFonts w:ascii="Calibri" w:hAnsi="Calibri" w:cs="Calibri"/>
                <w:b/>
                <w:szCs w:val="18"/>
              </w:rPr>
              <w:t>new Australian drama programs</w:t>
            </w:r>
            <w:r w:rsidR="00D866D4">
              <w:rPr>
                <w:rFonts w:ascii="Calibri" w:hAnsi="Calibri" w:cs="Calibri"/>
                <w:szCs w:val="18"/>
              </w:rPr>
              <w:t xml:space="preserve">. </w:t>
            </w:r>
          </w:p>
          <w:p w14:paraId="2618F533" w14:textId="15F6EA80" w:rsidR="00CA2FE1" w:rsidRPr="00CA2FE1" w:rsidRDefault="00CA2FE1" w:rsidP="005E6E2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M</w:t>
            </w:r>
            <w:r w:rsidRPr="00CA2FE1">
              <w:rPr>
                <w:szCs w:val="18"/>
              </w:rPr>
              <w:t xml:space="preserve">akes sure </w:t>
            </w:r>
            <w:r w:rsidR="00E209A8">
              <w:rPr>
                <w:szCs w:val="18"/>
              </w:rPr>
              <w:t>SVODs</w:t>
            </w:r>
            <w:r w:rsidRPr="00CA2FE1">
              <w:rPr>
                <w:szCs w:val="18"/>
              </w:rPr>
              <w:t xml:space="preserve"> </w:t>
            </w:r>
            <w:r w:rsidRPr="003A441F">
              <w:rPr>
                <w:szCs w:val="18"/>
              </w:rPr>
              <w:t xml:space="preserve">invest in </w:t>
            </w:r>
            <w:r w:rsidR="00D866D4">
              <w:rPr>
                <w:szCs w:val="18"/>
              </w:rPr>
              <w:t xml:space="preserve">the production of </w:t>
            </w:r>
            <w:r w:rsidRPr="003A441F">
              <w:rPr>
                <w:szCs w:val="18"/>
              </w:rPr>
              <w:t>high-quality Australian programming</w:t>
            </w:r>
            <w:r w:rsidRPr="00897236">
              <w:rPr>
                <w:szCs w:val="18"/>
              </w:rPr>
              <w:t>.</w:t>
            </w:r>
          </w:p>
          <w:p w14:paraId="26836F8F" w14:textId="79040DD3" w:rsidR="0044397A" w:rsidRPr="00CA2FE1" w:rsidRDefault="00CA2FE1" w:rsidP="0013288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szCs w:val="18"/>
              </w:rPr>
            </w:pPr>
            <w:r w:rsidRPr="00CA2FE1">
              <w:rPr>
                <w:b/>
                <w:szCs w:val="18"/>
              </w:rPr>
              <w:t xml:space="preserve">Accommodates </w:t>
            </w:r>
            <w:r w:rsidR="00E209A8">
              <w:rPr>
                <w:b/>
                <w:szCs w:val="18"/>
              </w:rPr>
              <w:t>SVODs</w:t>
            </w:r>
            <w:r w:rsidRPr="00CA2FE1">
              <w:rPr>
                <w:b/>
                <w:szCs w:val="18"/>
              </w:rPr>
              <w:t>’ different business models</w:t>
            </w:r>
            <w:r w:rsidRPr="00CA2FE1">
              <w:rPr>
                <w:szCs w:val="18"/>
              </w:rPr>
              <w:t xml:space="preserve">, in terms of revenue sources, subscriber growth, </w:t>
            </w:r>
            <w:r w:rsidR="00D866D4">
              <w:rPr>
                <w:szCs w:val="18"/>
              </w:rPr>
              <w:t xml:space="preserve">production </w:t>
            </w:r>
            <w:r w:rsidR="00897236">
              <w:rPr>
                <w:szCs w:val="18"/>
              </w:rPr>
              <w:t>expenditure</w:t>
            </w:r>
            <w:r w:rsidR="00D866D4">
              <w:rPr>
                <w:szCs w:val="18"/>
              </w:rPr>
              <w:t xml:space="preserve"> </w:t>
            </w:r>
            <w:r w:rsidRPr="00CA2FE1">
              <w:rPr>
                <w:szCs w:val="18"/>
              </w:rPr>
              <w:t>and content offering</w:t>
            </w:r>
            <w:r w:rsidR="00D866D4">
              <w:rPr>
                <w:szCs w:val="18"/>
              </w:rPr>
              <w:t>s</w:t>
            </w:r>
            <w:r w:rsidRPr="00CA2FE1">
              <w:rPr>
                <w:szCs w:val="18"/>
              </w:rPr>
              <w:t xml:space="preserve">. Streaming services will not be subject to the obligation until they are established </w:t>
            </w:r>
            <w:r w:rsidR="00D866D4">
              <w:rPr>
                <w:szCs w:val="18"/>
              </w:rPr>
              <w:t>and have more than</w:t>
            </w:r>
            <w:r w:rsidRPr="00CA2FE1">
              <w:rPr>
                <w:szCs w:val="18"/>
              </w:rPr>
              <w:t xml:space="preserve"> </w:t>
            </w:r>
            <w:r w:rsidRPr="00CA2FE1">
              <w:rPr>
                <w:b/>
                <w:szCs w:val="18"/>
              </w:rPr>
              <w:t>1 million subscribers</w:t>
            </w:r>
            <w:r w:rsidRPr="00CA2FE1">
              <w:rPr>
                <w:szCs w:val="18"/>
              </w:rPr>
              <w:t xml:space="preserve">. This allows smaller </w:t>
            </w:r>
            <w:r w:rsidR="00E209A8">
              <w:rPr>
                <w:szCs w:val="18"/>
              </w:rPr>
              <w:t>SVODs</w:t>
            </w:r>
            <w:r w:rsidRPr="00CA2FE1">
              <w:rPr>
                <w:szCs w:val="18"/>
              </w:rPr>
              <w:t xml:space="preserve"> and new entrants to the Australian market to </w:t>
            </w:r>
            <w:r w:rsidRPr="00CA2FE1">
              <w:rPr>
                <w:b/>
                <w:szCs w:val="18"/>
              </w:rPr>
              <w:t>build their catalogues and subscriber base</w:t>
            </w:r>
            <w:r w:rsidRPr="00CA2FE1">
              <w:rPr>
                <w:szCs w:val="18"/>
              </w:rPr>
              <w:t xml:space="preserve"> before any local content requirement would come into effect</w:t>
            </w:r>
            <w:r w:rsidR="00E209A8">
              <w:rPr>
                <w:szCs w:val="18"/>
              </w:rPr>
              <w:t>, and is not unnecessarily burdensome</w:t>
            </w:r>
            <w:r>
              <w:rPr>
                <w:szCs w:val="18"/>
              </w:rPr>
              <w:t>.</w:t>
            </w:r>
          </w:p>
        </w:tc>
      </w:tr>
      <w:tr w:rsidR="00152412" w:rsidRPr="005505E3" w14:paraId="7CD40DA6" w14:textId="77777777" w:rsidTr="00500883">
        <w:trPr>
          <w:trHeight w:val="324"/>
        </w:trPr>
        <w:tc>
          <w:tcPr>
            <w:tcW w:w="5000" w:type="pct"/>
            <w:gridSpan w:val="3"/>
            <w:tcBorders>
              <w:top w:val="single" w:sz="4" w:space="0" w:color="778E61" w:themeColor="accent2"/>
            </w:tcBorders>
            <w:shd w:val="clear" w:color="auto" w:fill="1C2B39"/>
          </w:tcPr>
          <w:p w14:paraId="2134ACC0" w14:textId="77777777" w:rsidR="00152412" w:rsidRPr="002B53AF" w:rsidRDefault="00500883" w:rsidP="00DB61AC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  <w:t>Who is impacted</w:t>
            </w:r>
          </w:p>
        </w:tc>
      </w:tr>
      <w:tr w:rsidR="0044397A" w:rsidRPr="005505E3" w14:paraId="761EFB36" w14:textId="77777777" w:rsidTr="007C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tcW w:w="1513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E1C9994" w14:textId="77777777" w:rsidR="0044397A" w:rsidRDefault="0044397A" w:rsidP="00DB61AC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2039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5A3CC1C5" w14:textId="77777777" w:rsidR="0044397A" w:rsidRDefault="0044397A" w:rsidP="00DB61AC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448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7E277E8" w14:textId="77777777" w:rsidR="0044397A" w:rsidRDefault="0044397A" w:rsidP="00DB61AC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b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BC75F1" w:rsidRPr="005505E3" w14:paraId="439BBE17" w14:textId="77777777" w:rsidTr="007C5298">
        <w:trPr>
          <w:trHeight w:val="2273"/>
        </w:trPr>
        <w:tc>
          <w:tcPr>
            <w:tcW w:w="1513" w:type="pct"/>
            <w:tcBorders>
              <w:top w:val="single" w:sz="2" w:space="0" w:color="FFFFFF" w:themeColor="background1"/>
            </w:tcBorders>
            <w:shd w:val="clear" w:color="auto" w:fill="D8E2EC"/>
          </w:tcPr>
          <w:p w14:paraId="1D983118" w14:textId="77777777" w:rsidR="008F491B" w:rsidRDefault="00F425D8" w:rsidP="00BC75F1">
            <w:pPr>
              <w:spacing w:after="0" w:line="240" w:lineRule="auto"/>
              <w:rPr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The streaming requirement is not expected to involve any costs for individuals. </w:t>
            </w:r>
            <w:r w:rsidRPr="00F425D8">
              <w:rPr>
                <w:rFonts w:ascii="Calibri" w:hAnsi="Calibri" w:cs="Calibri"/>
                <w:b/>
                <w:szCs w:val="18"/>
              </w:rPr>
              <w:t>Australians will benefit</w:t>
            </w:r>
            <w:r w:rsidRPr="00F425D8">
              <w:rPr>
                <w:rFonts w:ascii="Calibri" w:hAnsi="Calibri" w:cs="Calibri"/>
                <w:szCs w:val="18"/>
              </w:rPr>
              <w:t xml:space="preserve"> from </w:t>
            </w:r>
            <w:r w:rsidRPr="00F425D8">
              <w:rPr>
                <w:rFonts w:ascii="Calibri" w:hAnsi="Calibri" w:cs="Calibri"/>
                <w:b/>
                <w:szCs w:val="18"/>
              </w:rPr>
              <w:t>the cultural, social and educational value</w:t>
            </w:r>
            <w:r w:rsidRPr="00F425D8">
              <w:rPr>
                <w:rFonts w:ascii="Calibri" w:hAnsi="Calibri" w:cs="Calibri"/>
                <w:szCs w:val="18"/>
              </w:rPr>
              <w:t xml:space="preserve"> of the Australian content that w</w:t>
            </w:r>
            <w:r>
              <w:rPr>
                <w:rFonts w:ascii="Calibri" w:hAnsi="Calibri" w:cs="Calibri"/>
                <w:szCs w:val="18"/>
              </w:rPr>
              <w:t>ill</w:t>
            </w:r>
            <w:r w:rsidRPr="00F425D8">
              <w:rPr>
                <w:rFonts w:ascii="Calibri" w:hAnsi="Calibri" w:cs="Calibri"/>
                <w:szCs w:val="18"/>
              </w:rPr>
              <w:t xml:space="preserve"> be produced.</w:t>
            </w:r>
          </w:p>
          <w:p w14:paraId="72A01D8A" w14:textId="77777777" w:rsidR="003D51B5" w:rsidRDefault="007C5298" w:rsidP="00BC75F1">
            <w:pPr>
              <w:spacing w:after="0" w:line="240" w:lineRule="auto"/>
              <w:rPr>
                <w:szCs w:val="18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6A189995" wp14:editId="4E450474">
                  <wp:simplePos x="0" y="0"/>
                  <wp:positionH relativeFrom="margin">
                    <wp:posOffset>-41910</wp:posOffset>
                  </wp:positionH>
                  <wp:positionV relativeFrom="margin">
                    <wp:posOffset>1006475</wp:posOffset>
                  </wp:positionV>
                  <wp:extent cx="497205" cy="497205"/>
                  <wp:effectExtent l="0" t="0" r="0" b="0"/>
                  <wp:wrapNone/>
                  <wp:docPr id="2" name="Picture 2" descr="Icons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cons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A1D57" w14:textId="77777777" w:rsidR="003D51B5" w:rsidRDefault="003D51B5" w:rsidP="00BC75F1">
            <w:pPr>
              <w:spacing w:after="0" w:line="240" w:lineRule="auto"/>
              <w:rPr>
                <w:szCs w:val="18"/>
              </w:rPr>
            </w:pPr>
          </w:p>
          <w:p w14:paraId="4A643CCA" w14:textId="77777777" w:rsidR="008F491B" w:rsidRDefault="008F491B" w:rsidP="00BC75F1">
            <w:pPr>
              <w:spacing w:after="0" w:line="240" w:lineRule="auto"/>
              <w:rPr>
                <w:szCs w:val="18"/>
              </w:rPr>
            </w:pPr>
          </w:p>
          <w:p w14:paraId="027CF557" w14:textId="77777777" w:rsidR="008F491B" w:rsidRPr="00402E24" w:rsidRDefault="008F491B" w:rsidP="00BC75F1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039" w:type="pct"/>
            <w:tcBorders>
              <w:top w:val="single" w:sz="2" w:space="0" w:color="FFFFFF" w:themeColor="background1"/>
            </w:tcBorders>
            <w:shd w:val="clear" w:color="auto" w:fill="D8E2EC"/>
          </w:tcPr>
          <w:p w14:paraId="0EDCC9EC" w14:textId="598D514A" w:rsidR="00BC75F1" w:rsidRPr="00402E24" w:rsidRDefault="00E209A8" w:rsidP="00BC75F1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szCs w:val="18"/>
              </w:rPr>
              <w:t xml:space="preserve">SVODs </w:t>
            </w:r>
            <w:r w:rsidR="005E5314" w:rsidRPr="005E5314">
              <w:rPr>
                <w:szCs w:val="18"/>
              </w:rPr>
              <w:t>will be required to spend</w:t>
            </w:r>
            <w:r w:rsidR="005E5314">
              <w:rPr>
                <w:b/>
                <w:szCs w:val="18"/>
              </w:rPr>
              <w:t xml:space="preserve"> </w:t>
            </w:r>
            <w:r w:rsidR="005E5314" w:rsidRPr="005E5314">
              <w:rPr>
                <w:b/>
                <w:szCs w:val="18"/>
              </w:rPr>
              <w:t>10 per cent of total program expenditure</w:t>
            </w:r>
            <w:r w:rsidR="005E5314" w:rsidRPr="005E5314">
              <w:rPr>
                <w:szCs w:val="18"/>
              </w:rPr>
              <w:t xml:space="preserve"> (excluding news and sport) or a revenue model that equals to 75 per cent of the expenditure requirement numerator </w:t>
            </w:r>
            <w:r>
              <w:rPr>
                <w:szCs w:val="18"/>
              </w:rPr>
              <w:t xml:space="preserve">on </w:t>
            </w:r>
            <w:r w:rsidR="005E5314" w:rsidRPr="005E5314">
              <w:rPr>
                <w:b/>
                <w:szCs w:val="18"/>
              </w:rPr>
              <w:t>new Australian commissions and first release acquisitions</w:t>
            </w:r>
            <w:r w:rsidR="005E5314" w:rsidRPr="005E5314">
              <w:rPr>
                <w:szCs w:val="18"/>
              </w:rPr>
              <w:t>.</w:t>
            </w:r>
            <w:r w:rsidR="005E5314">
              <w:rPr>
                <w:szCs w:val="18"/>
              </w:rPr>
              <w:t xml:space="preserve"> </w:t>
            </w:r>
            <w:r w:rsidR="005E5314" w:rsidRPr="005E5314">
              <w:rPr>
                <w:szCs w:val="18"/>
              </w:rPr>
              <w:t xml:space="preserve">Administrative compliance costs are estimated to be an average of $167,742 per annum for each </w:t>
            </w:r>
            <w:r>
              <w:rPr>
                <w:szCs w:val="18"/>
              </w:rPr>
              <w:t>SVOD</w:t>
            </w:r>
            <w:r w:rsidR="005E5314" w:rsidRPr="005E5314">
              <w:rPr>
                <w:szCs w:val="18"/>
              </w:rPr>
              <w:t>.</w:t>
            </w:r>
          </w:p>
        </w:tc>
        <w:tc>
          <w:tcPr>
            <w:tcW w:w="1448" w:type="pct"/>
            <w:tcBorders>
              <w:top w:val="single" w:sz="2" w:space="0" w:color="FFFFFF" w:themeColor="background1"/>
            </w:tcBorders>
            <w:shd w:val="clear" w:color="auto" w:fill="D8E2EC"/>
          </w:tcPr>
          <w:p w14:paraId="473B28DF" w14:textId="77777777" w:rsidR="00BC75F1" w:rsidRPr="00F425D8" w:rsidRDefault="00F425D8" w:rsidP="00BC75F1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F425D8">
              <w:rPr>
                <w:rFonts w:ascii="Calibri" w:hAnsi="Calibri" w:cs="Calibri"/>
                <w:szCs w:val="18"/>
              </w:rPr>
              <w:t>The streaming requirement is not expected to involve any costs for community organisations.</w:t>
            </w:r>
          </w:p>
        </w:tc>
      </w:tr>
    </w:tbl>
    <w:p w14:paraId="48D85258" w14:textId="77777777" w:rsidR="00E2196D" w:rsidRPr="00E2196D" w:rsidRDefault="00E2196D" w:rsidP="00E2196D">
      <w:pPr>
        <w:pStyle w:val="BOXHeading2"/>
        <w:ind w:firstLine="493"/>
        <w:rPr>
          <w:noProof/>
        </w:rPr>
      </w:pPr>
      <w:r>
        <w:rPr>
          <w:noProof/>
        </w:rPr>
        <w:t xml:space="preserve">  </w:t>
      </w:r>
      <w:r w:rsidR="002D37AE">
        <w:rPr>
          <w:noProof/>
        </w:rPr>
        <w:t>O</w:t>
      </w:r>
      <w:r w:rsidR="00D9417E">
        <w:rPr>
          <w:noProof/>
        </w:rPr>
        <w:t>ther</w:t>
      </w:r>
      <w:r w:rsidRPr="00E2196D">
        <w:rPr>
          <w:noProof/>
        </w:rPr>
        <w:t xml:space="preserve"> </w:t>
      </w:r>
      <w:r>
        <w:rPr>
          <w:noProof/>
        </w:rPr>
        <w:t>considerations</w:t>
      </w:r>
      <w:r w:rsidR="002D37AE">
        <w:rPr>
          <w:noProof/>
        </w:rPr>
        <w:t xml:space="preserve"> and i</w:t>
      </w:r>
      <w:r w:rsidR="002D37AE" w:rsidRPr="00534819">
        <w:rPr>
          <w:noProof/>
        </w:rPr>
        <w:t>mplementation</w:t>
      </w:r>
    </w:p>
    <w:p w14:paraId="2DDBD994" w14:textId="77777777" w:rsidR="007C5298" w:rsidRDefault="005B0C77" w:rsidP="00AE2B22">
      <w:pPr>
        <w:pStyle w:val="BOXBulletedList"/>
        <w:numPr>
          <w:ilvl w:val="0"/>
          <w:numId w:val="0"/>
        </w:numPr>
        <w:spacing w:after="0"/>
        <w:ind w:left="511" w:hanging="284"/>
      </w:pPr>
      <w:r w:rsidRPr="005B0C77">
        <w:rPr>
          <w:b/>
        </w:rPr>
        <w:t>•</w:t>
      </w:r>
      <w:r w:rsidRPr="005B0C77">
        <w:rPr>
          <w:b/>
        </w:rPr>
        <w:tab/>
      </w:r>
      <w:r w:rsidRPr="005B0C77">
        <w:t xml:space="preserve">As the streaming requirement is a Government </w:t>
      </w:r>
      <w:r w:rsidRPr="003A441F">
        <w:rPr>
          <w:b/>
        </w:rPr>
        <w:t>election commitment</w:t>
      </w:r>
      <w:r w:rsidRPr="005B0C77">
        <w:t>, the policy has been compared only against the status quo, in accordance with Office of Impact Analysis guidance.</w:t>
      </w:r>
      <w:r w:rsidR="007C5298">
        <w:t xml:space="preserve"> </w:t>
      </w:r>
    </w:p>
    <w:p w14:paraId="6636D3E9" w14:textId="09D6EC7C" w:rsidR="002D37AE" w:rsidRPr="000770FA" w:rsidRDefault="007C5298" w:rsidP="003A441F">
      <w:pPr>
        <w:pStyle w:val="BOXBulletedList"/>
      </w:pPr>
      <w:r w:rsidRPr="007C5298">
        <w:t xml:space="preserve">A statutory review four years after </w:t>
      </w:r>
      <w:r w:rsidR="00D866D4">
        <w:rPr>
          <w:color w:val="auto"/>
        </w:rPr>
        <w:t>the streaming requirement</w:t>
      </w:r>
      <w:r w:rsidR="00D866D4" w:rsidRPr="007C5298">
        <w:t xml:space="preserve"> </w:t>
      </w:r>
      <w:r w:rsidRPr="007C5298">
        <w:t>ha</w:t>
      </w:r>
      <w:r w:rsidR="00D866D4">
        <w:t>s</w:t>
      </w:r>
      <w:r w:rsidRPr="007C5298">
        <w:t xml:space="preserve"> been implemented will provide an opportunity for Government to evaluate the effectiveness of the program.</w:t>
      </w:r>
    </w:p>
    <w:sectPr w:rsidR="002D37AE" w:rsidRPr="000770FA" w:rsidSect="003C1C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418" w:left="567" w:header="992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4CC64A" w16cex:dateUtc="2025-10-16T02:33:00Z"/>
  <w16cex:commentExtensible w16cex:durableId="7F936865" w16cex:dateUtc="2025-10-08T00:31:00Z"/>
  <w16cex:commentExtensible w16cex:durableId="44E1B4DA" w16cex:dateUtc="2025-10-15T05:13:00Z"/>
  <w16cex:commentExtensible w16cex:durableId="1FA138FF" w16cex:dateUtc="2025-10-16T02:36:00Z"/>
  <w16cex:commentExtensible w16cex:durableId="14105220" w16cex:dateUtc="2025-10-15T05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49326" w14:textId="77777777" w:rsidR="0041606D" w:rsidRDefault="0041606D" w:rsidP="00F957C6">
      <w:pPr>
        <w:spacing w:after="0" w:line="240" w:lineRule="auto"/>
      </w:pPr>
      <w:r>
        <w:separator/>
      </w:r>
    </w:p>
  </w:endnote>
  <w:endnote w:type="continuationSeparator" w:id="0">
    <w:p w14:paraId="2E6ACEC3" w14:textId="77777777" w:rsidR="0041606D" w:rsidRDefault="0041606D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7F0F" w14:textId="77777777" w:rsidR="008C2BD0" w:rsidRDefault="008C2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2F71" w14:textId="77777777" w:rsidR="00D10635" w:rsidRPr="00F86700" w:rsidRDefault="0041606D" w:rsidP="00F86700">
    <w:pPr>
      <w:pStyle w:val="CLASSIFICATION"/>
    </w:pP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  <w:caps/>
          </w:rPr>
          <w:t>Classification</w:t>
        </w:r>
      </w:sdtContent>
    </w:sdt>
  </w:p>
  <w:p w14:paraId="462BB35B" w14:textId="526DCE45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267C17">
      <w:rPr>
        <w:color w:val="6E6E6E"/>
        <w:sz w:val="18"/>
        <w:szCs w:val="18"/>
      </w:rPr>
      <w:t>Australian screen content requirements for streaming services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2D37AE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46D36" w14:textId="634E9FD8" w:rsidR="00464D89" w:rsidRDefault="00464D89" w:rsidP="00464D89">
    <w:pPr>
      <w:pStyle w:val="Header"/>
      <w:jc w:val="center"/>
    </w:pPr>
  </w:p>
  <w:p w14:paraId="624E92D9" w14:textId="76D8C94D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267C17">
      <w:rPr>
        <w:color w:val="6E6E6E"/>
        <w:sz w:val="18"/>
        <w:szCs w:val="18"/>
      </w:rPr>
      <w:t>Australian screen content requirements for streaming services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8C2BD0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866D" w14:textId="77777777" w:rsidR="0041606D" w:rsidRDefault="0041606D" w:rsidP="00F957C6">
      <w:pPr>
        <w:spacing w:after="0" w:line="240" w:lineRule="auto"/>
      </w:pPr>
      <w:r>
        <w:separator/>
      </w:r>
    </w:p>
  </w:footnote>
  <w:footnote w:type="continuationSeparator" w:id="0">
    <w:p w14:paraId="7A348FA1" w14:textId="77777777" w:rsidR="0041606D" w:rsidRDefault="0041606D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BF546" w14:textId="77777777" w:rsidR="008C2BD0" w:rsidRDefault="008C2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33642" w14:textId="77777777" w:rsidR="00037513" w:rsidRPr="00D10635" w:rsidRDefault="0041606D" w:rsidP="00464D89">
    <w:pPr>
      <w:pStyle w:val="Header"/>
      <w:jc w:val="center"/>
    </w:pP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C00A" w14:textId="40DE0EDF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80768" behindDoc="1" locked="0" layoutInCell="1" allowOverlap="1" wp14:anchorId="0A09B911" wp14:editId="0A09B912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4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</w:num>
  <w:num w:numId="21">
    <w:abstractNumId w:val="25"/>
  </w:num>
  <w:num w:numId="22">
    <w:abstractNumId w:val="23"/>
  </w:num>
  <w:num w:numId="23">
    <w:abstractNumId w:val="11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4"/>
  </w:num>
  <w:num w:numId="28">
    <w:abstractNumId w:val="20"/>
  </w:num>
  <w:num w:numId="29">
    <w:abstractNumId w:val="13"/>
  </w:num>
  <w:num w:numId="30">
    <w:abstractNumId w:val="15"/>
  </w:num>
  <w:num w:numId="31">
    <w:abstractNumId w:val="12"/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2"/>
  </w:num>
  <w:num w:numId="39">
    <w:abstractNumId w:val="19"/>
  </w:num>
  <w:num w:numId="40">
    <w:abstractNumId w:val="1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F3"/>
    <w:rsid w:val="00001763"/>
    <w:rsid w:val="00003AF2"/>
    <w:rsid w:val="000045F5"/>
    <w:rsid w:val="00012CFE"/>
    <w:rsid w:val="00027038"/>
    <w:rsid w:val="0003154E"/>
    <w:rsid w:val="00032139"/>
    <w:rsid w:val="00037513"/>
    <w:rsid w:val="0004032E"/>
    <w:rsid w:val="00060B74"/>
    <w:rsid w:val="0006501B"/>
    <w:rsid w:val="0006627F"/>
    <w:rsid w:val="000668BB"/>
    <w:rsid w:val="000770FA"/>
    <w:rsid w:val="00080B17"/>
    <w:rsid w:val="000B3417"/>
    <w:rsid w:val="000B3E2C"/>
    <w:rsid w:val="000B6A28"/>
    <w:rsid w:val="000C60FC"/>
    <w:rsid w:val="000D749D"/>
    <w:rsid w:val="00110B99"/>
    <w:rsid w:val="00115264"/>
    <w:rsid w:val="00117A77"/>
    <w:rsid w:val="00125770"/>
    <w:rsid w:val="00132068"/>
    <w:rsid w:val="00132887"/>
    <w:rsid w:val="00147E4C"/>
    <w:rsid w:val="00152412"/>
    <w:rsid w:val="001611BF"/>
    <w:rsid w:val="0017436A"/>
    <w:rsid w:val="00175841"/>
    <w:rsid w:val="001954B4"/>
    <w:rsid w:val="001B2134"/>
    <w:rsid w:val="001B2D56"/>
    <w:rsid w:val="001C5831"/>
    <w:rsid w:val="001D16C5"/>
    <w:rsid w:val="001F6E20"/>
    <w:rsid w:val="002002ED"/>
    <w:rsid w:val="00202E07"/>
    <w:rsid w:val="00203726"/>
    <w:rsid w:val="00212443"/>
    <w:rsid w:val="00220DDA"/>
    <w:rsid w:val="00227DB5"/>
    <w:rsid w:val="002336DD"/>
    <w:rsid w:val="00255046"/>
    <w:rsid w:val="00266CCC"/>
    <w:rsid w:val="00267C17"/>
    <w:rsid w:val="00274D42"/>
    <w:rsid w:val="00285CAF"/>
    <w:rsid w:val="002A137E"/>
    <w:rsid w:val="002B53AF"/>
    <w:rsid w:val="002B661A"/>
    <w:rsid w:val="002C7A05"/>
    <w:rsid w:val="002D37AE"/>
    <w:rsid w:val="002D6B3D"/>
    <w:rsid w:val="002E5916"/>
    <w:rsid w:val="002E61BD"/>
    <w:rsid w:val="002F382A"/>
    <w:rsid w:val="00303C55"/>
    <w:rsid w:val="00304D47"/>
    <w:rsid w:val="00311C2D"/>
    <w:rsid w:val="00316AF7"/>
    <w:rsid w:val="00317030"/>
    <w:rsid w:val="003234AD"/>
    <w:rsid w:val="00330A33"/>
    <w:rsid w:val="00346D39"/>
    <w:rsid w:val="00353E5E"/>
    <w:rsid w:val="00361020"/>
    <w:rsid w:val="00374D2A"/>
    <w:rsid w:val="00376FE6"/>
    <w:rsid w:val="00385BD5"/>
    <w:rsid w:val="00397D1D"/>
    <w:rsid w:val="003A441F"/>
    <w:rsid w:val="003A54A7"/>
    <w:rsid w:val="003B05DC"/>
    <w:rsid w:val="003C181D"/>
    <w:rsid w:val="003C1C2C"/>
    <w:rsid w:val="003C1F2E"/>
    <w:rsid w:val="003D51B5"/>
    <w:rsid w:val="003D676D"/>
    <w:rsid w:val="003E361A"/>
    <w:rsid w:val="003F23E9"/>
    <w:rsid w:val="00402E24"/>
    <w:rsid w:val="004073E7"/>
    <w:rsid w:val="00413312"/>
    <w:rsid w:val="0041606D"/>
    <w:rsid w:val="0044397A"/>
    <w:rsid w:val="00443F97"/>
    <w:rsid w:val="004526FA"/>
    <w:rsid w:val="00454582"/>
    <w:rsid w:val="00460266"/>
    <w:rsid w:val="00464D89"/>
    <w:rsid w:val="00476A0E"/>
    <w:rsid w:val="0048549F"/>
    <w:rsid w:val="00490521"/>
    <w:rsid w:val="00490B90"/>
    <w:rsid w:val="00490E25"/>
    <w:rsid w:val="004B088C"/>
    <w:rsid w:val="004B2C90"/>
    <w:rsid w:val="004C17DE"/>
    <w:rsid w:val="004C58F3"/>
    <w:rsid w:val="004D2BF9"/>
    <w:rsid w:val="004F4C4F"/>
    <w:rsid w:val="004F6CF1"/>
    <w:rsid w:val="00500883"/>
    <w:rsid w:val="005069A4"/>
    <w:rsid w:val="00516260"/>
    <w:rsid w:val="005226B9"/>
    <w:rsid w:val="00522D9C"/>
    <w:rsid w:val="005272E6"/>
    <w:rsid w:val="0052777A"/>
    <w:rsid w:val="00527EBB"/>
    <w:rsid w:val="00534819"/>
    <w:rsid w:val="00545E49"/>
    <w:rsid w:val="005505E3"/>
    <w:rsid w:val="00551CB9"/>
    <w:rsid w:val="0055713D"/>
    <w:rsid w:val="00561FB9"/>
    <w:rsid w:val="00591288"/>
    <w:rsid w:val="005917FD"/>
    <w:rsid w:val="005930ED"/>
    <w:rsid w:val="005A3632"/>
    <w:rsid w:val="005A4AA1"/>
    <w:rsid w:val="005B0C77"/>
    <w:rsid w:val="005B3358"/>
    <w:rsid w:val="005C0F15"/>
    <w:rsid w:val="005C3C13"/>
    <w:rsid w:val="005C5269"/>
    <w:rsid w:val="005D4706"/>
    <w:rsid w:val="005E0DC7"/>
    <w:rsid w:val="005E5314"/>
    <w:rsid w:val="005E6E22"/>
    <w:rsid w:val="00610C0F"/>
    <w:rsid w:val="006147EB"/>
    <w:rsid w:val="006200EB"/>
    <w:rsid w:val="006216FD"/>
    <w:rsid w:val="00621C3D"/>
    <w:rsid w:val="00621EA3"/>
    <w:rsid w:val="006324E0"/>
    <w:rsid w:val="00640234"/>
    <w:rsid w:val="0064343A"/>
    <w:rsid w:val="0066264D"/>
    <w:rsid w:val="00665FB6"/>
    <w:rsid w:val="00667B5E"/>
    <w:rsid w:val="006949AF"/>
    <w:rsid w:val="006A008F"/>
    <w:rsid w:val="006A2ABA"/>
    <w:rsid w:val="006A2BCA"/>
    <w:rsid w:val="006A5AA6"/>
    <w:rsid w:val="006B349C"/>
    <w:rsid w:val="006D71DA"/>
    <w:rsid w:val="006E170D"/>
    <w:rsid w:val="006E698B"/>
    <w:rsid w:val="006E79FD"/>
    <w:rsid w:val="006F00D7"/>
    <w:rsid w:val="006F25A1"/>
    <w:rsid w:val="0071548B"/>
    <w:rsid w:val="00715A4A"/>
    <w:rsid w:val="007203E4"/>
    <w:rsid w:val="007204A9"/>
    <w:rsid w:val="0072538D"/>
    <w:rsid w:val="00736008"/>
    <w:rsid w:val="00740E77"/>
    <w:rsid w:val="00745370"/>
    <w:rsid w:val="0075114E"/>
    <w:rsid w:val="0075249A"/>
    <w:rsid w:val="00756929"/>
    <w:rsid w:val="00767DBB"/>
    <w:rsid w:val="00771DC8"/>
    <w:rsid w:val="00774646"/>
    <w:rsid w:val="00780840"/>
    <w:rsid w:val="00781695"/>
    <w:rsid w:val="00783EC4"/>
    <w:rsid w:val="007851BE"/>
    <w:rsid w:val="00790C12"/>
    <w:rsid w:val="007A02A7"/>
    <w:rsid w:val="007A038F"/>
    <w:rsid w:val="007A3AD4"/>
    <w:rsid w:val="007B1434"/>
    <w:rsid w:val="007C0935"/>
    <w:rsid w:val="007C5298"/>
    <w:rsid w:val="007E1C98"/>
    <w:rsid w:val="007E74EE"/>
    <w:rsid w:val="007F4E93"/>
    <w:rsid w:val="007F6CC4"/>
    <w:rsid w:val="008046D4"/>
    <w:rsid w:val="008059CB"/>
    <w:rsid w:val="008173BC"/>
    <w:rsid w:val="008204E7"/>
    <w:rsid w:val="008250D8"/>
    <w:rsid w:val="00833792"/>
    <w:rsid w:val="00835B4D"/>
    <w:rsid w:val="00837049"/>
    <w:rsid w:val="00837A21"/>
    <w:rsid w:val="00852F35"/>
    <w:rsid w:val="00857363"/>
    <w:rsid w:val="0086394C"/>
    <w:rsid w:val="00874998"/>
    <w:rsid w:val="00876109"/>
    <w:rsid w:val="00880485"/>
    <w:rsid w:val="00883248"/>
    <w:rsid w:val="00897236"/>
    <w:rsid w:val="008A0614"/>
    <w:rsid w:val="008B44F5"/>
    <w:rsid w:val="008C0558"/>
    <w:rsid w:val="008C2BD0"/>
    <w:rsid w:val="008C47A1"/>
    <w:rsid w:val="008C738F"/>
    <w:rsid w:val="008D6B9E"/>
    <w:rsid w:val="008E1024"/>
    <w:rsid w:val="008E5DED"/>
    <w:rsid w:val="008F2BB2"/>
    <w:rsid w:val="008F3F72"/>
    <w:rsid w:val="008F491B"/>
    <w:rsid w:val="009111F2"/>
    <w:rsid w:val="00913ED0"/>
    <w:rsid w:val="00927650"/>
    <w:rsid w:val="0093222B"/>
    <w:rsid w:val="009429FD"/>
    <w:rsid w:val="00942CB6"/>
    <w:rsid w:val="00942CE9"/>
    <w:rsid w:val="00954FF2"/>
    <w:rsid w:val="009615D2"/>
    <w:rsid w:val="00962EE8"/>
    <w:rsid w:val="00973395"/>
    <w:rsid w:val="00976EE9"/>
    <w:rsid w:val="009821BE"/>
    <w:rsid w:val="0098267F"/>
    <w:rsid w:val="00984376"/>
    <w:rsid w:val="009A0987"/>
    <w:rsid w:val="009A350B"/>
    <w:rsid w:val="009A6D9C"/>
    <w:rsid w:val="009C14AA"/>
    <w:rsid w:val="009C60F6"/>
    <w:rsid w:val="009E350A"/>
    <w:rsid w:val="009F0889"/>
    <w:rsid w:val="009F16DE"/>
    <w:rsid w:val="009F62F4"/>
    <w:rsid w:val="009F6A0F"/>
    <w:rsid w:val="00A008E6"/>
    <w:rsid w:val="00A06DF8"/>
    <w:rsid w:val="00A12C83"/>
    <w:rsid w:val="00A12F96"/>
    <w:rsid w:val="00A42517"/>
    <w:rsid w:val="00A47297"/>
    <w:rsid w:val="00A507E3"/>
    <w:rsid w:val="00A57585"/>
    <w:rsid w:val="00A57FF6"/>
    <w:rsid w:val="00A62EF3"/>
    <w:rsid w:val="00A63176"/>
    <w:rsid w:val="00A704F3"/>
    <w:rsid w:val="00A8011A"/>
    <w:rsid w:val="00A82A58"/>
    <w:rsid w:val="00A918A7"/>
    <w:rsid w:val="00AA1C38"/>
    <w:rsid w:val="00AA705F"/>
    <w:rsid w:val="00AC2CDC"/>
    <w:rsid w:val="00AC443E"/>
    <w:rsid w:val="00AD358D"/>
    <w:rsid w:val="00AD7805"/>
    <w:rsid w:val="00AE2B22"/>
    <w:rsid w:val="00B05108"/>
    <w:rsid w:val="00B23B3E"/>
    <w:rsid w:val="00B56736"/>
    <w:rsid w:val="00B6596F"/>
    <w:rsid w:val="00B707D7"/>
    <w:rsid w:val="00B73343"/>
    <w:rsid w:val="00B81D3E"/>
    <w:rsid w:val="00B92E61"/>
    <w:rsid w:val="00B97D3A"/>
    <w:rsid w:val="00BA7071"/>
    <w:rsid w:val="00BB1526"/>
    <w:rsid w:val="00BC75F1"/>
    <w:rsid w:val="00BC75F3"/>
    <w:rsid w:val="00BD171D"/>
    <w:rsid w:val="00BD57F5"/>
    <w:rsid w:val="00BE0F4D"/>
    <w:rsid w:val="00BE48A4"/>
    <w:rsid w:val="00BE56F0"/>
    <w:rsid w:val="00BF622F"/>
    <w:rsid w:val="00C034D3"/>
    <w:rsid w:val="00C03CD2"/>
    <w:rsid w:val="00C12D35"/>
    <w:rsid w:val="00C13310"/>
    <w:rsid w:val="00C17F81"/>
    <w:rsid w:val="00C32E9F"/>
    <w:rsid w:val="00C47620"/>
    <w:rsid w:val="00C70947"/>
    <w:rsid w:val="00C909FF"/>
    <w:rsid w:val="00CA2FE1"/>
    <w:rsid w:val="00CA716F"/>
    <w:rsid w:val="00CC42EA"/>
    <w:rsid w:val="00CC6110"/>
    <w:rsid w:val="00CD0193"/>
    <w:rsid w:val="00CE2B34"/>
    <w:rsid w:val="00CF55DD"/>
    <w:rsid w:val="00D03799"/>
    <w:rsid w:val="00D04E61"/>
    <w:rsid w:val="00D10635"/>
    <w:rsid w:val="00D11157"/>
    <w:rsid w:val="00D13C0A"/>
    <w:rsid w:val="00D2536E"/>
    <w:rsid w:val="00D423FE"/>
    <w:rsid w:val="00D466B6"/>
    <w:rsid w:val="00D500C1"/>
    <w:rsid w:val="00D525B8"/>
    <w:rsid w:val="00D55DA9"/>
    <w:rsid w:val="00D75A12"/>
    <w:rsid w:val="00D8019E"/>
    <w:rsid w:val="00D859BB"/>
    <w:rsid w:val="00D866D4"/>
    <w:rsid w:val="00D9417E"/>
    <w:rsid w:val="00DA18A2"/>
    <w:rsid w:val="00DB61AC"/>
    <w:rsid w:val="00DE00C4"/>
    <w:rsid w:val="00DF2F8D"/>
    <w:rsid w:val="00E05FA4"/>
    <w:rsid w:val="00E12045"/>
    <w:rsid w:val="00E12AB4"/>
    <w:rsid w:val="00E13082"/>
    <w:rsid w:val="00E155C1"/>
    <w:rsid w:val="00E209A8"/>
    <w:rsid w:val="00E2196D"/>
    <w:rsid w:val="00E224F4"/>
    <w:rsid w:val="00E2753F"/>
    <w:rsid w:val="00E27786"/>
    <w:rsid w:val="00E27CA0"/>
    <w:rsid w:val="00E43127"/>
    <w:rsid w:val="00E63FC4"/>
    <w:rsid w:val="00E81E9D"/>
    <w:rsid w:val="00E8316C"/>
    <w:rsid w:val="00E84E8A"/>
    <w:rsid w:val="00E84F06"/>
    <w:rsid w:val="00E86296"/>
    <w:rsid w:val="00E92551"/>
    <w:rsid w:val="00EB6AA9"/>
    <w:rsid w:val="00EC4A85"/>
    <w:rsid w:val="00EC68BE"/>
    <w:rsid w:val="00ED0697"/>
    <w:rsid w:val="00ED208B"/>
    <w:rsid w:val="00EF35EE"/>
    <w:rsid w:val="00F03073"/>
    <w:rsid w:val="00F135EF"/>
    <w:rsid w:val="00F262A6"/>
    <w:rsid w:val="00F40DB5"/>
    <w:rsid w:val="00F425D8"/>
    <w:rsid w:val="00F620FD"/>
    <w:rsid w:val="00F64736"/>
    <w:rsid w:val="00F66078"/>
    <w:rsid w:val="00F736AF"/>
    <w:rsid w:val="00F83A8A"/>
    <w:rsid w:val="00F86700"/>
    <w:rsid w:val="00F87586"/>
    <w:rsid w:val="00F957C6"/>
    <w:rsid w:val="00FA6219"/>
    <w:rsid w:val="00FA6CCB"/>
    <w:rsid w:val="00FB3AF5"/>
    <w:rsid w:val="00FB7CAD"/>
    <w:rsid w:val="00FC5955"/>
    <w:rsid w:val="00FD167E"/>
    <w:rsid w:val="00FD20A5"/>
    <w:rsid w:val="00FD2C22"/>
    <w:rsid w:val="00FE2C7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BCF94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A7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16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16F"/>
    <w:rPr>
      <w:rFonts w:ascii="Calibri Light" w:hAnsi="Calibri Light"/>
      <w:color w:val="1C2B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6F"/>
    <w:rPr>
      <w:rFonts w:ascii="Calibri Light" w:hAnsi="Calibri Light"/>
      <w:b/>
      <w:bCs/>
      <w:color w:val="1C2B39"/>
      <w:sz w:val="20"/>
      <w:szCs w:val="20"/>
    </w:rPr>
  </w:style>
  <w:style w:type="paragraph" w:styleId="Revision">
    <w:name w:val="Revision"/>
    <w:hidden/>
    <w:uiPriority w:val="99"/>
    <w:semiHidden/>
    <w:rsid w:val="00A63176"/>
    <w:pPr>
      <w:spacing w:after="0" w:line="240" w:lineRule="auto"/>
    </w:pPr>
    <w:rPr>
      <w:rFonts w:ascii="Calibri Light" w:hAnsi="Calibri Light"/>
      <w:color w:val="1C2B3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92"/>
    <w:rsid w:val="00012CFE"/>
    <w:rsid w:val="00030B92"/>
    <w:rsid w:val="0004032E"/>
    <w:rsid w:val="00214040"/>
    <w:rsid w:val="003E361A"/>
    <w:rsid w:val="003F3DB8"/>
    <w:rsid w:val="004526FA"/>
    <w:rsid w:val="00511F70"/>
    <w:rsid w:val="0054552C"/>
    <w:rsid w:val="00545E49"/>
    <w:rsid w:val="00547C37"/>
    <w:rsid w:val="006339B9"/>
    <w:rsid w:val="0066264D"/>
    <w:rsid w:val="0078182F"/>
    <w:rsid w:val="008075C8"/>
    <w:rsid w:val="00837049"/>
    <w:rsid w:val="008A31FF"/>
    <w:rsid w:val="00AC443E"/>
    <w:rsid w:val="00B707D7"/>
    <w:rsid w:val="00E84E8A"/>
    <w:rsid w:val="00F40DB5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E34991C9F1408FB1312CB63DDEC188">
    <w:name w:val="8FE34991C9F1408FB1312CB63DDEC188"/>
  </w:style>
  <w:style w:type="paragraph" w:customStyle="1" w:styleId="AC9ED6C5216F4AB39880D8C2FB20B9BE">
    <w:name w:val="AC9ED6C5216F4AB39880D8C2FB20B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50A6-E580-4F61-9B05-4387D270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2025-11-06T05:14:00Z</dcterms:created>
  <dcterms:modified xsi:type="dcterms:W3CDTF">2025-11-06T05:14:00Z</dcterms:modified>
  <cp:category/>
</cp:coreProperties>
</file>