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BED44" w14:textId="25D829B2" w:rsidR="00316A32" w:rsidRPr="00AC739D" w:rsidRDefault="008B7F26" w:rsidP="00F82170">
      <w:pPr>
        <w:pStyle w:val="Title"/>
        <w:tabs>
          <w:tab w:val="left" w:pos="7938"/>
        </w:tabs>
        <w:spacing w:before="120" w:after="120"/>
        <w:contextualSpacing w:val="0"/>
        <w:rPr>
          <w:rFonts w:asciiTheme="minorHAnsi" w:hAnsiTheme="minorHAnsi" w:cs="Calibri"/>
          <w:i/>
        </w:rPr>
      </w:pPr>
      <w:bookmarkStart w:id="0" w:name="_GoBack"/>
      <w:bookmarkEnd w:id="0"/>
      <w:r w:rsidRPr="00AC739D">
        <w:rPr>
          <w:rFonts w:asciiTheme="minorHAnsi" w:hAnsiTheme="minorHAnsi"/>
          <w:noProof/>
          <w:lang w:eastAsia="en-AU"/>
        </w:rPr>
        <w:drawing>
          <wp:anchor distT="0" distB="0" distL="114300" distR="114300" simplePos="0" relativeHeight="251658257" behindDoc="0" locked="0" layoutInCell="1" allowOverlap="1" wp14:anchorId="29BC34E9" wp14:editId="70C45B77">
            <wp:simplePos x="0" y="0"/>
            <wp:positionH relativeFrom="margin">
              <wp:align>left</wp:align>
            </wp:positionH>
            <wp:positionV relativeFrom="paragraph">
              <wp:posOffset>-107315</wp:posOffset>
            </wp:positionV>
            <wp:extent cx="2271600" cy="554400"/>
            <wp:effectExtent l="0" t="0" r="0" b="0"/>
            <wp:wrapNone/>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2"/>
                        </a:ext>
                      </a:extLst>
                    </a:blip>
                    <a:stretch>
                      <a:fillRect/>
                    </a:stretch>
                  </pic:blipFill>
                  <pic:spPr>
                    <a:xfrm>
                      <a:off x="0" y="0"/>
                      <a:ext cx="2271600" cy="554400"/>
                    </a:xfrm>
                    <a:prstGeom prst="rect">
                      <a:avLst/>
                    </a:prstGeom>
                  </pic:spPr>
                </pic:pic>
              </a:graphicData>
            </a:graphic>
          </wp:anchor>
        </w:drawing>
      </w:r>
    </w:p>
    <w:p w14:paraId="0FA3FBD4" w14:textId="77777777" w:rsidR="00F82170" w:rsidRPr="00AC739D" w:rsidRDefault="00F82170" w:rsidP="00F82170">
      <w:pPr>
        <w:pStyle w:val="Title"/>
        <w:tabs>
          <w:tab w:val="left" w:pos="7938"/>
        </w:tabs>
        <w:spacing w:before="120" w:after="120"/>
        <w:contextualSpacing w:val="0"/>
        <w:rPr>
          <w:rFonts w:asciiTheme="minorHAnsi" w:hAnsiTheme="minorHAnsi" w:cs="Calibri"/>
          <w:b/>
          <w:i/>
        </w:rPr>
      </w:pPr>
      <w:bookmarkStart w:id="1" w:name="_Toc96326909"/>
    </w:p>
    <w:p w14:paraId="2100B02F" w14:textId="2CAAB80F" w:rsidR="00F82170" w:rsidRPr="005A6DF4" w:rsidRDefault="00F82170" w:rsidP="00F82170">
      <w:pPr>
        <w:pStyle w:val="Title"/>
        <w:tabs>
          <w:tab w:val="left" w:pos="7938"/>
        </w:tabs>
        <w:spacing w:before="120" w:after="120"/>
        <w:contextualSpacing w:val="0"/>
        <w:rPr>
          <w:rFonts w:ascii="Aptos Display" w:hAnsi="Aptos Display" w:cs="Calibri"/>
          <w:b/>
          <w:color w:val="FFFFFF" w:themeColor="background1"/>
        </w:rPr>
      </w:pPr>
      <w:r w:rsidRPr="005A6DF4">
        <w:rPr>
          <w:rFonts w:ascii="Aptos Display" w:hAnsi="Aptos Display" w:cs="Calibri"/>
          <w:b/>
          <w:color w:val="FFFFFF" w:themeColor="background1"/>
        </w:rPr>
        <w:t xml:space="preserve">National Higher Education </w:t>
      </w:r>
      <w:r w:rsidR="008743F1" w:rsidRPr="005A6DF4">
        <w:rPr>
          <w:rFonts w:ascii="Aptos Display" w:hAnsi="Aptos Display" w:cs="Calibri"/>
          <w:b/>
          <w:color w:val="FFFFFF" w:themeColor="background1"/>
        </w:rPr>
        <w:t>Code</w:t>
      </w:r>
      <w:r w:rsidRPr="005A6DF4">
        <w:rPr>
          <w:rFonts w:ascii="Aptos Display" w:hAnsi="Aptos Display" w:cs="Calibri"/>
          <w:b/>
          <w:color w:val="FFFFFF" w:themeColor="background1"/>
        </w:rPr>
        <w:t xml:space="preserve"> to Prevent and Respond to</w:t>
      </w:r>
      <w:r w:rsidR="00AC739D" w:rsidRPr="005A6DF4">
        <w:rPr>
          <w:rFonts w:ascii="Aptos Display" w:hAnsi="Aptos Display" w:cs="Calibri"/>
          <w:b/>
          <w:color w:val="FFFFFF" w:themeColor="background1"/>
        </w:rPr>
        <w:t xml:space="preserve">     </w:t>
      </w:r>
      <w:r w:rsidR="005A6DF4">
        <w:rPr>
          <w:rFonts w:ascii="Aptos Display" w:hAnsi="Aptos Display" w:cs="Calibri"/>
          <w:b/>
          <w:color w:val="FFFFFF" w:themeColor="background1"/>
        </w:rPr>
        <w:t xml:space="preserve">  </w:t>
      </w:r>
      <w:r w:rsidR="00AC739D" w:rsidRPr="005A6DF4">
        <w:rPr>
          <w:rFonts w:ascii="Aptos Display" w:hAnsi="Aptos Display" w:cs="Calibri"/>
          <w:b/>
          <w:color w:val="FFFFFF" w:themeColor="background1"/>
        </w:rPr>
        <w:t xml:space="preserve">    </w:t>
      </w:r>
      <w:r w:rsidR="005A6DF4" w:rsidRPr="005A6DF4">
        <w:rPr>
          <w:rFonts w:ascii="Aptos Display" w:hAnsi="Aptos Display" w:cs="Calibri"/>
          <w:b/>
          <w:color w:val="FFFFFF" w:themeColor="background1"/>
        </w:rPr>
        <w:t xml:space="preserve"> </w:t>
      </w:r>
      <w:r w:rsidR="00AC739D" w:rsidRPr="005A6DF4">
        <w:rPr>
          <w:rFonts w:ascii="Aptos Display" w:hAnsi="Aptos Display" w:cs="Calibri"/>
          <w:b/>
          <w:color w:val="FFFFFF" w:themeColor="background1"/>
        </w:rPr>
        <w:t xml:space="preserve">     </w:t>
      </w:r>
      <w:r w:rsidRPr="005A6DF4">
        <w:rPr>
          <w:rFonts w:ascii="Aptos Display" w:hAnsi="Aptos Display" w:cs="Calibri"/>
          <w:b/>
          <w:color w:val="FFFFFF" w:themeColor="background1"/>
        </w:rPr>
        <w:t xml:space="preserve"> </w:t>
      </w:r>
      <w:r w:rsidR="00B7771B" w:rsidRPr="005A6DF4">
        <w:rPr>
          <w:rFonts w:ascii="Aptos Display" w:hAnsi="Aptos Display" w:cs="Calibri"/>
          <w:b/>
          <w:color w:val="FFFFFF" w:themeColor="background1"/>
        </w:rPr>
        <w:t>G</w:t>
      </w:r>
      <w:r w:rsidR="008D47F8" w:rsidRPr="005A6DF4">
        <w:rPr>
          <w:rFonts w:ascii="Aptos Display" w:hAnsi="Aptos Display" w:cs="Calibri"/>
          <w:b/>
          <w:color w:val="FFFFFF" w:themeColor="background1"/>
        </w:rPr>
        <w:t xml:space="preserve">ender-based </w:t>
      </w:r>
      <w:r w:rsidR="00AE6389" w:rsidRPr="005A6DF4">
        <w:rPr>
          <w:rFonts w:ascii="Aptos Display" w:hAnsi="Aptos Display" w:cs="Calibri"/>
          <w:b/>
          <w:color w:val="FFFFFF" w:themeColor="background1"/>
        </w:rPr>
        <w:t>Violence</w:t>
      </w:r>
    </w:p>
    <w:p w14:paraId="3273CF72" w14:textId="3515F71D" w:rsidR="00F82170" w:rsidRPr="00AC739D" w:rsidRDefault="00F82170" w:rsidP="00E1552C">
      <w:pPr>
        <w:pStyle w:val="Subtitle"/>
        <w:tabs>
          <w:tab w:val="left" w:pos="2568"/>
        </w:tabs>
        <w:spacing w:before="120" w:after="120"/>
        <w:rPr>
          <w:rFonts w:cs="Calibri"/>
          <w:b/>
          <w:color w:val="36ABA8"/>
        </w:rPr>
      </w:pPr>
      <w:r w:rsidRPr="00AC739D">
        <w:rPr>
          <w:rFonts w:cs="Calibri"/>
          <w:b/>
          <w:color w:val="36ABA8"/>
        </w:rPr>
        <w:t>Impact Analysis</w:t>
      </w:r>
      <w:r w:rsidR="00E1552C" w:rsidRPr="00AC739D">
        <w:rPr>
          <w:rFonts w:cs="Calibri"/>
          <w:b/>
          <w:bCs/>
          <w:color w:val="36ABA8"/>
        </w:rPr>
        <w:tab/>
      </w:r>
    </w:p>
    <w:bookmarkEnd w:id="1"/>
    <w:p w14:paraId="71794894" w14:textId="3F16405D" w:rsidR="00F82170" w:rsidRPr="00ED2A6C" w:rsidRDefault="00D11FD3" w:rsidP="00F82170">
      <w:pPr>
        <w:spacing w:before="120" w:after="120" w:line="240" w:lineRule="auto"/>
        <w:rPr>
          <w:rFonts w:ascii="Calibri" w:hAnsi="Calibri" w:cs="Calibri"/>
          <w:iCs/>
        </w:rPr>
      </w:pPr>
      <w:r>
        <w:rPr>
          <w:rStyle w:val="Emphasis"/>
          <w:rFonts w:cs="Calibri"/>
          <w:i w:val="0"/>
          <w:color w:val="FFFFFF" w:themeColor="background1"/>
        </w:rPr>
        <w:t>September</w:t>
      </w:r>
      <w:r w:rsidR="00E1552C" w:rsidRPr="00AC739D">
        <w:rPr>
          <w:rStyle w:val="Emphasis"/>
          <w:rFonts w:cs="Calibri"/>
          <w:i w:val="0"/>
          <w:color w:val="FFFFFF" w:themeColor="background1"/>
        </w:rPr>
        <w:t xml:space="preserve"> 2025</w:t>
      </w:r>
      <w:r w:rsidR="00F82170" w:rsidRPr="00ED2A6C">
        <w:rPr>
          <w:rFonts w:ascii="Calibri" w:hAnsi="Calibri" w:cs="Calibri"/>
          <w:iCs/>
        </w:rPr>
        <w:br w:type="page"/>
      </w:r>
      <w:r w:rsidR="000777BA" w:rsidRPr="00CA4815">
        <w:rPr>
          <w:b/>
          <w:bCs/>
          <w:noProof/>
          <w:lang w:eastAsia="en-AU"/>
        </w:rPr>
        <w:drawing>
          <wp:anchor distT="0" distB="0" distL="114300" distR="114300" simplePos="0" relativeHeight="251658240" behindDoc="1" locked="1" layoutInCell="1" allowOverlap="1" wp14:anchorId="46C5DC29" wp14:editId="5B0CCF79">
            <wp:simplePos x="0" y="0"/>
            <wp:positionH relativeFrom="page">
              <wp:align>left</wp:align>
            </wp:positionH>
            <wp:positionV relativeFrom="paragraph">
              <wp:posOffset>-3704590</wp:posOffset>
            </wp:positionV>
            <wp:extent cx="7541895" cy="10666730"/>
            <wp:effectExtent l="0" t="0" r="1905" b="1270"/>
            <wp:wrapNone/>
            <wp:docPr id="2" name="Pictur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p>
    <w:p w14:paraId="5743375F" w14:textId="41EB4605" w:rsidR="00E5557C" w:rsidRDefault="00E5557C" w:rsidP="00E5557C">
      <w:pPr>
        <w:spacing w:after="480"/>
      </w:pPr>
      <w:r>
        <w:lastRenderedPageBreak/>
        <w:br/>
      </w:r>
    </w:p>
    <w:p w14:paraId="5BA145D8" w14:textId="77777777" w:rsidR="00E5557C" w:rsidRDefault="00E5557C" w:rsidP="00E5557C">
      <w:pPr>
        <w:spacing w:after="480"/>
      </w:pPr>
    </w:p>
    <w:p w14:paraId="2F4917A5" w14:textId="77777777" w:rsidR="00E5557C" w:rsidRDefault="00E5557C" w:rsidP="00E5557C">
      <w:pPr>
        <w:spacing w:after="480"/>
      </w:pPr>
    </w:p>
    <w:p w14:paraId="4AAB0435" w14:textId="77777777" w:rsidR="00E5557C" w:rsidRDefault="00E5557C" w:rsidP="00E5557C">
      <w:pPr>
        <w:spacing w:after="480"/>
      </w:pPr>
    </w:p>
    <w:p w14:paraId="6730BF6C" w14:textId="77777777" w:rsidR="00E5557C" w:rsidRDefault="00E5557C" w:rsidP="00E5557C">
      <w:pPr>
        <w:spacing w:after="480"/>
      </w:pPr>
    </w:p>
    <w:p w14:paraId="49740CF8" w14:textId="77777777" w:rsidR="00E5557C" w:rsidRDefault="00E5557C" w:rsidP="00E5557C">
      <w:pPr>
        <w:spacing w:after="480"/>
      </w:pPr>
    </w:p>
    <w:p w14:paraId="3429381F" w14:textId="77777777" w:rsidR="00E5557C" w:rsidRDefault="00E5557C" w:rsidP="00E5557C">
      <w:pPr>
        <w:spacing w:after="480"/>
      </w:pPr>
    </w:p>
    <w:p w14:paraId="30DBB612" w14:textId="77777777" w:rsidR="00E5557C" w:rsidRDefault="00E5557C" w:rsidP="00E5557C">
      <w:pPr>
        <w:spacing w:after="480"/>
      </w:pPr>
    </w:p>
    <w:p w14:paraId="50231B95" w14:textId="77777777" w:rsidR="00D11FD3" w:rsidRDefault="00D11FD3" w:rsidP="00E5557C">
      <w:pPr>
        <w:spacing w:after="480"/>
      </w:pPr>
    </w:p>
    <w:p w14:paraId="674DC93E" w14:textId="77777777" w:rsidR="00430A6B" w:rsidRDefault="00430A6B" w:rsidP="00E5557C">
      <w:pPr>
        <w:spacing w:after="480"/>
      </w:pPr>
    </w:p>
    <w:p w14:paraId="198EA6BE" w14:textId="77777777" w:rsidR="00E5557C" w:rsidRDefault="00E5557C" w:rsidP="00E5557C">
      <w:pPr>
        <w:spacing w:after="480"/>
      </w:pPr>
    </w:p>
    <w:p w14:paraId="521147D3" w14:textId="77777777" w:rsidR="00E5557C" w:rsidRDefault="00E5557C" w:rsidP="00E5557C">
      <w:pPr>
        <w:spacing w:after="480"/>
      </w:pPr>
    </w:p>
    <w:p w14:paraId="48B026C8" w14:textId="77777777" w:rsidR="00E5557C" w:rsidRDefault="00E5557C" w:rsidP="00E5557C">
      <w:r>
        <w:rPr>
          <w:noProof/>
          <w:lang w:eastAsia="en-AU"/>
        </w:rPr>
        <w:drawing>
          <wp:inline distT="0" distB="0" distL="0" distR="0" wp14:anchorId="7EFE4AB4" wp14:editId="7C84DC90">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28CC9662" w14:textId="77777777" w:rsidR="00E5557C" w:rsidRDefault="00E5557C" w:rsidP="00E5557C">
      <w:r>
        <w:t xml:space="preserve">With the exception of the Commonwealth Coat of Arms, the Department’s logo, any material protected by a trade mark and where otherwise noted all material presented in this document is provided under a </w:t>
      </w:r>
      <w:hyperlink r:id="rId15" w:history="1">
        <w:r w:rsidRPr="007B2CA1">
          <w:rPr>
            <w:rStyle w:val="Hyperlink"/>
          </w:rPr>
          <w:t>Creative Commons Attribution 4.0 International</w:t>
        </w:r>
      </w:hyperlink>
      <w:r>
        <w:t xml:space="preserve"> (</w:t>
      </w:r>
      <w:r w:rsidRPr="007B2CA1">
        <w:t>https://creativecommons.org/licenses/by/4.0/</w:t>
      </w:r>
      <w:r>
        <w:t>) licence.</w:t>
      </w:r>
    </w:p>
    <w:p w14:paraId="4BB1EB44" w14:textId="74E78B63" w:rsidR="00E5557C" w:rsidRDefault="00E5557C" w:rsidP="00E5557C">
      <w:r>
        <w:t xml:space="preserve">The details of the relevant licence conditions are available on the Creative Commons website (accessible using the links provided) as is the full legal </w:t>
      </w:r>
      <w:r w:rsidR="008743F1">
        <w:t>National Code</w:t>
      </w:r>
      <w:r>
        <w:t xml:space="preserve"> for the </w:t>
      </w:r>
      <w:hyperlink r:id="rId16" w:history="1">
        <w:r w:rsidRPr="007B2CA1">
          <w:rPr>
            <w:rStyle w:val="Hyperlink"/>
          </w:rPr>
          <w:t>CC BY 4.0 International</w:t>
        </w:r>
      </w:hyperlink>
      <w:r>
        <w:t xml:space="preserve"> (</w:t>
      </w:r>
      <w:r w:rsidRPr="007B2CA1">
        <w:t>https://creativecommons.org/licenses/by/4.0/legal</w:t>
      </w:r>
      <w:r w:rsidR="008743F1">
        <w:t>National Code</w:t>
      </w:r>
      <w:r>
        <w:t xml:space="preserve">) </w:t>
      </w:r>
    </w:p>
    <w:p w14:paraId="0398647F" w14:textId="5204C9E9" w:rsidR="00BA524C" w:rsidRDefault="00E5557C">
      <w:r>
        <w:t xml:space="preserve">The document must be attributed as the </w:t>
      </w:r>
      <w:r w:rsidR="00FF6206">
        <w:t xml:space="preserve">National Higher Education </w:t>
      </w:r>
      <w:r w:rsidR="008743F1">
        <w:t>Code</w:t>
      </w:r>
      <w:r w:rsidR="00FF6206">
        <w:t xml:space="preserve"> to Prevent and Respond to </w:t>
      </w:r>
      <w:r w:rsidR="00B7771B">
        <w:t>G</w:t>
      </w:r>
      <w:r w:rsidR="00954BFD">
        <w:t xml:space="preserve">ender-based </w:t>
      </w:r>
      <w:r w:rsidR="00B7771B">
        <w:t>V</w:t>
      </w:r>
      <w:r w:rsidR="00954BFD">
        <w:t>iolence</w:t>
      </w:r>
      <w:r w:rsidR="00FF6206">
        <w:t xml:space="preserve"> Impact Analysis.</w:t>
      </w:r>
    </w:p>
    <w:p w14:paraId="3DA02324" w14:textId="7E54B022" w:rsidR="00BA524C" w:rsidRDefault="00BA524C" w:rsidP="00E72FE2">
      <w:pPr>
        <w:pStyle w:val="Title"/>
        <w:rPr>
          <w:rFonts w:eastAsiaTheme="minorHAnsi"/>
          <w:kern w:val="2"/>
          <w:sz w:val="20"/>
          <w:szCs w:val="20"/>
        </w:rPr>
      </w:pPr>
      <w:r>
        <w:lastRenderedPageBreak/>
        <w:t>Table of Contents</w:t>
      </w:r>
      <w:r w:rsidRPr="00BA524C">
        <w:rPr>
          <w:rFonts w:eastAsiaTheme="minorHAnsi"/>
          <w:kern w:val="2"/>
          <w:sz w:val="20"/>
          <w:szCs w:val="20"/>
        </w:rPr>
        <w:t xml:space="preserve"> </w:t>
      </w:r>
    </w:p>
    <w:sdt>
      <w:sdtPr>
        <w:rPr>
          <w:kern w:val="2"/>
          <w:sz w:val="20"/>
          <w:szCs w:val="20"/>
          <w14:ligatures w14:val="standardContextual"/>
        </w:rPr>
        <w:id w:val="-1059086737"/>
        <w:docPartObj>
          <w:docPartGallery w:val="Table of Contents"/>
          <w:docPartUnique/>
        </w:docPartObj>
      </w:sdtPr>
      <w:sdtEndPr>
        <w:rPr>
          <w:b/>
          <w:bCs/>
          <w:noProof/>
          <w:kern w:val="0"/>
          <w14:ligatures w14:val="none"/>
        </w:rPr>
      </w:sdtEndPr>
      <w:sdtContent>
        <w:p w14:paraId="15F8ED53" w14:textId="7AB1070C" w:rsidR="00B173F8" w:rsidRDefault="0073317D">
          <w:pPr>
            <w:pStyle w:val="TOC1"/>
            <w:tabs>
              <w:tab w:val="left" w:pos="440"/>
              <w:tab w:val="right" w:leader="dot" w:pos="9016"/>
            </w:tabs>
            <w:rPr>
              <w:noProof/>
              <w:kern w:val="2"/>
              <w:sz w:val="24"/>
              <w:szCs w:val="24"/>
              <w:lang w:eastAsia="en-AU"/>
              <w14:ligatures w14:val="standardContextual"/>
            </w:rPr>
          </w:pPr>
          <w:r>
            <w:rPr>
              <w:sz w:val="20"/>
              <w:szCs w:val="20"/>
            </w:rPr>
            <w:fldChar w:fldCharType="begin"/>
          </w:r>
          <w:r>
            <w:rPr>
              <w:sz w:val="20"/>
              <w:szCs w:val="20"/>
            </w:rPr>
            <w:instrText xml:space="preserve"> TOC \o "1-2" \h \z \u </w:instrText>
          </w:r>
          <w:r>
            <w:rPr>
              <w:sz w:val="20"/>
              <w:szCs w:val="20"/>
            </w:rPr>
            <w:fldChar w:fldCharType="separate"/>
          </w:r>
          <w:hyperlink w:anchor="_Toc210050215" w:history="1">
            <w:r w:rsidR="00B173F8" w:rsidRPr="00993F27">
              <w:rPr>
                <w:rStyle w:val="Hyperlink"/>
                <w:b/>
                <w:bCs/>
                <w:noProof/>
              </w:rPr>
              <w:t>1</w:t>
            </w:r>
            <w:r w:rsidR="00B173F8">
              <w:rPr>
                <w:noProof/>
                <w:kern w:val="2"/>
                <w:sz w:val="24"/>
                <w:szCs w:val="24"/>
                <w:lang w:eastAsia="en-AU"/>
                <w14:ligatures w14:val="standardContextual"/>
              </w:rPr>
              <w:tab/>
            </w:r>
            <w:r w:rsidR="00B173F8" w:rsidRPr="00993F27">
              <w:rPr>
                <w:rStyle w:val="Hyperlink"/>
                <w:b/>
                <w:bCs/>
                <w:noProof/>
              </w:rPr>
              <w:t>Chapter 1: The policy problem</w:t>
            </w:r>
            <w:r w:rsidR="00B173F8">
              <w:rPr>
                <w:noProof/>
                <w:webHidden/>
              </w:rPr>
              <w:tab/>
            </w:r>
            <w:r w:rsidR="00B173F8">
              <w:rPr>
                <w:noProof/>
                <w:webHidden/>
              </w:rPr>
              <w:fldChar w:fldCharType="begin"/>
            </w:r>
            <w:r w:rsidR="00B173F8">
              <w:rPr>
                <w:noProof/>
                <w:webHidden/>
              </w:rPr>
              <w:instrText xml:space="preserve"> PAGEREF _Toc210050215 \h </w:instrText>
            </w:r>
            <w:r w:rsidR="00B173F8">
              <w:rPr>
                <w:noProof/>
                <w:webHidden/>
              </w:rPr>
            </w:r>
            <w:r w:rsidR="00B173F8">
              <w:rPr>
                <w:noProof/>
                <w:webHidden/>
              </w:rPr>
              <w:fldChar w:fldCharType="separate"/>
            </w:r>
            <w:r w:rsidR="002226CC">
              <w:rPr>
                <w:noProof/>
                <w:webHidden/>
              </w:rPr>
              <w:t>8</w:t>
            </w:r>
            <w:r w:rsidR="00B173F8">
              <w:rPr>
                <w:noProof/>
                <w:webHidden/>
              </w:rPr>
              <w:fldChar w:fldCharType="end"/>
            </w:r>
          </w:hyperlink>
        </w:p>
        <w:p w14:paraId="09B53E6E" w14:textId="58D8F168" w:rsidR="00B173F8" w:rsidRDefault="00631FA8">
          <w:pPr>
            <w:pStyle w:val="TOC2"/>
            <w:tabs>
              <w:tab w:val="left" w:pos="960"/>
              <w:tab w:val="right" w:leader="dot" w:pos="9016"/>
            </w:tabs>
            <w:rPr>
              <w:noProof/>
              <w:kern w:val="2"/>
              <w:sz w:val="24"/>
              <w:szCs w:val="24"/>
              <w:lang w:eastAsia="en-AU"/>
              <w14:ligatures w14:val="standardContextual"/>
            </w:rPr>
          </w:pPr>
          <w:hyperlink w:anchor="_Toc210050216" w:history="1">
            <w:r w:rsidR="00B173F8" w:rsidRPr="00993F27">
              <w:rPr>
                <w:rStyle w:val="Hyperlink"/>
                <w:noProof/>
              </w:rPr>
              <w:t>1.1</w:t>
            </w:r>
            <w:r w:rsidR="00B173F8">
              <w:rPr>
                <w:noProof/>
                <w:kern w:val="2"/>
                <w:sz w:val="24"/>
                <w:szCs w:val="24"/>
                <w:lang w:eastAsia="en-AU"/>
                <w14:ligatures w14:val="standardContextual"/>
              </w:rPr>
              <w:tab/>
            </w:r>
            <w:r w:rsidR="00B173F8" w:rsidRPr="00993F27">
              <w:rPr>
                <w:rStyle w:val="Hyperlink"/>
                <w:noProof/>
              </w:rPr>
              <w:t>The Problem: Gender-based violence in higher education</w:t>
            </w:r>
            <w:r w:rsidR="00B173F8">
              <w:rPr>
                <w:noProof/>
                <w:webHidden/>
              </w:rPr>
              <w:tab/>
            </w:r>
            <w:r w:rsidR="00B173F8">
              <w:rPr>
                <w:noProof/>
                <w:webHidden/>
              </w:rPr>
              <w:fldChar w:fldCharType="begin"/>
            </w:r>
            <w:r w:rsidR="00B173F8">
              <w:rPr>
                <w:noProof/>
                <w:webHidden/>
              </w:rPr>
              <w:instrText xml:space="preserve"> PAGEREF _Toc210050216 \h </w:instrText>
            </w:r>
            <w:r w:rsidR="00B173F8">
              <w:rPr>
                <w:noProof/>
                <w:webHidden/>
              </w:rPr>
            </w:r>
            <w:r w:rsidR="00B173F8">
              <w:rPr>
                <w:noProof/>
                <w:webHidden/>
              </w:rPr>
              <w:fldChar w:fldCharType="separate"/>
            </w:r>
            <w:r w:rsidR="002226CC">
              <w:rPr>
                <w:noProof/>
                <w:webHidden/>
              </w:rPr>
              <w:t>8</w:t>
            </w:r>
            <w:r w:rsidR="00B173F8">
              <w:rPr>
                <w:noProof/>
                <w:webHidden/>
              </w:rPr>
              <w:fldChar w:fldCharType="end"/>
            </w:r>
          </w:hyperlink>
        </w:p>
        <w:p w14:paraId="0928BB0F" w14:textId="6BB60915" w:rsidR="00B173F8" w:rsidRDefault="00631FA8">
          <w:pPr>
            <w:pStyle w:val="TOC2"/>
            <w:tabs>
              <w:tab w:val="left" w:pos="960"/>
              <w:tab w:val="right" w:leader="dot" w:pos="9016"/>
            </w:tabs>
            <w:rPr>
              <w:noProof/>
              <w:kern w:val="2"/>
              <w:sz w:val="24"/>
              <w:szCs w:val="24"/>
              <w:lang w:eastAsia="en-AU"/>
              <w14:ligatures w14:val="standardContextual"/>
            </w:rPr>
          </w:pPr>
          <w:hyperlink w:anchor="_Toc210050217" w:history="1">
            <w:r w:rsidR="00B173F8" w:rsidRPr="00993F27">
              <w:rPr>
                <w:rStyle w:val="Hyperlink"/>
                <w:noProof/>
              </w:rPr>
              <w:t>1.2</w:t>
            </w:r>
            <w:r w:rsidR="00B173F8">
              <w:rPr>
                <w:noProof/>
                <w:kern w:val="2"/>
                <w:sz w:val="24"/>
                <w:szCs w:val="24"/>
                <w:lang w:eastAsia="en-AU"/>
                <w14:ligatures w14:val="standardContextual"/>
              </w:rPr>
              <w:tab/>
            </w:r>
            <w:r w:rsidR="00B173F8" w:rsidRPr="00993F27">
              <w:rPr>
                <w:rStyle w:val="Hyperlink"/>
                <w:noProof/>
              </w:rPr>
              <w:t>Elements of the policy problem</w:t>
            </w:r>
            <w:r w:rsidR="00B173F8">
              <w:rPr>
                <w:noProof/>
                <w:webHidden/>
              </w:rPr>
              <w:tab/>
            </w:r>
            <w:r w:rsidR="00B173F8">
              <w:rPr>
                <w:noProof/>
                <w:webHidden/>
              </w:rPr>
              <w:fldChar w:fldCharType="begin"/>
            </w:r>
            <w:r w:rsidR="00B173F8">
              <w:rPr>
                <w:noProof/>
                <w:webHidden/>
              </w:rPr>
              <w:instrText xml:space="preserve"> PAGEREF _Toc210050217 \h </w:instrText>
            </w:r>
            <w:r w:rsidR="00B173F8">
              <w:rPr>
                <w:noProof/>
                <w:webHidden/>
              </w:rPr>
            </w:r>
            <w:r w:rsidR="00B173F8">
              <w:rPr>
                <w:noProof/>
                <w:webHidden/>
              </w:rPr>
              <w:fldChar w:fldCharType="separate"/>
            </w:r>
            <w:r w:rsidR="002226CC">
              <w:rPr>
                <w:noProof/>
                <w:webHidden/>
              </w:rPr>
              <w:t>13</w:t>
            </w:r>
            <w:r w:rsidR="00B173F8">
              <w:rPr>
                <w:noProof/>
                <w:webHidden/>
              </w:rPr>
              <w:fldChar w:fldCharType="end"/>
            </w:r>
          </w:hyperlink>
        </w:p>
        <w:p w14:paraId="7A9CF1A8" w14:textId="0012220C" w:rsidR="00B173F8" w:rsidRDefault="00631FA8">
          <w:pPr>
            <w:pStyle w:val="TOC2"/>
            <w:tabs>
              <w:tab w:val="left" w:pos="960"/>
              <w:tab w:val="right" w:leader="dot" w:pos="9016"/>
            </w:tabs>
            <w:rPr>
              <w:noProof/>
              <w:kern w:val="2"/>
              <w:sz w:val="24"/>
              <w:szCs w:val="24"/>
              <w:lang w:eastAsia="en-AU"/>
              <w14:ligatures w14:val="standardContextual"/>
            </w:rPr>
          </w:pPr>
          <w:hyperlink w:anchor="_Toc210050218" w:history="1">
            <w:r w:rsidR="00B173F8" w:rsidRPr="00993F27">
              <w:rPr>
                <w:rStyle w:val="Hyperlink"/>
                <w:noProof/>
              </w:rPr>
              <w:t>1.3</w:t>
            </w:r>
            <w:r w:rsidR="00B173F8">
              <w:rPr>
                <w:noProof/>
                <w:kern w:val="2"/>
                <w:sz w:val="24"/>
                <w:szCs w:val="24"/>
                <w:lang w:eastAsia="en-AU"/>
                <w14:ligatures w14:val="standardContextual"/>
              </w:rPr>
              <w:tab/>
            </w:r>
            <w:r w:rsidR="00B173F8" w:rsidRPr="00993F27">
              <w:rPr>
                <w:rStyle w:val="Hyperlink"/>
                <w:noProof/>
              </w:rPr>
              <w:t>Problem 1: GBV in higher education is prevalent, underreported, and inadequately addressed</w:t>
            </w:r>
            <w:r w:rsidR="00B173F8">
              <w:rPr>
                <w:noProof/>
                <w:webHidden/>
              </w:rPr>
              <w:tab/>
            </w:r>
            <w:r w:rsidR="00B173F8">
              <w:rPr>
                <w:noProof/>
                <w:webHidden/>
              </w:rPr>
              <w:fldChar w:fldCharType="begin"/>
            </w:r>
            <w:r w:rsidR="00B173F8">
              <w:rPr>
                <w:noProof/>
                <w:webHidden/>
              </w:rPr>
              <w:instrText xml:space="preserve"> PAGEREF _Toc210050218 \h </w:instrText>
            </w:r>
            <w:r w:rsidR="00B173F8">
              <w:rPr>
                <w:noProof/>
                <w:webHidden/>
              </w:rPr>
            </w:r>
            <w:r w:rsidR="00B173F8">
              <w:rPr>
                <w:noProof/>
                <w:webHidden/>
              </w:rPr>
              <w:fldChar w:fldCharType="separate"/>
            </w:r>
            <w:r w:rsidR="002226CC">
              <w:rPr>
                <w:noProof/>
                <w:webHidden/>
              </w:rPr>
              <w:t>14</w:t>
            </w:r>
            <w:r w:rsidR="00B173F8">
              <w:rPr>
                <w:noProof/>
                <w:webHidden/>
              </w:rPr>
              <w:fldChar w:fldCharType="end"/>
            </w:r>
          </w:hyperlink>
        </w:p>
        <w:p w14:paraId="71EFB79C" w14:textId="66A18CE7" w:rsidR="00B173F8" w:rsidRDefault="00631FA8">
          <w:pPr>
            <w:pStyle w:val="TOC2"/>
            <w:tabs>
              <w:tab w:val="left" w:pos="960"/>
              <w:tab w:val="right" w:leader="dot" w:pos="9016"/>
            </w:tabs>
            <w:rPr>
              <w:noProof/>
              <w:kern w:val="2"/>
              <w:sz w:val="24"/>
              <w:szCs w:val="24"/>
              <w:lang w:eastAsia="en-AU"/>
              <w14:ligatures w14:val="standardContextual"/>
            </w:rPr>
          </w:pPr>
          <w:hyperlink w:anchor="_Toc210050219" w:history="1">
            <w:r w:rsidR="00B173F8" w:rsidRPr="00993F27">
              <w:rPr>
                <w:rStyle w:val="Hyperlink"/>
                <w:noProof/>
              </w:rPr>
              <w:t>1.4</w:t>
            </w:r>
            <w:r w:rsidR="00B173F8">
              <w:rPr>
                <w:noProof/>
                <w:kern w:val="2"/>
                <w:sz w:val="24"/>
                <w:szCs w:val="24"/>
                <w:lang w:eastAsia="en-AU"/>
                <w14:ligatures w14:val="standardContextual"/>
              </w:rPr>
              <w:tab/>
            </w:r>
            <w:r w:rsidR="00B173F8" w:rsidRPr="00993F27">
              <w:rPr>
                <w:rStyle w:val="Hyperlink"/>
                <w:noProof/>
              </w:rPr>
              <w:t>Problem 2: GBV has detrimental effects on student and staff health, wellbeing, educational attainment and career progression</w:t>
            </w:r>
            <w:r w:rsidR="00B173F8">
              <w:rPr>
                <w:noProof/>
                <w:webHidden/>
              </w:rPr>
              <w:tab/>
            </w:r>
            <w:r w:rsidR="00B173F8">
              <w:rPr>
                <w:noProof/>
                <w:webHidden/>
              </w:rPr>
              <w:fldChar w:fldCharType="begin"/>
            </w:r>
            <w:r w:rsidR="00B173F8">
              <w:rPr>
                <w:noProof/>
                <w:webHidden/>
              </w:rPr>
              <w:instrText xml:space="preserve"> PAGEREF _Toc210050219 \h </w:instrText>
            </w:r>
            <w:r w:rsidR="00B173F8">
              <w:rPr>
                <w:noProof/>
                <w:webHidden/>
              </w:rPr>
            </w:r>
            <w:r w:rsidR="00B173F8">
              <w:rPr>
                <w:noProof/>
                <w:webHidden/>
              </w:rPr>
              <w:fldChar w:fldCharType="separate"/>
            </w:r>
            <w:r w:rsidR="002226CC">
              <w:rPr>
                <w:noProof/>
                <w:webHidden/>
              </w:rPr>
              <w:t>19</w:t>
            </w:r>
            <w:r w:rsidR="00B173F8">
              <w:rPr>
                <w:noProof/>
                <w:webHidden/>
              </w:rPr>
              <w:fldChar w:fldCharType="end"/>
            </w:r>
          </w:hyperlink>
        </w:p>
        <w:p w14:paraId="1463C600" w14:textId="58C5B74A" w:rsidR="00B173F8" w:rsidRDefault="00631FA8">
          <w:pPr>
            <w:pStyle w:val="TOC2"/>
            <w:tabs>
              <w:tab w:val="left" w:pos="960"/>
              <w:tab w:val="right" w:leader="dot" w:pos="9016"/>
            </w:tabs>
            <w:rPr>
              <w:noProof/>
              <w:kern w:val="2"/>
              <w:sz w:val="24"/>
              <w:szCs w:val="24"/>
              <w:lang w:eastAsia="en-AU"/>
              <w14:ligatures w14:val="standardContextual"/>
            </w:rPr>
          </w:pPr>
          <w:hyperlink w:anchor="_Toc210050220" w:history="1">
            <w:r w:rsidR="00B173F8" w:rsidRPr="00993F27">
              <w:rPr>
                <w:rStyle w:val="Hyperlink"/>
                <w:noProof/>
              </w:rPr>
              <w:t>1.5</w:t>
            </w:r>
            <w:r w:rsidR="00B173F8">
              <w:rPr>
                <w:noProof/>
                <w:kern w:val="2"/>
                <w:sz w:val="24"/>
                <w:szCs w:val="24"/>
                <w:lang w:eastAsia="en-AU"/>
                <w14:ligatures w14:val="standardContextual"/>
              </w:rPr>
              <w:tab/>
            </w:r>
            <w:r w:rsidR="00B173F8" w:rsidRPr="00993F27">
              <w:rPr>
                <w:rStyle w:val="Hyperlink"/>
                <w:noProof/>
              </w:rPr>
              <w:t>Problem 3: GBV in higher education disproportionately impacts women and girls experiencing intersecting forms of inequalities and discrimination</w:t>
            </w:r>
            <w:r w:rsidR="00B173F8">
              <w:rPr>
                <w:noProof/>
                <w:webHidden/>
              </w:rPr>
              <w:tab/>
            </w:r>
            <w:r w:rsidR="00B173F8">
              <w:rPr>
                <w:noProof/>
                <w:webHidden/>
              </w:rPr>
              <w:fldChar w:fldCharType="begin"/>
            </w:r>
            <w:r w:rsidR="00B173F8">
              <w:rPr>
                <w:noProof/>
                <w:webHidden/>
              </w:rPr>
              <w:instrText xml:space="preserve"> PAGEREF _Toc210050220 \h </w:instrText>
            </w:r>
            <w:r w:rsidR="00B173F8">
              <w:rPr>
                <w:noProof/>
                <w:webHidden/>
              </w:rPr>
            </w:r>
            <w:r w:rsidR="00B173F8">
              <w:rPr>
                <w:noProof/>
                <w:webHidden/>
              </w:rPr>
              <w:fldChar w:fldCharType="separate"/>
            </w:r>
            <w:r w:rsidR="002226CC">
              <w:rPr>
                <w:noProof/>
                <w:webHidden/>
              </w:rPr>
              <w:t>21</w:t>
            </w:r>
            <w:r w:rsidR="00B173F8">
              <w:rPr>
                <w:noProof/>
                <w:webHidden/>
              </w:rPr>
              <w:fldChar w:fldCharType="end"/>
            </w:r>
          </w:hyperlink>
        </w:p>
        <w:p w14:paraId="52AF97E2" w14:textId="34510FB3" w:rsidR="00B173F8" w:rsidRDefault="00631FA8">
          <w:pPr>
            <w:pStyle w:val="TOC2"/>
            <w:tabs>
              <w:tab w:val="left" w:pos="960"/>
              <w:tab w:val="right" w:leader="dot" w:pos="9016"/>
            </w:tabs>
            <w:rPr>
              <w:noProof/>
              <w:kern w:val="2"/>
              <w:sz w:val="24"/>
              <w:szCs w:val="24"/>
              <w:lang w:eastAsia="en-AU"/>
              <w14:ligatures w14:val="standardContextual"/>
            </w:rPr>
          </w:pPr>
          <w:hyperlink w:anchor="_Toc210050221" w:history="1">
            <w:r w:rsidR="00B173F8" w:rsidRPr="00993F27">
              <w:rPr>
                <w:rStyle w:val="Hyperlink"/>
                <w:noProof/>
              </w:rPr>
              <w:t>1.6</w:t>
            </w:r>
            <w:r w:rsidR="00B173F8">
              <w:rPr>
                <w:noProof/>
                <w:kern w:val="2"/>
                <w:sz w:val="24"/>
                <w:szCs w:val="24"/>
                <w:lang w:eastAsia="en-AU"/>
                <w14:ligatures w14:val="standardContextual"/>
              </w:rPr>
              <w:tab/>
            </w:r>
            <w:r w:rsidR="00B173F8" w:rsidRPr="00993F27">
              <w:rPr>
                <w:rStyle w:val="Hyperlink"/>
                <w:noProof/>
              </w:rPr>
              <w:t>Problem 4: previous measures to address GBV in higher education have been stalled, fragmented, reactive and under resourced failing to drive lasting change</w:t>
            </w:r>
            <w:r w:rsidR="00B173F8">
              <w:rPr>
                <w:noProof/>
                <w:webHidden/>
              </w:rPr>
              <w:tab/>
            </w:r>
            <w:r w:rsidR="00B173F8">
              <w:rPr>
                <w:noProof/>
                <w:webHidden/>
              </w:rPr>
              <w:fldChar w:fldCharType="begin"/>
            </w:r>
            <w:r w:rsidR="00B173F8">
              <w:rPr>
                <w:noProof/>
                <w:webHidden/>
              </w:rPr>
              <w:instrText xml:space="preserve"> PAGEREF _Toc210050221 \h </w:instrText>
            </w:r>
            <w:r w:rsidR="00B173F8">
              <w:rPr>
                <w:noProof/>
                <w:webHidden/>
              </w:rPr>
            </w:r>
            <w:r w:rsidR="00B173F8">
              <w:rPr>
                <w:noProof/>
                <w:webHidden/>
              </w:rPr>
              <w:fldChar w:fldCharType="separate"/>
            </w:r>
            <w:r w:rsidR="002226CC">
              <w:rPr>
                <w:noProof/>
                <w:webHidden/>
              </w:rPr>
              <w:t>27</w:t>
            </w:r>
            <w:r w:rsidR="00B173F8">
              <w:rPr>
                <w:noProof/>
                <w:webHidden/>
              </w:rPr>
              <w:fldChar w:fldCharType="end"/>
            </w:r>
          </w:hyperlink>
        </w:p>
        <w:p w14:paraId="3562A78C" w14:textId="77D1C516" w:rsidR="00B173F8" w:rsidRDefault="00631FA8">
          <w:pPr>
            <w:pStyle w:val="TOC2"/>
            <w:tabs>
              <w:tab w:val="left" w:pos="960"/>
              <w:tab w:val="right" w:leader="dot" w:pos="9016"/>
            </w:tabs>
            <w:rPr>
              <w:noProof/>
              <w:kern w:val="2"/>
              <w:sz w:val="24"/>
              <w:szCs w:val="24"/>
              <w:lang w:eastAsia="en-AU"/>
              <w14:ligatures w14:val="standardContextual"/>
            </w:rPr>
          </w:pPr>
          <w:hyperlink w:anchor="_Toc210050222" w:history="1">
            <w:r w:rsidR="00B173F8" w:rsidRPr="00993F27">
              <w:rPr>
                <w:rStyle w:val="Hyperlink"/>
                <w:noProof/>
              </w:rPr>
              <w:t>1.7</w:t>
            </w:r>
            <w:r w:rsidR="00B173F8">
              <w:rPr>
                <w:noProof/>
                <w:kern w:val="2"/>
                <w:sz w:val="24"/>
                <w:szCs w:val="24"/>
                <w:lang w:eastAsia="en-AU"/>
                <w14:ligatures w14:val="standardContextual"/>
              </w:rPr>
              <w:tab/>
            </w:r>
            <w:r w:rsidR="00B173F8" w:rsidRPr="00993F27">
              <w:rPr>
                <w:rStyle w:val="Hyperlink"/>
                <w:noProof/>
              </w:rPr>
              <w:t>Problem 5: Insufficient data availability hinders comprehensive understanding of GBV in higher education and limits the ability to hold service providers accountable</w:t>
            </w:r>
            <w:r w:rsidR="00B173F8">
              <w:rPr>
                <w:noProof/>
                <w:webHidden/>
              </w:rPr>
              <w:tab/>
            </w:r>
            <w:r w:rsidR="00B173F8">
              <w:rPr>
                <w:noProof/>
                <w:webHidden/>
              </w:rPr>
              <w:fldChar w:fldCharType="begin"/>
            </w:r>
            <w:r w:rsidR="00B173F8">
              <w:rPr>
                <w:noProof/>
                <w:webHidden/>
              </w:rPr>
              <w:instrText xml:space="preserve"> PAGEREF _Toc210050222 \h </w:instrText>
            </w:r>
            <w:r w:rsidR="00B173F8">
              <w:rPr>
                <w:noProof/>
                <w:webHidden/>
              </w:rPr>
            </w:r>
            <w:r w:rsidR="00B173F8">
              <w:rPr>
                <w:noProof/>
                <w:webHidden/>
              </w:rPr>
              <w:fldChar w:fldCharType="separate"/>
            </w:r>
            <w:r w:rsidR="002226CC">
              <w:rPr>
                <w:noProof/>
                <w:webHidden/>
              </w:rPr>
              <w:t>33</w:t>
            </w:r>
            <w:r w:rsidR="00B173F8">
              <w:rPr>
                <w:noProof/>
                <w:webHidden/>
              </w:rPr>
              <w:fldChar w:fldCharType="end"/>
            </w:r>
          </w:hyperlink>
        </w:p>
        <w:p w14:paraId="24C275A9" w14:textId="4710C8A2" w:rsidR="00B173F8" w:rsidRDefault="00631FA8">
          <w:pPr>
            <w:pStyle w:val="TOC2"/>
            <w:tabs>
              <w:tab w:val="left" w:pos="960"/>
              <w:tab w:val="right" w:leader="dot" w:pos="9016"/>
            </w:tabs>
            <w:rPr>
              <w:noProof/>
              <w:kern w:val="2"/>
              <w:sz w:val="24"/>
              <w:szCs w:val="24"/>
              <w:lang w:eastAsia="en-AU"/>
              <w14:ligatures w14:val="standardContextual"/>
            </w:rPr>
          </w:pPr>
          <w:hyperlink w:anchor="_Toc210050223" w:history="1">
            <w:r w:rsidR="00B173F8" w:rsidRPr="00993F27">
              <w:rPr>
                <w:rStyle w:val="Hyperlink"/>
                <w:noProof/>
              </w:rPr>
              <w:t>1.8</w:t>
            </w:r>
            <w:r w:rsidR="00B173F8">
              <w:rPr>
                <w:noProof/>
                <w:kern w:val="2"/>
                <w:sz w:val="24"/>
                <w:szCs w:val="24"/>
                <w:lang w:eastAsia="en-AU"/>
                <w14:ligatures w14:val="standardContextual"/>
              </w:rPr>
              <w:tab/>
            </w:r>
            <w:r w:rsidR="00B173F8" w:rsidRPr="00993F27">
              <w:rPr>
                <w:rStyle w:val="Hyperlink"/>
                <w:noProof/>
              </w:rPr>
              <w:t>Problem 6: The current regulatory framework is limited, posing an ongoing risk to student and staff safety</w:t>
            </w:r>
            <w:r w:rsidR="00B173F8">
              <w:rPr>
                <w:noProof/>
                <w:webHidden/>
              </w:rPr>
              <w:tab/>
            </w:r>
            <w:r w:rsidR="00B173F8">
              <w:rPr>
                <w:noProof/>
                <w:webHidden/>
              </w:rPr>
              <w:fldChar w:fldCharType="begin"/>
            </w:r>
            <w:r w:rsidR="00B173F8">
              <w:rPr>
                <w:noProof/>
                <w:webHidden/>
              </w:rPr>
              <w:instrText xml:space="preserve"> PAGEREF _Toc210050223 \h </w:instrText>
            </w:r>
            <w:r w:rsidR="00B173F8">
              <w:rPr>
                <w:noProof/>
                <w:webHidden/>
              </w:rPr>
            </w:r>
            <w:r w:rsidR="00B173F8">
              <w:rPr>
                <w:noProof/>
                <w:webHidden/>
              </w:rPr>
              <w:fldChar w:fldCharType="separate"/>
            </w:r>
            <w:r w:rsidR="002226CC">
              <w:rPr>
                <w:noProof/>
                <w:webHidden/>
              </w:rPr>
              <w:t>34</w:t>
            </w:r>
            <w:r w:rsidR="00B173F8">
              <w:rPr>
                <w:noProof/>
                <w:webHidden/>
              </w:rPr>
              <w:fldChar w:fldCharType="end"/>
            </w:r>
          </w:hyperlink>
        </w:p>
        <w:p w14:paraId="53289907" w14:textId="643B88D2" w:rsidR="00B173F8" w:rsidRDefault="00631FA8">
          <w:pPr>
            <w:pStyle w:val="TOC1"/>
            <w:tabs>
              <w:tab w:val="left" w:pos="440"/>
              <w:tab w:val="right" w:leader="dot" w:pos="9016"/>
            </w:tabs>
            <w:rPr>
              <w:noProof/>
              <w:kern w:val="2"/>
              <w:sz w:val="24"/>
              <w:szCs w:val="24"/>
              <w:lang w:eastAsia="en-AU"/>
              <w14:ligatures w14:val="standardContextual"/>
            </w:rPr>
          </w:pPr>
          <w:hyperlink w:anchor="_Toc210050224" w:history="1">
            <w:r w:rsidR="00B173F8" w:rsidRPr="00993F27">
              <w:rPr>
                <w:rStyle w:val="Hyperlink"/>
                <w:b/>
                <w:bCs/>
                <w:noProof/>
              </w:rPr>
              <w:t>2</w:t>
            </w:r>
            <w:r w:rsidR="00B173F8">
              <w:rPr>
                <w:noProof/>
                <w:kern w:val="2"/>
                <w:sz w:val="24"/>
                <w:szCs w:val="24"/>
                <w:lang w:eastAsia="en-AU"/>
                <w14:ligatures w14:val="standardContextual"/>
              </w:rPr>
              <w:tab/>
            </w:r>
            <w:r w:rsidR="00B173F8" w:rsidRPr="00993F27">
              <w:rPr>
                <w:rStyle w:val="Hyperlink"/>
                <w:b/>
                <w:bCs/>
                <w:noProof/>
              </w:rPr>
              <w:t>Chapter 2: What are the objectives, why is government intervention needed to achieve them, and how will success be measured?</w:t>
            </w:r>
            <w:r w:rsidR="00B173F8">
              <w:rPr>
                <w:noProof/>
                <w:webHidden/>
              </w:rPr>
              <w:tab/>
            </w:r>
            <w:r w:rsidR="00B173F8">
              <w:rPr>
                <w:noProof/>
                <w:webHidden/>
              </w:rPr>
              <w:fldChar w:fldCharType="begin"/>
            </w:r>
            <w:r w:rsidR="00B173F8">
              <w:rPr>
                <w:noProof/>
                <w:webHidden/>
              </w:rPr>
              <w:instrText xml:space="preserve"> PAGEREF _Toc210050224 \h </w:instrText>
            </w:r>
            <w:r w:rsidR="00B173F8">
              <w:rPr>
                <w:noProof/>
                <w:webHidden/>
              </w:rPr>
            </w:r>
            <w:r w:rsidR="00B173F8">
              <w:rPr>
                <w:noProof/>
                <w:webHidden/>
              </w:rPr>
              <w:fldChar w:fldCharType="separate"/>
            </w:r>
            <w:r w:rsidR="002226CC">
              <w:rPr>
                <w:noProof/>
                <w:webHidden/>
              </w:rPr>
              <w:t>38</w:t>
            </w:r>
            <w:r w:rsidR="00B173F8">
              <w:rPr>
                <w:noProof/>
                <w:webHidden/>
              </w:rPr>
              <w:fldChar w:fldCharType="end"/>
            </w:r>
          </w:hyperlink>
        </w:p>
        <w:p w14:paraId="57838A11" w14:textId="30DB835B" w:rsidR="00B173F8" w:rsidRDefault="00631FA8">
          <w:pPr>
            <w:pStyle w:val="TOC2"/>
            <w:tabs>
              <w:tab w:val="left" w:pos="960"/>
              <w:tab w:val="right" w:leader="dot" w:pos="9016"/>
            </w:tabs>
            <w:rPr>
              <w:noProof/>
              <w:kern w:val="2"/>
              <w:sz w:val="24"/>
              <w:szCs w:val="24"/>
              <w:lang w:eastAsia="en-AU"/>
              <w14:ligatures w14:val="standardContextual"/>
            </w:rPr>
          </w:pPr>
          <w:hyperlink w:anchor="_Toc210050225" w:history="1">
            <w:r w:rsidR="00B173F8" w:rsidRPr="00993F27">
              <w:rPr>
                <w:rStyle w:val="Hyperlink"/>
                <w:noProof/>
              </w:rPr>
              <w:t>2.1</w:t>
            </w:r>
            <w:r w:rsidR="00B173F8">
              <w:rPr>
                <w:noProof/>
                <w:kern w:val="2"/>
                <w:sz w:val="24"/>
                <w:szCs w:val="24"/>
                <w:lang w:eastAsia="en-AU"/>
                <w14:ligatures w14:val="standardContextual"/>
              </w:rPr>
              <w:tab/>
            </w:r>
            <w:r w:rsidR="00B173F8" w:rsidRPr="00993F27">
              <w:rPr>
                <w:rStyle w:val="Hyperlink"/>
                <w:noProof/>
              </w:rPr>
              <w:t>Voluntary measures are not enough to address GBV in higher education</w:t>
            </w:r>
            <w:r w:rsidR="00B173F8">
              <w:rPr>
                <w:noProof/>
                <w:webHidden/>
              </w:rPr>
              <w:tab/>
            </w:r>
            <w:r w:rsidR="00B173F8">
              <w:rPr>
                <w:noProof/>
                <w:webHidden/>
              </w:rPr>
              <w:fldChar w:fldCharType="begin"/>
            </w:r>
            <w:r w:rsidR="00B173F8">
              <w:rPr>
                <w:noProof/>
                <w:webHidden/>
              </w:rPr>
              <w:instrText xml:space="preserve"> PAGEREF _Toc210050225 \h </w:instrText>
            </w:r>
            <w:r w:rsidR="00B173F8">
              <w:rPr>
                <w:noProof/>
                <w:webHidden/>
              </w:rPr>
            </w:r>
            <w:r w:rsidR="00B173F8">
              <w:rPr>
                <w:noProof/>
                <w:webHidden/>
              </w:rPr>
              <w:fldChar w:fldCharType="separate"/>
            </w:r>
            <w:r w:rsidR="002226CC">
              <w:rPr>
                <w:noProof/>
                <w:webHidden/>
              </w:rPr>
              <w:t>38</w:t>
            </w:r>
            <w:r w:rsidR="00B173F8">
              <w:rPr>
                <w:noProof/>
                <w:webHidden/>
              </w:rPr>
              <w:fldChar w:fldCharType="end"/>
            </w:r>
          </w:hyperlink>
        </w:p>
        <w:p w14:paraId="6C5496EC" w14:textId="06AF8520" w:rsidR="00B173F8" w:rsidRDefault="00631FA8">
          <w:pPr>
            <w:pStyle w:val="TOC2"/>
            <w:tabs>
              <w:tab w:val="left" w:pos="960"/>
              <w:tab w:val="right" w:leader="dot" w:pos="9016"/>
            </w:tabs>
            <w:rPr>
              <w:noProof/>
              <w:kern w:val="2"/>
              <w:sz w:val="24"/>
              <w:szCs w:val="24"/>
              <w:lang w:eastAsia="en-AU"/>
              <w14:ligatures w14:val="standardContextual"/>
            </w:rPr>
          </w:pPr>
          <w:hyperlink w:anchor="_Toc210050226" w:history="1">
            <w:r w:rsidR="00B173F8" w:rsidRPr="00993F27">
              <w:rPr>
                <w:rStyle w:val="Hyperlink"/>
                <w:noProof/>
              </w:rPr>
              <w:t>2.2</w:t>
            </w:r>
            <w:r w:rsidR="00B173F8">
              <w:rPr>
                <w:noProof/>
                <w:kern w:val="2"/>
                <w:sz w:val="24"/>
                <w:szCs w:val="24"/>
                <w:lang w:eastAsia="en-AU"/>
                <w14:ligatures w14:val="standardContextual"/>
              </w:rPr>
              <w:tab/>
            </w:r>
            <w:r w:rsidR="00B173F8" w:rsidRPr="00993F27">
              <w:rPr>
                <w:rStyle w:val="Hyperlink"/>
                <w:noProof/>
              </w:rPr>
              <w:t>The government has an obligation to intervene</w:t>
            </w:r>
            <w:r w:rsidR="00B173F8">
              <w:rPr>
                <w:noProof/>
                <w:webHidden/>
              </w:rPr>
              <w:tab/>
            </w:r>
            <w:r w:rsidR="00B173F8">
              <w:rPr>
                <w:noProof/>
                <w:webHidden/>
              </w:rPr>
              <w:fldChar w:fldCharType="begin"/>
            </w:r>
            <w:r w:rsidR="00B173F8">
              <w:rPr>
                <w:noProof/>
                <w:webHidden/>
              </w:rPr>
              <w:instrText xml:space="preserve"> PAGEREF _Toc210050226 \h </w:instrText>
            </w:r>
            <w:r w:rsidR="00B173F8">
              <w:rPr>
                <w:noProof/>
                <w:webHidden/>
              </w:rPr>
            </w:r>
            <w:r w:rsidR="00B173F8">
              <w:rPr>
                <w:noProof/>
                <w:webHidden/>
              </w:rPr>
              <w:fldChar w:fldCharType="separate"/>
            </w:r>
            <w:r w:rsidR="002226CC">
              <w:rPr>
                <w:noProof/>
                <w:webHidden/>
              </w:rPr>
              <w:t>39</w:t>
            </w:r>
            <w:r w:rsidR="00B173F8">
              <w:rPr>
                <w:noProof/>
                <w:webHidden/>
              </w:rPr>
              <w:fldChar w:fldCharType="end"/>
            </w:r>
          </w:hyperlink>
        </w:p>
        <w:p w14:paraId="042ED965" w14:textId="18D90C09" w:rsidR="00B173F8" w:rsidRDefault="00631FA8">
          <w:pPr>
            <w:pStyle w:val="TOC2"/>
            <w:tabs>
              <w:tab w:val="left" w:pos="960"/>
              <w:tab w:val="right" w:leader="dot" w:pos="9016"/>
            </w:tabs>
            <w:rPr>
              <w:noProof/>
              <w:kern w:val="2"/>
              <w:sz w:val="24"/>
              <w:szCs w:val="24"/>
              <w:lang w:eastAsia="en-AU"/>
              <w14:ligatures w14:val="standardContextual"/>
            </w:rPr>
          </w:pPr>
          <w:hyperlink w:anchor="_Toc210050227" w:history="1">
            <w:r w:rsidR="00B173F8" w:rsidRPr="00993F27">
              <w:rPr>
                <w:rStyle w:val="Hyperlink"/>
                <w:noProof/>
              </w:rPr>
              <w:t>2.3</w:t>
            </w:r>
            <w:r w:rsidR="00B173F8">
              <w:rPr>
                <w:noProof/>
                <w:kern w:val="2"/>
                <w:sz w:val="24"/>
                <w:szCs w:val="24"/>
                <w:lang w:eastAsia="en-AU"/>
                <w14:ligatures w14:val="standardContextual"/>
              </w:rPr>
              <w:tab/>
            </w:r>
            <w:r w:rsidR="00B173F8" w:rsidRPr="00993F27">
              <w:rPr>
                <w:rStyle w:val="Hyperlink"/>
                <w:noProof/>
              </w:rPr>
              <w:t>Government intervention has addressed gender-based violence in other sectors</w:t>
            </w:r>
            <w:r w:rsidR="00B173F8">
              <w:rPr>
                <w:noProof/>
                <w:webHidden/>
              </w:rPr>
              <w:tab/>
            </w:r>
            <w:r w:rsidR="00700C58">
              <w:rPr>
                <w:noProof/>
                <w:webHidden/>
              </w:rPr>
              <w:t xml:space="preserve"> </w:t>
            </w:r>
            <w:r w:rsidR="00B173F8">
              <w:rPr>
                <w:noProof/>
                <w:webHidden/>
              </w:rPr>
              <w:fldChar w:fldCharType="begin"/>
            </w:r>
            <w:r w:rsidR="00B173F8">
              <w:rPr>
                <w:noProof/>
                <w:webHidden/>
              </w:rPr>
              <w:instrText xml:space="preserve"> PAGEREF _Toc210050227 \h </w:instrText>
            </w:r>
            <w:r w:rsidR="00B173F8">
              <w:rPr>
                <w:noProof/>
                <w:webHidden/>
              </w:rPr>
            </w:r>
            <w:r w:rsidR="00B173F8">
              <w:rPr>
                <w:noProof/>
                <w:webHidden/>
              </w:rPr>
              <w:fldChar w:fldCharType="separate"/>
            </w:r>
            <w:r w:rsidR="002226CC">
              <w:rPr>
                <w:noProof/>
                <w:webHidden/>
              </w:rPr>
              <w:t>40</w:t>
            </w:r>
            <w:r w:rsidR="00B173F8">
              <w:rPr>
                <w:noProof/>
                <w:webHidden/>
              </w:rPr>
              <w:fldChar w:fldCharType="end"/>
            </w:r>
          </w:hyperlink>
        </w:p>
        <w:p w14:paraId="14569C56" w14:textId="39B9B467" w:rsidR="00B173F8" w:rsidRDefault="00631FA8">
          <w:pPr>
            <w:pStyle w:val="TOC2"/>
            <w:tabs>
              <w:tab w:val="left" w:pos="960"/>
              <w:tab w:val="right" w:leader="dot" w:pos="9016"/>
            </w:tabs>
            <w:rPr>
              <w:noProof/>
              <w:kern w:val="2"/>
              <w:sz w:val="24"/>
              <w:szCs w:val="24"/>
              <w:lang w:eastAsia="en-AU"/>
              <w14:ligatures w14:val="standardContextual"/>
            </w:rPr>
          </w:pPr>
          <w:hyperlink w:anchor="_Toc210050228" w:history="1">
            <w:r w:rsidR="00B173F8" w:rsidRPr="00993F27">
              <w:rPr>
                <w:rStyle w:val="Hyperlink"/>
                <w:noProof/>
              </w:rPr>
              <w:t>2.4</w:t>
            </w:r>
            <w:r w:rsidR="00B173F8">
              <w:rPr>
                <w:noProof/>
                <w:kern w:val="2"/>
                <w:sz w:val="24"/>
                <w:szCs w:val="24"/>
                <w:lang w:eastAsia="en-AU"/>
                <w14:ligatures w14:val="standardContextual"/>
              </w:rPr>
              <w:tab/>
            </w:r>
            <w:r w:rsidR="00B173F8" w:rsidRPr="00993F27">
              <w:rPr>
                <w:rStyle w:val="Hyperlink"/>
                <w:noProof/>
              </w:rPr>
              <w:t>International comparators in higher education</w:t>
            </w:r>
            <w:r w:rsidR="00B173F8">
              <w:rPr>
                <w:noProof/>
                <w:webHidden/>
              </w:rPr>
              <w:tab/>
            </w:r>
            <w:r w:rsidR="00B173F8">
              <w:rPr>
                <w:noProof/>
                <w:webHidden/>
              </w:rPr>
              <w:fldChar w:fldCharType="begin"/>
            </w:r>
            <w:r w:rsidR="00B173F8">
              <w:rPr>
                <w:noProof/>
                <w:webHidden/>
              </w:rPr>
              <w:instrText xml:space="preserve"> PAGEREF _Toc210050228 \h </w:instrText>
            </w:r>
            <w:r w:rsidR="00B173F8">
              <w:rPr>
                <w:noProof/>
                <w:webHidden/>
              </w:rPr>
            </w:r>
            <w:r w:rsidR="00B173F8">
              <w:rPr>
                <w:noProof/>
                <w:webHidden/>
              </w:rPr>
              <w:fldChar w:fldCharType="separate"/>
            </w:r>
            <w:r w:rsidR="002226CC">
              <w:rPr>
                <w:noProof/>
                <w:webHidden/>
              </w:rPr>
              <w:t>42</w:t>
            </w:r>
            <w:r w:rsidR="00B173F8">
              <w:rPr>
                <w:noProof/>
                <w:webHidden/>
              </w:rPr>
              <w:fldChar w:fldCharType="end"/>
            </w:r>
          </w:hyperlink>
        </w:p>
        <w:p w14:paraId="59B83BE6" w14:textId="6097C6A1" w:rsidR="00B173F8" w:rsidRDefault="00631FA8">
          <w:pPr>
            <w:pStyle w:val="TOC2"/>
            <w:tabs>
              <w:tab w:val="left" w:pos="960"/>
              <w:tab w:val="right" w:leader="dot" w:pos="9016"/>
            </w:tabs>
            <w:rPr>
              <w:noProof/>
              <w:kern w:val="2"/>
              <w:sz w:val="24"/>
              <w:szCs w:val="24"/>
              <w:lang w:eastAsia="en-AU"/>
              <w14:ligatures w14:val="standardContextual"/>
            </w:rPr>
          </w:pPr>
          <w:hyperlink w:anchor="_Toc210050229" w:history="1">
            <w:r w:rsidR="00B173F8" w:rsidRPr="00993F27">
              <w:rPr>
                <w:rStyle w:val="Hyperlink"/>
                <w:noProof/>
              </w:rPr>
              <w:t>2.5</w:t>
            </w:r>
            <w:r w:rsidR="00B173F8">
              <w:rPr>
                <w:noProof/>
                <w:kern w:val="2"/>
                <w:sz w:val="24"/>
                <w:szCs w:val="24"/>
                <w:lang w:eastAsia="en-AU"/>
                <w14:ligatures w14:val="standardContextual"/>
              </w:rPr>
              <w:tab/>
            </w:r>
            <w:r w:rsidR="00B173F8" w:rsidRPr="00993F27">
              <w:rPr>
                <w:rStyle w:val="Hyperlink"/>
                <w:noProof/>
              </w:rPr>
              <w:t>Ending gender-based violence is a national priority</w:t>
            </w:r>
            <w:r w:rsidR="00B173F8">
              <w:rPr>
                <w:noProof/>
                <w:webHidden/>
              </w:rPr>
              <w:tab/>
            </w:r>
            <w:r w:rsidR="00B173F8">
              <w:rPr>
                <w:noProof/>
                <w:webHidden/>
              </w:rPr>
              <w:fldChar w:fldCharType="begin"/>
            </w:r>
            <w:r w:rsidR="00B173F8">
              <w:rPr>
                <w:noProof/>
                <w:webHidden/>
              </w:rPr>
              <w:instrText xml:space="preserve"> PAGEREF _Toc210050229 \h </w:instrText>
            </w:r>
            <w:r w:rsidR="00B173F8">
              <w:rPr>
                <w:noProof/>
                <w:webHidden/>
              </w:rPr>
            </w:r>
            <w:r w:rsidR="00B173F8">
              <w:rPr>
                <w:noProof/>
                <w:webHidden/>
              </w:rPr>
              <w:fldChar w:fldCharType="separate"/>
            </w:r>
            <w:r w:rsidR="002226CC">
              <w:rPr>
                <w:noProof/>
                <w:webHidden/>
              </w:rPr>
              <w:t>43</w:t>
            </w:r>
            <w:r w:rsidR="00B173F8">
              <w:rPr>
                <w:noProof/>
                <w:webHidden/>
              </w:rPr>
              <w:fldChar w:fldCharType="end"/>
            </w:r>
          </w:hyperlink>
        </w:p>
        <w:p w14:paraId="0BDECA4A" w14:textId="14DF9A77" w:rsidR="00B173F8" w:rsidRDefault="00631FA8">
          <w:pPr>
            <w:pStyle w:val="TOC2"/>
            <w:tabs>
              <w:tab w:val="left" w:pos="960"/>
              <w:tab w:val="right" w:leader="dot" w:pos="9016"/>
            </w:tabs>
            <w:rPr>
              <w:noProof/>
              <w:kern w:val="2"/>
              <w:sz w:val="24"/>
              <w:szCs w:val="24"/>
              <w:lang w:eastAsia="en-AU"/>
              <w14:ligatures w14:val="standardContextual"/>
            </w:rPr>
          </w:pPr>
          <w:hyperlink w:anchor="_Toc210050230" w:history="1">
            <w:r w:rsidR="00B173F8" w:rsidRPr="00993F27">
              <w:rPr>
                <w:rStyle w:val="Hyperlink"/>
                <w:noProof/>
              </w:rPr>
              <w:t>2.6</w:t>
            </w:r>
            <w:r w:rsidR="00B173F8">
              <w:rPr>
                <w:noProof/>
                <w:kern w:val="2"/>
                <w:sz w:val="24"/>
                <w:szCs w:val="24"/>
                <w:lang w:eastAsia="en-AU"/>
                <w14:ligatures w14:val="standardContextual"/>
              </w:rPr>
              <w:tab/>
            </w:r>
            <w:r w:rsidR="00B173F8" w:rsidRPr="00993F27">
              <w:rPr>
                <w:rStyle w:val="Hyperlink"/>
                <w:noProof/>
              </w:rPr>
              <w:t>Higher Education as a key lever in national efforts</w:t>
            </w:r>
            <w:r w:rsidR="00B173F8">
              <w:rPr>
                <w:noProof/>
                <w:webHidden/>
              </w:rPr>
              <w:tab/>
            </w:r>
            <w:r w:rsidR="00B173F8">
              <w:rPr>
                <w:noProof/>
                <w:webHidden/>
              </w:rPr>
              <w:fldChar w:fldCharType="begin"/>
            </w:r>
            <w:r w:rsidR="00B173F8">
              <w:rPr>
                <w:noProof/>
                <w:webHidden/>
              </w:rPr>
              <w:instrText xml:space="preserve"> PAGEREF _Toc210050230 \h </w:instrText>
            </w:r>
            <w:r w:rsidR="00B173F8">
              <w:rPr>
                <w:noProof/>
                <w:webHidden/>
              </w:rPr>
            </w:r>
            <w:r w:rsidR="00B173F8">
              <w:rPr>
                <w:noProof/>
                <w:webHidden/>
              </w:rPr>
              <w:fldChar w:fldCharType="separate"/>
            </w:r>
            <w:r w:rsidR="002226CC">
              <w:rPr>
                <w:noProof/>
                <w:webHidden/>
              </w:rPr>
              <w:t>44</w:t>
            </w:r>
            <w:r w:rsidR="00B173F8">
              <w:rPr>
                <w:noProof/>
                <w:webHidden/>
              </w:rPr>
              <w:fldChar w:fldCharType="end"/>
            </w:r>
          </w:hyperlink>
        </w:p>
        <w:p w14:paraId="7D03234A" w14:textId="5B5B074E" w:rsidR="00B173F8" w:rsidRDefault="00631FA8">
          <w:pPr>
            <w:pStyle w:val="TOC2"/>
            <w:tabs>
              <w:tab w:val="left" w:pos="960"/>
              <w:tab w:val="right" w:leader="dot" w:pos="9016"/>
            </w:tabs>
            <w:rPr>
              <w:noProof/>
              <w:kern w:val="2"/>
              <w:sz w:val="24"/>
              <w:szCs w:val="24"/>
              <w:lang w:eastAsia="en-AU"/>
              <w14:ligatures w14:val="standardContextual"/>
            </w:rPr>
          </w:pPr>
          <w:hyperlink w:anchor="_Toc210050231" w:history="1">
            <w:r w:rsidR="00B173F8" w:rsidRPr="00993F27">
              <w:rPr>
                <w:rStyle w:val="Hyperlink"/>
                <w:noProof/>
              </w:rPr>
              <w:t>2.7</w:t>
            </w:r>
            <w:r w:rsidR="00B173F8">
              <w:rPr>
                <w:noProof/>
                <w:kern w:val="2"/>
                <w:sz w:val="24"/>
                <w:szCs w:val="24"/>
                <w:lang w:eastAsia="en-AU"/>
                <w14:ligatures w14:val="standardContextual"/>
              </w:rPr>
              <w:tab/>
            </w:r>
            <w:r w:rsidR="00B173F8" w:rsidRPr="00993F27">
              <w:rPr>
                <w:rStyle w:val="Hyperlink"/>
                <w:noProof/>
              </w:rPr>
              <w:t>Commonwealth, state and territory governments have agreed on a way forward</w:t>
            </w:r>
            <w:r w:rsidR="00B173F8">
              <w:rPr>
                <w:noProof/>
                <w:webHidden/>
              </w:rPr>
              <w:tab/>
            </w:r>
            <w:r w:rsidR="00B173F8">
              <w:rPr>
                <w:noProof/>
                <w:webHidden/>
              </w:rPr>
              <w:fldChar w:fldCharType="begin"/>
            </w:r>
            <w:r w:rsidR="00B173F8">
              <w:rPr>
                <w:noProof/>
                <w:webHidden/>
              </w:rPr>
              <w:instrText xml:space="preserve"> PAGEREF _Toc210050231 \h </w:instrText>
            </w:r>
            <w:r w:rsidR="00B173F8">
              <w:rPr>
                <w:noProof/>
                <w:webHidden/>
              </w:rPr>
            </w:r>
            <w:r w:rsidR="00B173F8">
              <w:rPr>
                <w:noProof/>
                <w:webHidden/>
              </w:rPr>
              <w:fldChar w:fldCharType="separate"/>
            </w:r>
            <w:r w:rsidR="002226CC">
              <w:rPr>
                <w:noProof/>
                <w:webHidden/>
              </w:rPr>
              <w:t>45</w:t>
            </w:r>
            <w:r w:rsidR="00B173F8">
              <w:rPr>
                <w:noProof/>
                <w:webHidden/>
              </w:rPr>
              <w:fldChar w:fldCharType="end"/>
            </w:r>
          </w:hyperlink>
        </w:p>
        <w:p w14:paraId="7C6DC6BD" w14:textId="4053A30D" w:rsidR="00B173F8" w:rsidRDefault="00631FA8">
          <w:pPr>
            <w:pStyle w:val="TOC2"/>
            <w:tabs>
              <w:tab w:val="left" w:pos="960"/>
              <w:tab w:val="right" w:leader="dot" w:pos="9016"/>
            </w:tabs>
            <w:rPr>
              <w:noProof/>
              <w:kern w:val="2"/>
              <w:sz w:val="24"/>
              <w:szCs w:val="24"/>
              <w:lang w:eastAsia="en-AU"/>
              <w14:ligatures w14:val="standardContextual"/>
            </w:rPr>
          </w:pPr>
          <w:hyperlink w:anchor="_Toc210050232" w:history="1">
            <w:r w:rsidR="00B173F8" w:rsidRPr="00993F27">
              <w:rPr>
                <w:rStyle w:val="Hyperlink"/>
                <w:noProof/>
              </w:rPr>
              <w:t>2.8</w:t>
            </w:r>
            <w:r w:rsidR="00B173F8">
              <w:rPr>
                <w:noProof/>
                <w:kern w:val="2"/>
                <w:sz w:val="24"/>
                <w:szCs w:val="24"/>
                <w:lang w:eastAsia="en-AU"/>
                <w14:ligatures w14:val="standardContextual"/>
              </w:rPr>
              <w:tab/>
            </w:r>
            <w:r w:rsidR="00B173F8" w:rsidRPr="00993F27">
              <w:rPr>
                <w:rStyle w:val="Hyperlink"/>
                <w:noProof/>
              </w:rPr>
              <w:t>Objectives of government intervention</w:t>
            </w:r>
            <w:r w:rsidR="00B173F8">
              <w:rPr>
                <w:noProof/>
                <w:webHidden/>
              </w:rPr>
              <w:tab/>
            </w:r>
            <w:r w:rsidR="00B173F8">
              <w:rPr>
                <w:noProof/>
                <w:webHidden/>
              </w:rPr>
              <w:fldChar w:fldCharType="begin"/>
            </w:r>
            <w:r w:rsidR="00B173F8">
              <w:rPr>
                <w:noProof/>
                <w:webHidden/>
              </w:rPr>
              <w:instrText xml:space="preserve"> PAGEREF _Toc210050232 \h </w:instrText>
            </w:r>
            <w:r w:rsidR="00B173F8">
              <w:rPr>
                <w:noProof/>
                <w:webHidden/>
              </w:rPr>
            </w:r>
            <w:r w:rsidR="00B173F8">
              <w:rPr>
                <w:noProof/>
                <w:webHidden/>
              </w:rPr>
              <w:fldChar w:fldCharType="separate"/>
            </w:r>
            <w:r w:rsidR="002226CC">
              <w:rPr>
                <w:noProof/>
                <w:webHidden/>
              </w:rPr>
              <w:t>46</w:t>
            </w:r>
            <w:r w:rsidR="00B173F8">
              <w:rPr>
                <w:noProof/>
                <w:webHidden/>
              </w:rPr>
              <w:fldChar w:fldCharType="end"/>
            </w:r>
          </w:hyperlink>
        </w:p>
        <w:p w14:paraId="1A6E406A" w14:textId="0205A362" w:rsidR="00B173F8" w:rsidRDefault="00631FA8">
          <w:pPr>
            <w:pStyle w:val="TOC1"/>
            <w:tabs>
              <w:tab w:val="left" w:pos="440"/>
              <w:tab w:val="right" w:leader="dot" w:pos="9016"/>
            </w:tabs>
            <w:rPr>
              <w:noProof/>
              <w:kern w:val="2"/>
              <w:sz w:val="24"/>
              <w:szCs w:val="24"/>
              <w:lang w:eastAsia="en-AU"/>
              <w14:ligatures w14:val="standardContextual"/>
            </w:rPr>
          </w:pPr>
          <w:hyperlink w:anchor="_Toc210050233" w:history="1">
            <w:r w:rsidR="00B173F8" w:rsidRPr="00993F27">
              <w:rPr>
                <w:rStyle w:val="Hyperlink"/>
                <w:b/>
                <w:bCs/>
                <w:noProof/>
              </w:rPr>
              <w:t>3</w:t>
            </w:r>
            <w:r w:rsidR="00B173F8">
              <w:rPr>
                <w:noProof/>
                <w:kern w:val="2"/>
                <w:sz w:val="24"/>
                <w:szCs w:val="24"/>
                <w:lang w:eastAsia="en-AU"/>
                <w14:ligatures w14:val="standardContextual"/>
              </w:rPr>
              <w:tab/>
            </w:r>
            <w:r w:rsidR="00B173F8" w:rsidRPr="00993F27">
              <w:rPr>
                <w:rStyle w:val="Hyperlink"/>
                <w:b/>
                <w:bCs/>
                <w:noProof/>
              </w:rPr>
              <w:t>Chapter 3: What policy options are you considering?</w:t>
            </w:r>
            <w:r w:rsidR="00B173F8">
              <w:rPr>
                <w:noProof/>
                <w:webHidden/>
              </w:rPr>
              <w:tab/>
            </w:r>
            <w:r w:rsidR="00B173F8">
              <w:rPr>
                <w:noProof/>
                <w:webHidden/>
              </w:rPr>
              <w:fldChar w:fldCharType="begin"/>
            </w:r>
            <w:r w:rsidR="00B173F8">
              <w:rPr>
                <w:noProof/>
                <w:webHidden/>
              </w:rPr>
              <w:instrText xml:space="preserve"> PAGEREF _Toc210050233 \h </w:instrText>
            </w:r>
            <w:r w:rsidR="00B173F8">
              <w:rPr>
                <w:noProof/>
                <w:webHidden/>
              </w:rPr>
            </w:r>
            <w:r w:rsidR="00B173F8">
              <w:rPr>
                <w:noProof/>
                <w:webHidden/>
              </w:rPr>
              <w:fldChar w:fldCharType="separate"/>
            </w:r>
            <w:r w:rsidR="002226CC">
              <w:rPr>
                <w:noProof/>
                <w:webHidden/>
              </w:rPr>
              <w:t>51</w:t>
            </w:r>
            <w:r w:rsidR="00B173F8">
              <w:rPr>
                <w:noProof/>
                <w:webHidden/>
              </w:rPr>
              <w:fldChar w:fldCharType="end"/>
            </w:r>
          </w:hyperlink>
        </w:p>
        <w:p w14:paraId="12A9F0D0" w14:textId="5FDAD590" w:rsidR="00B173F8" w:rsidRDefault="00631FA8">
          <w:pPr>
            <w:pStyle w:val="TOC2"/>
            <w:tabs>
              <w:tab w:val="left" w:pos="960"/>
              <w:tab w:val="right" w:leader="dot" w:pos="9016"/>
            </w:tabs>
            <w:rPr>
              <w:noProof/>
              <w:kern w:val="2"/>
              <w:sz w:val="24"/>
              <w:szCs w:val="24"/>
              <w:lang w:eastAsia="en-AU"/>
              <w14:ligatures w14:val="standardContextual"/>
            </w:rPr>
          </w:pPr>
          <w:hyperlink w:anchor="_Toc210050234" w:history="1">
            <w:r w:rsidR="00B173F8" w:rsidRPr="00993F27">
              <w:rPr>
                <w:rStyle w:val="Hyperlink"/>
                <w:noProof/>
              </w:rPr>
              <w:t>3.1</w:t>
            </w:r>
            <w:r w:rsidR="00B173F8">
              <w:rPr>
                <w:noProof/>
                <w:kern w:val="2"/>
                <w:sz w:val="24"/>
                <w:szCs w:val="24"/>
                <w:lang w:eastAsia="en-AU"/>
                <w14:ligatures w14:val="standardContextual"/>
              </w:rPr>
              <w:tab/>
            </w:r>
            <w:r w:rsidR="00B173F8" w:rsidRPr="00993F27">
              <w:rPr>
                <w:rStyle w:val="Hyperlink"/>
                <w:noProof/>
              </w:rPr>
              <w:t>Context for policy options</w:t>
            </w:r>
            <w:r w:rsidR="00B173F8">
              <w:rPr>
                <w:noProof/>
                <w:webHidden/>
              </w:rPr>
              <w:tab/>
            </w:r>
            <w:r w:rsidR="00B173F8">
              <w:rPr>
                <w:noProof/>
                <w:webHidden/>
              </w:rPr>
              <w:fldChar w:fldCharType="begin"/>
            </w:r>
            <w:r w:rsidR="00B173F8">
              <w:rPr>
                <w:noProof/>
                <w:webHidden/>
              </w:rPr>
              <w:instrText xml:space="preserve"> PAGEREF _Toc210050234 \h </w:instrText>
            </w:r>
            <w:r w:rsidR="00B173F8">
              <w:rPr>
                <w:noProof/>
                <w:webHidden/>
              </w:rPr>
            </w:r>
            <w:r w:rsidR="00B173F8">
              <w:rPr>
                <w:noProof/>
                <w:webHidden/>
              </w:rPr>
              <w:fldChar w:fldCharType="separate"/>
            </w:r>
            <w:r w:rsidR="002226CC">
              <w:rPr>
                <w:noProof/>
                <w:webHidden/>
              </w:rPr>
              <w:t>51</w:t>
            </w:r>
            <w:r w:rsidR="00B173F8">
              <w:rPr>
                <w:noProof/>
                <w:webHidden/>
              </w:rPr>
              <w:fldChar w:fldCharType="end"/>
            </w:r>
          </w:hyperlink>
        </w:p>
        <w:p w14:paraId="1C8807EC" w14:textId="504E3917" w:rsidR="00B173F8" w:rsidRDefault="00631FA8">
          <w:pPr>
            <w:pStyle w:val="TOC2"/>
            <w:tabs>
              <w:tab w:val="left" w:pos="960"/>
              <w:tab w:val="right" w:leader="dot" w:pos="9016"/>
            </w:tabs>
            <w:rPr>
              <w:noProof/>
              <w:kern w:val="2"/>
              <w:sz w:val="24"/>
              <w:szCs w:val="24"/>
              <w:lang w:eastAsia="en-AU"/>
              <w14:ligatures w14:val="standardContextual"/>
            </w:rPr>
          </w:pPr>
          <w:hyperlink w:anchor="_Toc210050235" w:history="1">
            <w:r w:rsidR="00B173F8" w:rsidRPr="00993F27">
              <w:rPr>
                <w:rStyle w:val="Hyperlink"/>
                <w:noProof/>
              </w:rPr>
              <w:t>3.2</w:t>
            </w:r>
            <w:r w:rsidR="00B173F8">
              <w:rPr>
                <w:noProof/>
                <w:kern w:val="2"/>
                <w:sz w:val="24"/>
                <w:szCs w:val="24"/>
                <w:lang w:eastAsia="en-AU"/>
                <w14:ligatures w14:val="standardContextual"/>
              </w:rPr>
              <w:tab/>
            </w:r>
            <w:r w:rsidR="00B173F8" w:rsidRPr="00993F27">
              <w:rPr>
                <w:rStyle w:val="Hyperlink"/>
                <w:noProof/>
              </w:rPr>
              <w:t>Summary of each policy option against policy problems</w:t>
            </w:r>
            <w:r w:rsidR="00B173F8">
              <w:rPr>
                <w:noProof/>
                <w:webHidden/>
              </w:rPr>
              <w:tab/>
            </w:r>
            <w:r w:rsidR="00B173F8">
              <w:rPr>
                <w:noProof/>
                <w:webHidden/>
              </w:rPr>
              <w:fldChar w:fldCharType="begin"/>
            </w:r>
            <w:r w:rsidR="00B173F8">
              <w:rPr>
                <w:noProof/>
                <w:webHidden/>
              </w:rPr>
              <w:instrText xml:space="preserve"> PAGEREF _Toc210050235 \h </w:instrText>
            </w:r>
            <w:r w:rsidR="00B173F8">
              <w:rPr>
                <w:noProof/>
                <w:webHidden/>
              </w:rPr>
            </w:r>
            <w:r w:rsidR="00B173F8">
              <w:rPr>
                <w:noProof/>
                <w:webHidden/>
              </w:rPr>
              <w:fldChar w:fldCharType="separate"/>
            </w:r>
            <w:r w:rsidR="002226CC">
              <w:rPr>
                <w:noProof/>
                <w:webHidden/>
              </w:rPr>
              <w:t>52</w:t>
            </w:r>
            <w:r w:rsidR="00B173F8">
              <w:rPr>
                <w:noProof/>
                <w:webHidden/>
              </w:rPr>
              <w:fldChar w:fldCharType="end"/>
            </w:r>
          </w:hyperlink>
        </w:p>
        <w:p w14:paraId="29A4B098" w14:textId="2F0CD53E" w:rsidR="00B173F8" w:rsidRDefault="00631FA8">
          <w:pPr>
            <w:pStyle w:val="TOC2"/>
            <w:tabs>
              <w:tab w:val="left" w:pos="960"/>
              <w:tab w:val="right" w:leader="dot" w:pos="9016"/>
            </w:tabs>
            <w:rPr>
              <w:noProof/>
              <w:kern w:val="2"/>
              <w:sz w:val="24"/>
              <w:szCs w:val="24"/>
              <w:lang w:eastAsia="en-AU"/>
              <w14:ligatures w14:val="standardContextual"/>
            </w:rPr>
          </w:pPr>
          <w:hyperlink w:anchor="_Toc210050236" w:history="1">
            <w:r w:rsidR="00B173F8" w:rsidRPr="00993F27">
              <w:rPr>
                <w:rStyle w:val="Hyperlink"/>
                <w:noProof/>
              </w:rPr>
              <w:t>3.3</w:t>
            </w:r>
            <w:r w:rsidR="00B173F8">
              <w:rPr>
                <w:noProof/>
                <w:kern w:val="2"/>
                <w:sz w:val="24"/>
                <w:szCs w:val="24"/>
                <w:lang w:eastAsia="en-AU"/>
                <w14:ligatures w14:val="standardContextual"/>
              </w:rPr>
              <w:tab/>
            </w:r>
            <w:r w:rsidR="00B173F8" w:rsidRPr="00993F27">
              <w:rPr>
                <w:rStyle w:val="Hyperlink"/>
                <w:noProof/>
              </w:rPr>
              <w:t xml:space="preserve">Option 1 – </w:t>
            </w:r>
            <w:r w:rsidR="00B173F8">
              <w:rPr>
                <w:rStyle w:val="Hyperlink"/>
                <w:noProof/>
              </w:rPr>
              <w:t>M</w:t>
            </w:r>
            <w:r w:rsidR="00B173F8" w:rsidRPr="00993F27">
              <w:rPr>
                <w:rStyle w:val="Hyperlink"/>
                <w:noProof/>
              </w:rPr>
              <w:t>aintain the status quo</w:t>
            </w:r>
            <w:r w:rsidR="00B173F8">
              <w:rPr>
                <w:noProof/>
                <w:webHidden/>
              </w:rPr>
              <w:tab/>
            </w:r>
            <w:r w:rsidR="00B173F8">
              <w:rPr>
                <w:noProof/>
                <w:webHidden/>
              </w:rPr>
              <w:fldChar w:fldCharType="begin"/>
            </w:r>
            <w:r w:rsidR="00B173F8">
              <w:rPr>
                <w:noProof/>
                <w:webHidden/>
              </w:rPr>
              <w:instrText xml:space="preserve"> PAGEREF _Toc210050236 \h </w:instrText>
            </w:r>
            <w:r w:rsidR="00B173F8">
              <w:rPr>
                <w:noProof/>
                <w:webHidden/>
              </w:rPr>
            </w:r>
            <w:r w:rsidR="00B173F8">
              <w:rPr>
                <w:noProof/>
                <w:webHidden/>
              </w:rPr>
              <w:fldChar w:fldCharType="separate"/>
            </w:r>
            <w:r w:rsidR="002226CC">
              <w:rPr>
                <w:noProof/>
                <w:webHidden/>
              </w:rPr>
              <w:t>53</w:t>
            </w:r>
            <w:r w:rsidR="00B173F8">
              <w:rPr>
                <w:noProof/>
                <w:webHidden/>
              </w:rPr>
              <w:fldChar w:fldCharType="end"/>
            </w:r>
          </w:hyperlink>
        </w:p>
        <w:p w14:paraId="2E17721D" w14:textId="10A6F466" w:rsidR="00B173F8" w:rsidRDefault="00631FA8">
          <w:pPr>
            <w:pStyle w:val="TOC2"/>
            <w:tabs>
              <w:tab w:val="left" w:pos="960"/>
              <w:tab w:val="right" w:leader="dot" w:pos="9016"/>
            </w:tabs>
            <w:rPr>
              <w:noProof/>
              <w:kern w:val="2"/>
              <w:sz w:val="24"/>
              <w:szCs w:val="24"/>
              <w:lang w:eastAsia="en-AU"/>
              <w14:ligatures w14:val="standardContextual"/>
            </w:rPr>
          </w:pPr>
          <w:hyperlink w:anchor="_Toc210050237" w:history="1">
            <w:r w:rsidR="00B173F8" w:rsidRPr="00993F27">
              <w:rPr>
                <w:rStyle w:val="Hyperlink"/>
                <w:noProof/>
              </w:rPr>
              <w:t>3.4</w:t>
            </w:r>
            <w:r w:rsidR="00B173F8">
              <w:rPr>
                <w:noProof/>
                <w:kern w:val="2"/>
                <w:sz w:val="24"/>
                <w:szCs w:val="24"/>
                <w:lang w:eastAsia="en-AU"/>
                <w14:ligatures w14:val="standardContextual"/>
              </w:rPr>
              <w:tab/>
            </w:r>
            <w:r w:rsidR="00B173F8" w:rsidRPr="00993F27">
              <w:rPr>
                <w:rStyle w:val="Hyperlink"/>
                <w:noProof/>
              </w:rPr>
              <w:t>Option 2 – Voluntary self-regulation with optional National Code</w:t>
            </w:r>
            <w:r w:rsidR="00B173F8">
              <w:rPr>
                <w:noProof/>
                <w:webHidden/>
              </w:rPr>
              <w:tab/>
            </w:r>
            <w:r w:rsidR="00B173F8">
              <w:rPr>
                <w:noProof/>
                <w:webHidden/>
              </w:rPr>
              <w:fldChar w:fldCharType="begin"/>
            </w:r>
            <w:r w:rsidR="00B173F8">
              <w:rPr>
                <w:noProof/>
                <w:webHidden/>
              </w:rPr>
              <w:instrText xml:space="preserve"> PAGEREF _Toc210050237 \h </w:instrText>
            </w:r>
            <w:r w:rsidR="00B173F8">
              <w:rPr>
                <w:noProof/>
                <w:webHidden/>
              </w:rPr>
            </w:r>
            <w:r w:rsidR="00B173F8">
              <w:rPr>
                <w:noProof/>
                <w:webHidden/>
              </w:rPr>
              <w:fldChar w:fldCharType="separate"/>
            </w:r>
            <w:r w:rsidR="002226CC">
              <w:rPr>
                <w:noProof/>
                <w:webHidden/>
              </w:rPr>
              <w:t>54</w:t>
            </w:r>
            <w:r w:rsidR="00B173F8">
              <w:rPr>
                <w:noProof/>
                <w:webHidden/>
              </w:rPr>
              <w:fldChar w:fldCharType="end"/>
            </w:r>
          </w:hyperlink>
        </w:p>
        <w:p w14:paraId="54819388" w14:textId="005FCB61" w:rsidR="00B173F8" w:rsidRDefault="00631FA8">
          <w:pPr>
            <w:pStyle w:val="TOC2"/>
            <w:tabs>
              <w:tab w:val="left" w:pos="960"/>
              <w:tab w:val="right" w:leader="dot" w:pos="9016"/>
            </w:tabs>
            <w:rPr>
              <w:noProof/>
              <w:kern w:val="2"/>
              <w:sz w:val="24"/>
              <w:szCs w:val="24"/>
              <w:lang w:eastAsia="en-AU"/>
              <w14:ligatures w14:val="standardContextual"/>
            </w:rPr>
          </w:pPr>
          <w:hyperlink w:anchor="_Toc210050238" w:history="1">
            <w:r w:rsidR="00B173F8" w:rsidRPr="00993F27">
              <w:rPr>
                <w:rStyle w:val="Hyperlink"/>
                <w:noProof/>
              </w:rPr>
              <w:t>3.5</w:t>
            </w:r>
            <w:r w:rsidR="00B173F8">
              <w:rPr>
                <w:noProof/>
                <w:kern w:val="2"/>
                <w:sz w:val="24"/>
                <w:szCs w:val="24"/>
                <w:lang w:eastAsia="en-AU"/>
                <w14:ligatures w14:val="standardContextual"/>
              </w:rPr>
              <w:tab/>
            </w:r>
            <w:r w:rsidR="00B173F8" w:rsidRPr="00993F27">
              <w:rPr>
                <w:rStyle w:val="Hyperlink"/>
                <w:noProof/>
              </w:rPr>
              <w:t xml:space="preserve">Option 3 – </w:t>
            </w:r>
            <w:r w:rsidR="00B173F8">
              <w:rPr>
                <w:rStyle w:val="Hyperlink"/>
                <w:noProof/>
              </w:rPr>
              <w:t>I</w:t>
            </w:r>
            <w:r w:rsidR="00B173F8" w:rsidRPr="00993F27">
              <w:rPr>
                <w:rStyle w:val="Hyperlink"/>
                <w:noProof/>
              </w:rPr>
              <w:t>ntroduce a mandatory National Code through legislation</w:t>
            </w:r>
            <w:r w:rsidR="00B173F8">
              <w:rPr>
                <w:noProof/>
                <w:webHidden/>
              </w:rPr>
              <w:tab/>
            </w:r>
            <w:r w:rsidR="00B173F8">
              <w:rPr>
                <w:noProof/>
                <w:webHidden/>
              </w:rPr>
              <w:fldChar w:fldCharType="begin"/>
            </w:r>
            <w:r w:rsidR="00B173F8">
              <w:rPr>
                <w:noProof/>
                <w:webHidden/>
              </w:rPr>
              <w:instrText xml:space="preserve"> PAGEREF _Toc210050238 \h </w:instrText>
            </w:r>
            <w:r w:rsidR="00B173F8">
              <w:rPr>
                <w:noProof/>
                <w:webHidden/>
              </w:rPr>
            </w:r>
            <w:r w:rsidR="00B173F8">
              <w:rPr>
                <w:noProof/>
                <w:webHidden/>
              </w:rPr>
              <w:fldChar w:fldCharType="separate"/>
            </w:r>
            <w:r w:rsidR="002226CC">
              <w:rPr>
                <w:noProof/>
                <w:webHidden/>
              </w:rPr>
              <w:t>57</w:t>
            </w:r>
            <w:r w:rsidR="00B173F8">
              <w:rPr>
                <w:noProof/>
                <w:webHidden/>
              </w:rPr>
              <w:fldChar w:fldCharType="end"/>
            </w:r>
          </w:hyperlink>
        </w:p>
        <w:p w14:paraId="0A05AFD0" w14:textId="781BAC60" w:rsidR="00B173F8" w:rsidRDefault="00631FA8">
          <w:pPr>
            <w:pStyle w:val="TOC2"/>
            <w:tabs>
              <w:tab w:val="left" w:pos="960"/>
              <w:tab w:val="right" w:leader="dot" w:pos="9016"/>
            </w:tabs>
            <w:rPr>
              <w:noProof/>
              <w:kern w:val="2"/>
              <w:sz w:val="24"/>
              <w:szCs w:val="24"/>
              <w:lang w:eastAsia="en-AU"/>
              <w14:ligatures w14:val="standardContextual"/>
            </w:rPr>
          </w:pPr>
          <w:hyperlink w:anchor="_Toc210050239" w:history="1">
            <w:r w:rsidR="00B173F8" w:rsidRPr="00993F27">
              <w:rPr>
                <w:rStyle w:val="Hyperlink"/>
                <w:noProof/>
              </w:rPr>
              <w:t>3.6</w:t>
            </w:r>
            <w:r w:rsidR="00B173F8">
              <w:rPr>
                <w:noProof/>
                <w:kern w:val="2"/>
                <w:sz w:val="24"/>
                <w:szCs w:val="24"/>
                <w:lang w:eastAsia="en-AU"/>
                <w14:ligatures w14:val="standardContextual"/>
              </w:rPr>
              <w:tab/>
            </w:r>
            <w:r w:rsidR="00B173F8" w:rsidRPr="00993F27">
              <w:rPr>
                <w:rStyle w:val="Hyperlink"/>
                <w:noProof/>
              </w:rPr>
              <w:t>Comparison of options</w:t>
            </w:r>
            <w:r w:rsidR="00B173F8">
              <w:rPr>
                <w:noProof/>
                <w:webHidden/>
              </w:rPr>
              <w:tab/>
            </w:r>
            <w:r w:rsidR="00B173F8">
              <w:rPr>
                <w:noProof/>
                <w:webHidden/>
              </w:rPr>
              <w:fldChar w:fldCharType="begin"/>
            </w:r>
            <w:r w:rsidR="00B173F8">
              <w:rPr>
                <w:noProof/>
                <w:webHidden/>
              </w:rPr>
              <w:instrText xml:space="preserve"> PAGEREF _Toc210050239 \h </w:instrText>
            </w:r>
            <w:r w:rsidR="00B173F8">
              <w:rPr>
                <w:noProof/>
                <w:webHidden/>
              </w:rPr>
            </w:r>
            <w:r w:rsidR="00B173F8">
              <w:rPr>
                <w:noProof/>
                <w:webHidden/>
              </w:rPr>
              <w:fldChar w:fldCharType="separate"/>
            </w:r>
            <w:r w:rsidR="002226CC">
              <w:rPr>
                <w:noProof/>
                <w:webHidden/>
              </w:rPr>
              <w:t>62</w:t>
            </w:r>
            <w:r w:rsidR="00B173F8">
              <w:rPr>
                <w:noProof/>
                <w:webHidden/>
              </w:rPr>
              <w:fldChar w:fldCharType="end"/>
            </w:r>
          </w:hyperlink>
        </w:p>
        <w:p w14:paraId="17366527" w14:textId="12CCE6A3" w:rsidR="00B173F8" w:rsidRDefault="00631FA8">
          <w:pPr>
            <w:pStyle w:val="TOC1"/>
            <w:tabs>
              <w:tab w:val="left" w:pos="440"/>
              <w:tab w:val="right" w:leader="dot" w:pos="9016"/>
            </w:tabs>
            <w:rPr>
              <w:noProof/>
              <w:kern w:val="2"/>
              <w:sz w:val="24"/>
              <w:szCs w:val="24"/>
              <w:lang w:eastAsia="en-AU"/>
              <w14:ligatures w14:val="standardContextual"/>
            </w:rPr>
          </w:pPr>
          <w:hyperlink w:anchor="_Toc210050240" w:history="1">
            <w:r w:rsidR="00B173F8" w:rsidRPr="00993F27">
              <w:rPr>
                <w:rStyle w:val="Hyperlink"/>
                <w:b/>
                <w:bCs/>
                <w:noProof/>
              </w:rPr>
              <w:t>4</w:t>
            </w:r>
            <w:r w:rsidR="00B173F8">
              <w:rPr>
                <w:noProof/>
                <w:kern w:val="2"/>
                <w:sz w:val="24"/>
                <w:szCs w:val="24"/>
                <w:lang w:eastAsia="en-AU"/>
                <w14:ligatures w14:val="standardContextual"/>
              </w:rPr>
              <w:tab/>
            </w:r>
            <w:r w:rsidR="00B173F8" w:rsidRPr="00993F27">
              <w:rPr>
                <w:rStyle w:val="Hyperlink"/>
                <w:b/>
                <w:bCs/>
                <w:noProof/>
              </w:rPr>
              <w:t>Chapter 4: What is the likely net benefit of each option?</w:t>
            </w:r>
            <w:r w:rsidR="00B173F8">
              <w:rPr>
                <w:noProof/>
                <w:webHidden/>
              </w:rPr>
              <w:tab/>
            </w:r>
            <w:r w:rsidR="00B173F8">
              <w:rPr>
                <w:noProof/>
                <w:webHidden/>
              </w:rPr>
              <w:fldChar w:fldCharType="begin"/>
            </w:r>
            <w:r w:rsidR="00B173F8">
              <w:rPr>
                <w:noProof/>
                <w:webHidden/>
              </w:rPr>
              <w:instrText xml:space="preserve"> PAGEREF _Toc210050240 \h </w:instrText>
            </w:r>
            <w:r w:rsidR="00B173F8">
              <w:rPr>
                <w:noProof/>
                <w:webHidden/>
              </w:rPr>
            </w:r>
            <w:r w:rsidR="00B173F8">
              <w:rPr>
                <w:noProof/>
                <w:webHidden/>
              </w:rPr>
              <w:fldChar w:fldCharType="separate"/>
            </w:r>
            <w:r w:rsidR="002226CC">
              <w:rPr>
                <w:noProof/>
                <w:webHidden/>
              </w:rPr>
              <w:t>65</w:t>
            </w:r>
            <w:r w:rsidR="00B173F8">
              <w:rPr>
                <w:noProof/>
                <w:webHidden/>
              </w:rPr>
              <w:fldChar w:fldCharType="end"/>
            </w:r>
          </w:hyperlink>
        </w:p>
        <w:p w14:paraId="1CD3518D" w14:textId="20BE83AF" w:rsidR="00B173F8" w:rsidRDefault="00631FA8">
          <w:pPr>
            <w:pStyle w:val="TOC2"/>
            <w:tabs>
              <w:tab w:val="left" w:pos="960"/>
              <w:tab w:val="right" w:leader="dot" w:pos="9016"/>
            </w:tabs>
            <w:rPr>
              <w:noProof/>
              <w:kern w:val="2"/>
              <w:sz w:val="24"/>
              <w:szCs w:val="24"/>
              <w:lang w:eastAsia="en-AU"/>
              <w14:ligatures w14:val="standardContextual"/>
            </w:rPr>
          </w:pPr>
          <w:hyperlink w:anchor="_Toc210050241" w:history="1">
            <w:r w:rsidR="00B173F8" w:rsidRPr="00993F27">
              <w:rPr>
                <w:rStyle w:val="Hyperlink"/>
                <w:noProof/>
              </w:rPr>
              <w:t>4.1</w:t>
            </w:r>
            <w:r w:rsidR="00B173F8">
              <w:rPr>
                <w:noProof/>
                <w:kern w:val="2"/>
                <w:sz w:val="24"/>
                <w:szCs w:val="24"/>
                <w:lang w:eastAsia="en-AU"/>
                <w14:ligatures w14:val="standardContextual"/>
              </w:rPr>
              <w:tab/>
            </w:r>
            <w:r w:rsidR="00B173F8" w:rsidRPr="00993F27">
              <w:rPr>
                <w:rStyle w:val="Hyperlink"/>
                <w:noProof/>
              </w:rPr>
              <w:t>Option 1 – Status Quo</w:t>
            </w:r>
            <w:r w:rsidR="00B173F8">
              <w:rPr>
                <w:noProof/>
                <w:webHidden/>
              </w:rPr>
              <w:tab/>
            </w:r>
            <w:r w:rsidR="00B173F8">
              <w:rPr>
                <w:noProof/>
                <w:webHidden/>
              </w:rPr>
              <w:fldChar w:fldCharType="begin"/>
            </w:r>
            <w:r w:rsidR="00B173F8">
              <w:rPr>
                <w:noProof/>
                <w:webHidden/>
              </w:rPr>
              <w:instrText xml:space="preserve"> PAGEREF _Toc210050241 \h </w:instrText>
            </w:r>
            <w:r w:rsidR="00B173F8">
              <w:rPr>
                <w:noProof/>
                <w:webHidden/>
              </w:rPr>
            </w:r>
            <w:r w:rsidR="00B173F8">
              <w:rPr>
                <w:noProof/>
                <w:webHidden/>
              </w:rPr>
              <w:fldChar w:fldCharType="separate"/>
            </w:r>
            <w:r w:rsidR="002226CC">
              <w:rPr>
                <w:noProof/>
                <w:webHidden/>
              </w:rPr>
              <w:t>66</w:t>
            </w:r>
            <w:r w:rsidR="00B173F8">
              <w:rPr>
                <w:noProof/>
                <w:webHidden/>
              </w:rPr>
              <w:fldChar w:fldCharType="end"/>
            </w:r>
          </w:hyperlink>
        </w:p>
        <w:p w14:paraId="71EC5387" w14:textId="5DA05F5C" w:rsidR="00B173F8" w:rsidRDefault="00631FA8">
          <w:pPr>
            <w:pStyle w:val="TOC2"/>
            <w:tabs>
              <w:tab w:val="left" w:pos="960"/>
              <w:tab w:val="right" w:leader="dot" w:pos="9016"/>
            </w:tabs>
            <w:rPr>
              <w:noProof/>
              <w:kern w:val="2"/>
              <w:sz w:val="24"/>
              <w:szCs w:val="24"/>
              <w:lang w:eastAsia="en-AU"/>
              <w14:ligatures w14:val="standardContextual"/>
            </w:rPr>
          </w:pPr>
          <w:hyperlink w:anchor="_Toc210050242" w:history="1">
            <w:r w:rsidR="00B173F8" w:rsidRPr="00993F27">
              <w:rPr>
                <w:rStyle w:val="Hyperlink"/>
                <w:noProof/>
              </w:rPr>
              <w:t>4.2</w:t>
            </w:r>
            <w:r w:rsidR="00B173F8">
              <w:rPr>
                <w:noProof/>
                <w:kern w:val="2"/>
                <w:sz w:val="24"/>
                <w:szCs w:val="24"/>
                <w:lang w:eastAsia="en-AU"/>
                <w14:ligatures w14:val="standardContextual"/>
              </w:rPr>
              <w:tab/>
            </w:r>
            <w:r w:rsidR="00B173F8" w:rsidRPr="00993F27">
              <w:rPr>
                <w:rStyle w:val="Hyperlink"/>
                <w:noProof/>
              </w:rPr>
              <w:t>Option 2 – Voluntary Self-Regulation</w:t>
            </w:r>
            <w:r w:rsidR="00B173F8">
              <w:rPr>
                <w:noProof/>
                <w:webHidden/>
              </w:rPr>
              <w:tab/>
            </w:r>
            <w:r w:rsidR="00B173F8">
              <w:rPr>
                <w:noProof/>
                <w:webHidden/>
              </w:rPr>
              <w:fldChar w:fldCharType="begin"/>
            </w:r>
            <w:r w:rsidR="00B173F8">
              <w:rPr>
                <w:noProof/>
                <w:webHidden/>
              </w:rPr>
              <w:instrText xml:space="preserve"> PAGEREF _Toc210050242 \h </w:instrText>
            </w:r>
            <w:r w:rsidR="00B173F8">
              <w:rPr>
                <w:noProof/>
                <w:webHidden/>
              </w:rPr>
            </w:r>
            <w:r w:rsidR="00B173F8">
              <w:rPr>
                <w:noProof/>
                <w:webHidden/>
              </w:rPr>
              <w:fldChar w:fldCharType="separate"/>
            </w:r>
            <w:r w:rsidR="002226CC">
              <w:rPr>
                <w:noProof/>
                <w:webHidden/>
              </w:rPr>
              <w:t>67</w:t>
            </w:r>
            <w:r w:rsidR="00B173F8">
              <w:rPr>
                <w:noProof/>
                <w:webHidden/>
              </w:rPr>
              <w:fldChar w:fldCharType="end"/>
            </w:r>
          </w:hyperlink>
        </w:p>
        <w:p w14:paraId="124D62EC" w14:textId="358D2146" w:rsidR="00B173F8" w:rsidRDefault="00631FA8">
          <w:pPr>
            <w:pStyle w:val="TOC2"/>
            <w:tabs>
              <w:tab w:val="left" w:pos="960"/>
              <w:tab w:val="right" w:leader="dot" w:pos="9016"/>
            </w:tabs>
            <w:rPr>
              <w:noProof/>
              <w:kern w:val="2"/>
              <w:sz w:val="24"/>
              <w:szCs w:val="24"/>
              <w:lang w:eastAsia="en-AU"/>
              <w14:ligatures w14:val="standardContextual"/>
            </w:rPr>
          </w:pPr>
          <w:hyperlink w:anchor="_Toc210050243" w:history="1">
            <w:r w:rsidR="00B173F8" w:rsidRPr="00993F27">
              <w:rPr>
                <w:rStyle w:val="Hyperlink"/>
                <w:noProof/>
              </w:rPr>
              <w:t>4.3</w:t>
            </w:r>
            <w:r w:rsidR="00B173F8">
              <w:rPr>
                <w:noProof/>
                <w:kern w:val="2"/>
                <w:sz w:val="24"/>
                <w:szCs w:val="24"/>
                <w:lang w:eastAsia="en-AU"/>
                <w14:ligatures w14:val="standardContextual"/>
              </w:rPr>
              <w:tab/>
            </w:r>
            <w:r w:rsidR="00B173F8" w:rsidRPr="00993F27">
              <w:rPr>
                <w:rStyle w:val="Hyperlink"/>
                <w:noProof/>
              </w:rPr>
              <w:t>Option 3 – National Code as new regulation</w:t>
            </w:r>
            <w:r w:rsidR="00B173F8">
              <w:rPr>
                <w:noProof/>
                <w:webHidden/>
              </w:rPr>
              <w:tab/>
            </w:r>
            <w:r w:rsidR="00B173F8">
              <w:rPr>
                <w:noProof/>
                <w:webHidden/>
              </w:rPr>
              <w:fldChar w:fldCharType="begin"/>
            </w:r>
            <w:r w:rsidR="00B173F8">
              <w:rPr>
                <w:noProof/>
                <w:webHidden/>
              </w:rPr>
              <w:instrText xml:space="preserve"> PAGEREF _Toc210050243 \h </w:instrText>
            </w:r>
            <w:r w:rsidR="00B173F8">
              <w:rPr>
                <w:noProof/>
                <w:webHidden/>
              </w:rPr>
            </w:r>
            <w:r w:rsidR="00B173F8">
              <w:rPr>
                <w:noProof/>
                <w:webHidden/>
              </w:rPr>
              <w:fldChar w:fldCharType="separate"/>
            </w:r>
            <w:r w:rsidR="002226CC">
              <w:rPr>
                <w:noProof/>
                <w:webHidden/>
              </w:rPr>
              <w:t>69</w:t>
            </w:r>
            <w:r w:rsidR="00B173F8">
              <w:rPr>
                <w:noProof/>
                <w:webHidden/>
              </w:rPr>
              <w:fldChar w:fldCharType="end"/>
            </w:r>
          </w:hyperlink>
        </w:p>
        <w:p w14:paraId="3DD8BB65" w14:textId="4687E2A7" w:rsidR="00B173F8" w:rsidRDefault="00631FA8">
          <w:pPr>
            <w:pStyle w:val="TOC1"/>
            <w:tabs>
              <w:tab w:val="left" w:pos="440"/>
              <w:tab w:val="right" w:leader="dot" w:pos="9016"/>
            </w:tabs>
            <w:rPr>
              <w:noProof/>
              <w:kern w:val="2"/>
              <w:sz w:val="24"/>
              <w:szCs w:val="24"/>
              <w:lang w:eastAsia="en-AU"/>
              <w14:ligatures w14:val="standardContextual"/>
            </w:rPr>
          </w:pPr>
          <w:hyperlink w:anchor="_Toc210050244" w:history="1">
            <w:r w:rsidR="00B173F8" w:rsidRPr="00993F27">
              <w:rPr>
                <w:rStyle w:val="Hyperlink"/>
                <w:b/>
                <w:bCs/>
                <w:noProof/>
              </w:rPr>
              <w:t>5</w:t>
            </w:r>
            <w:r w:rsidR="00B173F8">
              <w:rPr>
                <w:noProof/>
                <w:kern w:val="2"/>
                <w:sz w:val="24"/>
                <w:szCs w:val="24"/>
                <w:lang w:eastAsia="en-AU"/>
                <w14:ligatures w14:val="standardContextual"/>
              </w:rPr>
              <w:tab/>
            </w:r>
            <w:r w:rsidR="00B173F8" w:rsidRPr="00993F27">
              <w:rPr>
                <w:rStyle w:val="Hyperlink"/>
                <w:b/>
                <w:bCs/>
                <w:noProof/>
              </w:rPr>
              <w:t>Chapter 5: Who did you consult and how did you incorporate their feedback?</w:t>
            </w:r>
            <w:r w:rsidR="00B173F8">
              <w:rPr>
                <w:noProof/>
                <w:webHidden/>
              </w:rPr>
              <w:tab/>
            </w:r>
            <w:r w:rsidR="00B173F8">
              <w:rPr>
                <w:noProof/>
                <w:webHidden/>
              </w:rPr>
              <w:fldChar w:fldCharType="begin"/>
            </w:r>
            <w:r w:rsidR="00B173F8">
              <w:rPr>
                <w:noProof/>
                <w:webHidden/>
              </w:rPr>
              <w:instrText xml:space="preserve"> PAGEREF _Toc210050244 \h </w:instrText>
            </w:r>
            <w:r w:rsidR="00B173F8">
              <w:rPr>
                <w:noProof/>
                <w:webHidden/>
              </w:rPr>
            </w:r>
            <w:r w:rsidR="00B173F8">
              <w:rPr>
                <w:noProof/>
                <w:webHidden/>
              </w:rPr>
              <w:fldChar w:fldCharType="separate"/>
            </w:r>
            <w:r w:rsidR="002226CC">
              <w:rPr>
                <w:noProof/>
                <w:webHidden/>
              </w:rPr>
              <w:t>95</w:t>
            </w:r>
            <w:r w:rsidR="00B173F8">
              <w:rPr>
                <w:noProof/>
                <w:webHidden/>
              </w:rPr>
              <w:fldChar w:fldCharType="end"/>
            </w:r>
          </w:hyperlink>
        </w:p>
        <w:p w14:paraId="3E99EC5B" w14:textId="656E4FC4" w:rsidR="00B173F8" w:rsidRDefault="00631FA8">
          <w:pPr>
            <w:pStyle w:val="TOC2"/>
            <w:tabs>
              <w:tab w:val="left" w:pos="960"/>
              <w:tab w:val="right" w:leader="dot" w:pos="9016"/>
            </w:tabs>
            <w:rPr>
              <w:noProof/>
              <w:kern w:val="2"/>
              <w:sz w:val="24"/>
              <w:szCs w:val="24"/>
              <w:lang w:eastAsia="en-AU"/>
              <w14:ligatures w14:val="standardContextual"/>
            </w:rPr>
          </w:pPr>
          <w:hyperlink w:anchor="_Toc210050245" w:history="1">
            <w:r w:rsidR="00B173F8" w:rsidRPr="00993F27">
              <w:rPr>
                <w:rStyle w:val="Hyperlink"/>
                <w:noProof/>
              </w:rPr>
              <w:t>5.1</w:t>
            </w:r>
            <w:r w:rsidR="00B173F8">
              <w:rPr>
                <w:noProof/>
                <w:kern w:val="2"/>
                <w:sz w:val="24"/>
                <w:szCs w:val="24"/>
                <w:lang w:eastAsia="en-AU"/>
                <w14:ligatures w14:val="standardContextual"/>
              </w:rPr>
              <w:tab/>
            </w:r>
            <w:r w:rsidR="00B173F8" w:rsidRPr="00993F27">
              <w:rPr>
                <w:rStyle w:val="Hyperlink"/>
                <w:noProof/>
              </w:rPr>
              <w:t>Purpose and objectives</w:t>
            </w:r>
            <w:r w:rsidR="00B173F8">
              <w:rPr>
                <w:noProof/>
                <w:webHidden/>
              </w:rPr>
              <w:tab/>
            </w:r>
            <w:r w:rsidR="00B173F8">
              <w:rPr>
                <w:noProof/>
                <w:webHidden/>
              </w:rPr>
              <w:fldChar w:fldCharType="begin"/>
            </w:r>
            <w:r w:rsidR="00B173F8">
              <w:rPr>
                <w:noProof/>
                <w:webHidden/>
              </w:rPr>
              <w:instrText xml:space="preserve"> PAGEREF _Toc210050245 \h </w:instrText>
            </w:r>
            <w:r w:rsidR="00B173F8">
              <w:rPr>
                <w:noProof/>
                <w:webHidden/>
              </w:rPr>
            </w:r>
            <w:r w:rsidR="00B173F8">
              <w:rPr>
                <w:noProof/>
                <w:webHidden/>
              </w:rPr>
              <w:fldChar w:fldCharType="separate"/>
            </w:r>
            <w:r w:rsidR="002226CC">
              <w:rPr>
                <w:noProof/>
                <w:webHidden/>
              </w:rPr>
              <w:t>95</w:t>
            </w:r>
            <w:r w:rsidR="00B173F8">
              <w:rPr>
                <w:noProof/>
                <w:webHidden/>
              </w:rPr>
              <w:fldChar w:fldCharType="end"/>
            </w:r>
          </w:hyperlink>
        </w:p>
        <w:p w14:paraId="320D30A8" w14:textId="44260405" w:rsidR="00B173F8" w:rsidRDefault="00631FA8">
          <w:pPr>
            <w:pStyle w:val="TOC2"/>
            <w:tabs>
              <w:tab w:val="left" w:pos="960"/>
              <w:tab w:val="right" w:leader="dot" w:pos="9016"/>
            </w:tabs>
            <w:rPr>
              <w:noProof/>
              <w:kern w:val="2"/>
              <w:sz w:val="24"/>
              <w:szCs w:val="24"/>
              <w:lang w:eastAsia="en-AU"/>
              <w14:ligatures w14:val="standardContextual"/>
            </w:rPr>
          </w:pPr>
          <w:hyperlink w:anchor="_Toc210050246" w:history="1">
            <w:r w:rsidR="00B173F8" w:rsidRPr="00993F27">
              <w:rPr>
                <w:rStyle w:val="Hyperlink"/>
                <w:noProof/>
              </w:rPr>
              <w:t>5.2</w:t>
            </w:r>
            <w:r w:rsidR="00B173F8">
              <w:rPr>
                <w:noProof/>
                <w:kern w:val="2"/>
                <w:sz w:val="24"/>
                <w:szCs w:val="24"/>
                <w:lang w:eastAsia="en-AU"/>
                <w14:ligatures w14:val="standardContextual"/>
              </w:rPr>
              <w:tab/>
            </w:r>
            <w:r w:rsidR="00B173F8" w:rsidRPr="00993F27">
              <w:rPr>
                <w:rStyle w:val="Hyperlink"/>
                <w:noProof/>
              </w:rPr>
              <w:t>Action Plan Addressing GBV in Higher Education</w:t>
            </w:r>
            <w:r w:rsidR="00B173F8">
              <w:rPr>
                <w:noProof/>
                <w:webHidden/>
              </w:rPr>
              <w:tab/>
            </w:r>
            <w:r w:rsidR="00B173F8">
              <w:rPr>
                <w:noProof/>
                <w:webHidden/>
              </w:rPr>
              <w:fldChar w:fldCharType="begin"/>
            </w:r>
            <w:r w:rsidR="00B173F8">
              <w:rPr>
                <w:noProof/>
                <w:webHidden/>
              </w:rPr>
              <w:instrText xml:space="preserve"> PAGEREF _Toc210050246 \h </w:instrText>
            </w:r>
            <w:r w:rsidR="00B173F8">
              <w:rPr>
                <w:noProof/>
                <w:webHidden/>
              </w:rPr>
            </w:r>
            <w:r w:rsidR="00B173F8">
              <w:rPr>
                <w:noProof/>
                <w:webHidden/>
              </w:rPr>
              <w:fldChar w:fldCharType="separate"/>
            </w:r>
            <w:r w:rsidR="002226CC">
              <w:rPr>
                <w:noProof/>
                <w:webHidden/>
              </w:rPr>
              <w:t>95</w:t>
            </w:r>
            <w:r w:rsidR="00B173F8">
              <w:rPr>
                <w:noProof/>
                <w:webHidden/>
              </w:rPr>
              <w:fldChar w:fldCharType="end"/>
            </w:r>
          </w:hyperlink>
        </w:p>
        <w:p w14:paraId="3F106F74" w14:textId="028B585B" w:rsidR="00B173F8" w:rsidRDefault="00631FA8">
          <w:pPr>
            <w:pStyle w:val="TOC2"/>
            <w:tabs>
              <w:tab w:val="left" w:pos="960"/>
              <w:tab w:val="right" w:leader="dot" w:pos="9016"/>
            </w:tabs>
            <w:rPr>
              <w:noProof/>
              <w:kern w:val="2"/>
              <w:sz w:val="24"/>
              <w:szCs w:val="24"/>
              <w:lang w:eastAsia="en-AU"/>
              <w14:ligatures w14:val="standardContextual"/>
            </w:rPr>
          </w:pPr>
          <w:hyperlink w:anchor="_Toc210050247" w:history="1">
            <w:r w:rsidR="00B173F8" w:rsidRPr="00993F27">
              <w:rPr>
                <w:rStyle w:val="Hyperlink"/>
                <w:noProof/>
              </w:rPr>
              <w:t>5.3</w:t>
            </w:r>
            <w:r w:rsidR="00B173F8">
              <w:rPr>
                <w:noProof/>
                <w:kern w:val="2"/>
                <w:sz w:val="24"/>
                <w:szCs w:val="24"/>
                <w:lang w:eastAsia="en-AU"/>
                <w14:ligatures w14:val="standardContextual"/>
              </w:rPr>
              <w:tab/>
            </w:r>
            <w:r w:rsidR="00B173F8" w:rsidRPr="00993F27">
              <w:rPr>
                <w:rStyle w:val="Hyperlink"/>
                <w:noProof/>
              </w:rPr>
              <w:t>Phase 2: Public Issues Paper</w:t>
            </w:r>
            <w:r w:rsidR="00B173F8">
              <w:rPr>
                <w:noProof/>
                <w:webHidden/>
              </w:rPr>
              <w:tab/>
            </w:r>
            <w:r w:rsidR="00B173F8">
              <w:rPr>
                <w:noProof/>
                <w:webHidden/>
              </w:rPr>
              <w:fldChar w:fldCharType="begin"/>
            </w:r>
            <w:r w:rsidR="00B173F8">
              <w:rPr>
                <w:noProof/>
                <w:webHidden/>
              </w:rPr>
              <w:instrText xml:space="preserve"> PAGEREF _Toc210050247 \h </w:instrText>
            </w:r>
            <w:r w:rsidR="00B173F8">
              <w:rPr>
                <w:noProof/>
                <w:webHidden/>
              </w:rPr>
            </w:r>
            <w:r w:rsidR="00B173F8">
              <w:rPr>
                <w:noProof/>
                <w:webHidden/>
              </w:rPr>
              <w:fldChar w:fldCharType="separate"/>
            </w:r>
            <w:r w:rsidR="002226CC">
              <w:rPr>
                <w:noProof/>
                <w:webHidden/>
              </w:rPr>
              <w:t>97</w:t>
            </w:r>
            <w:r w:rsidR="00B173F8">
              <w:rPr>
                <w:noProof/>
                <w:webHidden/>
              </w:rPr>
              <w:fldChar w:fldCharType="end"/>
            </w:r>
          </w:hyperlink>
        </w:p>
        <w:p w14:paraId="7490877C" w14:textId="611C3A5D" w:rsidR="00B173F8" w:rsidRDefault="00631FA8">
          <w:pPr>
            <w:pStyle w:val="TOC2"/>
            <w:tabs>
              <w:tab w:val="left" w:pos="960"/>
              <w:tab w:val="right" w:leader="dot" w:pos="9016"/>
            </w:tabs>
            <w:rPr>
              <w:noProof/>
              <w:kern w:val="2"/>
              <w:sz w:val="24"/>
              <w:szCs w:val="24"/>
              <w:lang w:eastAsia="en-AU"/>
              <w14:ligatures w14:val="standardContextual"/>
            </w:rPr>
          </w:pPr>
          <w:hyperlink w:anchor="_Toc210050248" w:history="1">
            <w:r w:rsidR="00B173F8" w:rsidRPr="00993F27">
              <w:rPr>
                <w:rStyle w:val="Hyperlink"/>
                <w:noProof/>
              </w:rPr>
              <w:t>5.4</w:t>
            </w:r>
            <w:r w:rsidR="00B173F8">
              <w:rPr>
                <w:noProof/>
                <w:kern w:val="2"/>
                <w:sz w:val="24"/>
                <w:szCs w:val="24"/>
                <w:lang w:eastAsia="en-AU"/>
                <w14:ligatures w14:val="standardContextual"/>
              </w:rPr>
              <w:tab/>
            </w:r>
            <w:r w:rsidR="00B173F8" w:rsidRPr="00993F27">
              <w:rPr>
                <w:rStyle w:val="Hyperlink"/>
                <w:noProof/>
              </w:rPr>
              <w:t>Targeted consultation</w:t>
            </w:r>
            <w:r w:rsidR="00B173F8">
              <w:rPr>
                <w:noProof/>
                <w:webHidden/>
              </w:rPr>
              <w:tab/>
            </w:r>
            <w:r w:rsidR="00B173F8">
              <w:rPr>
                <w:noProof/>
                <w:webHidden/>
              </w:rPr>
              <w:fldChar w:fldCharType="begin"/>
            </w:r>
            <w:r w:rsidR="00B173F8">
              <w:rPr>
                <w:noProof/>
                <w:webHidden/>
              </w:rPr>
              <w:instrText xml:space="preserve"> PAGEREF _Toc210050248 \h </w:instrText>
            </w:r>
            <w:r w:rsidR="00B173F8">
              <w:rPr>
                <w:noProof/>
                <w:webHidden/>
              </w:rPr>
            </w:r>
            <w:r w:rsidR="00B173F8">
              <w:rPr>
                <w:noProof/>
                <w:webHidden/>
              </w:rPr>
              <w:fldChar w:fldCharType="separate"/>
            </w:r>
            <w:r w:rsidR="002226CC">
              <w:rPr>
                <w:noProof/>
                <w:webHidden/>
              </w:rPr>
              <w:t>99</w:t>
            </w:r>
            <w:r w:rsidR="00B173F8">
              <w:rPr>
                <w:noProof/>
                <w:webHidden/>
              </w:rPr>
              <w:fldChar w:fldCharType="end"/>
            </w:r>
          </w:hyperlink>
        </w:p>
        <w:p w14:paraId="67AA91C9" w14:textId="4EB920DC" w:rsidR="00B173F8" w:rsidRDefault="00631FA8">
          <w:pPr>
            <w:pStyle w:val="TOC2"/>
            <w:tabs>
              <w:tab w:val="left" w:pos="960"/>
              <w:tab w:val="right" w:leader="dot" w:pos="9016"/>
            </w:tabs>
            <w:rPr>
              <w:noProof/>
              <w:kern w:val="2"/>
              <w:sz w:val="24"/>
              <w:szCs w:val="24"/>
              <w:lang w:eastAsia="en-AU"/>
              <w14:ligatures w14:val="standardContextual"/>
            </w:rPr>
          </w:pPr>
          <w:hyperlink w:anchor="_Toc210050249" w:history="1">
            <w:r w:rsidR="00B173F8" w:rsidRPr="00993F27">
              <w:rPr>
                <w:rStyle w:val="Hyperlink"/>
                <w:noProof/>
              </w:rPr>
              <w:t>5.5</w:t>
            </w:r>
            <w:r w:rsidR="00B173F8">
              <w:rPr>
                <w:noProof/>
                <w:kern w:val="2"/>
                <w:sz w:val="24"/>
                <w:szCs w:val="24"/>
                <w:lang w:eastAsia="en-AU"/>
                <w14:ligatures w14:val="standardContextual"/>
              </w:rPr>
              <w:tab/>
            </w:r>
            <w:r w:rsidR="00B173F8" w:rsidRPr="00993F27">
              <w:rPr>
                <w:rStyle w:val="Hyperlink"/>
                <w:noProof/>
              </w:rPr>
              <w:t>Expert Reference Group and Finalisation of the National Code</w:t>
            </w:r>
            <w:r w:rsidR="00B173F8">
              <w:rPr>
                <w:noProof/>
                <w:webHidden/>
              </w:rPr>
              <w:tab/>
            </w:r>
            <w:r w:rsidR="00B173F8">
              <w:rPr>
                <w:noProof/>
                <w:webHidden/>
              </w:rPr>
              <w:fldChar w:fldCharType="begin"/>
            </w:r>
            <w:r w:rsidR="00B173F8">
              <w:rPr>
                <w:noProof/>
                <w:webHidden/>
              </w:rPr>
              <w:instrText xml:space="preserve"> PAGEREF _Toc210050249 \h </w:instrText>
            </w:r>
            <w:r w:rsidR="00B173F8">
              <w:rPr>
                <w:noProof/>
                <w:webHidden/>
              </w:rPr>
            </w:r>
            <w:r w:rsidR="00B173F8">
              <w:rPr>
                <w:noProof/>
                <w:webHidden/>
              </w:rPr>
              <w:fldChar w:fldCharType="separate"/>
            </w:r>
            <w:r w:rsidR="002226CC">
              <w:rPr>
                <w:noProof/>
                <w:webHidden/>
              </w:rPr>
              <w:t>102</w:t>
            </w:r>
            <w:r w:rsidR="00B173F8">
              <w:rPr>
                <w:noProof/>
                <w:webHidden/>
              </w:rPr>
              <w:fldChar w:fldCharType="end"/>
            </w:r>
          </w:hyperlink>
        </w:p>
        <w:p w14:paraId="15A7C209" w14:textId="2305E091" w:rsidR="00B173F8" w:rsidRDefault="00631FA8">
          <w:pPr>
            <w:pStyle w:val="TOC2"/>
            <w:tabs>
              <w:tab w:val="left" w:pos="960"/>
              <w:tab w:val="right" w:leader="dot" w:pos="9016"/>
            </w:tabs>
            <w:rPr>
              <w:noProof/>
              <w:kern w:val="2"/>
              <w:sz w:val="24"/>
              <w:szCs w:val="24"/>
              <w:lang w:eastAsia="en-AU"/>
              <w14:ligatures w14:val="standardContextual"/>
            </w:rPr>
          </w:pPr>
          <w:hyperlink w:anchor="_Toc210050250" w:history="1">
            <w:r w:rsidR="00B173F8" w:rsidRPr="00993F27">
              <w:rPr>
                <w:rStyle w:val="Hyperlink"/>
                <w:noProof/>
              </w:rPr>
              <w:t>5.6</w:t>
            </w:r>
            <w:r w:rsidR="00B173F8">
              <w:rPr>
                <w:noProof/>
                <w:kern w:val="2"/>
                <w:sz w:val="24"/>
                <w:szCs w:val="24"/>
                <w:lang w:eastAsia="en-AU"/>
                <w14:ligatures w14:val="standardContextual"/>
              </w:rPr>
              <w:tab/>
            </w:r>
            <w:r w:rsidR="00B173F8" w:rsidRPr="00993F27">
              <w:rPr>
                <w:rStyle w:val="Hyperlink"/>
                <w:noProof/>
              </w:rPr>
              <w:t>Whole-of-government consultation</w:t>
            </w:r>
            <w:r w:rsidR="00B173F8">
              <w:rPr>
                <w:noProof/>
                <w:webHidden/>
              </w:rPr>
              <w:tab/>
            </w:r>
            <w:r w:rsidR="00B173F8">
              <w:rPr>
                <w:noProof/>
                <w:webHidden/>
              </w:rPr>
              <w:fldChar w:fldCharType="begin"/>
            </w:r>
            <w:r w:rsidR="00B173F8">
              <w:rPr>
                <w:noProof/>
                <w:webHidden/>
              </w:rPr>
              <w:instrText xml:space="preserve"> PAGEREF _Toc210050250 \h </w:instrText>
            </w:r>
            <w:r w:rsidR="00B173F8">
              <w:rPr>
                <w:noProof/>
                <w:webHidden/>
              </w:rPr>
            </w:r>
            <w:r w:rsidR="00B173F8">
              <w:rPr>
                <w:noProof/>
                <w:webHidden/>
              </w:rPr>
              <w:fldChar w:fldCharType="separate"/>
            </w:r>
            <w:r w:rsidR="002226CC">
              <w:rPr>
                <w:noProof/>
                <w:webHidden/>
              </w:rPr>
              <w:t>103</w:t>
            </w:r>
            <w:r w:rsidR="00B173F8">
              <w:rPr>
                <w:noProof/>
                <w:webHidden/>
              </w:rPr>
              <w:fldChar w:fldCharType="end"/>
            </w:r>
          </w:hyperlink>
        </w:p>
        <w:p w14:paraId="5FCB89F7" w14:textId="0BD0DE38" w:rsidR="00B173F8" w:rsidRDefault="00631FA8">
          <w:pPr>
            <w:pStyle w:val="TOC2"/>
            <w:tabs>
              <w:tab w:val="left" w:pos="960"/>
              <w:tab w:val="right" w:leader="dot" w:pos="9016"/>
            </w:tabs>
            <w:rPr>
              <w:noProof/>
              <w:kern w:val="2"/>
              <w:sz w:val="24"/>
              <w:szCs w:val="24"/>
              <w:lang w:eastAsia="en-AU"/>
              <w14:ligatures w14:val="standardContextual"/>
            </w:rPr>
          </w:pPr>
          <w:hyperlink w:anchor="_Toc210050251" w:history="1">
            <w:r w:rsidR="00B173F8" w:rsidRPr="00993F27">
              <w:rPr>
                <w:rStyle w:val="Hyperlink"/>
                <w:noProof/>
              </w:rPr>
              <w:t>5.7</w:t>
            </w:r>
            <w:r w:rsidR="00B173F8">
              <w:rPr>
                <w:noProof/>
                <w:kern w:val="2"/>
                <w:sz w:val="24"/>
                <w:szCs w:val="24"/>
                <w:lang w:eastAsia="en-AU"/>
                <w14:ligatures w14:val="standardContextual"/>
              </w:rPr>
              <w:tab/>
            </w:r>
            <w:r w:rsidR="00B173F8" w:rsidRPr="00993F27">
              <w:rPr>
                <w:rStyle w:val="Hyperlink"/>
                <w:noProof/>
              </w:rPr>
              <w:t>Critical evaluation of the consultation process</w:t>
            </w:r>
            <w:r w:rsidR="00B173F8">
              <w:rPr>
                <w:noProof/>
                <w:webHidden/>
              </w:rPr>
              <w:tab/>
            </w:r>
            <w:r w:rsidR="00B173F8">
              <w:rPr>
                <w:noProof/>
                <w:webHidden/>
              </w:rPr>
              <w:fldChar w:fldCharType="begin"/>
            </w:r>
            <w:r w:rsidR="00B173F8">
              <w:rPr>
                <w:noProof/>
                <w:webHidden/>
              </w:rPr>
              <w:instrText xml:space="preserve"> PAGEREF _Toc210050251 \h </w:instrText>
            </w:r>
            <w:r w:rsidR="00B173F8">
              <w:rPr>
                <w:noProof/>
                <w:webHidden/>
              </w:rPr>
            </w:r>
            <w:r w:rsidR="00B173F8">
              <w:rPr>
                <w:noProof/>
                <w:webHidden/>
              </w:rPr>
              <w:fldChar w:fldCharType="separate"/>
            </w:r>
            <w:r w:rsidR="002226CC">
              <w:rPr>
                <w:noProof/>
                <w:webHidden/>
              </w:rPr>
              <w:t>108</w:t>
            </w:r>
            <w:r w:rsidR="00B173F8">
              <w:rPr>
                <w:noProof/>
                <w:webHidden/>
              </w:rPr>
              <w:fldChar w:fldCharType="end"/>
            </w:r>
          </w:hyperlink>
        </w:p>
        <w:p w14:paraId="1E78B980" w14:textId="307A2F15" w:rsidR="00B173F8" w:rsidRDefault="00631FA8">
          <w:pPr>
            <w:pStyle w:val="TOC1"/>
            <w:tabs>
              <w:tab w:val="left" w:pos="440"/>
              <w:tab w:val="right" w:leader="dot" w:pos="9016"/>
            </w:tabs>
            <w:rPr>
              <w:noProof/>
              <w:kern w:val="2"/>
              <w:sz w:val="24"/>
              <w:szCs w:val="24"/>
              <w:lang w:eastAsia="en-AU"/>
              <w14:ligatures w14:val="standardContextual"/>
            </w:rPr>
          </w:pPr>
          <w:hyperlink w:anchor="_Toc210050252" w:history="1">
            <w:r w:rsidR="00B173F8" w:rsidRPr="00993F27">
              <w:rPr>
                <w:rStyle w:val="Hyperlink"/>
                <w:b/>
                <w:bCs/>
                <w:noProof/>
              </w:rPr>
              <w:t>6</w:t>
            </w:r>
            <w:r w:rsidR="00B173F8">
              <w:rPr>
                <w:noProof/>
                <w:kern w:val="2"/>
                <w:sz w:val="24"/>
                <w:szCs w:val="24"/>
                <w:lang w:eastAsia="en-AU"/>
                <w14:ligatures w14:val="standardContextual"/>
              </w:rPr>
              <w:tab/>
            </w:r>
            <w:r w:rsidR="00B173F8" w:rsidRPr="00993F27">
              <w:rPr>
                <w:rStyle w:val="Hyperlink"/>
                <w:b/>
                <w:bCs/>
                <w:noProof/>
              </w:rPr>
              <w:t>Chapter 6: What is the best option from those you have considered, and how will it be implemented?</w:t>
            </w:r>
            <w:r w:rsidR="00B173F8">
              <w:rPr>
                <w:noProof/>
                <w:webHidden/>
              </w:rPr>
              <w:tab/>
            </w:r>
            <w:r w:rsidR="00B173F8">
              <w:rPr>
                <w:noProof/>
                <w:webHidden/>
              </w:rPr>
              <w:fldChar w:fldCharType="begin"/>
            </w:r>
            <w:r w:rsidR="00B173F8">
              <w:rPr>
                <w:noProof/>
                <w:webHidden/>
              </w:rPr>
              <w:instrText xml:space="preserve"> PAGEREF _Toc210050252 \h </w:instrText>
            </w:r>
            <w:r w:rsidR="00B173F8">
              <w:rPr>
                <w:noProof/>
                <w:webHidden/>
              </w:rPr>
            </w:r>
            <w:r w:rsidR="00B173F8">
              <w:rPr>
                <w:noProof/>
                <w:webHidden/>
              </w:rPr>
              <w:fldChar w:fldCharType="separate"/>
            </w:r>
            <w:r w:rsidR="002226CC">
              <w:rPr>
                <w:noProof/>
                <w:webHidden/>
              </w:rPr>
              <w:t>109</w:t>
            </w:r>
            <w:r w:rsidR="00B173F8">
              <w:rPr>
                <w:noProof/>
                <w:webHidden/>
              </w:rPr>
              <w:fldChar w:fldCharType="end"/>
            </w:r>
          </w:hyperlink>
        </w:p>
        <w:p w14:paraId="18712524" w14:textId="241166C9" w:rsidR="00B173F8" w:rsidRDefault="00631FA8">
          <w:pPr>
            <w:pStyle w:val="TOC2"/>
            <w:tabs>
              <w:tab w:val="left" w:pos="960"/>
              <w:tab w:val="right" w:leader="dot" w:pos="9016"/>
            </w:tabs>
            <w:rPr>
              <w:noProof/>
              <w:kern w:val="2"/>
              <w:sz w:val="24"/>
              <w:szCs w:val="24"/>
              <w:lang w:eastAsia="en-AU"/>
              <w14:ligatures w14:val="standardContextual"/>
            </w:rPr>
          </w:pPr>
          <w:hyperlink w:anchor="_Toc210050253" w:history="1">
            <w:r w:rsidR="00B173F8" w:rsidRPr="00993F27">
              <w:rPr>
                <w:rStyle w:val="Hyperlink"/>
                <w:noProof/>
              </w:rPr>
              <w:t>6.1</w:t>
            </w:r>
            <w:r w:rsidR="00B173F8">
              <w:rPr>
                <w:noProof/>
                <w:kern w:val="2"/>
                <w:sz w:val="24"/>
                <w:szCs w:val="24"/>
                <w:lang w:eastAsia="en-AU"/>
                <w14:ligatures w14:val="standardContextual"/>
              </w:rPr>
              <w:tab/>
            </w:r>
            <w:r w:rsidR="00B173F8" w:rsidRPr="00993F27">
              <w:rPr>
                <w:rStyle w:val="Hyperlink"/>
                <w:noProof/>
              </w:rPr>
              <w:t>Preferred option: Option 3 – Mandatory National Code</w:t>
            </w:r>
            <w:r w:rsidR="00B173F8">
              <w:rPr>
                <w:noProof/>
                <w:webHidden/>
              </w:rPr>
              <w:tab/>
            </w:r>
            <w:r w:rsidR="00B173F8">
              <w:rPr>
                <w:noProof/>
                <w:webHidden/>
              </w:rPr>
              <w:fldChar w:fldCharType="begin"/>
            </w:r>
            <w:r w:rsidR="00B173F8">
              <w:rPr>
                <w:noProof/>
                <w:webHidden/>
              </w:rPr>
              <w:instrText xml:space="preserve"> PAGEREF _Toc210050253 \h </w:instrText>
            </w:r>
            <w:r w:rsidR="00B173F8">
              <w:rPr>
                <w:noProof/>
                <w:webHidden/>
              </w:rPr>
            </w:r>
            <w:r w:rsidR="00B173F8">
              <w:rPr>
                <w:noProof/>
                <w:webHidden/>
              </w:rPr>
              <w:fldChar w:fldCharType="separate"/>
            </w:r>
            <w:r w:rsidR="002226CC">
              <w:rPr>
                <w:noProof/>
                <w:webHidden/>
              </w:rPr>
              <w:t>110</w:t>
            </w:r>
            <w:r w:rsidR="00B173F8">
              <w:rPr>
                <w:noProof/>
                <w:webHidden/>
              </w:rPr>
              <w:fldChar w:fldCharType="end"/>
            </w:r>
          </w:hyperlink>
        </w:p>
        <w:p w14:paraId="47AA8E0D" w14:textId="1DDEBF9D" w:rsidR="00B173F8" w:rsidRDefault="00631FA8">
          <w:pPr>
            <w:pStyle w:val="TOC2"/>
            <w:tabs>
              <w:tab w:val="left" w:pos="960"/>
              <w:tab w:val="right" w:leader="dot" w:pos="9016"/>
            </w:tabs>
            <w:rPr>
              <w:noProof/>
              <w:kern w:val="2"/>
              <w:sz w:val="24"/>
              <w:szCs w:val="24"/>
              <w:lang w:eastAsia="en-AU"/>
              <w14:ligatures w14:val="standardContextual"/>
            </w:rPr>
          </w:pPr>
          <w:hyperlink w:anchor="_Toc210050254" w:history="1">
            <w:r w:rsidR="00B173F8" w:rsidRPr="00993F27">
              <w:rPr>
                <w:rStyle w:val="Hyperlink"/>
                <w:noProof/>
              </w:rPr>
              <w:t>6.2</w:t>
            </w:r>
            <w:r w:rsidR="00B173F8">
              <w:rPr>
                <w:noProof/>
                <w:kern w:val="2"/>
                <w:sz w:val="24"/>
                <w:szCs w:val="24"/>
                <w:lang w:eastAsia="en-AU"/>
                <w14:ligatures w14:val="standardContextual"/>
              </w:rPr>
              <w:tab/>
            </w:r>
            <w:r w:rsidR="00B173F8" w:rsidRPr="00993F27">
              <w:rPr>
                <w:rStyle w:val="Hyperlink"/>
                <w:noProof/>
              </w:rPr>
              <w:t>Assessment and limitations of Option 1 – Maintain the status quo</w:t>
            </w:r>
            <w:r w:rsidR="00B173F8">
              <w:rPr>
                <w:noProof/>
                <w:webHidden/>
              </w:rPr>
              <w:tab/>
            </w:r>
            <w:r w:rsidR="00B173F8">
              <w:rPr>
                <w:noProof/>
                <w:webHidden/>
              </w:rPr>
              <w:fldChar w:fldCharType="begin"/>
            </w:r>
            <w:r w:rsidR="00B173F8">
              <w:rPr>
                <w:noProof/>
                <w:webHidden/>
              </w:rPr>
              <w:instrText xml:space="preserve"> PAGEREF _Toc210050254 \h </w:instrText>
            </w:r>
            <w:r w:rsidR="00B173F8">
              <w:rPr>
                <w:noProof/>
                <w:webHidden/>
              </w:rPr>
            </w:r>
            <w:r w:rsidR="00B173F8">
              <w:rPr>
                <w:noProof/>
                <w:webHidden/>
              </w:rPr>
              <w:fldChar w:fldCharType="separate"/>
            </w:r>
            <w:r w:rsidR="002226CC">
              <w:rPr>
                <w:noProof/>
                <w:webHidden/>
              </w:rPr>
              <w:t>112</w:t>
            </w:r>
            <w:r w:rsidR="00B173F8">
              <w:rPr>
                <w:noProof/>
                <w:webHidden/>
              </w:rPr>
              <w:fldChar w:fldCharType="end"/>
            </w:r>
          </w:hyperlink>
        </w:p>
        <w:p w14:paraId="7518567F" w14:textId="4386D153" w:rsidR="00B173F8" w:rsidRDefault="00631FA8">
          <w:pPr>
            <w:pStyle w:val="TOC2"/>
            <w:tabs>
              <w:tab w:val="left" w:pos="960"/>
              <w:tab w:val="right" w:leader="dot" w:pos="9016"/>
            </w:tabs>
            <w:rPr>
              <w:noProof/>
              <w:kern w:val="2"/>
              <w:sz w:val="24"/>
              <w:szCs w:val="24"/>
              <w:lang w:eastAsia="en-AU"/>
              <w14:ligatures w14:val="standardContextual"/>
            </w:rPr>
          </w:pPr>
          <w:hyperlink w:anchor="_Toc210050255" w:history="1">
            <w:r w:rsidR="00B173F8" w:rsidRPr="00993F27">
              <w:rPr>
                <w:rStyle w:val="Hyperlink"/>
                <w:noProof/>
              </w:rPr>
              <w:t>6.3</w:t>
            </w:r>
            <w:r w:rsidR="00B173F8">
              <w:rPr>
                <w:noProof/>
                <w:kern w:val="2"/>
                <w:sz w:val="24"/>
                <w:szCs w:val="24"/>
                <w:lang w:eastAsia="en-AU"/>
                <w14:ligatures w14:val="standardContextual"/>
              </w:rPr>
              <w:tab/>
            </w:r>
            <w:r w:rsidR="00B173F8" w:rsidRPr="00993F27">
              <w:rPr>
                <w:rStyle w:val="Hyperlink"/>
                <w:noProof/>
              </w:rPr>
              <w:t>Assessment and limitations of Option 2 – Voluntary self-regulation</w:t>
            </w:r>
            <w:r w:rsidR="00B173F8">
              <w:rPr>
                <w:noProof/>
                <w:webHidden/>
              </w:rPr>
              <w:tab/>
            </w:r>
            <w:r w:rsidR="00B173F8">
              <w:rPr>
                <w:noProof/>
                <w:webHidden/>
              </w:rPr>
              <w:fldChar w:fldCharType="begin"/>
            </w:r>
            <w:r w:rsidR="00B173F8">
              <w:rPr>
                <w:noProof/>
                <w:webHidden/>
              </w:rPr>
              <w:instrText xml:space="preserve"> PAGEREF _Toc210050255 \h </w:instrText>
            </w:r>
            <w:r w:rsidR="00B173F8">
              <w:rPr>
                <w:noProof/>
                <w:webHidden/>
              </w:rPr>
            </w:r>
            <w:r w:rsidR="00B173F8">
              <w:rPr>
                <w:noProof/>
                <w:webHidden/>
              </w:rPr>
              <w:fldChar w:fldCharType="separate"/>
            </w:r>
            <w:r w:rsidR="002226CC">
              <w:rPr>
                <w:noProof/>
                <w:webHidden/>
              </w:rPr>
              <w:t>113</w:t>
            </w:r>
            <w:r w:rsidR="00B173F8">
              <w:rPr>
                <w:noProof/>
                <w:webHidden/>
              </w:rPr>
              <w:fldChar w:fldCharType="end"/>
            </w:r>
          </w:hyperlink>
        </w:p>
        <w:p w14:paraId="41BB34CE" w14:textId="323CAA7A" w:rsidR="00B173F8" w:rsidRDefault="00631FA8">
          <w:pPr>
            <w:pStyle w:val="TOC2"/>
            <w:tabs>
              <w:tab w:val="left" w:pos="960"/>
              <w:tab w:val="right" w:leader="dot" w:pos="9016"/>
            </w:tabs>
            <w:rPr>
              <w:noProof/>
              <w:kern w:val="2"/>
              <w:sz w:val="24"/>
              <w:szCs w:val="24"/>
              <w:lang w:eastAsia="en-AU"/>
              <w14:ligatures w14:val="standardContextual"/>
            </w:rPr>
          </w:pPr>
          <w:hyperlink w:anchor="_Toc210050256" w:history="1">
            <w:r w:rsidR="00B173F8" w:rsidRPr="00993F27">
              <w:rPr>
                <w:rStyle w:val="Hyperlink"/>
                <w:noProof/>
              </w:rPr>
              <w:t>6.4</w:t>
            </w:r>
            <w:r w:rsidR="00B173F8">
              <w:rPr>
                <w:noProof/>
                <w:kern w:val="2"/>
                <w:sz w:val="24"/>
                <w:szCs w:val="24"/>
                <w:lang w:eastAsia="en-AU"/>
                <w14:ligatures w14:val="standardContextual"/>
              </w:rPr>
              <w:tab/>
            </w:r>
            <w:r w:rsidR="00B173F8" w:rsidRPr="00993F27">
              <w:rPr>
                <w:rStyle w:val="Hyperlink"/>
                <w:noProof/>
              </w:rPr>
              <w:t>Implementation of Option 3 – Mandatory National Code</w:t>
            </w:r>
            <w:r w:rsidR="00B173F8">
              <w:rPr>
                <w:noProof/>
                <w:webHidden/>
              </w:rPr>
              <w:tab/>
            </w:r>
            <w:r w:rsidR="00B173F8">
              <w:rPr>
                <w:noProof/>
                <w:webHidden/>
              </w:rPr>
              <w:fldChar w:fldCharType="begin"/>
            </w:r>
            <w:r w:rsidR="00B173F8">
              <w:rPr>
                <w:noProof/>
                <w:webHidden/>
              </w:rPr>
              <w:instrText xml:space="preserve"> PAGEREF _Toc210050256 \h </w:instrText>
            </w:r>
            <w:r w:rsidR="00B173F8">
              <w:rPr>
                <w:noProof/>
                <w:webHidden/>
              </w:rPr>
            </w:r>
            <w:r w:rsidR="00B173F8">
              <w:rPr>
                <w:noProof/>
                <w:webHidden/>
              </w:rPr>
              <w:fldChar w:fldCharType="separate"/>
            </w:r>
            <w:r w:rsidR="002226CC">
              <w:rPr>
                <w:noProof/>
                <w:webHidden/>
              </w:rPr>
              <w:t>115</w:t>
            </w:r>
            <w:r w:rsidR="00B173F8">
              <w:rPr>
                <w:noProof/>
                <w:webHidden/>
              </w:rPr>
              <w:fldChar w:fldCharType="end"/>
            </w:r>
          </w:hyperlink>
        </w:p>
        <w:p w14:paraId="45E5A79D" w14:textId="2677C039" w:rsidR="00B173F8" w:rsidRDefault="00631FA8">
          <w:pPr>
            <w:pStyle w:val="TOC2"/>
            <w:tabs>
              <w:tab w:val="left" w:pos="960"/>
              <w:tab w:val="right" w:leader="dot" w:pos="9016"/>
            </w:tabs>
            <w:rPr>
              <w:noProof/>
              <w:kern w:val="2"/>
              <w:sz w:val="24"/>
              <w:szCs w:val="24"/>
              <w:lang w:eastAsia="en-AU"/>
              <w14:ligatures w14:val="standardContextual"/>
            </w:rPr>
          </w:pPr>
          <w:hyperlink w:anchor="_Toc210050257" w:history="1">
            <w:r w:rsidR="00B173F8" w:rsidRPr="00993F27">
              <w:rPr>
                <w:rStyle w:val="Hyperlink"/>
                <w:noProof/>
              </w:rPr>
              <w:t>6.5</w:t>
            </w:r>
            <w:r w:rsidR="00B173F8">
              <w:rPr>
                <w:noProof/>
                <w:kern w:val="2"/>
                <w:sz w:val="24"/>
                <w:szCs w:val="24"/>
                <w:lang w:eastAsia="en-AU"/>
                <w14:ligatures w14:val="standardContextual"/>
              </w:rPr>
              <w:tab/>
            </w:r>
            <w:r w:rsidR="00B173F8" w:rsidRPr="00993F27">
              <w:rPr>
                <w:rStyle w:val="Hyperlink"/>
                <w:noProof/>
              </w:rPr>
              <w:t>Impact Analysis status at each major decision point</w:t>
            </w:r>
            <w:r w:rsidR="00B173F8">
              <w:rPr>
                <w:noProof/>
                <w:webHidden/>
              </w:rPr>
              <w:tab/>
            </w:r>
            <w:r w:rsidR="00B173F8">
              <w:rPr>
                <w:noProof/>
                <w:webHidden/>
              </w:rPr>
              <w:fldChar w:fldCharType="begin"/>
            </w:r>
            <w:r w:rsidR="00B173F8">
              <w:rPr>
                <w:noProof/>
                <w:webHidden/>
              </w:rPr>
              <w:instrText xml:space="preserve"> PAGEREF _Toc210050257 \h </w:instrText>
            </w:r>
            <w:r w:rsidR="00B173F8">
              <w:rPr>
                <w:noProof/>
                <w:webHidden/>
              </w:rPr>
            </w:r>
            <w:r w:rsidR="00B173F8">
              <w:rPr>
                <w:noProof/>
                <w:webHidden/>
              </w:rPr>
              <w:fldChar w:fldCharType="separate"/>
            </w:r>
            <w:r w:rsidR="002226CC">
              <w:rPr>
                <w:noProof/>
                <w:webHidden/>
              </w:rPr>
              <w:t>121</w:t>
            </w:r>
            <w:r w:rsidR="00B173F8">
              <w:rPr>
                <w:noProof/>
                <w:webHidden/>
              </w:rPr>
              <w:fldChar w:fldCharType="end"/>
            </w:r>
          </w:hyperlink>
        </w:p>
        <w:p w14:paraId="165C17A4" w14:textId="7809C89E" w:rsidR="00B173F8" w:rsidRDefault="00631FA8">
          <w:pPr>
            <w:pStyle w:val="TOC1"/>
            <w:tabs>
              <w:tab w:val="left" w:pos="440"/>
              <w:tab w:val="right" w:leader="dot" w:pos="9016"/>
            </w:tabs>
            <w:rPr>
              <w:noProof/>
              <w:kern w:val="2"/>
              <w:sz w:val="24"/>
              <w:szCs w:val="24"/>
              <w:lang w:eastAsia="en-AU"/>
              <w14:ligatures w14:val="standardContextual"/>
            </w:rPr>
          </w:pPr>
          <w:hyperlink w:anchor="_Toc210050258" w:history="1">
            <w:r w:rsidR="00B173F8" w:rsidRPr="00993F27">
              <w:rPr>
                <w:rStyle w:val="Hyperlink"/>
                <w:b/>
                <w:bCs/>
                <w:noProof/>
              </w:rPr>
              <w:t>7</w:t>
            </w:r>
            <w:r w:rsidR="00B173F8">
              <w:rPr>
                <w:noProof/>
                <w:kern w:val="2"/>
                <w:sz w:val="24"/>
                <w:szCs w:val="24"/>
                <w:lang w:eastAsia="en-AU"/>
                <w14:ligatures w14:val="standardContextual"/>
              </w:rPr>
              <w:tab/>
            </w:r>
            <w:r w:rsidR="00B173F8" w:rsidRPr="00993F27">
              <w:rPr>
                <w:rStyle w:val="Hyperlink"/>
                <w:b/>
                <w:bCs/>
                <w:noProof/>
              </w:rPr>
              <w:t>Chapter 7: How will you evaluate your chosen option against success metrics?</w:t>
            </w:r>
            <w:r w:rsidR="00B173F8">
              <w:rPr>
                <w:noProof/>
                <w:webHidden/>
              </w:rPr>
              <w:tab/>
            </w:r>
            <w:r w:rsidR="00B173F8">
              <w:rPr>
                <w:noProof/>
                <w:webHidden/>
              </w:rPr>
              <w:fldChar w:fldCharType="begin"/>
            </w:r>
            <w:r w:rsidR="00B173F8">
              <w:rPr>
                <w:noProof/>
                <w:webHidden/>
              </w:rPr>
              <w:instrText xml:space="preserve"> PAGEREF _Toc210050258 \h </w:instrText>
            </w:r>
            <w:r w:rsidR="00B173F8">
              <w:rPr>
                <w:noProof/>
                <w:webHidden/>
              </w:rPr>
            </w:r>
            <w:r w:rsidR="00B173F8">
              <w:rPr>
                <w:noProof/>
                <w:webHidden/>
              </w:rPr>
              <w:fldChar w:fldCharType="separate"/>
            </w:r>
            <w:r w:rsidR="002226CC">
              <w:rPr>
                <w:noProof/>
                <w:webHidden/>
              </w:rPr>
              <w:t>122</w:t>
            </w:r>
            <w:r w:rsidR="00B173F8">
              <w:rPr>
                <w:noProof/>
                <w:webHidden/>
              </w:rPr>
              <w:fldChar w:fldCharType="end"/>
            </w:r>
          </w:hyperlink>
        </w:p>
        <w:p w14:paraId="6603ADBE" w14:textId="1B24338E" w:rsidR="00B173F8" w:rsidRDefault="00631FA8">
          <w:pPr>
            <w:pStyle w:val="TOC2"/>
            <w:tabs>
              <w:tab w:val="left" w:pos="960"/>
              <w:tab w:val="right" w:leader="dot" w:pos="9016"/>
            </w:tabs>
            <w:rPr>
              <w:noProof/>
              <w:kern w:val="2"/>
              <w:sz w:val="24"/>
              <w:szCs w:val="24"/>
              <w:lang w:eastAsia="en-AU"/>
              <w14:ligatures w14:val="standardContextual"/>
            </w:rPr>
          </w:pPr>
          <w:hyperlink w:anchor="_Toc210050259" w:history="1">
            <w:r w:rsidR="00B173F8" w:rsidRPr="00993F27">
              <w:rPr>
                <w:rStyle w:val="Hyperlink"/>
                <w:noProof/>
              </w:rPr>
              <w:t>7.1</w:t>
            </w:r>
            <w:r w:rsidR="00B173F8">
              <w:rPr>
                <w:noProof/>
                <w:kern w:val="2"/>
                <w:sz w:val="24"/>
                <w:szCs w:val="24"/>
                <w:lang w:eastAsia="en-AU"/>
                <w14:ligatures w14:val="standardContextual"/>
              </w:rPr>
              <w:tab/>
            </w:r>
            <w:r w:rsidR="00B173F8" w:rsidRPr="00993F27">
              <w:rPr>
                <w:rStyle w:val="Hyperlink"/>
                <w:noProof/>
              </w:rPr>
              <w:t>Purpose and Objectives of Evaluation</w:t>
            </w:r>
            <w:r w:rsidR="00B173F8">
              <w:rPr>
                <w:noProof/>
                <w:webHidden/>
              </w:rPr>
              <w:tab/>
            </w:r>
            <w:r w:rsidR="00B173F8">
              <w:rPr>
                <w:noProof/>
                <w:webHidden/>
              </w:rPr>
              <w:fldChar w:fldCharType="begin"/>
            </w:r>
            <w:r w:rsidR="00B173F8">
              <w:rPr>
                <w:noProof/>
                <w:webHidden/>
              </w:rPr>
              <w:instrText xml:space="preserve"> PAGEREF _Toc210050259 \h </w:instrText>
            </w:r>
            <w:r w:rsidR="00B173F8">
              <w:rPr>
                <w:noProof/>
                <w:webHidden/>
              </w:rPr>
            </w:r>
            <w:r w:rsidR="00B173F8">
              <w:rPr>
                <w:noProof/>
                <w:webHidden/>
              </w:rPr>
              <w:fldChar w:fldCharType="separate"/>
            </w:r>
            <w:r w:rsidR="002226CC">
              <w:rPr>
                <w:noProof/>
                <w:webHidden/>
              </w:rPr>
              <w:t>122</w:t>
            </w:r>
            <w:r w:rsidR="00B173F8">
              <w:rPr>
                <w:noProof/>
                <w:webHidden/>
              </w:rPr>
              <w:fldChar w:fldCharType="end"/>
            </w:r>
          </w:hyperlink>
        </w:p>
        <w:p w14:paraId="362D3095" w14:textId="194BFF83" w:rsidR="00B173F8" w:rsidRDefault="00631FA8">
          <w:pPr>
            <w:pStyle w:val="TOC2"/>
            <w:tabs>
              <w:tab w:val="left" w:pos="960"/>
              <w:tab w:val="right" w:leader="dot" w:pos="9016"/>
            </w:tabs>
            <w:rPr>
              <w:noProof/>
              <w:kern w:val="2"/>
              <w:sz w:val="24"/>
              <w:szCs w:val="24"/>
              <w:lang w:eastAsia="en-AU"/>
              <w14:ligatures w14:val="standardContextual"/>
            </w:rPr>
          </w:pPr>
          <w:hyperlink w:anchor="_Toc210050260" w:history="1">
            <w:r w:rsidR="00B173F8" w:rsidRPr="00993F27">
              <w:rPr>
                <w:rStyle w:val="Hyperlink"/>
                <w:noProof/>
              </w:rPr>
              <w:t>7.2</w:t>
            </w:r>
            <w:r w:rsidR="00B173F8">
              <w:rPr>
                <w:noProof/>
                <w:kern w:val="2"/>
                <w:sz w:val="24"/>
                <w:szCs w:val="24"/>
                <w:lang w:eastAsia="en-AU"/>
                <w14:ligatures w14:val="standardContextual"/>
              </w:rPr>
              <w:tab/>
            </w:r>
            <w:r w:rsidR="00B173F8" w:rsidRPr="00993F27">
              <w:rPr>
                <w:rStyle w:val="Hyperlink"/>
                <w:noProof/>
              </w:rPr>
              <w:t>Evaluation framework</w:t>
            </w:r>
            <w:r w:rsidR="00B173F8">
              <w:rPr>
                <w:noProof/>
                <w:webHidden/>
              </w:rPr>
              <w:tab/>
            </w:r>
            <w:r w:rsidR="00B173F8">
              <w:rPr>
                <w:noProof/>
                <w:webHidden/>
              </w:rPr>
              <w:fldChar w:fldCharType="begin"/>
            </w:r>
            <w:r w:rsidR="00B173F8">
              <w:rPr>
                <w:noProof/>
                <w:webHidden/>
              </w:rPr>
              <w:instrText xml:space="preserve"> PAGEREF _Toc210050260 \h </w:instrText>
            </w:r>
            <w:r w:rsidR="00B173F8">
              <w:rPr>
                <w:noProof/>
                <w:webHidden/>
              </w:rPr>
            </w:r>
            <w:r w:rsidR="00B173F8">
              <w:rPr>
                <w:noProof/>
                <w:webHidden/>
              </w:rPr>
              <w:fldChar w:fldCharType="separate"/>
            </w:r>
            <w:r w:rsidR="002226CC">
              <w:rPr>
                <w:noProof/>
                <w:webHidden/>
              </w:rPr>
              <w:t>122</w:t>
            </w:r>
            <w:r w:rsidR="00B173F8">
              <w:rPr>
                <w:noProof/>
                <w:webHidden/>
              </w:rPr>
              <w:fldChar w:fldCharType="end"/>
            </w:r>
          </w:hyperlink>
        </w:p>
        <w:p w14:paraId="7EADA6CE" w14:textId="7BADD218" w:rsidR="00B173F8" w:rsidRDefault="00631FA8">
          <w:pPr>
            <w:pStyle w:val="TOC2"/>
            <w:tabs>
              <w:tab w:val="left" w:pos="960"/>
              <w:tab w:val="right" w:leader="dot" w:pos="9016"/>
            </w:tabs>
            <w:rPr>
              <w:noProof/>
              <w:kern w:val="2"/>
              <w:sz w:val="24"/>
              <w:szCs w:val="24"/>
              <w:lang w:eastAsia="en-AU"/>
              <w14:ligatures w14:val="standardContextual"/>
            </w:rPr>
          </w:pPr>
          <w:hyperlink w:anchor="_Toc210050261" w:history="1">
            <w:r w:rsidR="00B173F8" w:rsidRPr="00993F27">
              <w:rPr>
                <w:rStyle w:val="Hyperlink"/>
                <w:noProof/>
              </w:rPr>
              <w:t>7.3</w:t>
            </w:r>
            <w:r w:rsidR="00B173F8">
              <w:rPr>
                <w:noProof/>
                <w:kern w:val="2"/>
                <w:sz w:val="24"/>
                <w:szCs w:val="24"/>
                <w:lang w:eastAsia="en-AU"/>
                <w14:ligatures w14:val="standardContextual"/>
              </w:rPr>
              <w:tab/>
            </w:r>
            <w:r w:rsidR="00B173F8" w:rsidRPr="00993F27">
              <w:rPr>
                <w:rStyle w:val="Hyperlink"/>
                <w:noProof/>
              </w:rPr>
              <w:t>Points of evaluation</w:t>
            </w:r>
            <w:r w:rsidR="00B173F8">
              <w:rPr>
                <w:noProof/>
                <w:webHidden/>
              </w:rPr>
              <w:tab/>
            </w:r>
            <w:r w:rsidR="00B173F8">
              <w:rPr>
                <w:noProof/>
                <w:webHidden/>
              </w:rPr>
              <w:fldChar w:fldCharType="begin"/>
            </w:r>
            <w:r w:rsidR="00B173F8">
              <w:rPr>
                <w:noProof/>
                <w:webHidden/>
              </w:rPr>
              <w:instrText xml:space="preserve"> PAGEREF _Toc210050261 \h </w:instrText>
            </w:r>
            <w:r w:rsidR="00B173F8">
              <w:rPr>
                <w:noProof/>
                <w:webHidden/>
              </w:rPr>
            </w:r>
            <w:r w:rsidR="00B173F8">
              <w:rPr>
                <w:noProof/>
                <w:webHidden/>
              </w:rPr>
              <w:fldChar w:fldCharType="separate"/>
            </w:r>
            <w:r w:rsidR="002226CC">
              <w:rPr>
                <w:noProof/>
                <w:webHidden/>
              </w:rPr>
              <w:t>125</w:t>
            </w:r>
            <w:r w:rsidR="00B173F8">
              <w:rPr>
                <w:noProof/>
                <w:webHidden/>
              </w:rPr>
              <w:fldChar w:fldCharType="end"/>
            </w:r>
          </w:hyperlink>
        </w:p>
        <w:p w14:paraId="66E53581" w14:textId="039071F7" w:rsidR="00B173F8" w:rsidRDefault="00631FA8">
          <w:pPr>
            <w:pStyle w:val="TOC2"/>
            <w:tabs>
              <w:tab w:val="left" w:pos="960"/>
              <w:tab w:val="right" w:leader="dot" w:pos="9016"/>
            </w:tabs>
            <w:rPr>
              <w:noProof/>
              <w:kern w:val="2"/>
              <w:sz w:val="24"/>
              <w:szCs w:val="24"/>
              <w:lang w:eastAsia="en-AU"/>
              <w14:ligatures w14:val="standardContextual"/>
            </w:rPr>
          </w:pPr>
          <w:hyperlink w:anchor="_Toc210050262" w:history="1">
            <w:r w:rsidR="00B173F8" w:rsidRPr="00993F27">
              <w:rPr>
                <w:rStyle w:val="Hyperlink"/>
                <w:noProof/>
              </w:rPr>
              <w:t>7.4</w:t>
            </w:r>
            <w:r w:rsidR="00B173F8">
              <w:rPr>
                <w:noProof/>
                <w:kern w:val="2"/>
                <w:sz w:val="24"/>
                <w:szCs w:val="24"/>
                <w:lang w:eastAsia="en-AU"/>
                <w14:ligatures w14:val="standardContextual"/>
              </w:rPr>
              <w:tab/>
            </w:r>
            <w:r w:rsidR="00B173F8" w:rsidRPr="00993F27">
              <w:rPr>
                <w:rStyle w:val="Hyperlink"/>
                <w:noProof/>
              </w:rPr>
              <w:t>Success measures</w:t>
            </w:r>
            <w:r w:rsidR="00B173F8">
              <w:rPr>
                <w:noProof/>
                <w:webHidden/>
              </w:rPr>
              <w:tab/>
            </w:r>
            <w:r w:rsidR="00B173F8">
              <w:rPr>
                <w:noProof/>
                <w:webHidden/>
              </w:rPr>
              <w:fldChar w:fldCharType="begin"/>
            </w:r>
            <w:r w:rsidR="00B173F8">
              <w:rPr>
                <w:noProof/>
                <w:webHidden/>
              </w:rPr>
              <w:instrText xml:space="preserve"> PAGEREF _Toc210050262 \h </w:instrText>
            </w:r>
            <w:r w:rsidR="00B173F8">
              <w:rPr>
                <w:noProof/>
                <w:webHidden/>
              </w:rPr>
            </w:r>
            <w:r w:rsidR="00B173F8">
              <w:rPr>
                <w:noProof/>
                <w:webHidden/>
              </w:rPr>
              <w:fldChar w:fldCharType="separate"/>
            </w:r>
            <w:r w:rsidR="002226CC">
              <w:rPr>
                <w:noProof/>
                <w:webHidden/>
              </w:rPr>
              <w:t>129</w:t>
            </w:r>
            <w:r w:rsidR="00B173F8">
              <w:rPr>
                <w:noProof/>
                <w:webHidden/>
              </w:rPr>
              <w:fldChar w:fldCharType="end"/>
            </w:r>
          </w:hyperlink>
        </w:p>
        <w:p w14:paraId="02427BB2" w14:textId="1E0F80D0" w:rsidR="00B173F8" w:rsidRDefault="00631FA8">
          <w:pPr>
            <w:pStyle w:val="TOC2"/>
            <w:tabs>
              <w:tab w:val="left" w:pos="960"/>
              <w:tab w:val="right" w:leader="dot" w:pos="9016"/>
            </w:tabs>
            <w:rPr>
              <w:noProof/>
              <w:kern w:val="2"/>
              <w:sz w:val="24"/>
              <w:szCs w:val="24"/>
              <w:lang w:eastAsia="en-AU"/>
              <w14:ligatures w14:val="standardContextual"/>
            </w:rPr>
          </w:pPr>
          <w:hyperlink w:anchor="_Toc210050263" w:history="1">
            <w:r w:rsidR="00B173F8" w:rsidRPr="00993F27">
              <w:rPr>
                <w:rStyle w:val="Hyperlink"/>
                <w:noProof/>
              </w:rPr>
              <w:t>7.5</w:t>
            </w:r>
            <w:r w:rsidR="00B173F8">
              <w:rPr>
                <w:noProof/>
                <w:kern w:val="2"/>
                <w:sz w:val="24"/>
                <w:szCs w:val="24"/>
                <w:lang w:eastAsia="en-AU"/>
                <w14:ligatures w14:val="standardContextual"/>
              </w:rPr>
              <w:tab/>
            </w:r>
            <w:r w:rsidR="00B173F8" w:rsidRPr="00993F27">
              <w:rPr>
                <w:rStyle w:val="Hyperlink"/>
                <w:noProof/>
              </w:rPr>
              <w:t>Use of evaluation evidence to inform decision making</w:t>
            </w:r>
            <w:r w:rsidR="00B173F8">
              <w:rPr>
                <w:noProof/>
                <w:webHidden/>
              </w:rPr>
              <w:tab/>
            </w:r>
            <w:r w:rsidR="00B173F8">
              <w:rPr>
                <w:noProof/>
                <w:webHidden/>
              </w:rPr>
              <w:fldChar w:fldCharType="begin"/>
            </w:r>
            <w:r w:rsidR="00B173F8">
              <w:rPr>
                <w:noProof/>
                <w:webHidden/>
              </w:rPr>
              <w:instrText xml:space="preserve"> PAGEREF _Toc210050263 \h </w:instrText>
            </w:r>
            <w:r w:rsidR="00B173F8">
              <w:rPr>
                <w:noProof/>
                <w:webHidden/>
              </w:rPr>
            </w:r>
            <w:r w:rsidR="00B173F8">
              <w:rPr>
                <w:noProof/>
                <w:webHidden/>
              </w:rPr>
              <w:fldChar w:fldCharType="separate"/>
            </w:r>
            <w:r w:rsidR="002226CC">
              <w:rPr>
                <w:noProof/>
                <w:webHidden/>
              </w:rPr>
              <w:t>132</w:t>
            </w:r>
            <w:r w:rsidR="00B173F8">
              <w:rPr>
                <w:noProof/>
                <w:webHidden/>
              </w:rPr>
              <w:fldChar w:fldCharType="end"/>
            </w:r>
          </w:hyperlink>
        </w:p>
        <w:p w14:paraId="4B90095F" w14:textId="0C530B50" w:rsidR="00B173F8" w:rsidRDefault="00631FA8">
          <w:pPr>
            <w:pStyle w:val="TOC1"/>
            <w:tabs>
              <w:tab w:val="left" w:pos="440"/>
              <w:tab w:val="right" w:leader="dot" w:pos="9016"/>
            </w:tabs>
            <w:rPr>
              <w:noProof/>
              <w:kern w:val="2"/>
              <w:sz w:val="24"/>
              <w:szCs w:val="24"/>
              <w:lang w:eastAsia="en-AU"/>
              <w14:ligatures w14:val="standardContextual"/>
            </w:rPr>
          </w:pPr>
          <w:hyperlink w:anchor="_Toc210050264" w:history="1">
            <w:r w:rsidR="00B173F8" w:rsidRPr="00993F27">
              <w:rPr>
                <w:rStyle w:val="Hyperlink"/>
                <w:noProof/>
              </w:rPr>
              <w:t>8</w:t>
            </w:r>
            <w:r w:rsidR="00B173F8">
              <w:rPr>
                <w:noProof/>
                <w:kern w:val="2"/>
                <w:sz w:val="24"/>
                <w:szCs w:val="24"/>
                <w:lang w:eastAsia="en-AU"/>
                <w14:ligatures w14:val="standardContextual"/>
              </w:rPr>
              <w:tab/>
            </w:r>
            <w:r w:rsidR="00B173F8" w:rsidRPr="00993F27">
              <w:rPr>
                <w:rStyle w:val="Hyperlink"/>
                <w:noProof/>
              </w:rPr>
              <w:t>Glossary, acronyms, and abbreviations</w:t>
            </w:r>
            <w:r w:rsidR="00B173F8">
              <w:rPr>
                <w:noProof/>
                <w:webHidden/>
              </w:rPr>
              <w:tab/>
            </w:r>
            <w:r w:rsidR="00B173F8">
              <w:rPr>
                <w:noProof/>
                <w:webHidden/>
              </w:rPr>
              <w:fldChar w:fldCharType="begin"/>
            </w:r>
            <w:r w:rsidR="00B173F8">
              <w:rPr>
                <w:noProof/>
                <w:webHidden/>
              </w:rPr>
              <w:instrText xml:space="preserve"> PAGEREF _Toc210050264 \h </w:instrText>
            </w:r>
            <w:r w:rsidR="00B173F8">
              <w:rPr>
                <w:noProof/>
                <w:webHidden/>
              </w:rPr>
            </w:r>
            <w:r w:rsidR="00B173F8">
              <w:rPr>
                <w:noProof/>
                <w:webHidden/>
              </w:rPr>
              <w:fldChar w:fldCharType="separate"/>
            </w:r>
            <w:r w:rsidR="002226CC">
              <w:rPr>
                <w:noProof/>
                <w:webHidden/>
              </w:rPr>
              <w:t>134</w:t>
            </w:r>
            <w:r w:rsidR="00B173F8">
              <w:rPr>
                <w:noProof/>
                <w:webHidden/>
              </w:rPr>
              <w:fldChar w:fldCharType="end"/>
            </w:r>
          </w:hyperlink>
        </w:p>
        <w:p w14:paraId="6FC453B5" w14:textId="4E2D3712" w:rsidR="00B173F8" w:rsidRDefault="00631FA8">
          <w:pPr>
            <w:pStyle w:val="TOC1"/>
            <w:tabs>
              <w:tab w:val="left" w:pos="440"/>
              <w:tab w:val="right" w:leader="dot" w:pos="9016"/>
            </w:tabs>
            <w:rPr>
              <w:noProof/>
              <w:kern w:val="2"/>
              <w:sz w:val="24"/>
              <w:szCs w:val="24"/>
              <w:lang w:eastAsia="en-AU"/>
              <w14:ligatures w14:val="standardContextual"/>
            </w:rPr>
          </w:pPr>
          <w:hyperlink w:anchor="_Toc210050265" w:history="1">
            <w:r w:rsidR="00B173F8" w:rsidRPr="00993F27">
              <w:rPr>
                <w:rStyle w:val="Hyperlink"/>
                <w:noProof/>
              </w:rPr>
              <w:t>9</w:t>
            </w:r>
            <w:r w:rsidR="00B173F8">
              <w:rPr>
                <w:noProof/>
                <w:kern w:val="2"/>
                <w:sz w:val="24"/>
                <w:szCs w:val="24"/>
                <w:lang w:eastAsia="en-AU"/>
                <w14:ligatures w14:val="standardContextual"/>
              </w:rPr>
              <w:tab/>
            </w:r>
            <w:r w:rsidR="00B173F8" w:rsidRPr="00993F27">
              <w:rPr>
                <w:rStyle w:val="Hyperlink"/>
                <w:noProof/>
              </w:rPr>
              <w:t>Appendix A: Summary of key reports</w:t>
            </w:r>
            <w:r w:rsidR="00B173F8">
              <w:rPr>
                <w:noProof/>
                <w:webHidden/>
              </w:rPr>
              <w:tab/>
            </w:r>
            <w:r w:rsidR="00B173F8">
              <w:rPr>
                <w:noProof/>
                <w:webHidden/>
              </w:rPr>
              <w:fldChar w:fldCharType="begin"/>
            </w:r>
            <w:r w:rsidR="00B173F8">
              <w:rPr>
                <w:noProof/>
                <w:webHidden/>
              </w:rPr>
              <w:instrText xml:space="preserve"> PAGEREF _Toc210050265 \h </w:instrText>
            </w:r>
            <w:r w:rsidR="00B173F8">
              <w:rPr>
                <w:noProof/>
                <w:webHidden/>
              </w:rPr>
            </w:r>
            <w:r w:rsidR="00B173F8">
              <w:rPr>
                <w:noProof/>
                <w:webHidden/>
              </w:rPr>
              <w:fldChar w:fldCharType="separate"/>
            </w:r>
            <w:r w:rsidR="002226CC">
              <w:rPr>
                <w:noProof/>
                <w:webHidden/>
              </w:rPr>
              <w:t>136</w:t>
            </w:r>
            <w:r w:rsidR="00B173F8">
              <w:rPr>
                <w:noProof/>
                <w:webHidden/>
              </w:rPr>
              <w:fldChar w:fldCharType="end"/>
            </w:r>
          </w:hyperlink>
        </w:p>
        <w:p w14:paraId="59CC418F" w14:textId="0DB5229C" w:rsidR="00B173F8" w:rsidRDefault="00631FA8">
          <w:pPr>
            <w:pStyle w:val="TOC1"/>
            <w:tabs>
              <w:tab w:val="left" w:pos="720"/>
              <w:tab w:val="right" w:leader="dot" w:pos="9016"/>
            </w:tabs>
            <w:rPr>
              <w:noProof/>
              <w:kern w:val="2"/>
              <w:sz w:val="24"/>
              <w:szCs w:val="24"/>
              <w:lang w:eastAsia="en-AU"/>
              <w14:ligatures w14:val="standardContextual"/>
            </w:rPr>
          </w:pPr>
          <w:hyperlink w:anchor="_Toc210050266" w:history="1">
            <w:r w:rsidR="00B173F8" w:rsidRPr="00993F27">
              <w:rPr>
                <w:rStyle w:val="Hyperlink"/>
                <w:rFonts w:ascii="Aptos" w:hAnsi="Aptos"/>
                <w:noProof/>
              </w:rPr>
              <w:t>10</w:t>
            </w:r>
            <w:r w:rsidR="00B173F8">
              <w:rPr>
                <w:noProof/>
                <w:kern w:val="2"/>
                <w:sz w:val="24"/>
                <w:szCs w:val="24"/>
                <w:lang w:eastAsia="en-AU"/>
                <w14:ligatures w14:val="standardContextual"/>
              </w:rPr>
              <w:tab/>
            </w:r>
            <w:r w:rsidR="00B173F8" w:rsidRPr="00993F27">
              <w:rPr>
                <w:rStyle w:val="Hyperlink"/>
                <w:rFonts w:ascii="Aptos" w:hAnsi="Aptos"/>
                <w:noProof/>
              </w:rPr>
              <w:t>Appendix B: Current regulatory scope and limitations to regulating GBV</w:t>
            </w:r>
            <w:r w:rsidR="00B173F8">
              <w:rPr>
                <w:noProof/>
                <w:webHidden/>
              </w:rPr>
              <w:tab/>
            </w:r>
            <w:r w:rsidR="00B173F8">
              <w:rPr>
                <w:noProof/>
                <w:webHidden/>
              </w:rPr>
              <w:fldChar w:fldCharType="begin"/>
            </w:r>
            <w:r w:rsidR="00B173F8">
              <w:rPr>
                <w:noProof/>
                <w:webHidden/>
              </w:rPr>
              <w:instrText xml:space="preserve"> PAGEREF _Toc210050266 \h </w:instrText>
            </w:r>
            <w:r w:rsidR="00B173F8">
              <w:rPr>
                <w:noProof/>
                <w:webHidden/>
              </w:rPr>
            </w:r>
            <w:r w:rsidR="00B173F8">
              <w:rPr>
                <w:noProof/>
                <w:webHidden/>
              </w:rPr>
              <w:fldChar w:fldCharType="separate"/>
            </w:r>
            <w:r w:rsidR="002226CC">
              <w:rPr>
                <w:noProof/>
                <w:webHidden/>
              </w:rPr>
              <w:t>138</w:t>
            </w:r>
            <w:r w:rsidR="00B173F8">
              <w:rPr>
                <w:noProof/>
                <w:webHidden/>
              </w:rPr>
              <w:fldChar w:fldCharType="end"/>
            </w:r>
          </w:hyperlink>
        </w:p>
        <w:p w14:paraId="0BFC0011" w14:textId="2B862FDA" w:rsidR="00B173F8" w:rsidRDefault="00631FA8">
          <w:pPr>
            <w:pStyle w:val="TOC1"/>
            <w:tabs>
              <w:tab w:val="left" w:pos="720"/>
              <w:tab w:val="right" w:leader="dot" w:pos="9016"/>
            </w:tabs>
            <w:rPr>
              <w:noProof/>
              <w:kern w:val="2"/>
              <w:sz w:val="24"/>
              <w:szCs w:val="24"/>
              <w:lang w:eastAsia="en-AU"/>
              <w14:ligatures w14:val="standardContextual"/>
            </w:rPr>
          </w:pPr>
          <w:hyperlink w:anchor="_Toc210050267" w:history="1">
            <w:r w:rsidR="00B173F8" w:rsidRPr="00993F27">
              <w:rPr>
                <w:rStyle w:val="Hyperlink"/>
                <w:rFonts w:ascii="Aptos" w:hAnsi="Aptos"/>
                <w:noProof/>
              </w:rPr>
              <w:t>11</w:t>
            </w:r>
            <w:r w:rsidR="00B173F8">
              <w:rPr>
                <w:noProof/>
                <w:kern w:val="2"/>
                <w:sz w:val="24"/>
                <w:szCs w:val="24"/>
                <w:lang w:eastAsia="en-AU"/>
                <w14:ligatures w14:val="standardContextual"/>
              </w:rPr>
              <w:tab/>
            </w:r>
            <w:r w:rsidR="00B173F8" w:rsidRPr="00993F27">
              <w:rPr>
                <w:rStyle w:val="Hyperlink"/>
                <w:rFonts w:ascii="Aptos" w:hAnsi="Aptos"/>
                <w:noProof/>
              </w:rPr>
              <w:t>Appendix C: Cost-benefit analysis of the proposed National Higher Education Code to Prevent and Respond to Gender-based Violence</w:t>
            </w:r>
            <w:r w:rsidR="00B173F8">
              <w:rPr>
                <w:noProof/>
                <w:webHidden/>
              </w:rPr>
              <w:tab/>
            </w:r>
            <w:r w:rsidR="00B173F8">
              <w:rPr>
                <w:noProof/>
                <w:webHidden/>
              </w:rPr>
              <w:fldChar w:fldCharType="begin"/>
            </w:r>
            <w:r w:rsidR="00B173F8">
              <w:rPr>
                <w:noProof/>
                <w:webHidden/>
              </w:rPr>
              <w:instrText xml:space="preserve"> PAGEREF _Toc210050267 \h </w:instrText>
            </w:r>
            <w:r w:rsidR="00B173F8">
              <w:rPr>
                <w:noProof/>
                <w:webHidden/>
              </w:rPr>
            </w:r>
            <w:r w:rsidR="00B173F8">
              <w:rPr>
                <w:noProof/>
                <w:webHidden/>
              </w:rPr>
              <w:fldChar w:fldCharType="separate"/>
            </w:r>
            <w:r w:rsidR="002226CC">
              <w:rPr>
                <w:noProof/>
                <w:webHidden/>
              </w:rPr>
              <w:t>140</w:t>
            </w:r>
            <w:r w:rsidR="00B173F8">
              <w:rPr>
                <w:noProof/>
                <w:webHidden/>
              </w:rPr>
              <w:fldChar w:fldCharType="end"/>
            </w:r>
          </w:hyperlink>
        </w:p>
        <w:p w14:paraId="0C32E20D" w14:textId="5D9B3BFB" w:rsidR="00BA524C" w:rsidRPr="00D72928" w:rsidRDefault="0073317D" w:rsidP="0073317D">
          <w:pPr>
            <w:pStyle w:val="TOC1"/>
            <w:tabs>
              <w:tab w:val="left" w:pos="440"/>
              <w:tab w:val="right" w:leader="dot" w:pos="9016"/>
            </w:tabs>
            <w:rPr>
              <w:sz w:val="20"/>
              <w:szCs w:val="20"/>
            </w:rPr>
          </w:pPr>
          <w:r>
            <w:rPr>
              <w:sz w:val="20"/>
              <w:szCs w:val="20"/>
            </w:rPr>
            <w:fldChar w:fldCharType="end"/>
          </w:r>
        </w:p>
      </w:sdtContent>
    </w:sdt>
    <w:p w14:paraId="272B6B0B" w14:textId="537ED7CF" w:rsidR="00B01829" w:rsidRPr="00F77C98" w:rsidRDefault="002D451F" w:rsidP="00F77C98">
      <w:r>
        <w:br w:type="page"/>
      </w:r>
    </w:p>
    <w:p w14:paraId="50C2B651" w14:textId="7FACD203" w:rsidR="00430A6B" w:rsidRPr="00FF512F" w:rsidRDefault="00F77C98" w:rsidP="00F77C98">
      <w:pPr>
        <w:spacing w:line="240" w:lineRule="auto"/>
        <w:rPr>
          <w:sz w:val="48"/>
          <w:szCs w:val="48"/>
        </w:rPr>
      </w:pPr>
      <w:r w:rsidRPr="00FF512F">
        <w:rPr>
          <w:sz w:val="48"/>
          <w:szCs w:val="48"/>
        </w:rPr>
        <w:lastRenderedPageBreak/>
        <w:t>E</w:t>
      </w:r>
      <w:r>
        <w:rPr>
          <w:sz w:val="48"/>
          <w:szCs w:val="48"/>
        </w:rPr>
        <w:t>x</w:t>
      </w:r>
      <w:r w:rsidRPr="00FF512F">
        <w:rPr>
          <w:sz w:val="48"/>
          <w:szCs w:val="48"/>
        </w:rPr>
        <w:t>ecutive</w:t>
      </w:r>
      <w:r w:rsidR="00430A6B" w:rsidRPr="00FF512F">
        <w:rPr>
          <w:sz w:val="48"/>
          <w:szCs w:val="48"/>
        </w:rPr>
        <w:t xml:space="preserve"> Summary</w:t>
      </w:r>
    </w:p>
    <w:p w14:paraId="58D92EF8" w14:textId="76DD62F5" w:rsidR="00430A6B" w:rsidRPr="00FF512F" w:rsidRDefault="00A07533" w:rsidP="006C0414">
      <w:pPr>
        <w:rPr>
          <w:szCs w:val="22"/>
        </w:rPr>
      </w:pPr>
      <w:r>
        <w:rPr>
          <w:szCs w:val="22"/>
        </w:rPr>
        <w:t>Gender-based Violence</w:t>
      </w:r>
      <w:r w:rsidR="00954BFD">
        <w:rPr>
          <w:szCs w:val="22"/>
        </w:rPr>
        <w:t xml:space="preserve"> </w:t>
      </w:r>
      <w:r w:rsidR="00430A6B" w:rsidRPr="00FF512F">
        <w:rPr>
          <w:szCs w:val="22"/>
        </w:rPr>
        <w:t>(</w:t>
      </w:r>
      <w:r w:rsidR="008223FC">
        <w:rPr>
          <w:szCs w:val="22"/>
        </w:rPr>
        <w:t>GBV</w:t>
      </w:r>
      <w:r w:rsidR="00430A6B" w:rsidRPr="00FF512F">
        <w:rPr>
          <w:szCs w:val="22"/>
        </w:rPr>
        <w:t xml:space="preserve">) is a pervasive and systemic issue in Australian higher education, undermining the safety, wellbeing, and educational outcomes of students and staff. Despite existing obligations under various regulatory frameworks, evidence from national surveys, independent reviews, and stakeholder consultations reveals students and staff continue to be let down by inconsistent and inadequate institutional responses and a lack of coordinated government action. </w:t>
      </w:r>
      <w:r w:rsidR="003C18E3" w:rsidRPr="00FF512F">
        <w:rPr>
          <w:szCs w:val="22"/>
        </w:rPr>
        <w:t>This Impact Analysis</w:t>
      </w:r>
      <w:r w:rsidR="00977AA2">
        <w:rPr>
          <w:szCs w:val="22"/>
        </w:rPr>
        <w:t xml:space="preserve"> (IA)</w:t>
      </w:r>
      <w:r w:rsidR="003C18E3" w:rsidRPr="00FF512F">
        <w:rPr>
          <w:szCs w:val="22"/>
        </w:rPr>
        <w:t xml:space="preserve"> recommends the introduction of a </w:t>
      </w:r>
      <w:r w:rsidR="002921F7">
        <w:rPr>
          <w:szCs w:val="22"/>
        </w:rPr>
        <w:t>m</w:t>
      </w:r>
      <w:r w:rsidR="003C18E3" w:rsidRPr="00FF512F">
        <w:rPr>
          <w:szCs w:val="22"/>
        </w:rPr>
        <w:t xml:space="preserve">andatory National Higher Education </w:t>
      </w:r>
      <w:r w:rsidR="008743F1">
        <w:rPr>
          <w:szCs w:val="22"/>
        </w:rPr>
        <w:t>National Code</w:t>
      </w:r>
      <w:r w:rsidR="003C18E3" w:rsidRPr="00FF512F">
        <w:rPr>
          <w:szCs w:val="22"/>
        </w:rPr>
        <w:t xml:space="preserve"> to Prevent and Respond to </w:t>
      </w:r>
      <w:r w:rsidR="00F45378">
        <w:rPr>
          <w:szCs w:val="22"/>
        </w:rPr>
        <w:t>Gender-</w:t>
      </w:r>
      <w:r w:rsidR="00100DD6">
        <w:rPr>
          <w:szCs w:val="22"/>
        </w:rPr>
        <w:t xml:space="preserve">based </w:t>
      </w:r>
      <w:r w:rsidR="002921F7">
        <w:rPr>
          <w:szCs w:val="22"/>
        </w:rPr>
        <w:t>V</w:t>
      </w:r>
      <w:r w:rsidR="00100DD6">
        <w:rPr>
          <w:szCs w:val="22"/>
        </w:rPr>
        <w:t>iolence</w:t>
      </w:r>
      <w:r w:rsidR="002921F7">
        <w:rPr>
          <w:szCs w:val="22"/>
        </w:rPr>
        <w:t xml:space="preserve"> (National Code)</w:t>
      </w:r>
      <w:r w:rsidR="003C18E3" w:rsidRPr="00FF512F">
        <w:rPr>
          <w:szCs w:val="22"/>
        </w:rPr>
        <w:t> as the preferred policy option to address these systemic failures.</w:t>
      </w:r>
    </w:p>
    <w:p w14:paraId="5A6F5F80" w14:textId="2687CC88" w:rsidR="001861B3" w:rsidRPr="00FF512F" w:rsidRDefault="003C18E3" w:rsidP="006C0414">
      <w:pPr>
        <w:rPr>
          <w:szCs w:val="22"/>
        </w:rPr>
      </w:pPr>
      <w:r w:rsidRPr="00FF512F">
        <w:rPr>
          <w:szCs w:val="22"/>
        </w:rPr>
        <w:t xml:space="preserve">The IA identifies six core elements of the policy problem: </w:t>
      </w:r>
      <w:r w:rsidR="008223FC">
        <w:rPr>
          <w:szCs w:val="22"/>
        </w:rPr>
        <w:t>GBV</w:t>
      </w:r>
      <w:r w:rsidRPr="00FF512F">
        <w:rPr>
          <w:szCs w:val="22"/>
        </w:rPr>
        <w:t xml:space="preserve"> is prevalent and underreported; it has significant impacts on health, wellbeing, and educational and career outcomes; it disproportionately affects women and girls experiencing intersecting forms of</w:t>
      </w:r>
      <w:r w:rsidR="008E3928">
        <w:rPr>
          <w:szCs w:val="22"/>
        </w:rPr>
        <w:t xml:space="preserve"> inequalities and discrimination</w:t>
      </w:r>
      <w:r w:rsidRPr="00FF512F">
        <w:rPr>
          <w:szCs w:val="22"/>
        </w:rPr>
        <w:t xml:space="preserve">; previous efforts have been </w:t>
      </w:r>
      <w:r w:rsidR="00A92B53">
        <w:rPr>
          <w:szCs w:val="22"/>
        </w:rPr>
        <w:t>reactive</w:t>
      </w:r>
      <w:r w:rsidRPr="00FF512F">
        <w:rPr>
          <w:szCs w:val="22"/>
        </w:rPr>
        <w:t xml:space="preserve"> and under-resourced; data availability is insufficient to support accountability; and the current regulatory framework lacks the specificity and enforceability required to drive change.</w:t>
      </w:r>
    </w:p>
    <w:p w14:paraId="348D7CC4" w14:textId="6CBC8341" w:rsidR="00675656" w:rsidRPr="00FF512F" w:rsidRDefault="001861B3" w:rsidP="006C0414">
      <w:pPr>
        <w:rPr>
          <w:szCs w:val="22"/>
        </w:rPr>
      </w:pPr>
      <w:r w:rsidRPr="00FF512F">
        <w:rPr>
          <w:szCs w:val="22"/>
        </w:rPr>
        <w:t xml:space="preserve">To address the policy problem, this IA outlines key objectives aligned with the </w:t>
      </w:r>
      <w:r w:rsidRPr="00FF512F">
        <w:rPr>
          <w:b/>
          <w:bCs/>
          <w:i/>
          <w:iCs/>
          <w:szCs w:val="22"/>
        </w:rPr>
        <w:t>National Plan to End Violence Against Women and Children 2022-2032,</w:t>
      </w:r>
      <w:r w:rsidRPr="00FF512F">
        <w:rPr>
          <w:szCs w:val="22"/>
        </w:rPr>
        <w:t xml:space="preserve"> including reducing the prevalence of </w:t>
      </w:r>
      <w:r w:rsidR="008223FC">
        <w:rPr>
          <w:szCs w:val="22"/>
        </w:rPr>
        <w:t>GBV</w:t>
      </w:r>
      <w:r w:rsidRPr="00FF512F">
        <w:rPr>
          <w:szCs w:val="22"/>
        </w:rPr>
        <w:t>, embedding trauma-informed and person-centred support, addressing compounded vulnerabilities, strengthening data collection, and establishing enforceable standards.</w:t>
      </w:r>
    </w:p>
    <w:p w14:paraId="54063080" w14:textId="77777777" w:rsidR="00B52DBE" w:rsidRDefault="00675656" w:rsidP="006C0414">
      <w:pPr>
        <w:rPr>
          <w:szCs w:val="22"/>
        </w:rPr>
      </w:pPr>
      <w:r w:rsidRPr="00675656">
        <w:rPr>
          <w:szCs w:val="22"/>
        </w:rPr>
        <w:t>Three policy options were considered</w:t>
      </w:r>
      <w:r w:rsidR="00FF512F" w:rsidRPr="00FF512F">
        <w:rPr>
          <w:szCs w:val="22"/>
        </w:rPr>
        <w:t xml:space="preserve">: </w:t>
      </w:r>
    </w:p>
    <w:p w14:paraId="4600B199" w14:textId="77777777" w:rsidR="00B52DBE" w:rsidRDefault="00675656" w:rsidP="00F57E56">
      <w:pPr>
        <w:pStyle w:val="ListParagraph"/>
        <w:numPr>
          <w:ilvl w:val="0"/>
          <w:numId w:val="198"/>
        </w:numPr>
        <w:contextualSpacing w:val="0"/>
        <w:rPr>
          <w:szCs w:val="22"/>
        </w:rPr>
      </w:pPr>
      <w:r w:rsidRPr="00675656">
        <w:rPr>
          <w:szCs w:val="22"/>
        </w:rPr>
        <w:t xml:space="preserve">Maintaining the </w:t>
      </w:r>
      <w:r w:rsidRPr="00FF512F">
        <w:rPr>
          <w:szCs w:val="22"/>
        </w:rPr>
        <w:t>status quo</w:t>
      </w:r>
    </w:p>
    <w:p w14:paraId="6B8B493F" w14:textId="77777777" w:rsidR="00B52DBE" w:rsidRDefault="00B52DBE" w:rsidP="00F57E56">
      <w:pPr>
        <w:pStyle w:val="ListParagraph"/>
        <w:numPr>
          <w:ilvl w:val="0"/>
          <w:numId w:val="198"/>
        </w:numPr>
        <w:contextualSpacing w:val="0"/>
        <w:rPr>
          <w:szCs w:val="22"/>
        </w:rPr>
      </w:pPr>
      <w:r>
        <w:rPr>
          <w:szCs w:val="22"/>
        </w:rPr>
        <w:t>V</w:t>
      </w:r>
      <w:r w:rsidR="00675656" w:rsidRPr="00B52DBE">
        <w:rPr>
          <w:szCs w:val="22"/>
        </w:rPr>
        <w:t>oluntary</w:t>
      </w:r>
      <w:r w:rsidR="00675656" w:rsidRPr="00675656">
        <w:rPr>
          <w:szCs w:val="22"/>
        </w:rPr>
        <w:t xml:space="preserve"> self-regulation through an optional </w:t>
      </w:r>
      <w:r w:rsidR="008743F1">
        <w:rPr>
          <w:szCs w:val="22"/>
        </w:rPr>
        <w:t>National Code</w:t>
      </w:r>
    </w:p>
    <w:p w14:paraId="0992DCC6" w14:textId="3EE68997" w:rsidR="00675656" w:rsidRPr="00675656" w:rsidRDefault="00B52DBE" w:rsidP="00F57E56">
      <w:pPr>
        <w:pStyle w:val="ListParagraph"/>
        <w:numPr>
          <w:ilvl w:val="0"/>
          <w:numId w:val="198"/>
        </w:numPr>
        <w:contextualSpacing w:val="0"/>
        <w:rPr>
          <w:szCs w:val="22"/>
        </w:rPr>
      </w:pPr>
      <w:r>
        <w:rPr>
          <w:szCs w:val="22"/>
        </w:rPr>
        <w:t>I</w:t>
      </w:r>
      <w:r w:rsidR="00675656" w:rsidRPr="00B52DBE">
        <w:rPr>
          <w:szCs w:val="22"/>
        </w:rPr>
        <w:t>ntroducing</w:t>
      </w:r>
      <w:r w:rsidR="00675656" w:rsidRPr="00675656">
        <w:rPr>
          <w:szCs w:val="22"/>
        </w:rPr>
        <w:t xml:space="preserve"> a mandatory </w:t>
      </w:r>
      <w:r w:rsidR="008743F1">
        <w:rPr>
          <w:szCs w:val="22"/>
        </w:rPr>
        <w:t>National Code</w:t>
      </w:r>
      <w:r w:rsidR="00675656" w:rsidRPr="00675656">
        <w:rPr>
          <w:szCs w:val="22"/>
        </w:rPr>
        <w:t xml:space="preserve"> via legislation.</w:t>
      </w:r>
    </w:p>
    <w:p w14:paraId="48E209DD" w14:textId="025620BD" w:rsidR="00675656" w:rsidRDefault="00675656" w:rsidP="006C0414">
      <w:pPr>
        <w:rPr>
          <w:szCs w:val="22"/>
        </w:rPr>
      </w:pPr>
      <w:r w:rsidRPr="00675656">
        <w:rPr>
          <w:szCs w:val="22"/>
        </w:rPr>
        <w:t>Option 3 is recommended as it offers the greatest net benefit relative to implementation effort. It mandates a whole-of-organisation approach across seven key domains:</w:t>
      </w:r>
      <w:r w:rsidRPr="00FF512F">
        <w:rPr>
          <w:szCs w:val="22"/>
        </w:rPr>
        <w:t xml:space="preserve"> accountable</w:t>
      </w:r>
      <w:r w:rsidRPr="00675656">
        <w:rPr>
          <w:szCs w:val="22"/>
        </w:rPr>
        <w:t xml:space="preserve"> leadership and governance</w:t>
      </w:r>
      <w:r w:rsidRPr="00FF512F">
        <w:rPr>
          <w:szCs w:val="22"/>
        </w:rPr>
        <w:t>; s</w:t>
      </w:r>
      <w:r w:rsidRPr="00675656">
        <w:rPr>
          <w:szCs w:val="22"/>
        </w:rPr>
        <w:t>afe environments and systems;</w:t>
      </w:r>
      <w:r w:rsidRPr="00FF512F">
        <w:rPr>
          <w:szCs w:val="22"/>
        </w:rPr>
        <w:t xml:space="preserve"> k</w:t>
      </w:r>
      <w:r w:rsidRPr="00675656">
        <w:rPr>
          <w:szCs w:val="22"/>
        </w:rPr>
        <w:t>nowledge and capability-building</w:t>
      </w:r>
      <w:r w:rsidRPr="00FF512F">
        <w:rPr>
          <w:szCs w:val="22"/>
        </w:rPr>
        <w:t>; s</w:t>
      </w:r>
      <w:r w:rsidRPr="00675656">
        <w:rPr>
          <w:szCs w:val="22"/>
        </w:rPr>
        <w:t>afety and support services;</w:t>
      </w:r>
      <w:r w:rsidRPr="00FF512F">
        <w:rPr>
          <w:szCs w:val="22"/>
        </w:rPr>
        <w:t xml:space="preserve"> s</w:t>
      </w:r>
      <w:r w:rsidRPr="00675656">
        <w:rPr>
          <w:szCs w:val="22"/>
        </w:rPr>
        <w:t>afe and timely processes;</w:t>
      </w:r>
      <w:r w:rsidRPr="00FF512F">
        <w:rPr>
          <w:szCs w:val="22"/>
        </w:rPr>
        <w:t xml:space="preserve"> d</w:t>
      </w:r>
      <w:r w:rsidRPr="00675656">
        <w:rPr>
          <w:szCs w:val="22"/>
        </w:rPr>
        <w:t xml:space="preserve">ata, evidence, and </w:t>
      </w:r>
      <w:r w:rsidRPr="00FF512F">
        <w:rPr>
          <w:szCs w:val="22"/>
        </w:rPr>
        <w:t>impact; safe</w:t>
      </w:r>
      <w:r w:rsidRPr="00675656">
        <w:rPr>
          <w:szCs w:val="22"/>
        </w:rPr>
        <w:t xml:space="preserve"> student accommodation.</w:t>
      </w:r>
    </w:p>
    <w:p w14:paraId="49EE1F0B" w14:textId="238801D8" w:rsidR="00F41381" w:rsidRDefault="00FA3011" w:rsidP="006C0414">
      <w:pPr>
        <w:rPr>
          <w:szCs w:val="22"/>
        </w:rPr>
      </w:pPr>
      <w:r>
        <w:rPr>
          <w:szCs w:val="22"/>
        </w:rPr>
        <w:t>The IA estimates</w:t>
      </w:r>
      <w:r w:rsidR="00F41381">
        <w:rPr>
          <w:szCs w:val="22"/>
        </w:rPr>
        <w:t xml:space="preserve"> the total costs and</w:t>
      </w:r>
      <w:r w:rsidR="00F41381">
        <w:rPr>
          <w:szCs w:val="18"/>
        </w:rPr>
        <w:t xml:space="preserve"> benefits of the National Code </w:t>
      </w:r>
      <w:r w:rsidR="00F41381">
        <w:rPr>
          <w:szCs w:val="22"/>
        </w:rPr>
        <w:t>to be:</w:t>
      </w:r>
    </w:p>
    <w:p w14:paraId="4B791F85" w14:textId="71A9A0D7" w:rsidR="00F41381" w:rsidRPr="002F6C85" w:rsidRDefault="00F41381" w:rsidP="002F6C85">
      <w:pPr>
        <w:pStyle w:val="ListParagraph"/>
        <w:numPr>
          <w:ilvl w:val="0"/>
          <w:numId w:val="227"/>
        </w:numPr>
        <w:contextualSpacing w:val="0"/>
        <w:rPr>
          <w:b/>
          <w:bCs/>
          <w:szCs w:val="18"/>
        </w:rPr>
      </w:pPr>
      <w:r w:rsidRPr="00F41381">
        <w:rPr>
          <w:szCs w:val="22"/>
        </w:rPr>
        <w:t xml:space="preserve">Total costs </w:t>
      </w:r>
      <w:r w:rsidRPr="00F41381">
        <w:rPr>
          <w:szCs w:val="18"/>
        </w:rPr>
        <w:t>over a ten-year period are $1.2 billion, with an average annual regulatory burden of $173.2 million</w:t>
      </w:r>
      <w:r w:rsidR="00F81799">
        <w:rPr>
          <w:szCs w:val="18"/>
        </w:rPr>
        <w:t>.</w:t>
      </w:r>
    </w:p>
    <w:p w14:paraId="00BB0DB5" w14:textId="6CE3715D" w:rsidR="00F41381" w:rsidRPr="002F6C85" w:rsidRDefault="00F41381" w:rsidP="002F6C85">
      <w:pPr>
        <w:pStyle w:val="ListParagraph"/>
        <w:numPr>
          <w:ilvl w:val="0"/>
          <w:numId w:val="227"/>
        </w:numPr>
        <w:contextualSpacing w:val="0"/>
        <w:rPr>
          <w:b/>
          <w:bCs/>
          <w:szCs w:val="18"/>
        </w:rPr>
      </w:pPr>
      <w:r>
        <w:rPr>
          <w:szCs w:val="18"/>
        </w:rPr>
        <w:t xml:space="preserve">Total benefits </w:t>
      </w:r>
      <w:r w:rsidRPr="00F41381">
        <w:rPr>
          <w:szCs w:val="18"/>
        </w:rPr>
        <w:t>over a ten-year period are $3.5 billion, with an average annual benefit of $533.7 million</w:t>
      </w:r>
      <w:r>
        <w:rPr>
          <w:szCs w:val="18"/>
        </w:rPr>
        <w:t xml:space="preserve"> (measured against the three economy wide benefit streams - prevention of GBV, improved responses to disclosures and formal reports, and enhanced safety within higher education environments)</w:t>
      </w:r>
      <w:r w:rsidR="00F81799">
        <w:rPr>
          <w:szCs w:val="18"/>
        </w:rPr>
        <w:t>.</w:t>
      </w:r>
    </w:p>
    <w:p w14:paraId="50DDB24A" w14:textId="77777777" w:rsidR="00F41381" w:rsidRPr="002F6C85" w:rsidRDefault="00F41381" w:rsidP="002F6C85">
      <w:pPr>
        <w:pStyle w:val="ListParagraph"/>
        <w:numPr>
          <w:ilvl w:val="0"/>
          <w:numId w:val="227"/>
        </w:numPr>
        <w:contextualSpacing w:val="0"/>
        <w:rPr>
          <w:b/>
          <w:bCs/>
          <w:szCs w:val="18"/>
        </w:rPr>
      </w:pPr>
      <w:r>
        <w:rPr>
          <w:szCs w:val="18"/>
        </w:rPr>
        <w:t xml:space="preserve">Total net benefits </w:t>
      </w:r>
      <w:r w:rsidR="00FA3011" w:rsidRPr="00F41381">
        <w:rPr>
          <w:szCs w:val="18"/>
        </w:rPr>
        <w:t xml:space="preserve">over a ten-year period are $2.3 billion, with an average annual net benefit of $355.8 million. </w:t>
      </w:r>
    </w:p>
    <w:p w14:paraId="5C4B04B6" w14:textId="54B935D6" w:rsidR="009C1150" w:rsidRPr="002F6C85" w:rsidRDefault="00FA3011" w:rsidP="002F6C85">
      <w:pPr>
        <w:rPr>
          <w:b/>
          <w:bCs/>
          <w:szCs w:val="18"/>
        </w:rPr>
      </w:pPr>
      <w:r w:rsidRPr="00F41381">
        <w:rPr>
          <w:szCs w:val="18"/>
        </w:rPr>
        <w:lastRenderedPageBreak/>
        <w:t xml:space="preserve">If all three benefit streams </w:t>
      </w:r>
      <w:r w:rsidR="00F41381">
        <w:rPr>
          <w:szCs w:val="18"/>
        </w:rPr>
        <w:t xml:space="preserve">above </w:t>
      </w:r>
      <w:r w:rsidRPr="00F41381">
        <w:rPr>
          <w:szCs w:val="18"/>
        </w:rPr>
        <w:t>are realised</w:t>
      </w:r>
      <w:r w:rsidR="00F41381">
        <w:rPr>
          <w:szCs w:val="18"/>
        </w:rPr>
        <w:t xml:space="preserve">, the National Code will have a </w:t>
      </w:r>
      <w:r w:rsidRPr="00F41381">
        <w:rPr>
          <w:szCs w:val="18"/>
        </w:rPr>
        <w:t xml:space="preserve">benefit-cost ratio of 3, meaning for every $1 spent there is a $3 return. The break-even analysis (BEA) determines the point at which the costs and benefits of a policy intervention are equal. It is difficult to estimate specific timeframes in which the benefits of preventing and responding to </w:t>
      </w:r>
      <w:r w:rsidR="00FC6A67">
        <w:rPr>
          <w:szCs w:val="18"/>
        </w:rPr>
        <w:t>GBV</w:t>
      </w:r>
      <w:r w:rsidRPr="00F41381">
        <w:rPr>
          <w:szCs w:val="18"/>
        </w:rPr>
        <w:t xml:space="preserve"> will occur. Instead, what the BEA analysis can reveal is that preventing just </w:t>
      </w:r>
      <w:r w:rsidRPr="002F6C85">
        <w:rPr>
          <w:szCs w:val="18"/>
        </w:rPr>
        <w:t>1.2% of physical and sexual assault cases</w:t>
      </w:r>
      <w:r w:rsidRPr="00F41381">
        <w:rPr>
          <w:szCs w:val="18"/>
        </w:rPr>
        <w:t> on campus (approximately </w:t>
      </w:r>
      <w:r w:rsidRPr="002F6C85">
        <w:rPr>
          <w:szCs w:val="18"/>
        </w:rPr>
        <w:t>414 cases annually across 211 providers</w:t>
      </w:r>
      <w:r w:rsidRPr="00F41381">
        <w:rPr>
          <w:szCs w:val="18"/>
        </w:rPr>
        <w:t>) would be sufficient to offset the National Code’s implementation costs. This represents the minimum effectiveness required for the National Code to deliver net benefit based on prevention alone.</w:t>
      </w:r>
    </w:p>
    <w:p w14:paraId="4B92DED0" w14:textId="110CB919" w:rsidR="00FD6E15" w:rsidRPr="00FD6E15" w:rsidRDefault="009C1150" w:rsidP="006C0414">
      <w:pPr>
        <w:rPr>
          <w:szCs w:val="18"/>
        </w:rPr>
      </w:pPr>
      <w:r>
        <w:rPr>
          <w:szCs w:val="18"/>
        </w:rPr>
        <w:t xml:space="preserve">The National Code </w:t>
      </w:r>
      <w:r w:rsidR="00FD6E15">
        <w:rPr>
          <w:szCs w:val="18"/>
        </w:rPr>
        <w:t xml:space="preserve">also </w:t>
      </w:r>
      <w:r>
        <w:rPr>
          <w:szCs w:val="18"/>
        </w:rPr>
        <w:t xml:space="preserve">has broader impacts and benefits including improving women’s workforce participation and leadership, improved student satisfaction and retention, increased community awareness, and the ability to change social norms. The National Code will improve the higher education sector by </w:t>
      </w:r>
      <w:r w:rsidRPr="008A12FC">
        <w:rPr>
          <w:szCs w:val="18"/>
        </w:rPr>
        <w:t>strength</w:t>
      </w:r>
      <w:r>
        <w:rPr>
          <w:szCs w:val="18"/>
        </w:rPr>
        <w:t>ening</w:t>
      </w:r>
      <w:r w:rsidRPr="008A12FC">
        <w:rPr>
          <w:szCs w:val="18"/>
        </w:rPr>
        <w:t xml:space="preserve"> leadership,</w:t>
      </w:r>
      <w:r>
        <w:rPr>
          <w:szCs w:val="18"/>
        </w:rPr>
        <w:t xml:space="preserve"> building the national data base of GBV,</w:t>
      </w:r>
      <w:r w:rsidRPr="008A12FC">
        <w:rPr>
          <w:szCs w:val="18"/>
        </w:rPr>
        <w:t xml:space="preserve"> </w:t>
      </w:r>
      <w:r>
        <w:rPr>
          <w:szCs w:val="18"/>
        </w:rPr>
        <w:t xml:space="preserve">embedding </w:t>
      </w:r>
      <w:r w:rsidRPr="008A12FC">
        <w:rPr>
          <w:szCs w:val="18"/>
        </w:rPr>
        <w:t xml:space="preserve">trauma-informed support services, and </w:t>
      </w:r>
      <w:r>
        <w:rPr>
          <w:szCs w:val="18"/>
        </w:rPr>
        <w:t>implementing inclusive</w:t>
      </w:r>
      <w:r w:rsidRPr="008A12FC">
        <w:rPr>
          <w:szCs w:val="18"/>
        </w:rPr>
        <w:t xml:space="preserve"> practices for</w:t>
      </w:r>
      <w:r>
        <w:rPr>
          <w:szCs w:val="18"/>
        </w:rPr>
        <w:t xml:space="preserve"> groups that are</w:t>
      </w:r>
      <w:r w:rsidRPr="008A12FC">
        <w:rPr>
          <w:szCs w:val="18"/>
        </w:rPr>
        <w:t xml:space="preserve"> disproportionately affected </w:t>
      </w:r>
      <w:r>
        <w:rPr>
          <w:szCs w:val="18"/>
        </w:rPr>
        <w:t xml:space="preserve">by </w:t>
      </w:r>
      <w:r w:rsidR="00FD6E15">
        <w:rPr>
          <w:szCs w:val="18"/>
        </w:rPr>
        <w:t xml:space="preserve">GBV. </w:t>
      </w:r>
      <w:r w:rsidRPr="008A12FC">
        <w:rPr>
          <w:szCs w:val="18"/>
        </w:rPr>
        <w:t>The</w:t>
      </w:r>
      <w:r>
        <w:rPr>
          <w:szCs w:val="18"/>
        </w:rPr>
        <w:t xml:space="preserve"> estimated costs, benefits and net benefits </w:t>
      </w:r>
      <w:r w:rsidRPr="008A12FC">
        <w:rPr>
          <w:szCs w:val="18"/>
        </w:rPr>
        <w:t>are supported by consultation</w:t>
      </w:r>
      <w:r>
        <w:rPr>
          <w:szCs w:val="18"/>
        </w:rPr>
        <w:t>s</w:t>
      </w:r>
      <w:r w:rsidRPr="008A12FC">
        <w:rPr>
          <w:szCs w:val="18"/>
        </w:rPr>
        <w:t xml:space="preserve"> with </w:t>
      </w:r>
      <w:r w:rsidR="00F119E1">
        <w:rPr>
          <w:szCs w:val="18"/>
        </w:rPr>
        <w:t>p</w:t>
      </w:r>
      <w:r>
        <w:rPr>
          <w:szCs w:val="18"/>
        </w:rPr>
        <w:t xml:space="preserve">roviders, </w:t>
      </w:r>
      <w:r w:rsidRPr="008A12FC">
        <w:rPr>
          <w:szCs w:val="18"/>
        </w:rPr>
        <w:t>students, staff, victim-survivors</w:t>
      </w:r>
      <w:r>
        <w:rPr>
          <w:szCs w:val="18"/>
        </w:rPr>
        <w:t xml:space="preserve"> of GBV</w:t>
      </w:r>
      <w:r w:rsidRPr="008A12FC">
        <w:rPr>
          <w:szCs w:val="18"/>
        </w:rPr>
        <w:t xml:space="preserve">, advocacy organisations, and </w:t>
      </w:r>
      <w:r>
        <w:rPr>
          <w:szCs w:val="18"/>
        </w:rPr>
        <w:t xml:space="preserve">student </w:t>
      </w:r>
      <w:r w:rsidRPr="008A12FC">
        <w:rPr>
          <w:szCs w:val="18"/>
        </w:rPr>
        <w:t>accommodation providers</w:t>
      </w:r>
      <w:r>
        <w:rPr>
          <w:szCs w:val="18"/>
        </w:rPr>
        <w:t>.</w:t>
      </w:r>
    </w:p>
    <w:p w14:paraId="1CA79DD6" w14:textId="77777777" w:rsidR="00675656" w:rsidRPr="00675656" w:rsidRDefault="00675656" w:rsidP="006C0414">
      <w:pPr>
        <w:rPr>
          <w:szCs w:val="22"/>
        </w:rPr>
      </w:pPr>
      <w:r w:rsidRPr="00675656">
        <w:rPr>
          <w:szCs w:val="22"/>
        </w:rPr>
        <w:t>The IA is informed by extensive consultation with students, staff, victim-survivors, advocacy organisations, accommodation providers, and government agencies. Stakeholders overwhelmingly support mandatory regulation, citing the failure of voluntary measures to deliver meaningful change. Evaluation will be guided by a robust framework, including annual data reporting, monitoring of institutional outcomes, independent evaluations, and public reporting to Parliament.</w:t>
      </w:r>
    </w:p>
    <w:p w14:paraId="0843BC59" w14:textId="1A2801D3" w:rsidR="002B2336" w:rsidRPr="002921F7" w:rsidRDefault="00675656" w:rsidP="006C0414">
      <w:pPr>
        <w:rPr>
          <w:szCs w:val="22"/>
        </w:rPr>
      </w:pPr>
      <w:r w:rsidRPr="00675656">
        <w:rPr>
          <w:szCs w:val="22"/>
        </w:rPr>
        <w:t xml:space="preserve">The introduction of a </w:t>
      </w:r>
      <w:r w:rsidR="00B52DBE">
        <w:rPr>
          <w:szCs w:val="22"/>
        </w:rPr>
        <w:t>m</w:t>
      </w:r>
      <w:r w:rsidRPr="0058FEE2">
        <w:rPr>
          <w:szCs w:val="22"/>
        </w:rPr>
        <w:t>andatory</w:t>
      </w:r>
      <w:r w:rsidRPr="00675656">
        <w:rPr>
          <w:szCs w:val="22"/>
        </w:rPr>
        <w:t xml:space="preserve"> </w:t>
      </w:r>
      <w:r w:rsidR="008743F1">
        <w:rPr>
          <w:szCs w:val="22"/>
        </w:rPr>
        <w:t>National Code</w:t>
      </w:r>
      <w:r w:rsidRPr="00675656">
        <w:rPr>
          <w:szCs w:val="22"/>
        </w:rPr>
        <w:t xml:space="preserve"> represents a critical step in addressing </w:t>
      </w:r>
      <w:r w:rsidR="00100DD6">
        <w:rPr>
          <w:szCs w:val="22"/>
        </w:rPr>
        <w:t>gender-based violence</w:t>
      </w:r>
      <w:r w:rsidRPr="00675656">
        <w:rPr>
          <w:szCs w:val="22"/>
        </w:rPr>
        <w:t xml:space="preserve"> in higher education. It aligns with national priorities, responds to stakeholder calls for action, and establishes a consistent, enforceable framework to ensure safety, accountability, and cultural change across the sector.</w:t>
      </w:r>
      <w:r w:rsidR="002921F7">
        <w:rPr>
          <w:szCs w:val="22"/>
        </w:rPr>
        <w:t xml:space="preserve"> </w:t>
      </w:r>
      <w:r w:rsidR="00430A6B" w:rsidRPr="00FF512F">
        <w:rPr>
          <w:rFonts w:ascii="Aptos" w:hAnsi="Aptos" w:cs="Calibri"/>
          <w:iCs/>
          <w:szCs w:val="22"/>
        </w:rPr>
        <w:t>The</w:t>
      </w:r>
      <w:r w:rsidR="00F45378">
        <w:rPr>
          <w:rFonts w:ascii="Aptos" w:hAnsi="Aptos" w:cs="Calibri"/>
          <w:iCs/>
          <w:szCs w:val="22"/>
        </w:rPr>
        <w:t xml:space="preserve"> De</w:t>
      </w:r>
      <w:r w:rsidR="00430A6B" w:rsidRPr="00FF512F">
        <w:rPr>
          <w:rFonts w:ascii="Aptos" w:hAnsi="Aptos" w:cs="Calibri"/>
          <w:iCs/>
          <w:szCs w:val="22"/>
        </w:rPr>
        <w:t xml:space="preserve">partment </w:t>
      </w:r>
      <w:r w:rsidR="00F45378">
        <w:rPr>
          <w:rFonts w:ascii="Aptos" w:hAnsi="Aptos" w:cs="Calibri"/>
          <w:iCs/>
          <w:szCs w:val="22"/>
        </w:rPr>
        <w:t xml:space="preserve">of Education </w:t>
      </w:r>
      <w:r w:rsidR="00430A6B" w:rsidRPr="00FF512F">
        <w:rPr>
          <w:rFonts w:ascii="Aptos" w:hAnsi="Aptos" w:cs="Calibri"/>
          <w:iCs/>
          <w:szCs w:val="22"/>
        </w:rPr>
        <w:t xml:space="preserve">acknowledges the contributions of the individuals and organisations that have shaped the direction of this reform. </w:t>
      </w:r>
      <w:r w:rsidR="002B2336" w:rsidRPr="00FF512F">
        <w:rPr>
          <w:szCs w:val="22"/>
        </w:rPr>
        <w:br w:type="page"/>
      </w:r>
    </w:p>
    <w:p w14:paraId="5A800644" w14:textId="77777777" w:rsidR="004B1AF5" w:rsidRPr="00FF512F" w:rsidRDefault="004B1AF5" w:rsidP="004B1AF5">
      <w:pPr>
        <w:pStyle w:val="Title"/>
        <w:rPr>
          <w:sz w:val="52"/>
          <w:szCs w:val="52"/>
        </w:rPr>
      </w:pPr>
      <w:r w:rsidRPr="00FF512F">
        <w:rPr>
          <w:sz w:val="52"/>
          <w:szCs w:val="52"/>
        </w:rPr>
        <w:lastRenderedPageBreak/>
        <w:t>Background</w:t>
      </w:r>
    </w:p>
    <w:p w14:paraId="265002EF" w14:textId="3184197B" w:rsidR="004B1AF5" w:rsidRPr="009B0D59" w:rsidRDefault="004B1AF5" w:rsidP="004B1AF5">
      <w:pPr>
        <w:pStyle w:val="BodyText"/>
        <w:spacing w:after="120"/>
        <w:rPr>
          <w:rFonts w:ascii="Aptos" w:eastAsia="Aptos" w:hAnsi="Aptos" w:cs="Calibri"/>
        </w:rPr>
      </w:pPr>
      <w:r w:rsidRPr="009B0D59">
        <w:rPr>
          <w:rFonts w:ascii="Aptos" w:eastAsia="Aptos" w:hAnsi="Aptos" w:cs="Calibri"/>
        </w:rPr>
        <w:t>On 23 February 2024, Education Ministers endorsed a coordinated national approach to driving cultural and structural reform across the higher education sector</w:t>
      </w:r>
      <w:r w:rsidR="00B67BE4">
        <w:rPr>
          <w:rFonts w:ascii="Aptos" w:eastAsia="Aptos" w:hAnsi="Aptos" w:cs="Calibri"/>
        </w:rPr>
        <w:t>,</w:t>
      </w:r>
      <w:r w:rsidRPr="009B0D59">
        <w:rPr>
          <w:rFonts w:ascii="Aptos" w:eastAsia="Aptos" w:hAnsi="Aptos" w:cs="Calibri"/>
        </w:rPr>
        <w:t xml:space="preserve"> releasing the </w:t>
      </w:r>
      <w:r w:rsidRPr="009B0D59">
        <w:rPr>
          <w:rFonts w:ascii="Aptos" w:eastAsia="Aptos" w:hAnsi="Aptos" w:cs="Calibri"/>
          <w:i/>
          <w:iCs/>
        </w:rPr>
        <w:t xml:space="preserve">Action Plan Addressing </w:t>
      </w:r>
      <w:r w:rsidR="00B7771B" w:rsidRPr="009B0D59">
        <w:rPr>
          <w:rFonts w:ascii="Aptos" w:eastAsia="Aptos" w:hAnsi="Aptos" w:cs="Calibri"/>
          <w:i/>
          <w:iCs/>
        </w:rPr>
        <w:t>G</w:t>
      </w:r>
      <w:r w:rsidR="00867C4C">
        <w:rPr>
          <w:rFonts w:ascii="Aptos" w:eastAsia="Aptos" w:hAnsi="Aptos" w:cs="Calibri"/>
          <w:i/>
          <w:iCs/>
        </w:rPr>
        <w:t xml:space="preserve">ender-based </w:t>
      </w:r>
      <w:r w:rsidR="00B7771B" w:rsidRPr="009B0D59">
        <w:rPr>
          <w:rFonts w:ascii="Aptos" w:eastAsia="Aptos" w:hAnsi="Aptos" w:cs="Calibri"/>
          <w:i/>
          <w:iCs/>
        </w:rPr>
        <w:t>V</w:t>
      </w:r>
      <w:r w:rsidR="00867C4C">
        <w:rPr>
          <w:rFonts w:ascii="Aptos" w:eastAsia="Aptos" w:hAnsi="Aptos" w:cs="Calibri"/>
          <w:i/>
          <w:iCs/>
        </w:rPr>
        <w:t>iolence</w:t>
      </w:r>
      <w:r w:rsidRPr="009B0D59">
        <w:rPr>
          <w:rFonts w:ascii="Aptos" w:eastAsia="Aptos" w:hAnsi="Aptos" w:cs="Calibri"/>
          <w:i/>
          <w:iCs/>
        </w:rPr>
        <w:t xml:space="preserve"> in Higher Education </w:t>
      </w:r>
      <w:r w:rsidRPr="009B0D59">
        <w:rPr>
          <w:rFonts w:ascii="Aptos" w:eastAsia="Aptos" w:hAnsi="Aptos" w:cs="Calibri"/>
        </w:rPr>
        <w:t xml:space="preserve">(the Action Plan). The Action Plan supports the </w:t>
      </w:r>
      <w:r w:rsidRPr="009B0D59">
        <w:rPr>
          <w:rFonts w:ascii="Aptos" w:eastAsia="Aptos" w:hAnsi="Aptos" w:cs="Calibri"/>
          <w:i/>
          <w:iCs/>
        </w:rPr>
        <w:t xml:space="preserve">National Plan to End Violence against Women and Children 2022–2032 </w:t>
      </w:r>
      <w:r w:rsidRPr="009B0D59">
        <w:rPr>
          <w:rFonts w:ascii="Aptos" w:eastAsia="Aptos" w:hAnsi="Aptos" w:cs="Calibri"/>
        </w:rPr>
        <w:t xml:space="preserve">(National Plan), Australia’s overarching policy framework to end </w:t>
      </w:r>
      <w:r w:rsidR="00B7771B" w:rsidRPr="009B0D59">
        <w:rPr>
          <w:rFonts w:ascii="Aptos" w:eastAsia="Aptos" w:hAnsi="Aptos" w:cs="Calibri"/>
        </w:rPr>
        <w:t>GBV</w:t>
      </w:r>
      <w:r w:rsidRPr="009B0D59">
        <w:rPr>
          <w:rFonts w:ascii="Aptos" w:eastAsia="Aptos" w:hAnsi="Aptos" w:cs="Calibri"/>
        </w:rPr>
        <w:t xml:space="preserve"> within a generation. </w:t>
      </w:r>
    </w:p>
    <w:p w14:paraId="4AE3B6A8" w14:textId="10FD7BE1" w:rsidR="004B1AF5" w:rsidRPr="009B0D59" w:rsidRDefault="004B1AF5" w:rsidP="004B1AF5">
      <w:pPr>
        <w:pStyle w:val="BodyText"/>
        <w:spacing w:after="120"/>
        <w:rPr>
          <w:rFonts w:ascii="Aptos" w:eastAsia="Aptos" w:hAnsi="Aptos" w:cs="Calibri"/>
        </w:rPr>
      </w:pPr>
      <w:r w:rsidRPr="009B0D59">
        <w:rPr>
          <w:rFonts w:ascii="Aptos" w:eastAsia="Aptos" w:hAnsi="Aptos" w:cs="Calibri"/>
        </w:rPr>
        <w:t>The Action Plan outlines seven actions to strengthen the performance and accountability of the higher education sector (university and non-university providers), including:</w:t>
      </w:r>
    </w:p>
    <w:p w14:paraId="1CE3198F" w14:textId="77777777" w:rsidR="004B1AF5" w:rsidRPr="009B0D59" w:rsidRDefault="004B1AF5" w:rsidP="008D4824">
      <w:pPr>
        <w:pStyle w:val="ListParagraph"/>
        <w:numPr>
          <w:ilvl w:val="0"/>
          <w:numId w:val="151"/>
        </w:numPr>
        <w:spacing w:before="120" w:after="120" w:line="240" w:lineRule="auto"/>
        <w:ind w:left="426"/>
        <w:rPr>
          <w:rFonts w:ascii="Aptos" w:hAnsi="Aptos" w:cs="Calibri"/>
          <w:szCs w:val="22"/>
        </w:rPr>
      </w:pPr>
      <w:r w:rsidRPr="009B0D59">
        <w:rPr>
          <w:rFonts w:ascii="Aptos" w:hAnsi="Aptos" w:cs="Calibri"/>
          <w:szCs w:val="22"/>
        </w:rPr>
        <w:t>Establishment of a National Student Ombudsman</w:t>
      </w:r>
    </w:p>
    <w:p w14:paraId="4F584436" w14:textId="42D3D2B5" w:rsidR="004B1AF5" w:rsidRPr="009B0D59" w:rsidRDefault="00723901" w:rsidP="008D4824">
      <w:pPr>
        <w:pStyle w:val="ListParagraph"/>
        <w:numPr>
          <w:ilvl w:val="0"/>
          <w:numId w:val="151"/>
        </w:numPr>
        <w:spacing w:before="120" w:after="120" w:line="240" w:lineRule="auto"/>
        <w:ind w:left="426"/>
        <w:rPr>
          <w:rFonts w:ascii="Aptos" w:hAnsi="Aptos" w:cs="Calibri"/>
          <w:szCs w:val="22"/>
        </w:rPr>
      </w:pPr>
      <w:r>
        <w:rPr>
          <w:rFonts w:ascii="Aptos" w:hAnsi="Aptos" w:cs="Calibri"/>
          <w:szCs w:val="22"/>
        </w:rPr>
        <w:t>Requiring</w:t>
      </w:r>
      <w:r w:rsidR="004B1AF5" w:rsidRPr="009B0D59">
        <w:rPr>
          <w:rFonts w:ascii="Aptos" w:hAnsi="Aptos" w:cs="Calibri"/>
          <w:szCs w:val="22"/>
        </w:rPr>
        <w:t xml:space="preserve"> all higher education providers to implement a whole-of-organisation approach to prevent and respond to </w:t>
      </w:r>
      <w:r w:rsidR="00B7771B" w:rsidRPr="009B0D59">
        <w:rPr>
          <w:rFonts w:ascii="Aptos" w:hAnsi="Aptos" w:cs="Calibri"/>
          <w:szCs w:val="22"/>
        </w:rPr>
        <w:t>GBV</w:t>
      </w:r>
    </w:p>
    <w:p w14:paraId="083DAD7A" w14:textId="53473368" w:rsidR="004B1AF5" w:rsidRPr="009B0D59" w:rsidRDefault="004B1AF5" w:rsidP="008D4824">
      <w:pPr>
        <w:pStyle w:val="ListParagraph"/>
        <w:numPr>
          <w:ilvl w:val="0"/>
          <w:numId w:val="151"/>
        </w:numPr>
        <w:spacing w:before="120" w:after="120" w:line="240" w:lineRule="auto"/>
        <w:ind w:left="426"/>
        <w:rPr>
          <w:rFonts w:ascii="Aptos" w:hAnsi="Aptos" w:cs="Calibri"/>
          <w:szCs w:val="22"/>
        </w:rPr>
      </w:pPr>
      <w:r w:rsidRPr="009B0D59">
        <w:rPr>
          <w:rFonts w:ascii="Aptos" w:hAnsi="Aptos" w:cs="Calibri"/>
          <w:szCs w:val="22"/>
        </w:rPr>
        <w:t>Introduc</w:t>
      </w:r>
      <w:r w:rsidR="00226E15">
        <w:rPr>
          <w:rFonts w:ascii="Aptos" w:hAnsi="Aptos" w:cs="Calibri"/>
          <w:szCs w:val="22"/>
        </w:rPr>
        <w:t>ing</w:t>
      </w:r>
      <w:r w:rsidRPr="009B0D59">
        <w:rPr>
          <w:rFonts w:ascii="Aptos" w:hAnsi="Aptos" w:cs="Calibri"/>
          <w:szCs w:val="22"/>
        </w:rPr>
        <w:t xml:space="preserve"> a National Higher Education </w:t>
      </w:r>
      <w:r w:rsidR="008743F1" w:rsidRPr="009B0D59">
        <w:rPr>
          <w:rFonts w:ascii="Aptos" w:hAnsi="Aptos" w:cs="Calibri"/>
          <w:szCs w:val="22"/>
        </w:rPr>
        <w:t>Code</w:t>
      </w:r>
      <w:r w:rsidRPr="009B0D59">
        <w:rPr>
          <w:rFonts w:ascii="Aptos" w:hAnsi="Aptos" w:cs="Calibri"/>
          <w:szCs w:val="22"/>
        </w:rPr>
        <w:t xml:space="preserve"> to Prevent and Respond to </w:t>
      </w:r>
      <w:r w:rsidR="00252B31">
        <w:rPr>
          <w:rFonts w:ascii="Aptos" w:hAnsi="Aptos" w:cs="Calibri"/>
          <w:szCs w:val="22"/>
        </w:rPr>
        <w:t>Gender-</w:t>
      </w:r>
      <w:r w:rsidR="006B296A">
        <w:rPr>
          <w:rFonts w:ascii="Aptos" w:hAnsi="Aptos" w:cs="Calibri"/>
          <w:szCs w:val="22"/>
        </w:rPr>
        <w:t>based</w:t>
      </w:r>
      <w:r w:rsidR="006B296A" w:rsidRPr="009B0D59">
        <w:rPr>
          <w:rFonts w:ascii="Aptos" w:hAnsi="Aptos" w:cs="Calibri"/>
          <w:szCs w:val="22"/>
        </w:rPr>
        <w:t xml:space="preserve"> </w:t>
      </w:r>
      <w:r w:rsidR="004A1422">
        <w:rPr>
          <w:rFonts w:ascii="Aptos" w:hAnsi="Aptos" w:cs="Calibri"/>
          <w:szCs w:val="22"/>
        </w:rPr>
        <w:t>V</w:t>
      </w:r>
      <w:r w:rsidR="006B296A" w:rsidRPr="009B0D59">
        <w:rPr>
          <w:rFonts w:ascii="Aptos" w:hAnsi="Aptos" w:cs="Calibri"/>
          <w:szCs w:val="22"/>
        </w:rPr>
        <w:t>iolence</w:t>
      </w:r>
      <w:r w:rsidRPr="009B0D59">
        <w:rPr>
          <w:rFonts w:ascii="Aptos" w:hAnsi="Aptos" w:cs="Calibri"/>
          <w:szCs w:val="22"/>
        </w:rPr>
        <w:t xml:space="preserve"> (</w:t>
      </w:r>
      <w:r w:rsidR="008743F1" w:rsidRPr="009B0D59">
        <w:rPr>
          <w:rFonts w:ascii="Aptos" w:hAnsi="Aptos" w:cs="Calibri"/>
          <w:szCs w:val="22"/>
        </w:rPr>
        <w:t>National Code</w:t>
      </w:r>
      <w:r w:rsidRPr="009B0D59">
        <w:rPr>
          <w:rFonts w:ascii="Aptos" w:hAnsi="Aptos" w:cs="Calibri"/>
          <w:szCs w:val="22"/>
        </w:rPr>
        <w:t>)</w:t>
      </w:r>
    </w:p>
    <w:p w14:paraId="4134DD57" w14:textId="77777777" w:rsidR="004B1AF5" w:rsidRPr="009B0D59" w:rsidRDefault="004B1AF5" w:rsidP="008D4824">
      <w:pPr>
        <w:pStyle w:val="ListParagraph"/>
        <w:numPr>
          <w:ilvl w:val="0"/>
          <w:numId w:val="151"/>
        </w:numPr>
        <w:spacing w:before="120" w:after="120" w:line="240" w:lineRule="auto"/>
        <w:ind w:left="426"/>
        <w:rPr>
          <w:rFonts w:ascii="Aptos" w:hAnsi="Aptos" w:cs="Calibri"/>
          <w:szCs w:val="22"/>
        </w:rPr>
      </w:pPr>
      <w:r w:rsidRPr="009B0D59">
        <w:rPr>
          <w:rFonts w:ascii="Aptos" w:hAnsi="Aptos" w:cs="Calibri"/>
          <w:szCs w:val="22"/>
        </w:rPr>
        <w:t>Enhanced oversight and accountability of student accommodation services providers</w:t>
      </w:r>
    </w:p>
    <w:p w14:paraId="241C190A" w14:textId="6D8C0BD3" w:rsidR="004B1AF5" w:rsidRPr="009B0D59" w:rsidRDefault="00226E15" w:rsidP="008D4824">
      <w:pPr>
        <w:pStyle w:val="ListParagraph"/>
        <w:numPr>
          <w:ilvl w:val="0"/>
          <w:numId w:val="151"/>
        </w:numPr>
        <w:spacing w:before="120" w:after="120" w:line="240" w:lineRule="auto"/>
        <w:ind w:left="426"/>
        <w:rPr>
          <w:rFonts w:ascii="Aptos" w:hAnsi="Aptos" w:cs="Calibri"/>
          <w:szCs w:val="22"/>
        </w:rPr>
      </w:pPr>
      <w:r>
        <w:rPr>
          <w:rFonts w:ascii="Aptos" w:hAnsi="Aptos" w:cs="Calibri"/>
          <w:szCs w:val="22"/>
        </w:rPr>
        <w:t>Identifying</w:t>
      </w:r>
      <w:r w:rsidR="004B1AF5" w:rsidRPr="009B0D59">
        <w:rPr>
          <w:rFonts w:ascii="Aptos" w:hAnsi="Aptos" w:cs="Calibri"/>
          <w:szCs w:val="22"/>
        </w:rPr>
        <w:t xml:space="preserve"> opportunities for potential legislative/regulatory reform to ensure higher education providers can prioritise victim-survivor safety</w:t>
      </w:r>
    </w:p>
    <w:p w14:paraId="64F96494" w14:textId="77777777" w:rsidR="004B1AF5" w:rsidRPr="009B0D59" w:rsidRDefault="004B1AF5" w:rsidP="008D4824">
      <w:pPr>
        <w:pStyle w:val="ListParagraph"/>
        <w:numPr>
          <w:ilvl w:val="0"/>
          <w:numId w:val="151"/>
        </w:numPr>
        <w:spacing w:before="120" w:after="120" w:line="240" w:lineRule="auto"/>
        <w:ind w:left="426"/>
        <w:rPr>
          <w:rFonts w:ascii="Aptos" w:hAnsi="Aptos" w:cs="Calibri"/>
          <w:szCs w:val="22"/>
        </w:rPr>
      </w:pPr>
      <w:r w:rsidRPr="009B0D59">
        <w:rPr>
          <w:rFonts w:ascii="Aptos" w:hAnsi="Aptos" w:cs="Calibri"/>
          <w:szCs w:val="22"/>
        </w:rPr>
        <w:t>Increased data transparency and scrutiny of higher education providers, student accommodation providers and governments</w:t>
      </w:r>
    </w:p>
    <w:p w14:paraId="4E947AB3" w14:textId="77777777" w:rsidR="004B1AF5" w:rsidRPr="009B0D59" w:rsidRDefault="004B1AF5" w:rsidP="008D4824">
      <w:pPr>
        <w:pStyle w:val="ListParagraph"/>
        <w:numPr>
          <w:ilvl w:val="0"/>
          <w:numId w:val="151"/>
        </w:numPr>
        <w:spacing w:before="120" w:after="120" w:line="240" w:lineRule="auto"/>
        <w:ind w:left="426"/>
        <w:rPr>
          <w:rFonts w:ascii="Aptos" w:hAnsi="Aptos" w:cs="Calibri"/>
          <w:szCs w:val="22"/>
        </w:rPr>
      </w:pPr>
      <w:r w:rsidRPr="009B0D59">
        <w:rPr>
          <w:rFonts w:ascii="Aptos" w:hAnsi="Aptos" w:cs="Calibri"/>
          <w:szCs w:val="22"/>
        </w:rPr>
        <w:t xml:space="preserve">Ongoing consultation, coordination and progress monitoring. </w:t>
      </w:r>
    </w:p>
    <w:p w14:paraId="31340550" w14:textId="77777777" w:rsidR="004B1AF5" w:rsidRPr="009B0D59" w:rsidRDefault="004B1AF5" w:rsidP="004B1AF5">
      <w:pPr>
        <w:pStyle w:val="BodyText"/>
        <w:spacing w:after="120"/>
        <w:rPr>
          <w:rFonts w:ascii="Aptos" w:eastAsia="Aptos" w:hAnsi="Aptos" w:cs="Calibri"/>
        </w:rPr>
      </w:pPr>
      <w:r w:rsidRPr="009B0D59">
        <w:rPr>
          <w:rFonts w:ascii="Aptos" w:eastAsia="Aptos" w:hAnsi="Aptos" w:cs="Calibri"/>
        </w:rPr>
        <w:t>The Australian Government has taken immediate steps to implement the Action Plan, including:</w:t>
      </w:r>
    </w:p>
    <w:p w14:paraId="52513369" w14:textId="30AE7ED6" w:rsidR="00375553" w:rsidRDefault="004B1AF5" w:rsidP="00375553">
      <w:pPr>
        <w:pStyle w:val="BodyText"/>
        <w:numPr>
          <w:ilvl w:val="0"/>
          <w:numId w:val="152"/>
        </w:numPr>
        <w:spacing w:after="120"/>
        <w:rPr>
          <w:rFonts w:ascii="Aptos" w:eastAsia="Aptos" w:hAnsi="Aptos" w:cs="Calibri"/>
        </w:rPr>
      </w:pPr>
      <w:r w:rsidRPr="009B0D59">
        <w:rPr>
          <w:rFonts w:ascii="Aptos" w:eastAsia="Aptos" w:hAnsi="Aptos" w:cs="Calibri"/>
        </w:rPr>
        <w:t>Committing $19.4 million over two years from 2024–25 to establish a National Student Ombudsman as a permanent function of the Commonwealth Ombudsman following the passage of the legislation on 28 November 2025.</w:t>
      </w:r>
    </w:p>
    <w:p w14:paraId="641B21C6" w14:textId="10164ACC" w:rsidR="004B1AF5" w:rsidRPr="00375553" w:rsidRDefault="004B1AF5" w:rsidP="00375553">
      <w:pPr>
        <w:pStyle w:val="BodyText"/>
        <w:numPr>
          <w:ilvl w:val="0"/>
          <w:numId w:val="152"/>
        </w:numPr>
        <w:spacing w:after="120"/>
        <w:rPr>
          <w:rFonts w:ascii="Aptos" w:eastAsia="Aptos" w:hAnsi="Aptos" w:cs="Calibri"/>
        </w:rPr>
      </w:pPr>
      <w:r w:rsidRPr="00375553">
        <w:rPr>
          <w:rFonts w:ascii="Aptos" w:eastAsia="Aptos" w:hAnsi="Aptos" w:cs="Calibri"/>
        </w:rPr>
        <w:t xml:space="preserve">Committing $18.7 million over four years from 2024–25 to develop and introduce the </w:t>
      </w:r>
      <w:r w:rsidR="008743F1" w:rsidRPr="00375553">
        <w:rPr>
          <w:rFonts w:ascii="Aptos" w:eastAsia="Aptos" w:hAnsi="Aptos" w:cs="Calibri"/>
        </w:rPr>
        <w:t>National Code</w:t>
      </w:r>
      <w:r w:rsidRPr="00375553">
        <w:rPr>
          <w:rFonts w:ascii="Aptos" w:eastAsia="Aptos" w:hAnsi="Aptos" w:cs="Calibri"/>
        </w:rPr>
        <w:t xml:space="preserve">. Legislation to provide a power for the Minister of Education to make the </w:t>
      </w:r>
      <w:r w:rsidR="008743F1" w:rsidRPr="00375553">
        <w:rPr>
          <w:rFonts w:ascii="Aptos" w:eastAsia="Aptos" w:hAnsi="Aptos" w:cs="Calibri"/>
        </w:rPr>
        <w:t>National Code</w:t>
      </w:r>
      <w:r w:rsidRPr="00375553">
        <w:rPr>
          <w:rFonts w:ascii="Aptos" w:eastAsia="Aptos" w:hAnsi="Aptos" w:cs="Calibri"/>
        </w:rPr>
        <w:t xml:space="preserve"> was introduced into Parliament on 6 February 2025. </w:t>
      </w:r>
    </w:p>
    <w:p w14:paraId="724C10EA" w14:textId="78BA68D9" w:rsidR="0028675A" w:rsidRPr="009B0D59" w:rsidRDefault="0028675A" w:rsidP="0028675A">
      <w:pPr>
        <w:pStyle w:val="BodyText"/>
        <w:spacing w:after="120"/>
        <w:rPr>
          <w:rFonts w:ascii="Aptos" w:eastAsia="Aptos" w:hAnsi="Aptos" w:cs="Calibri"/>
        </w:rPr>
      </w:pPr>
      <w:r w:rsidRPr="00EF7D4E">
        <w:rPr>
          <w:rFonts w:ascii="Aptos" w:eastAsia="Aptos" w:hAnsi="Aptos" w:cs="Calibri"/>
        </w:rPr>
        <w:t xml:space="preserve">The Government has implemented the first action of the Action Plan, the establishment of National Student Ombudsman. The National Student Ombudsman is an independent and impartial pathway for higher education students to escalate complaints about their higher education provider. It has been established as a new statutory function of the Commonwealth Ombudsman and is able to </w:t>
      </w:r>
      <w:r w:rsidR="00F33CBB">
        <w:rPr>
          <w:rFonts w:ascii="Aptos" w:eastAsia="Aptos" w:hAnsi="Aptos" w:cs="Calibri"/>
        </w:rPr>
        <w:t>receive</w:t>
      </w:r>
      <w:r w:rsidR="00F33CBB" w:rsidRPr="00EF7D4E">
        <w:rPr>
          <w:rFonts w:ascii="Aptos" w:eastAsia="Aptos" w:hAnsi="Aptos" w:cs="Calibri"/>
        </w:rPr>
        <w:t xml:space="preserve"> </w:t>
      </w:r>
      <w:r w:rsidRPr="00EF7D4E">
        <w:rPr>
          <w:rFonts w:ascii="Aptos" w:eastAsia="Aptos" w:hAnsi="Aptos" w:cs="Calibri"/>
        </w:rPr>
        <w:t xml:space="preserve">complaints about a provider’s handling of a broad range of issues, </w:t>
      </w:r>
      <w:r w:rsidR="00E968BF">
        <w:rPr>
          <w:rFonts w:ascii="Aptos" w:eastAsia="Aptos" w:hAnsi="Aptos" w:cs="Calibri"/>
        </w:rPr>
        <w:t>including</w:t>
      </w:r>
      <w:r w:rsidRPr="00EF7D4E">
        <w:rPr>
          <w:rFonts w:ascii="Aptos" w:eastAsia="Aptos" w:hAnsi="Aptos" w:cs="Calibri"/>
        </w:rPr>
        <w:t xml:space="preserve"> GBV, racism, disciplinary processes, course administration, and reasonable adjustments for students with disability or special circumstances. The National Student Ombudsman began taking student complaints on 1 February 2025</w:t>
      </w:r>
      <w:r w:rsidR="006F3B6B">
        <w:rPr>
          <w:rFonts w:ascii="Aptos" w:eastAsia="Aptos" w:hAnsi="Aptos" w:cs="Calibri"/>
        </w:rPr>
        <w:t>.</w:t>
      </w:r>
    </w:p>
    <w:p w14:paraId="7C81ECB1" w14:textId="163825A7" w:rsidR="00F82170" w:rsidRPr="009B0D59" w:rsidRDefault="00480B36">
      <w:pPr>
        <w:rPr>
          <w:rFonts w:ascii="Aptos" w:hAnsi="Aptos"/>
          <w:szCs w:val="22"/>
        </w:rPr>
      </w:pPr>
      <w:r w:rsidRPr="009B0D59">
        <w:rPr>
          <w:rFonts w:ascii="Aptos" w:hAnsi="Aptos"/>
          <w:szCs w:val="22"/>
        </w:rPr>
        <w:br w:type="page"/>
      </w:r>
    </w:p>
    <w:p w14:paraId="0495D480" w14:textId="46460722" w:rsidR="00D449CC" w:rsidRPr="00BE6008" w:rsidRDefault="00D449CC" w:rsidP="00BE6008">
      <w:pPr>
        <w:pStyle w:val="Heading1"/>
        <w:rPr>
          <w:b/>
          <w:bCs/>
        </w:rPr>
      </w:pPr>
      <w:bookmarkStart w:id="2" w:name="_Toc204699834"/>
      <w:bookmarkStart w:id="3" w:name="_Toc210050215"/>
      <w:r w:rsidRPr="00BE6008">
        <w:rPr>
          <w:b/>
          <w:bCs/>
        </w:rPr>
        <w:lastRenderedPageBreak/>
        <w:t>Chapter 1: The policy problem</w:t>
      </w:r>
      <w:bookmarkEnd w:id="2"/>
      <w:bookmarkEnd w:id="3"/>
      <w:r w:rsidRPr="00BE6008">
        <w:rPr>
          <w:b/>
          <w:bCs/>
        </w:rPr>
        <w:t xml:space="preserve"> </w:t>
      </w:r>
    </w:p>
    <w:p w14:paraId="40FDC5BA" w14:textId="1D79D6C4" w:rsidR="00D45630" w:rsidRDefault="002B17A9" w:rsidP="00587450">
      <w:pPr>
        <w:pStyle w:val="Heading2"/>
        <w:spacing w:line="276" w:lineRule="auto"/>
        <w:rPr>
          <w:rFonts w:asciiTheme="minorHAnsi" w:hAnsiTheme="minorHAnsi"/>
        </w:rPr>
      </w:pPr>
      <w:bookmarkStart w:id="4" w:name="_Toc204699835"/>
      <w:bookmarkStart w:id="5" w:name="_Toc210050216"/>
      <w:r>
        <w:rPr>
          <w:rFonts w:asciiTheme="minorHAnsi" w:hAnsiTheme="minorHAnsi"/>
        </w:rPr>
        <w:t xml:space="preserve">The </w:t>
      </w:r>
      <w:r w:rsidR="00D45630" w:rsidRPr="52A6166D">
        <w:rPr>
          <w:rFonts w:asciiTheme="minorHAnsi" w:hAnsiTheme="minorHAnsi"/>
        </w:rPr>
        <w:t>Problem</w:t>
      </w:r>
      <w:r>
        <w:rPr>
          <w:rFonts w:asciiTheme="minorHAnsi" w:hAnsiTheme="minorHAnsi"/>
        </w:rPr>
        <w:t xml:space="preserve">: </w:t>
      </w:r>
      <w:r w:rsidR="00495CA1">
        <w:rPr>
          <w:rFonts w:asciiTheme="minorHAnsi" w:hAnsiTheme="minorHAnsi"/>
        </w:rPr>
        <w:t>G</w:t>
      </w:r>
      <w:r w:rsidR="00F45378">
        <w:rPr>
          <w:rFonts w:asciiTheme="minorHAnsi" w:hAnsiTheme="minorHAnsi"/>
        </w:rPr>
        <w:t>ender-based violence</w:t>
      </w:r>
      <w:r w:rsidR="5F81FA2D" w:rsidRPr="52A6166D">
        <w:rPr>
          <w:rFonts w:asciiTheme="minorHAnsi" w:hAnsiTheme="minorHAnsi"/>
        </w:rPr>
        <w:t xml:space="preserve"> in higher education</w:t>
      </w:r>
      <w:bookmarkEnd w:id="4"/>
      <w:bookmarkEnd w:id="5"/>
    </w:p>
    <w:p w14:paraId="17AA6EBC" w14:textId="0A0A0C00" w:rsidR="00B02DE4" w:rsidRPr="00FF0215" w:rsidRDefault="00B02DE4" w:rsidP="00B02DE4">
      <w:pPr>
        <w:rPr>
          <w:szCs w:val="22"/>
        </w:rPr>
      </w:pPr>
      <w:r w:rsidRPr="00FF0215">
        <w:rPr>
          <w:szCs w:val="22"/>
        </w:rPr>
        <w:t xml:space="preserve">Gender-based violence (GBV) is a systemic and persistent issue that undermines the safety, wellbeing, and educational and professional outcomes of students and staff in higher education. GBV encompasses any form of physical or non-physical violence, harassment, abuse, or threats based on gender that results in or is likely to result in harm, coercion, control, fear, or the deprivation of liberty or autonomy. </w:t>
      </w:r>
      <w:r w:rsidR="008C7489">
        <w:rPr>
          <w:szCs w:val="22"/>
        </w:rPr>
        <w:t>GBV</w:t>
      </w:r>
      <w:r w:rsidRPr="00FF0215">
        <w:rPr>
          <w:szCs w:val="22"/>
        </w:rPr>
        <w:t xml:space="preserve"> disproportionately affects women and girls and is driven by entrenched gender inequality and intersecting forms of </w:t>
      </w:r>
      <w:r w:rsidR="000D5EAB">
        <w:rPr>
          <w:szCs w:val="22"/>
        </w:rPr>
        <w:t>inequalit</w:t>
      </w:r>
      <w:r w:rsidR="008C7489">
        <w:rPr>
          <w:szCs w:val="22"/>
        </w:rPr>
        <w:t>y</w:t>
      </w:r>
      <w:r w:rsidR="000D5EAB">
        <w:rPr>
          <w:szCs w:val="22"/>
        </w:rPr>
        <w:t xml:space="preserve"> and discrimination</w:t>
      </w:r>
      <w:r w:rsidRPr="00FF0215">
        <w:rPr>
          <w:szCs w:val="22"/>
        </w:rPr>
        <w:t>.</w:t>
      </w:r>
    </w:p>
    <w:p w14:paraId="03D3623A" w14:textId="5F1FEE36" w:rsidR="00B02DE4" w:rsidRPr="00FF0215" w:rsidRDefault="00B02DE4" w:rsidP="00B02DE4">
      <w:pPr>
        <w:rPr>
          <w:szCs w:val="22"/>
        </w:rPr>
      </w:pPr>
      <w:r w:rsidRPr="00FF0215">
        <w:rPr>
          <w:szCs w:val="22"/>
        </w:rPr>
        <w:t xml:space="preserve">Students and staff in higher education deserve to feel safe, supported, and respected. However, national data and sector-wide surveys consistently show GBV </w:t>
      </w:r>
      <w:r w:rsidR="00772CF9">
        <w:rPr>
          <w:szCs w:val="22"/>
        </w:rPr>
        <w:t xml:space="preserve">is </w:t>
      </w:r>
      <w:r w:rsidR="00324302" w:rsidRPr="00FF0215">
        <w:rPr>
          <w:szCs w:val="22"/>
        </w:rPr>
        <w:t>occur</w:t>
      </w:r>
      <w:r w:rsidR="00324302">
        <w:rPr>
          <w:szCs w:val="22"/>
        </w:rPr>
        <w:t>ring</w:t>
      </w:r>
      <w:r w:rsidRPr="00FF0215">
        <w:rPr>
          <w:szCs w:val="22"/>
        </w:rPr>
        <w:t xml:space="preserve"> at unacceptable rates across </w:t>
      </w:r>
      <w:r w:rsidR="00772CF9">
        <w:rPr>
          <w:szCs w:val="22"/>
        </w:rPr>
        <w:t>higher education settings</w:t>
      </w:r>
      <w:r w:rsidRPr="00FF0215">
        <w:rPr>
          <w:szCs w:val="22"/>
        </w:rPr>
        <w:t xml:space="preserve">, student accommodation, and affiliated environments. Despite this, institutional responses remain inconsistent and inadequate. </w:t>
      </w:r>
    </w:p>
    <w:p w14:paraId="4D0B6129" w14:textId="6B9E0807" w:rsidR="00B02DE4" w:rsidRPr="00FF0215" w:rsidRDefault="00B02DE4" w:rsidP="00B02DE4">
      <w:pPr>
        <w:rPr>
          <w:szCs w:val="22"/>
        </w:rPr>
      </w:pPr>
      <w:r w:rsidRPr="00FF0215">
        <w:rPr>
          <w:szCs w:val="22"/>
        </w:rPr>
        <w:t>Higher education providers (HEPs) are uniquely positioned to influence cultural norms and shape future generations. Yet, their failure to prevent and respond effectively to GBV not only harms individuals but also undermines the sector’s broader mission to foster inclusive, respectful, and safe learning and working environments.</w:t>
      </w:r>
    </w:p>
    <w:p w14:paraId="186C9BA4" w14:textId="523DAEAF" w:rsidR="00B02DE4" w:rsidRPr="00FF0215" w:rsidRDefault="00B02DE4" w:rsidP="00B02DE4">
      <w:pPr>
        <w:rPr>
          <w:szCs w:val="22"/>
        </w:rPr>
      </w:pPr>
      <w:r w:rsidRPr="00FF0215">
        <w:rPr>
          <w:szCs w:val="22"/>
        </w:rPr>
        <w:t xml:space="preserve">Without coordinated, systemic action, GBV will continue to erode trust in institutions, perpetuate inequality, and undermine the </w:t>
      </w:r>
      <w:r w:rsidR="001C0EC1" w:rsidRPr="00FF0215">
        <w:rPr>
          <w:szCs w:val="22"/>
        </w:rPr>
        <w:t xml:space="preserve">higher education sector. </w:t>
      </w:r>
    </w:p>
    <w:p w14:paraId="36653F16" w14:textId="044191BC" w:rsidR="00D449CC" w:rsidRPr="007A423A" w:rsidRDefault="00176071" w:rsidP="007A423A">
      <w:pPr>
        <w:pStyle w:val="Heading3"/>
        <w:spacing w:line="276" w:lineRule="auto"/>
      </w:pPr>
      <w:bookmarkStart w:id="6" w:name="_Toc204682581"/>
      <w:bookmarkStart w:id="7" w:name="_Toc204699836"/>
      <w:bookmarkStart w:id="8" w:name="_Toc204763285"/>
      <w:bookmarkStart w:id="9" w:name="_Toc204764853"/>
      <w:bookmarkStart w:id="10" w:name="_Toc205216865"/>
      <w:r w:rsidRPr="007A423A">
        <w:t xml:space="preserve">Scale and magnitude of the problem </w:t>
      </w:r>
      <w:r w:rsidR="006D16E9" w:rsidRPr="007A423A">
        <w:t xml:space="preserve">in higher </w:t>
      </w:r>
      <w:r w:rsidR="00FB1C84" w:rsidRPr="007A423A">
        <w:t>education</w:t>
      </w:r>
      <w:bookmarkEnd w:id="6"/>
      <w:bookmarkEnd w:id="7"/>
      <w:bookmarkEnd w:id="8"/>
      <w:bookmarkEnd w:id="9"/>
      <w:bookmarkEnd w:id="10"/>
    </w:p>
    <w:p w14:paraId="7ADD52FC" w14:textId="2D2EF6C3" w:rsidR="009C17F7" w:rsidRDefault="00FE0F3F" w:rsidP="009B0D59">
      <w:pPr>
        <w:spacing w:line="276" w:lineRule="auto"/>
        <w:rPr>
          <w:color w:val="000000" w:themeColor="text1"/>
          <w:szCs w:val="22"/>
        </w:rPr>
      </w:pPr>
      <w:r>
        <w:rPr>
          <w:color w:val="000000" w:themeColor="text1"/>
          <w:szCs w:val="22"/>
        </w:rPr>
        <w:t>A growing body of</w:t>
      </w:r>
      <w:r w:rsidR="00D449CC" w:rsidRPr="009B0D59">
        <w:rPr>
          <w:color w:val="000000" w:themeColor="text1"/>
          <w:szCs w:val="22"/>
        </w:rPr>
        <w:t xml:space="preserve"> evidence </w:t>
      </w:r>
      <w:r w:rsidR="00ED1E44">
        <w:rPr>
          <w:color w:val="000000" w:themeColor="text1"/>
          <w:szCs w:val="22"/>
        </w:rPr>
        <w:t xml:space="preserve">demonstrates </w:t>
      </w:r>
      <w:r w:rsidR="00D449CC" w:rsidRPr="009B0D59">
        <w:rPr>
          <w:color w:val="000000" w:themeColor="text1"/>
          <w:szCs w:val="22"/>
        </w:rPr>
        <w:t xml:space="preserve">that </w:t>
      </w:r>
      <w:r w:rsidR="00B7771B" w:rsidRPr="009B0D59">
        <w:rPr>
          <w:color w:val="000000" w:themeColor="text1"/>
          <w:szCs w:val="22"/>
        </w:rPr>
        <w:t>GBV</w:t>
      </w:r>
      <w:r w:rsidR="00D449CC" w:rsidRPr="009B0D59">
        <w:rPr>
          <w:color w:val="000000" w:themeColor="text1"/>
          <w:szCs w:val="22"/>
        </w:rPr>
        <w:t xml:space="preserve"> is occurring in higher education communities at significant rates. In 2017, the Australian Human Rights Commission (AHRC) released </w:t>
      </w:r>
      <w:r w:rsidR="00A61CE5">
        <w:rPr>
          <w:color w:val="000000" w:themeColor="text1"/>
          <w:szCs w:val="22"/>
        </w:rPr>
        <w:t>the</w:t>
      </w:r>
      <w:r w:rsidR="00D449CC" w:rsidRPr="009B0D59">
        <w:rPr>
          <w:color w:val="000000" w:themeColor="text1"/>
          <w:szCs w:val="22"/>
        </w:rPr>
        <w:t xml:space="preserve"> </w:t>
      </w:r>
      <w:r w:rsidR="00D449CC" w:rsidRPr="009B0D59">
        <w:rPr>
          <w:i/>
          <w:color w:val="000000" w:themeColor="text1"/>
          <w:szCs w:val="22"/>
        </w:rPr>
        <w:t xml:space="preserve">Change the Course: National Report on Sexual Assault and Sexual Harassment at Australian </w:t>
      </w:r>
      <w:r w:rsidR="00D449CC" w:rsidRPr="009B0D59">
        <w:rPr>
          <w:i/>
          <w:iCs/>
          <w:color w:val="000000" w:themeColor="text1"/>
          <w:szCs w:val="22"/>
        </w:rPr>
        <w:t>Universities</w:t>
      </w:r>
      <w:r w:rsidR="00A61CE5">
        <w:rPr>
          <w:i/>
          <w:iCs/>
          <w:color w:val="000000" w:themeColor="text1"/>
          <w:szCs w:val="22"/>
        </w:rPr>
        <w:t xml:space="preserve"> </w:t>
      </w:r>
      <w:r w:rsidR="00A61CE5">
        <w:rPr>
          <w:color w:val="000000" w:themeColor="text1"/>
          <w:szCs w:val="22"/>
        </w:rPr>
        <w:t>report</w:t>
      </w:r>
      <w:r w:rsidR="00D449CC" w:rsidRPr="009B0D59">
        <w:rPr>
          <w:color w:val="000000" w:themeColor="text1"/>
          <w:szCs w:val="22"/>
        </w:rPr>
        <w:t xml:space="preserve">. The </w:t>
      </w:r>
      <w:r w:rsidR="00D449CC" w:rsidRPr="009B0D59">
        <w:rPr>
          <w:i/>
          <w:color w:val="000000" w:themeColor="text1"/>
          <w:szCs w:val="22"/>
        </w:rPr>
        <w:t>Change the Course</w:t>
      </w:r>
      <w:r w:rsidR="00D449CC" w:rsidRPr="009B0D59">
        <w:rPr>
          <w:color w:val="000000" w:themeColor="text1"/>
          <w:szCs w:val="22"/>
        </w:rPr>
        <w:t xml:space="preserve"> report offered the first national dataset on the prevalence of sexual harassment and assault in universities. </w:t>
      </w:r>
      <w:r w:rsidR="00331DCD">
        <w:rPr>
          <w:color w:val="000000" w:themeColor="text1"/>
          <w:szCs w:val="22"/>
        </w:rPr>
        <w:t>The report</w:t>
      </w:r>
      <w:r w:rsidR="00D449CC" w:rsidRPr="009B0D59">
        <w:rPr>
          <w:color w:val="000000" w:themeColor="text1"/>
          <w:szCs w:val="22"/>
        </w:rPr>
        <w:t xml:space="preserve"> found</w:t>
      </w:r>
      <w:r w:rsidR="00331DCD">
        <w:rPr>
          <w:color w:val="000000" w:themeColor="text1"/>
          <w:szCs w:val="22"/>
        </w:rPr>
        <w:t xml:space="preserve"> that</w:t>
      </w:r>
      <w:r w:rsidR="009C17F7">
        <w:rPr>
          <w:color w:val="000000" w:themeColor="text1"/>
          <w:szCs w:val="22"/>
        </w:rPr>
        <w:t>:</w:t>
      </w:r>
    </w:p>
    <w:p w14:paraId="50B97DCE" w14:textId="29A3BAA1" w:rsidR="00DA4D0D" w:rsidRDefault="00314052" w:rsidP="008D4824">
      <w:pPr>
        <w:pStyle w:val="ListParagraph"/>
        <w:numPr>
          <w:ilvl w:val="0"/>
          <w:numId w:val="180"/>
        </w:numPr>
        <w:spacing w:line="276" w:lineRule="auto"/>
        <w:rPr>
          <w:color w:val="000000" w:themeColor="text1"/>
          <w:szCs w:val="22"/>
        </w:rPr>
      </w:pPr>
      <w:r>
        <w:rPr>
          <w:color w:val="000000" w:themeColor="text1"/>
          <w:szCs w:val="22"/>
        </w:rPr>
        <w:t xml:space="preserve">Half of all university students (51%) were sexually harassed on at least one occasion </w:t>
      </w:r>
      <w:r w:rsidR="006F30A7">
        <w:rPr>
          <w:color w:val="000000" w:themeColor="text1"/>
          <w:szCs w:val="22"/>
        </w:rPr>
        <w:t>in 2016</w:t>
      </w:r>
    </w:p>
    <w:p w14:paraId="253DFAF5" w14:textId="0B52EA41" w:rsidR="00535FB7" w:rsidRDefault="002F2BC8" w:rsidP="008D4824">
      <w:pPr>
        <w:pStyle w:val="ListParagraph"/>
        <w:numPr>
          <w:ilvl w:val="0"/>
          <w:numId w:val="180"/>
        </w:numPr>
        <w:spacing w:line="276" w:lineRule="auto"/>
        <w:rPr>
          <w:color w:val="000000" w:themeColor="text1"/>
          <w:szCs w:val="22"/>
        </w:rPr>
      </w:pPr>
      <w:r>
        <w:rPr>
          <w:color w:val="000000" w:themeColor="text1"/>
          <w:szCs w:val="22"/>
        </w:rPr>
        <w:t xml:space="preserve">6.9% </w:t>
      </w:r>
      <w:r w:rsidR="000F7ADF">
        <w:rPr>
          <w:color w:val="000000" w:themeColor="text1"/>
          <w:szCs w:val="22"/>
        </w:rPr>
        <w:t xml:space="preserve">of students were sexually assaulted </w:t>
      </w:r>
      <w:r w:rsidR="00535FB7">
        <w:rPr>
          <w:color w:val="000000" w:themeColor="text1"/>
          <w:szCs w:val="22"/>
        </w:rPr>
        <w:t xml:space="preserve">on at least one occasion </w:t>
      </w:r>
    </w:p>
    <w:p w14:paraId="7682FA6A" w14:textId="17C78217" w:rsidR="00535FB7" w:rsidRDefault="00496F2E" w:rsidP="008D4824">
      <w:pPr>
        <w:pStyle w:val="ListParagraph"/>
        <w:numPr>
          <w:ilvl w:val="0"/>
          <w:numId w:val="180"/>
        </w:numPr>
        <w:spacing w:line="276" w:lineRule="auto"/>
        <w:rPr>
          <w:color w:val="000000" w:themeColor="text1"/>
          <w:szCs w:val="22"/>
        </w:rPr>
      </w:pPr>
      <w:r w:rsidRPr="00496F2E">
        <w:rPr>
          <w:color w:val="000000" w:themeColor="text1"/>
          <w:szCs w:val="22"/>
        </w:rPr>
        <w:t>Women were almost twice as likely as men to have been sexually harassed in a university setting</w:t>
      </w:r>
    </w:p>
    <w:p w14:paraId="24B5C94E" w14:textId="7009366E" w:rsidR="00496F2E" w:rsidRDefault="003A6188" w:rsidP="008D4824">
      <w:pPr>
        <w:pStyle w:val="ListParagraph"/>
        <w:numPr>
          <w:ilvl w:val="0"/>
          <w:numId w:val="180"/>
        </w:numPr>
        <w:spacing w:line="276" w:lineRule="auto"/>
        <w:rPr>
          <w:color w:val="000000" w:themeColor="text1"/>
          <w:szCs w:val="22"/>
        </w:rPr>
      </w:pPr>
      <w:r>
        <w:rPr>
          <w:color w:val="000000" w:themeColor="text1"/>
          <w:szCs w:val="22"/>
        </w:rPr>
        <w:t>Wo</w:t>
      </w:r>
      <w:r w:rsidR="00D449CC" w:rsidRPr="00496F2E">
        <w:rPr>
          <w:color w:val="000000" w:themeColor="text1"/>
          <w:szCs w:val="22"/>
        </w:rPr>
        <w:t>men, people with disabilit</w:t>
      </w:r>
      <w:r w:rsidR="0068247C">
        <w:rPr>
          <w:color w:val="000000" w:themeColor="text1"/>
          <w:szCs w:val="22"/>
        </w:rPr>
        <w:t>y</w:t>
      </w:r>
      <w:r w:rsidR="00D449CC" w:rsidRPr="00496F2E">
        <w:rPr>
          <w:color w:val="000000" w:themeColor="text1"/>
          <w:szCs w:val="22"/>
        </w:rPr>
        <w:t xml:space="preserve">, and gender and sexuality diverse students </w:t>
      </w:r>
      <w:r>
        <w:rPr>
          <w:color w:val="000000" w:themeColor="text1"/>
          <w:szCs w:val="22"/>
        </w:rPr>
        <w:t>were</w:t>
      </w:r>
      <w:r w:rsidR="00D449CC" w:rsidRPr="00496F2E">
        <w:rPr>
          <w:color w:val="000000" w:themeColor="text1"/>
          <w:szCs w:val="22"/>
        </w:rPr>
        <w:t xml:space="preserve"> disproportionally affected.</w:t>
      </w:r>
      <w:r w:rsidR="00496F2E">
        <w:rPr>
          <w:rStyle w:val="FootnoteReference"/>
          <w:color w:val="000000" w:themeColor="text1"/>
          <w:szCs w:val="22"/>
        </w:rPr>
        <w:footnoteReference w:id="1"/>
      </w:r>
    </w:p>
    <w:p w14:paraId="4FC0A74B" w14:textId="4DC189AD" w:rsidR="00D449CC" w:rsidRPr="00496F2E" w:rsidRDefault="5B8EB5C9" w:rsidP="00496F2E">
      <w:pPr>
        <w:spacing w:line="276" w:lineRule="auto"/>
        <w:rPr>
          <w:color w:val="000000" w:themeColor="text1"/>
          <w:szCs w:val="22"/>
        </w:rPr>
      </w:pPr>
      <w:r w:rsidRPr="00496F2E">
        <w:rPr>
          <w:color w:val="000000" w:themeColor="text1"/>
          <w:szCs w:val="22"/>
        </w:rPr>
        <w:t>The report</w:t>
      </w:r>
      <w:r w:rsidR="00D449CC" w:rsidRPr="00496F2E">
        <w:rPr>
          <w:color w:val="000000" w:themeColor="text1"/>
          <w:szCs w:val="22"/>
        </w:rPr>
        <w:t xml:space="preserve"> </w:t>
      </w:r>
      <w:r w:rsidR="00612AD2">
        <w:rPr>
          <w:color w:val="000000" w:themeColor="text1"/>
          <w:szCs w:val="22"/>
        </w:rPr>
        <w:t xml:space="preserve">also </w:t>
      </w:r>
      <w:r w:rsidR="00D449CC" w:rsidRPr="00496F2E">
        <w:rPr>
          <w:color w:val="000000" w:themeColor="text1"/>
          <w:szCs w:val="22"/>
        </w:rPr>
        <w:t xml:space="preserve">identified low reporting rates and low </w:t>
      </w:r>
      <w:r w:rsidR="00B315CA">
        <w:rPr>
          <w:color w:val="000000" w:themeColor="text1"/>
          <w:szCs w:val="22"/>
        </w:rPr>
        <w:t xml:space="preserve">levels of </w:t>
      </w:r>
      <w:r w:rsidR="00D449CC" w:rsidRPr="00496F2E">
        <w:rPr>
          <w:color w:val="000000" w:themeColor="text1"/>
          <w:szCs w:val="22"/>
        </w:rPr>
        <w:t>student satisfaction with university processes and support</w:t>
      </w:r>
      <w:r w:rsidR="56E525D1" w:rsidRPr="00496F2E">
        <w:rPr>
          <w:color w:val="000000" w:themeColor="text1"/>
          <w:szCs w:val="22"/>
        </w:rPr>
        <w:t>,</w:t>
      </w:r>
      <w:r w:rsidR="00D449CC" w:rsidRPr="00496F2E">
        <w:rPr>
          <w:color w:val="000000" w:themeColor="text1"/>
          <w:szCs w:val="22"/>
        </w:rPr>
        <w:t xml:space="preserve"> indicating an urgent need for reform in university approaches and processes.</w:t>
      </w:r>
      <w:r w:rsidR="00496F2E">
        <w:rPr>
          <w:rStyle w:val="FootnoteReference"/>
          <w:color w:val="000000" w:themeColor="text1"/>
          <w:szCs w:val="22"/>
        </w:rPr>
        <w:footnoteReference w:id="2"/>
      </w:r>
    </w:p>
    <w:p w14:paraId="5E6BA096" w14:textId="3CA9ED4A" w:rsidR="00EB7774" w:rsidRDefault="00B50060" w:rsidP="009B0D59">
      <w:pPr>
        <w:spacing w:line="276" w:lineRule="auto"/>
        <w:rPr>
          <w:iCs/>
          <w:color w:val="000000" w:themeColor="text1"/>
          <w:szCs w:val="22"/>
        </w:rPr>
      </w:pPr>
      <w:r>
        <w:rPr>
          <w:color w:val="000000" w:themeColor="text1"/>
          <w:szCs w:val="22"/>
        </w:rPr>
        <w:lastRenderedPageBreak/>
        <w:t xml:space="preserve">Building on this report, the </w:t>
      </w:r>
      <w:r w:rsidR="00D449CC" w:rsidRPr="0016658D">
        <w:rPr>
          <w:iCs/>
          <w:color w:val="000000" w:themeColor="text1"/>
          <w:szCs w:val="22"/>
        </w:rPr>
        <w:t>2021</w:t>
      </w:r>
      <w:r w:rsidR="00D449CC" w:rsidRPr="009B0D59">
        <w:rPr>
          <w:color w:val="000000" w:themeColor="text1"/>
          <w:szCs w:val="22"/>
        </w:rPr>
        <w:t xml:space="preserve"> </w:t>
      </w:r>
      <w:r w:rsidR="00D449CC" w:rsidRPr="009B0D59">
        <w:rPr>
          <w:i/>
          <w:color w:val="000000" w:themeColor="text1"/>
          <w:szCs w:val="22"/>
        </w:rPr>
        <w:t xml:space="preserve">National Student Safety Survey </w:t>
      </w:r>
      <w:r w:rsidR="00D449CC" w:rsidRPr="003A74CA">
        <w:rPr>
          <w:iCs/>
          <w:color w:val="000000" w:themeColor="text1"/>
          <w:szCs w:val="22"/>
        </w:rPr>
        <w:t>(NSSS)</w:t>
      </w:r>
      <w:r w:rsidR="00EB7774">
        <w:rPr>
          <w:iCs/>
          <w:color w:val="000000" w:themeColor="text1"/>
          <w:szCs w:val="22"/>
        </w:rPr>
        <w:t xml:space="preserve"> provided updated data that reinforced </w:t>
      </w:r>
      <w:r w:rsidR="000E0514">
        <w:rPr>
          <w:iCs/>
          <w:color w:val="000000" w:themeColor="text1"/>
          <w:szCs w:val="22"/>
        </w:rPr>
        <w:t>the finding</w:t>
      </w:r>
      <w:r w:rsidR="00A07533">
        <w:rPr>
          <w:iCs/>
          <w:color w:val="000000" w:themeColor="text1"/>
          <w:szCs w:val="22"/>
        </w:rPr>
        <w:t>s</w:t>
      </w:r>
      <w:r w:rsidR="00EB7774">
        <w:rPr>
          <w:iCs/>
          <w:color w:val="000000" w:themeColor="text1"/>
          <w:szCs w:val="22"/>
        </w:rPr>
        <w:t xml:space="preserve"> </w:t>
      </w:r>
      <w:r w:rsidR="00A04E05">
        <w:rPr>
          <w:iCs/>
          <w:color w:val="000000" w:themeColor="text1"/>
          <w:szCs w:val="22"/>
        </w:rPr>
        <w:t xml:space="preserve">of </w:t>
      </w:r>
      <w:r w:rsidR="00EB7774">
        <w:rPr>
          <w:iCs/>
          <w:color w:val="000000" w:themeColor="text1"/>
          <w:szCs w:val="22"/>
        </w:rPr>
        <w:t>gender-based violence</w:t>
      </w:r>
      <w:r w:rsidR="00046A43">
        <w:rPr>
          <w:iCs/>
          <w:color w:val="000000" w:themeColor="text1"/>
          <w:szCs w:val="22"/>
        </w:rPr>
        <w:t xml:space="preserve"> is</w:t>
      </w:r>
      <w:r w:rsidR="00EB7774">
        <w:rPr>
          <w:iCs/>
          <w:color w:val="000000" w:themeColor="text1"/>
          <w:szCs w:val="22"/>
        </w:rPr>
        <w:t xml:space="preserve"> a persistent issue in higher education. </w:t>
      </w:r>
      <w:r w:rsidR="00A04E05">
        <w:rPr>
          <w:iCs/>
          <w:color w:val="000000" w:themeColor="text1"/>
          <w:szCs w:val="22"/>
        </w:rPr>
        <w:t>The survey</w:t>
      </w:r>
      <w:r w:rsidR="00EB7774">
        <w:rPr>
          <w:iCs/>
          <w:color w:val="000000" w:themeColor="text1"/>
          <w:szCs w:val="22"/>
        </w:rPr>
        <w:t xml:space="preserve"> found</w:t>
      </w:r>
      <w:r w:rsidR="000E173B">
        <w:rPr>
          <w:iCs/>
          <w:color w:val="000000" w:themeColor="text1"/>
          <w:szCs w:val="22"/>
        </w:rPr>
        <w:t xml:space="preserve"> similarly alarming rates of sexual violence:</w:t>
      </w:r>
    </w:p>
    <w:p w14:paraId="017E75BB" w14:textId="7431140A" w:rsidR="003A6188" w:rsidRDefault="003A6188" w:rsidP="008D4824">
      <w:pPr>
        <w:pStyle w:val="ListParagraph"/>
        <w:numPr>
          <w:ilvl w:val="0"/>
          <w:numId w:val="182"/>
        </w:numPr>
        <w:spacing w:line="276" w:lineRule="auto"/>
        <w:rPr>
          <w:iCs/>
          <w:color w:val="000000" w:themeColor="text1"/>
          <w:szCs w:val="22"/>
        </w:rPr>
      </w:pPr>
      <w:r>
        <w:rPr>
          <w:iCs/>
          <w:color w:val="000000" w:themeColor="text1"/>
          <w:szCs w:val="22"/>
        </w:rPr>
        <w:t xml:space="preserve">1 in 6 </w:t>
      </w:r>
      <w:r w:rsidR="00954237">
        <w:rPr>
          <w:iCs/>
          <w:color w:val="000000" w:themeColor="text1"/>
          <w:szCs w:val="22"/>
        </w:rPr>
        <w:t xml:space="preserve">students experienced sexual harassment since starting university </w:t>
      </w:r>
    </w:p>
    <w:p w14:paraId="747BA9D2" w14:textId="2E615DE7" w:rsidR="00954237" w:rsidRDefault="00954237" w:rsidP="008D4824">
      <w:pPr>
        <w:pStyle w:val="ListParagraph"/>
        <w:numPr>
          <w:ilvl w:val="0"/>
          <w:numId w:val="182"/>
        </w:numPr>
        <w:spacing w:line="276" w:lineRule="auto"/>
        <w:rPr>
          <w:iCs/>
          <w:color w:val="000000" w:themeColor="text1"/>
          <w:szCs w:val="22"/>
        </w:rPr>
      </w:pPr>
      <w:r>
        <w:rPr>
          <w:iCs/>
          <w:color w:val="000000" w:themeColor="text1"/>
          <w:szCs w:val="22"/>
        </w:rPr>
        <w:t xml:space="preserve">1 in 20 students experienced sexual assault since starting </w:t>
      </w:r>
      <w:r w:rsidR="008C0CE2">
        <w:rPr>
          <w:iCs/>
          <w:color w:val="000000" w:themeColor="text1"/>
          <w:szCs w:val="22"/>
        </w:rPr>
        <w:t>university</w:t>
      </w:r>
    </w:p>
    <w:p w14:paraId="2285BA2F" w14:textId="0F95F0F7" w:rsidR="001169BB" w:rsidRDefault="001169BB" w:rsidP="008D4824">
      <w:pPr>
        <w:pStyle w:val="ListParagraph"/>
        <w:numPr>
          <w:ilvl w:val="0"/>
          <w:numId w:val="182"/>
        </w:numPr>
        <w:spacing w:line="276" w:lineRule="auto"/>
        <w:rPr>
          <w:iCs/>
          <w:color w:val="000000" w:themeColor="text1"/>
          <w:szCs w:val="22"/>
        </w:rPr>
      </w:pPr>
      <w:r>
        <w:rPr>
          <w:iCs/>
          <w:color w:val="000000" w:themeColor="text1"/>
          <w:szCs w:val="22"/>
        </w:rPr>
        <w:t xml:space="preserve">Only 1 in 30 students who were sexually harassed made a complaint </w:t>
      </w:r>
    </w:p>
    <w:p w14:paraId="031A768B" w14:textId="45BC7255" w:rsidR="00927281" w:rsidRDefault="00927281" w:rsidP="008D4824">
      <w:pPr>
        <w:pStyle w:val="ListParagraph"/>
        <w:numPr>
          <w:ilvl w:val="0"/>
          <w:numId w:val="182"/>
        </w:numPr>
        <w:spacing w:line="276" w:lineRule="auto"/>
        <w:rPr>
          <w:iCs/>
          <w:color w:val="000000" w:themeColor="text1"/>
          <w:szCs w:val="22"/>
        </w:rPr>
      </w:pPr>
      <w:r>
        <w:rPr>
          <w:iCs/>
          <w:color w:val="000000" w:themeColor="text1"/>
          <w:szCs w:val="22"/>
        </w:rPr>
        <w:t>1 in 2 students knew nothing or very little about the formal reporting process</w:t>
      </w:r>
    </w:p>
    <w:p w14:paraId="2699DCEC" w14:textId="24CFC198" w:rsidR="008C0CE2" w:rsidRDefault="008C0CE2" w:rsidP="008D4824">
      <w:pPr>
        <w:pStyle w:val="ListParagraph"/>
        <w:numPr>
          <w:ilvl w:val="0"/>
          <w:numId w:val="182"/>
        </w:numPr>
        <w:spacing w:line="276" w:lineRule="auto"/>
        <w:rPr>
          <w:iCs/>
          <w:color w:val="000000" w:themeColor="text1"/>
          <w:szCs w:val="22"/>
        </w:rPr>
      </w:pPr>
      <w:r>
        <w:rPr>
          <w:iCs/>
          <w:color w:val="000000" w:themeColor="text1"/>
          <w:szCs w:val="22"/>
        </w:rPr>
        <w:t xml:space="preserve">1 </w:t>
      </w:r>
      <w:r w:rsidR="00D7500A">
        <w:rPr>
          <w:iCs/>
          <w:color w:val="000000" w:themeColor="text1"/>
          <w:szCs w:val="22"/>
        </w:rPr>
        <w:t>in</w:t>
      </w:r>
      <w:r>
        <w:rPr>
          <w:iCs/>
          <w:color w:val="000000" w:themeColor="text1"/>
          <w:szCs w:val="22"/>
        </w:rPr>
        <w:t xml:space="preserve"> 4 impactful incidents occurred in student accommodation </w:t>
      </w:r>
    </w:p>
    <w:p w14:paraId="06B03EA8" w14:textId="673775D2" w:rsidR="008C0CE2" w:rsidRPr="008C0CE2" w:rsidRDefault="008C0CE2" w:rsidP="008D4824">
      <w:pPr>
        <w:pStyle w:val="ListParagraph"/>
        <w:numPr>
          <w:ilvl w:val="0"/>
          <w:numId w:val="182"/>
        </w:numPr>
        <w:spacing w:line="276" w:lineRule="auto"/>
        <w:rPr>
          <w:color w:val="000000" w:themeColor="text1"/>
          <w:szCs w:val="22"/>
        </w:rPr>
      </w:pPr>
      <w:r w:rsidRPr="009B0D59">
        <w:rPr>
          <w:color w:val="000000" w:themeColor="text1"/>
          <w:szCs w:val="22"/>
        </w:rPr>
        <w:t xml:space="preserve">Of those students who reported sexual assault to their provider, </w:t>
      </w:r>
      <w:r w:rsidR="00861ED8">
        <w:rPr>
          <w:color w:val="000000" w:themeColor="text1"/>
          <w:szCs w:val="22"/>
        </w:rPr>
        <w:t>half said they were dissatisfied</w:t>
      </w:r>
      <w:r w:rsidR="00A92AAD">
        <w:rPr>
          <w:color w:val="000000" w:themeColor="text1"/>
          <w:szCs w:val="22"/>
        </w:rPr>
        <w:t xml:space="preserve"> by the reporting process</w:t>
      </w:r>
      <w:r w:rsidR="00861ED8">
        <w:rPr>
          <w:color w:val="000000" w:themeColor="text1"/>
          <w:szCs w:val="22"/>
        </w:rPr>
        <w:t>.</w:t>
      </w:r>
      <w:r w:rsidR="00250810">
        <w:rPr>
          <w:rStyle w:val="FootnoteReference"/>
          <w:color w:val="000000" w:themeColor="text1"/>
          <w:szCs w:val="22"/>
        </w:rPr>
        <w:footnoteReference w:id="3"/>
      </w:r>
      <w:r w:rsidR="00861ED8">
        <w:rPr>
          <w:color w:val="000000" w:themeColor="text1"/>
          <w:szCs w:val="22"/>
        </w:rPr>
        <w:t xml:space="preserve"> </w:t>
      </w:r>
    </w:p>
    <w:p w14:paraId="5B0B0201" w14:textId="2485E24A" w:rsidR="007900B4" w:rsidRDefault="00B7771B" w:rsidP="009B0D59">
      <w:pPr>
        <w:spacing w:line="276" w:lineRule="auto"/>
        <w:rPr>
          <w:rFonts w:eastAsiaTheme="minorEastAsia"/>
          <w:color w:val="000000" w:themeColor="text1"/>
          <w:szCs w:val="22"/>
        </w:rPr>
      </w:pPr>
      <w:r w:rsidRPr="009B0D59">
        <w:rPr>
          <w:rFonts w:eastAsiaTheme="minorEastAsia"/>
          <w:color w:val="000000" w:themeColor="text1"/>
          <w:szCs w:val="22"/>
        </w:rPr>
        <w:t>G</w:t>
      </w:r>
      <w:r w:rsidR="007900B4">
        <w:rPr>
          <w:rFonts w:eastAsiaTheme="minorEastAsia"/>
          <w:color w:val="000000" w:themeColor="text1"/>
          <w:szCs w:val="22"/>
        </w:rPr>
        <w:t xml:space="preserve">ender-based violence </w:t>
      </w:r>
      <w:r w:rsidR="00383EAB">
        <w:rPr>
          <w:rFonts w:eastAsiaTheme="minorEastAsia"/>
          <w:color w:val="000000" w:themeColor="text1"/>
          <w:szCs w:val="22"/>
        </w:rPr>
        <w:t>also affects</w:t>
      </w:r>
      <w:r w:rsidR="00E6298F">
        <w:rPr>
          <w:rFonts w:eastAsiaTheme="minorEastAsia"/>
          <w:color w:val="000000" w:themeColor="text1"/>
          <w:szCs w:val="22"/>
        </w:rPr>
        <w:t xml:space="preserve"> </w:t>
      </w:r>
      <w:r w:rsidR="007900B4">
        <w:rPr>
          <w:rFonts w:eastAsiaTheme="minorEastAsia"/>
          <w:color w:val="000000" w:themeColor="text1"/>
          <w:szCs w:val="22"/>
        </w:rPr>
        <w:t xml:space="preserve">staff in higher education. </w:t>
      </w:r>
      <w:r w:rsidR="00B37F49">
        <w:rPr>
          <w:rFonts w:eastAsiaTheme="minorEastAsia"/>
          <w:color w:val="000000" w:themeColor="text1"/>
          <w:szCs w:val="22"/>
        </w:rPr>
        <w:t xml:space="preserve">In 2023, the National Tertiary Education Union (NTEU) conducted a survey on sexual harassment in the workplace. </w:t>
      </w:r>
      <w:r w:rsidR="009615C7">
        <w:rPr>
          <w:rFonts w:eastAsiaTheme="minorEastAsia"/>
          <w:color w:val="000000" w:themeColor="text1"/>
          <w:szCs w:val="22"/>
        </w:rPr>
        <w:t>The results found:</w:t>
      </w:r>
    </w:p>
    <w:p w14:paraId="55BE8A29" w14:textId="3D1F27C7" w:rsidR="00835176" w:rsidRDefault="00835176" w:rsidP="008D4824">
      <w:pPr>
        <w:pStyle w:val="ListParagraph"/>
        <w:numPr>
          <w:ilvl w:val="0"/>
          <w:numId w:val="183"/>
        </w:numPr>
        <w:spacing w:line="276" w:lineRule="auto"/>
        <w:rPr>
          <w:rFonts w:eastAsiaTheme="minorEastAsia"/>
          <w:color w:val="000000" w:themeColor="text1"/>
          <w:szCs w:val="22"/>
        </w:rPr>
      </w:pPr>
      <w:r>
        <w:rPr>
          <w:rFonts w:eastAsiaTheme="minorEastAsia"/>
          <w:color w:val="000000" w:themeColor="text1"/>
          <w:szCs w:val="22"/>
        </w:rPr>
        <w:t>1 in 3 participants reported experiences of sexual harassment</w:t>
      </w:r>
      <w:r w:rsidR="00E0124D">
        <w:rPr>
          <w:rFonts w:eastAsiaTheme="minorEastAsia"/>
          <w:color w:val="000000" w:themeColor="text1"/>
          <w:szCs w:val="22"/>
        </w:rPr>
        <w:t xml:space="preserve"> – an increase of 53% from 2018 </w:t>
      </w:r>
    </w:p>
    <w:p w14:paraId="6239091B" w14:textId="030992F7" w:rsidR="00E0124D" w:rsidRDefault="00E971E2" w:rsidP="008D4824">
      <w:pPr>
        <w:pStyle w:val="ListParagraph"/>
        <w:numPr>
          <w:ilvl w:val="0"/>
          <w:numId w:val="183"/>
        </w:numPr>
        <w:spacing w:line="276" w:lineRule="auto"/>
        <w:rPr>
          <w:rFonts w:eastAsiaTheme="minorEastAsia"/>
          <w:color w:val="000000" w:themeColor="text1"/>
          <w:szCs w:val="22"/>
        </w:rPr>
      </w:pPr>
      <w:r>
        <w:rPr>
          <w:rFonts w:eastAsiaTheme="minorEastAsia"/>
          <w:color w:val="000000" w:themeColor="text1"/>
          <w:szCs w:val="22"/>
        </w:rPr>
        <w:t>1 in 2 participants were aware of others who had been sexually harassed in their workplace</w:t>
      </w:r>
    </w:p>
    <w:p w14:paraId="4050CC45" w14:textId="4C409A27" w:rsidR="00E971E2" w:rsidRDefault="00722CFF" w:rsidP="008D4824">
      <w:pPr>
        <w:pStyle w:val="ListParagraph"/>
        <w:numPr>
          <w:ilvl w:val="0"/>
          <w:numId w:val="183"/>
        </w:numPr>
        <w:spacing w:line="276" w:lineRule="auto"/>
        <w:rPr>
          <w:rFonts w:eastAsiaTheme="minorEastAsia"/>
          <w:color w:val="000000" w:themeColor="text1"/>
          <w:szCs w:val="22"/>
        </w:rPr>
      </w:pPr>
      <w:r>
        <w:rPr>
          <w:rFonts w:eastAsiaTheme="minorEastAsia"/>
          <w:color w:val="000000" w:themeColor="text1"/>
          <w:szCs w:val="22"/>
        </w:rPr>
        <w:t>Only 13% of those experiencing harassment made a formal complaint</w:t>
      </w:r>
    </w:p>
    <w:p w14:paraId="45E0F85E" w14:textId="032557ED" w:rsidR="00722CFF" w:rsidRDefault="00722CFF" w:rsidP="008D4824">
      <w:pPr>
        <w:pStyle w:val="ListParagraph"/>
        <w:numPr>
          <w:ilvl w:val="0"/>
          <w:numId w:val="183"/>
        </w:numPr>
        <w:spacing w:line="276" w:lineRule="auto"/>
        <w:rPr>
          <w:rFonts w:eastAsiaTheme="minorEastAsia"/>
          <w:color w:val="000000" w:themeColor="text1"/>
          <w:szCs w:val="22"/>
        </w:rPr>
      </w:pPr>
      <w:r>
        <w:rPr>
          <w:rFonts w:eastAsiaTheme="minorEastAsia"/>
          <w:color w:val="000000" w:themeColor="text1"/>
          <w:szCs w:val="22"/>
        </w:rPr>
        <w:t>Of those who did make a formal complaint, 52% were encouraged to drop their complaints, and 44% faced negative consequences from their employers</w:t>
      </w:r>
      <w:r w:rsidR="00C576A7">
        <w:rPr>
          <w:rFonts w:eastAsiaTheme="minorEastAsia"/>
          <w:color w:val="000000" w:themeColor="text1"/>
          <w:szCs w:val="22"/>
        </w:rPr>
        <w:t>.</w:t>
      </w:r>
      <w:r w:rsidR="00D429C2">
        <w:rPr>
          <w:rStyle w:val="FootnoteReference"/>
          <w:rFonts w:eastAsiaTheme="minorEastAsia"/>
          <w:color w:val="000000" w:themeColor="text1"/>
          <w:szCs w:val="22"/>
        </w:rPr>
        <w:footnoteReference w:id="4"/>
      </w:r>
    </w:p>
    <w:p w14:paraId="70D0FC0F" w14:textId="7D7E8D0A" w:rsidR="0027248C" w:rsidRDefault="0027248C" w:rsidP="003F053B">
      <w:pPr>
        <w:spacing w:line="276" w:lineRule="auto"/>
        <w:rPr>
          <w:rFonts w:eastAsiaTheme="minorEastAsia"/>
          <w:color w:val="000000" w:themeColor="text1"/>
          <w:szCs w:val="22"/>
        </w:rPr>
      </w:pPr>
      <w:r w:rsidRPr="0027248C">
        <w:rPr>
          <w:rFonts w:eastAsiaTheme="minorEastAsia"/>
          <w:color w:val="000000" w:themeColor="text1"/>
          <w:szCs w:val="22"/>
        </w:rPr>
        <w:t xml:space="preserve">While the data presented here is restricted to sexual assault and sexual harassment, it is important to acknowledge that these datasets represent only a portion of the broader spectrum of gender-based violence. National research consistently highlights the prevalence of other forms of GBV, including coercive control, financial abuse, and reproductive coercion. Additionally, given well-documented patterns of underreporting and persistent barriers to formal reporting and help-seeking, these </w:t>
      </w:r>
      <w:r w:rsidR="00681DDD" w:rsidRPr="0027248C">
        <w:rPr>
          <w:rFonts w:eastAsiaTheme="minorEastAsia"/>
          <w:color w:val="000000" w:themeColor="text1"/>
          <w:szCs w:val="22"/>
        </w:rPr>
        <w:t>preval</w:t>
      </w:r>
      <w:r w:rsidR="00681DDD">
        <w:rPr>
          <w:rFonts w:eastAsiaTheme="minorEastAsia"/>
          <w:color w:val="000000" w:themeColor="text1"/>
          <w:szCs w:val="22"/>
        </w:rPr>
        <w:t>ent</w:t>
      </w:r>
      <w:r w:rsidRPr="0027248C">
        <w:rPr>
          <w:rFonts w:eastAsiaTheme="minorEastAsia"/>
          <w:color w:val="000000" w:themeColor="text1"/>
          <w:szCs w:val="22"/>
        </w:rPr>
        <w:t xml:space="preserve"> figures likely underestimate the true extent of the issue. Th</w:t>
      </w:r>
      <w:r w:rsidR="00243D67">
        <w:rPr>
          <w:rFonts w:eastAsiaTheme="minorEastAsia"/>
          <w:color w:val="000000" w:themeColor="text1"/>
          <w:szCs w:val="22"/>
        </w:rPr>
        <w:t xml:space="preserve">ese are explored in more detail later in this Impact Analysis. </w:t>
      </w:r>
    </w:p>
    <w:p w14:paraId="3C26B3B9" w14:textId="43EC7E7C" w:rsidR="00D72928" w:rsidRPr="00D72928" w:rsidRDefault="006D16E9" w:rsidP="00D72928">
      <w:pPr>
        <w:pStyle w:val="Heading3"/>
        <w:spacing w:line="276" w:lineRule="auto"/>
      </w:pPr>
      <w:bookmarkStart w:id="11" w:name="_Toc204682582"/>
      <w:bookmarkStart w:id="12" w:name="_Toc204699837"/>
      <w:bookmarkStart w:id="13" w:name="_Toc204763286"/>
      <w:bookmarkStart w:id="14" w:name="_Toc204764854"/>
      <w:bookmarkStart w:id="15" w:name="_Toc205216866"/>
      <w:r>
        <w:t xml:space="preserve">Scale and </w:t>
      </w:r>
      <w:r w:rsidR="33132C44">
        <w:t>magnitude</w:t>
      </w:r>
      <w:r>
        <w:t xml:space="preserve"> of the problem in society</w:t>
      </w:r>
      <w:bookmarkEnd w:id="11"/>
      <w:bookmarkEnd w:id="12"/>
      <w:bookmarkEnd w:id="13"/>
      <w:bookmarkEnd w:id="14"/>
      <w:bookmarkEnd w:id="15"/>
    </w:p>
    <w:p w14:paraId="6F501789" w14:textId="63B96DB9" w:rsidR="000367A7" w:rsidRPr="009B0D59" w:rsidRDefault="36710123" w:rsidP="009B0D59">
      <w:pPr>
        <w:spacing w:before="120" w:after="120" w:line="276" w:lineRule="auto"/>
        <w:rPr>
          <w:rFonts w:cs="Calibri"/>
          <w:szCs w:val="22"/>
        </w:rPr>
      </w:pPr>
      <w:r w:rsidRPr="009B0D59">
        <w:rPr>
          <w:rFonts w:cs="Calibri"/>
          <w:szCs w:val="22"/>
        </w:rPr>
        <w:t xml:space="preserve">The scale and severity of </w:t>
      </w:r>
      <w:r w:rsidR="00B7771B" w:rsidRPr="009B0D59">
        <w:rPr>
          <w:rFonts w:cs="Calibri"/>
          <w:szCs w:val="22"/>
        </w:rPr>
        <w:t>GBV</w:t>
      </w:r>
      <w:r w:rsidRPr="009B0D59">
        <w:rPr>
          <w:rFonts w:cs="Calibri"/>
          <w:szCs w:val="22"/>
        </w:rPr>
        <w:t xml:space="preserve"> in the h</w:t>
      </w:r>
      <w:r w:rsidR="2B994B03" w:rsidRPr="009B0D59">
        <w:rPr>
          <w:rFonts w:cs="Calibri"/>
          <w:szCs w:val="22"/>
        </w:rPr>
        <w:t>ig</w:t>
      </w:r>
      <w:r w:rsidRPr="009B0D59">
        <w:rPr>
          <w:rFonts w:cs="Calibri"/>
          <w:szCs w:val="22"/>
        </w:rPr>
        <w:t xml:space="preserve">her education sector is reflective of </w:t>
      </w:r>
      <w:r w:rsidR="00427508">
        <w:rPr>
          <w:rFonts w:cs="Calibri"/>
          <w:szCs w:val="22"/>
        </w:rPr>
        <w:t>broader GBV trends in Australia</w:t>
      </w:r>
      <w:r w:rsidRPr="009B0D59">
        <w:rPr>
          <w:rFonts w:cs="Calibri"/>
          <w:szCs w:val="22"/>
        </w:rPr>
        <w:t xml:space="preserve">. </w:t>
      </w:r>
      <w:r w:rsidR="00D449CC" w:rsidRPr="009B0D59">
        <w:rPr>
          <w:rFonts w:cs="Calibri"/>
          <w:szCs w:val="22"/>
        </w:rPr>
        <w:t>National data confirms the severity, prevalence and persistent nature of the problem</w:t>
      </w:r>
      <w:r w:rsidR="50CAD006" w:rsidRPr="009B0D59">
        <w:rPr>
          <w:rFonts w:cs="Calibri"/>
          <w:szCs w:val="22"/>
        </w:rPr>
        <w:t>:</w:t>
      </w:r>
    </w:p>
    <w:p w14:paraId="631DCB9B" w14:textId="279744AE" w:rsidR="00D449CC" w:rsidRPr="009B0D59" w:rsidRDefault="0038723F" w:rsidP="009B0D59">
      <w:pPr>
        <w:pStyle w:val="ListParagraph"/>
        <w:numPr>
          <w:ilvl w:val="0"/>
          <w:numId w:val="1"/>
        </w:numPr>
        <w:spacing w:before="120" w:after="120" w:line="276" w:lineRule="auto"/>
        <w:rPr>
          <w:rFonts w:cs="Calibri"/>
          <w:szCs w:val="22"/>
        </w:rPr>
      </w:pPr>
      <w:r>
        <w:rPr>
          <w:rFonts w:cs="Calibri"/>
          <w:szCs w:val="22"/>
        </w:rPr>
        <w:t>1</w:t>
      </w:r>
      <w:r w:rsidRPr="009B0D59">
        <w:rPr>
          <w:rFonts w:cs="Calibri"/>
          <w:szCs w:val="22"/>
        </w:rPr>
        <w:t xml:space="preserve"> </w:t>
      </w:r>
      <w:r w:rsidR="00D449CC" w:rsidRPr="009B0D59">
        <w:rPr>
          <w:rFonts w:cs="Calibri"/>
          <w:szCs w:val="22"/>
        </w:rPr>
        <w:t xml:space="preserve">in </w:t>
      </w:r>
      <w:r>
        <w:rPr>
          <w:rFonts w:cs="Calibri"/>
          <w:szCs w:val="22"/>
        </w:rPr>
        <w:t>3</w:t>
      </w:r>
      <w:r w:rsidRPr="009B0D59">
        <w:rPr>
          <w:rFonts w:cs="Calibri"/>
          <w:szCs w:val="22"/>
        </w:rPr>
        <w:t xml:space="preserve"> </w:t>
      </w:r>
      <w:r w:rsidR="00D449CC" w:rsidRPr="009B0D59">
        <w:rPr>
          <w:rFonts w:cs="Calibri"/>
          <w:szCs w:val="22"/>
        </w:rPr>
        <w:t xml:space="preserve">women </w:t>
      </w:r>
      <w:r w:rsidR="0505958F" w:rsidRPr="009B0D59">
        <w:rPr>
          <w:rFonts w:cs="Calibri"/>
          <w:szCs w:val="22"/>
        </w:rPr>
        <w:t>have</w:t>
      </w:r>
      <w:r w:rsidR="00D449CC" w:rsidRPr="009B0D59">
        <w:rPr>
          <w:rFonts w:cs="Calibri"/>
          <w:szCs w:val="22"/>
        </w:rPr>
        <w:t xml:space="preserve"> experience</w:t>
      </w:r>
      <w:r w:rsidR="1C1414DC" w:rsidRPr="009B0D59">
        <w:rPr>
          <w:rFonts w:cs="Calibri"/>
          <w:szCs w:val="22"/>
        </w:rPr>
        <w:t>d</w:t>
      </w:r>
      <w:r w:rsidR="00D449CC" w:rsidRPr="009B0D59">
        <w:rPr>
          <w:rFonts w:cs="Calibri"/>
          <w:szCs w:val="22"/>
        </w:rPr>
        <w:t xml:space="preserve"> physical violence</w:t>
      </w:r>
      <w:r w:rsidR="00D449CC" w:rsidRPr="009B0D59">
        <w:rPr>
          <w:rStyle w:val="FootnoteReference"/>
          <w:rFonts w:cs="Calibri"/>
          <w:szCs w:val="22"/>
        </w:rPr>
        <w:footnoteReference w:id="5"/>
      </w:r>
    </w:p>
    <w:p w14:paraId="0918E895" w14:textId="71BA4B41" w:rsidR="00D449CC" w:rsidRPr="009B0D59" w:rsidRDefault="0038723F" w:rsidP="009B0D59">
      <w:pPr>
        <w:pStyle w:val="ListParagraph"/>
        <w:numPr>
          <w:ilvl w:val="0"/>
          <w:numId w:val="1"/>
        </w:numPr>
        <w:spacing w:before="120" w:after="120" w:line="276" w:lineRule="auto"/>
        <w:rPr>
          <w:rFonts w:cs="Calibri"/>
          <w:szCs w:val="22"/>
        </w:rPr>
      </w:pPr>
      <w:r>
        <w:rPr>
          <w:rFonts w:cs="Calibri"/>
          <w:szCs w:val="22"/>
        </w:rPr>
        <w:t>1</w:t>
      </w:r>
      <w:r w:rsidRPr="009B0D59">
        <w:rPr>
          <w:rFonts w:cs="Calibri"/>
          <w:szCs w:val="22"/>
        </w:rPr>
        <w:t xml:space="preserve"> </w:t>
      </w:r>
      <w:r w:rsidR="00D449CC" w:rsidRPr="009B0D59">
        <w:rPr>
          <w:rFonts w:cs="Calibri"/>
          <w:szCs w:val="22"/>
        </w:rPr>
        <w:t xml:space="preserve">in </w:t>
      </w:r>
      <w:r>
        <w:rPr>
          <w:rFonts w:cs="Calibri"/>
          <w:szCs w:val="22"/>
        </w:rPr>
        <w:t>5</w:t>
      </w:r>
      <w:r w:rsidRPr="009B0D59">
        <w:rPr>
          <w:rFonts w:cs="Calibri"/>
          <w:szCs w:val="22"/>
        </w:rPr>
        <w:t xml:space="preserve"> </w:t>
      </w:r>
      <w:r w:rsidR="00D449CC" w:rsidRPr="009B0D59">
        <w:rPr>
          <w:rFonts w:cs="Calibri"/>
          <w:szCs w:val="22"/>
        </w:rPr>
        <w:t xml:space="preserve">women </w:t>
      </w:r>
      <w:r w:rsidR="4BFDAEDF" w:rsidRPr="009B0D59">
        <w:rPr>
          <w:rFonts w:cs="Calibri"/>
          <w:szCs w:val="22"/>
        </w:rPr>
        <w:t xml:space="preserve">have </w:t>
      </w:r>
      <w:r w:rsidR="00D449CC" w:rsidRPr="009B0D59">
        <w:rPr>
          <w:rFonts w:cs="Calibri"/>
          <w:szCs w:val="22"/>
        </w:rPr>
        <w:t>experience</w:t>
      </w:r>
      <w:r w:rsidR="62966C57" w:rsidRPr="009B0D59">
        <w:rPr>
          <w:rFonts w:cs="Calibri"/>
          <w:szCs w:val="22"/>
        </w:rPr>
        <w:t>d</w:t>
      </w:r>
      <w:r w:rsidR="00D449CC" w:rsidRPr="009B0D59">
        <w:rPr>
          <w:rFonts w:cs="Calibri"/>
          <w:szCs w:val="22"/>
        </w:rPr>
        <w:t xml:space="preserve"> sexual violence</w:t>
      </w:r>
      <w:r w:rsidR="00D449CC" w:rsidRPr="009B0D59">
        <w:rPr>
          <w:rStyle w:val="FootnoteReference"/>
          <w:rFonts w:cs="Calibri"/>
          <w:szCs w:val="22"/>
        </w:rPr>
        <w:footnoteReference w:id="6"/>
      </w:r>
      <w:r w:rsidR="00D449CC" w:rsidRPr="009B0D59">
        <w:rPr>
          <w:rFonts w:cs="Calibri"/>
          <w:szCs w:val="22"/>
        </w:rPr>
        <w:t xml:space="preserve">  </w:t>
      </w:r>
    </w:p>
    <w:p w14:paraId="1B9F457E" w14:textId="70340E95" w:rsidR="00D449CC" w:rsidRPr="009B0D59" w:rsidRDefault="0038723F" w:rsidP="009B0D59">
      <w:pPr>
        <w:pStyle w:val="ListParagraph"/>
        <w:numPr>
          <w:ilvl w:val="0"/>
          <w:numId w:val="1"/>
        </w:numPr>
        <w:spacing w:before="120" w:after="120" w:line="276" w:lineRule="auto"/>
        <w:rPr>
          <w:rFonts w:cs="Calibri"/>
          <w:szCs w:val="22"/>
        </w:rPr>
      </w:pPr>
      <w:r>
        <w:rPr>
          <w:rFonts w:cs="Calibri"/>
          <w:szCs w:val="22"/>
        </w:rPr>
        <w:t>1</w:t>
      </w:r>
      <w:r w:rsidRPr="009B0D59">
        <w:rPr>
          <w:rFonts w:cs="Calibri"/>
          <w:szCs w:val="22"/>
        </w:rPr>
        <w:t xml:space="preserve"> </w:t>
      </w:r>
      <w:r w:rsidR="00D449CC" w:rsidRPr="009B0D59">
        <w:rPr>
          <w:rFonts w:cs="Calibri"/>
          <w:szCs w:val="22"/>
        </w:rPr>
        <w:t xml:space="preserve">in </w:t>
      </w:r>
      <w:r>
        <w:rPr>
          <w:rFonts w:cs="Calibri"/>
          <w:szCs w:val="22"/>
        </w:rPr>
        <w:t>4</w:t>
      </w:r>
      <w:r w:rsidRPr="009B0D59">
        <w:rPr>
          <w:rFonts w:cs="Calibri"/>
          <w:szCs w:val="22"/>
        </w:rPr>
        <w:t xml:space="preserve"> </w:t>
      </w:r>
      <w:r w:rsidR="00D449CC" w:rsidRPr="009B0D59">
        <w:rPr>
          <w:rFonts w:cs="Calibri"/>
          <w:szCs w:val="22"/>
        </w:rPr>
        <w:t>women have experienced intimate partner violence since the age of 15</w:t>
      </w:r>
      <w:r w:rsidR="00D449CC" w:rsidRPr="009B0D59">
        <w:rPr>
          <w:rStyle w:val="FootnoteReference"/>
          <w:rFonts w:cs="Calibri"/>
          <w:szCs w:val="22"/>
        </w:rPr>
        <w:footnoteReference w:id="7"/>
      </w:r>
    </w:p>
    <w:p w14:paraId="4839B070" w14:textId="2F54085A" w:rsidR="00D449CC" w:rsidRPr="009B0D59" w:rsidRDefault="00D449CC" w:rsidP="009B0D59">
      <w:pPr>
        <w:pStyle w:val="ListParagraph"/>
        <w:numPr>
          <w:ilvl w:val="0"/>
          <w:numId w:val="1"/>
        </w:numPr>
        <w:spacing w:before="120" w:after="120" w:line="276" w:lineRule="auto"/>
        <w:rPr>
          <w:rFonts w:cs="Calibri"/>
          <w:szCs w:val="22"/>
        </w:rPr>
      </w:pPr>
      <w:r w:rsidRPr="009B0D59">
        <w:rPr>
          <w:rFonts w:cs="Calibri"/>
          <w:szCs w:val="22"/>
        </w:rPr>
        <w:t xml:space="preserve">On average, </w:t>
      </w:r>
      <w:r w:rsidR="008C4918">
        <w:rPr>
          <w:rFonts w:cs="Calibri"/>
          <w:szCs w:val="22"/>
        </w:rPr>
        <w:t>1</w:t>
      </w:r>
      <w:r w:rsidR="008C4918" w:rsidRPr="009B0D59">
        <w:rPr>
          <w:rFonts w:cs="Calibri"/>
          <w:szCs w:val="22"/>
        </w:rPr>
        <w:t xml:space="preserve"> </w:t>
      </w:r>
      <w:r w:rsidRPr="009B0D59">
        <w:rPr>
          <w:rFonts w:cs="Calibri"/>
          <w:szCs w:val="22"/>
        </w:rPr>
        <w:t>woman is killed by a current or former partner every 10 days</w:t>
      </w:r>
      <w:r w:rsidRPr="009B0D59">
        <w:rPr>
          <w:rStyle w:val="FootnoteReference"/>
          <w:rFonts w:cs="Calibri"/>
          <w:szCs w:val="22"/>
        </w:rPr>
        <w:footnoteReference w:id="8"/>
      </w:r>
      <w:r w:rsidRPr="009B0D59">
        <w:rPr>
          <w:rFonts w:cs="Calibri"/>
          <w:szCs w:val="22"/>
        </w:rPr>
        <w:t xml:space="preserve"> </w:t>
      </w:r>
    </w:p>
    <w:p w14:paraId="6832A555" w14:textId="1689B593" w:rsidR="00D449CC" w:rsidRPr="009B0D59" w:rsidRDefault="008C4918" w:rsidP="009B0D59">
      <w:pPr>
        <w:pStyle w:val="ListParagraph"/>
        <w:numPr>
          <w:ilvl w:val="0"/>
          <w:numId w:val="1"/>
        </w:numPr>
        <w:spacing w:before="120" w:after="120" w:line="276" w:lineRule="auto"/>
        <w:rPr>
          <w:rFonts w:cs="Calibri"/>
          <w:szCs w:val="22"/>
        </w:rPr>
      </w:pPr>
      <w:r>
        <w:rPr>
          <w:rFonts w:cs="Calibri"/>
          <w:szCs w:val="22"/>
        </w:rPr>
        <w:t>1</w:t>
      </w:r>
      <w:r w:rsidRPr="009B0D59">
        <w:rPr>
          <w:rFonts w:cs="Calibri"/>
          <w:szCs w:val="22"/>
        </w:rPr>
        <w:t xml:space="preserve"> </w:t>
      </w:r>
      <w:r w:rsidR="00D449CC" w:rsidRPr="009B0D59">
        <w:rPr>
          <w:rFonts w:cs="Calibri"/>
          <w:szCs w:val="22"/>
        </w:rPr>
        <w:t xml:space="preserve">in </w:t>
      </w:r>
      <w:r>
        <w:rPr>
          <w:rFonts w:cs="Calibri"/>
          <w:szCs w:val="22"/>
        </w:rPr>
        <w:t>3</w:t>
      </w:r>
      <w:r w:rsidRPr="009B0D59">
        <w:rPr>
          <w:rFonts w:cs="Calibri"/>
          <w:szCs w:val="22"/>
        </w:rPr>
        <w:t xml:space="preserve"> </w:t>
      </w:r>
      <w:r w:rsidR="00D449CC" w:rsidRPr="009B0D59">
        <w:rPr>
          <w:rFonts w:cs="Calibri"/>
          <w:szCs w:val="22"/>
        </w:rPr>
        <w:t xml:space="preserve">men </w:t>
      </w:r>
      <w:r w:rsidR="61ED9CD7" w:rsidRPr="009B0D59">
        <w:rPr>
          <w:rFonts w:cs="Calibri"/>
          <w:szCs w:val="22"/>
        </w:rPr>
        <w:t xml:space="preserve">have </w:t>
      </w:r>
      <w:r w:rsidR="00D449CC" w:rsidRPr="009B0D59">
        <w:rPr>
          <w:rFonts w:cs="Calibri"/>
          <w:szCs w:val="22"/>
        </w:rPr>
        <w:t>admi</w:t>
      </w:r>
      <w:r w:rsidR="2B0FBADD" w:rsidRPr="009B0D59">
        <w:rPr>
          <w:rFonts w:cs="Calibri"/>
          <w:szCs w:val="22"/>
        </w:rPr>
        <w:t>t</w:t>
      </w:r>
      <w:r w:rsidR="00D449CC" w:rsidRPr="009B0D59">
        <w:rPr>
          <w:rFonts w:cs="Calibri"/>
          <w:szCs w:val="22"/>
        </w:rPr>
        <w:t>t</w:t>
      </w:r>
      <w:r w:rsidR="54145E50" w:rsidRPr="009B0D59">
        <w:rPr>
          <w:rFonts w:cs="Calibri"/>
          <w:szCs w:val="22"/>
        </w:rPr>
        <w:t>ed</w:t>
      </w:r>
      <w:r w:rsidR="00D449CC" w:rsidRPr="009B0D59">
        <w:rPr>
          <w:rFonts w:cs="Calibri"/>
          <w:szCs w:val="22"/>
        </w:rPr>
        <w:t xml:space="preserve"> to using violence in the last 12 months. </w:t>
      </w:r>
      <w:r w:rsidR="00D449CC" w:rsidRPr="009B0D59">
        <w:rPr>
          <w:rStyle w:val="FootnoteReference"/>
          <w:rFonts w:cs="Calibri"/>
          <w:szCs w:val="22"/>
        </w:rPr>
        <w:footnoteReference w:id="9"/>
      </w:r>
    </w:p>
    <w:p w14:paraId="79FD9640" w14:textId="5CE15B49" w:rsidR="00D449CC" w:rsidRPr="009B0D59" w:rsidRDefault="00D449CC" w:rsidP="009B0D59">
      <w:pPr>
        <w:spacing w:before="120" w:after="120" w:line="276" w:lineRule="auto"/>
        <w:rPr>
          <w:rFonts w:cs="Calibri"/>
          <w:szCs w:val="22"/>
        </w:rPr>
      </w:pPr>
      <w:r w:rsidRPr="009B0D59">
        <w:rPr>
          <w:rFonts w:cs="Calibri"/>
          <w:szCs w:val="22"/>
        </w:rPr>
        <w:lastRenderedPageBreak/>
        <w:t xml:space="preserve">The burden </w:t>
      </w:r>
      <w:r w:rsidR="0C15E10B" w:rsidRPr="009B0D59">
        <w:rPr>
          <w:rFonts w:cs="Calibri"/>
          <w:szCs w:val="22"/>
        </w:rPr>
        <w:t xml:space="preserve">of </w:t>
      </w:r>
      <w:r w:rsidR="00B7771B" w:rsidRPr="009B0D59">
        <w:rPr>
          <w:rFonts w:cs="Calibri"/>
          <w:szCs w:val="22"/>
        </w:rPr>
        <w:t>GBV</w:t>
      </w:r>
      <w:r w:rsidRPr="009B0D59">
        <w:rPr>
          <w:rFonts w:cs="Calibri"/>
          <w:szCs w:val="22"/>
        </w:rPr>
        <w:t xml:space="preserve"> is disproportionately carried by First Nations women, women with disabilit</w:t>
      </w:r>
      <w:r w:rsidR="00DF4105">
        <w:rPr>
          <w:rFonts w:cs="Calibri"/>
          <w:szCs w:val="22"/>
        </w:rPr>
        <w:t>y</w:t>
      </w:r>
      <w:r w:rsidRPr="009B0D59">
        <w:rPr>
          <w:rFonts w:cs="Calibri"/>
          <w:szCs w:val="22"/>
        </w:rPr>
        <w:t>, LGBTQI</w:t>
      </w:r>
      <w:r w:rsidR="007A438F">
        <w:rPr>
          <w:rFonts w:cs="Calibri"/>
          <w:szCs w:val="22"/>
        </w:rPr>
        <w:t>A</w:t>
      </w:r>
      <w:r w:rsidRPr="009B0D59">
        <w:rPr>
          <w:rFonts w:cs="Calibri"/>
          <w:szCs w:val="22"/>
        </w:rPr>
        <w:t xml:space="preserve">+ communities and women from culturally and linguistically diverse (CALD) backgrounds – underscoring the compounding impacts of intersectional discrimination. </w:t>
      </w:r>
    </w:p>
    <w:p w14:paraId="7A25CC32" w14:textId="081A9007" w:rsidR="213C4B57" w:rsidRPr="009B0D59" w:rsidRDefault="3A7660A2" w:rsidP="009B0D59">
      <w:pPr>
        <w:spacing w:before="120" w:after="120" w:line="276" w:lineRule="auto"/>
        <w:rPr>
          <w:rFonts w:cs="Calibri"/>
          <w:szCs w:val="22"/>
        </w:rPr>
      </w:pPr>
      <w:r w:rsidRPr="009B0D59">
        <w:rPr>
          <w:rFonts w:eastAsiaTheme="minorEastAsia"/>
          <w:szCs w:val="22"/>
        </w:rPr>
        <w:t xml:space="preserve">Historically, approaches to ending </w:t>
      </w:r>
      <w:r w:rsidR="00B7771B" w:rsidRPr="009B0D59">
        <w:rPr>
          <w:rFonts w:eastAsiaTheme="minorEastAsia"/>
          <w:szCs w:val="22"/>
        </w:rPr>
        <w:t>GBV</w:t>
      </w:r>
      <w:r w:rsidRPr="009B0D59">
        <w:rPr>
          <w:rFonts w:eastAsiaTheme="minorEastAsia"/>
          <w:szCs w:val="22"/>
        </w:rPr>
        <w:t xml:space="preserve"> have been </w:t>
      </w:r>
      <w:r w:rsidR="00A92B53" w:rsidRPr="009B0D59">
        <w:rPr>
          <w:rFonts w:eastAsiaTheme="minorEastAsia"/>
          <w:szCs w:val="22"/>
        </w:rPr>
        <w:t>reactive</w:t>
      </w:r>
      <w:r w:rsidRPr="009B0D59">
        <w:rPr>
          <w:rFonts w:eastAsiaTheme="minorEastAsia"/>
          <w:szCs w:val="22"/>
        </w:rPr>
        <w:t xml:space="preserve">, fragmented, and under-resourced. Decades of leadership and action by victim survivors, advocates and the </w:t>
      </w:r>
      <w:r w:rsidR="00B7771B" w:rsidRPr="009B0D59">
        <w:rPr>
          <w:rFonts w:eastAsiaTheme="minorEastAsia"/>
          <w:szCs w:val="22"/>
        </w:rPr>
        <w:t>GBV</w:t>
      </w:r>
      <w:r w:rsidRPr="009B0D59">
        <w:rPr>
          <w:rFonts w:eastAsiaTheme="minorEastAsia"/>
          <w:szCs w:val="22"/>
        </w:rPr>
        <w:t xml:space="preserve"> sector have shone a light on the importance of a coordinated, integrate</w:t>
      </w:r>
      <w:r w:rsidR="00B27BF4">
        <w:rPr>
          <w:rFonts w:eastAsiaTheme="minorEastAsia"/>
          <w:szCs w:val="22"/>
        </w:rPr>
        <w:t>d</w:t>
      </w:r>
      <w:r w:rsidRPr="009B0D59">
        <w:rPr>
          <w:rFonts w:eastAsiaTheme="minorEastAsia"/>
          <w:szCs w:val="22"/>
        </w:rPr>
        <w:t xml:space="preserve">, whole-of-system approach. Several inquiries in different jurisdictions across Australia identified </w:t>
      </w:r>
      <w:r w:rsidR="00EF5826">
        <w:rPr>
          <w:rFonts w:eastAsiaTheme="minorEastAsia"/>
          <w:szCs w:val="22"/>
        </w:rPr>
        <w:t>that</w:t>
      </w:r>
      <w:r w:rsidRPr="009B0D59">
        <w:rPr>
          <w:rFonts w:eastAsiaTheme="minorEastAsia"/>
          <w:szCs w:val="22"/>
        </w:rPr>
        <w:t xml:space="preserve"> inadequate system coordination, a lack of timely and appropriate support for victim survivors, weak accountability for perpetrators, and a lack of sustained, strategic investment in prevention have failed to keep women and girls safe.</w:t>
      </w:r>
      <w:r w:rsidR="00C84EA5">
        <w:rPr>
          <w:rStyle w:val="FootnoteReference"/>
          <w:rFonts w:eastAsiaTheme="minorEastAsia"/>
          <w:szCs w:val="22"/>
        </w:rPr>
        <w:footnoteReference w:id="10"/>
      </w:r>
      <w:r w:rsidRPr="009B0D59">
        <w:rPr>
          <w:rFonts w:eastAsiaTheme="minorEastAsia"/>
          <w:szCs w:val="22"/>
        </w:rPr>
        <w:t xml:space="preserve"> </w:t>
      </w:r>
      <w:r w:rsidR="213C4B57" w:rsidRPr="009B0D59">
        <w:rPr>
          <w:rFonts w:cs="Calibri"/>
          <w:szCs w:val="22"/>
        </w:rPr>
        <w:t xml:space="preserve">In this context, </w:t>
      </w:r>
      <w:r w:rsidR="008223FC" w:rsidRPr="009B0D59">
        <w:rPr>
          <w:rFonts w:cs="Calibri"/>
          <w:szCs w:val="22"/>
        </w:rPr>
        <w:t>GBV</w:t>
      </w:r>
      <w:r w:rsidR="213C4B57" w:rsidRPr="009B0D59">
        <w:rPr>
          <w:rFonts w:cs="Calibri"/>
          <w:szCs w:val="22"/>
        </w:rPr>
        <w:t xml:space="preserve"> must be recognised as a national emergency – one that demands more than fragmented or reactive measures.</w:t>
      </w:r>
    </w:p>
    <w:p w14:paraId="0D6C9080" w14:textId="66B2EEAA" w:rsidR="6EAD2541" w:rsidRPr="009B0D59" w:rsidRDefault="6EAD2541" w:rsidP="009B0D59">
      <w:pPr>
        <w:spacing w:before="120" w:after="120" w:line="276" w:lineRule="auto"/>
        <w:rPr>
          <w:rFonts w:cs="Calibri"/>
          <w:szCs w:val="22"/>
        </w:rPr>
      </w:pPr>
      <w:r w:rsidRPr="009B0D59">
        <w:rPr>
          <w:rFonts w:cs="Calibri"/>
          <w:szCs w:val="22"/>
        </w:rPr>
        <w:t xml:space="preserve">In recognition of the scale and urgency of this problem, the Australian Government has declared </w:t>
      </w:r>
      <w:r w:rsidR="00B7771B" w:rsidRPr="009B0D59">
        <w:rPr>
          <w:rFonts w:cs="Calibri"/>
          <w:szCs w:val="22"/>
        </w:rPr>
        <w:t>GBV</w:t>
      </w:r>
      <w:r w:rsidR="0B2AD6D6" w:rsidRPr="009B0D59">
        <w:rPr>
          <w:rFonts w:cs="Calibri"/>
          <w:szCs w:val="22"/>
        </w:rPr>
        <w:t xml:space="preserve"> a matter of national priority. The </w:t>
      </w:r>
      <w:r w:rsidR="005B20FF" w:rsidRPr="005B20FF">
        <w:rPr>
          <w:rFonts w:cs="Calibri"/>
          <w:szCs w:val="22"/>
        </w:rPr>
        <w:t xml:space="preserve">National </w:t>
      </w:r>
      <w:r w:rsidR="005B20FF">
        <w:rPr>
          <w:rFonts w:cs="Calibri"/>
          <w:szCs w:val="22"/>
        </w:rPr>
        <w:t>Plan</w:t>
      </w:r>
      <w:r w:rsidR="27D15D9D" w:rsidRPr="009B0D59">
        <w:rPr>
          <w:rFonts w:cs="Calibri"/>
          <w:szCs w:val="22"/>
        </w:rPr>
        <w:t xml:space="preserve"> sets out a shared vision for Australians to live free from violence in our communities</w:t>
      </w:r>
      <w:r w:rsidR="00F24827">
        <w:rPr>
          <w:rFonts w:cs="Calibri"/>
          <w:szCs w:val="22"/>
        </w:rPr>
        <w:t>.</w:t>
      </w:r>
      <w:r w:rsidR="00152522">
        <w:rPr>
          <w:rStyle w:val="FootnoteReference"/>
          <w:rFonts w:cs="Calibri"/>
          <w:szCs w:val="22"/>
        </w:rPr>
        <w:footnoteReference w:id="11"/>
      </w:r>
      <w:r w:rsidR="27D15D9D" w:rsidRPr="009B0D59">
        <w:rPr>
          <w:rFonts w:cs="Calibri"/>
          <w:szCs w:val="22"/>
        </w:rPr>
        <w:t xml:space="preserve"> Endorsed by all states and territories, </w:t>
      </w:r>
      <w:r w:rsidR="00755FFD">
        <w:rPr>
          <w:rFonts w:cs="Calibri"/>
          <w:szCs w:val="22"/>
        </w:rPr>
        <w:t xml:space="preserve">the National </w:t>
      </w:r>
      <w:r w:rsidR="00442679">
        <w:rPr>
          <w:rFonts w:cs="Calibri"/>
          <w:szCs w:val="22"/>
        </w:rPr>
        <w:t xml:space="preserve">Plan </w:t>
      </w:r>
      <w:r w:rsidR="00442679" w:rsidRPr="009B0D59">
        <w:rPr>
          <w:rFonts w:cs="Calibri"/>
          <w:szCs w:val="22"/>
        </w:rPr>
        <w:t>outlines</w:t>
      </w:r>
      <w:r w:rsidR="27D15D9D" w:rsidRPr="009B0D59">
        <w:rPr>
          <w:rFonts w:cs="Calibri"/>
          <w:szCs w:val="22"/>
        </w:rPr>
        <w:t xml:space="preserve"> </w:t>
      </w:r>
      <w:r w:rsidR="6445C2A4" w:rsidRPr="009B0D59">
        <w:rPr>
          <w:rFonts w:cs="Calibri"/>
          <w:szCs w:val="22"/>
        </w:rPr>
        <w:t xml:space="preserve">that </w:t>
      </w:r>
      <w:r w:rsidRPr="009B0D59" w:rsidDel="34ACBB1A">
        <w:rPr>
          <w:rFonts w:cs="Calibri"/>
          <w:szCs w:val="22"/>
        </w:rPr>
        <w:t>a</w:t>
      </w:r>
      <w:r w:rsidR="34ACBB1A" w:rsidRPr="009B0D59">
        <w:rPr>
          <w:rFonts w:cs="Calibri"/>
          <w:szCs w:val="22"/>
        </w:rPr>
        <w:t xml:space="preserve"> coordinated, whole-of-government and whole-of-community response </w:t>
      </w:r>
      <w:r w:rsidR="487BCA1C" w:rsidRPr="009B0D59">
        <w:rPr>
          <w:rFonts w:cs="Calibri"/>
          <w:szCs w:val="22"/>
        </w:rPr>
        <w:t>is</w:t>
      </w:r>
      <w:r w:rsidR="34ACBB1A" w:rsidRPr="009B0D59">
        <w:rPr>
          <w:rFonts w:cs="Calibri"/>
          <w:szCs w:val="22"/>
        </w:rPr>
        <w:t xml:space="preserve"> essential to address the causes</w:t>
      </w:r>
      <w:r w:rsidR="00281438">
        <w:rPr>
          <w:rFonts w:cs="Calibri"/>
          <w:szCs w:val="22"/>
        </w:rPr>
        <w:t xml:space="preserve"> of GBV</w:t>
      </w:r>
      <w:r w:rsidR="34ACBB1A" w:rsidRPr="009B0D59">
        <w:rPr>
          <w:rFonts w:cs="Calibri"/>
          <w:szCs w:val="22"/>
        </w:rPr>
        <w:t xml:space="preserve">, provide effective support </w:t>
      </w:r>
      <w:r w:rsidR="00281438">
        <w:rPr>
          <w:rFonts w:cs="Calibri"/>
          <w:szCs w:val="22"/>
        </w:rPr>
        <w:t>to victim</w:t>
      </w:r>
      <w:r w:rsidR="00420035">
        <w:rPr>
          <w:rFonts w:cs="Calibri"/>
          <w:szCs w:val="22"/>
        </w:rPr>
        <w:t>-survivors</w:t>
      </w:r>
      <w:r w:rsidR="00281438">
        <w:rPr>
          <w:rFonts w:cs="Calibri"/>
          <w:szCs w:val="22"/>
        </w:rPr>
        <w:t xml:space="preserve">, </w:t>
      </w:r>
      <w:r w:rsidR="34ACBB1A" w:rsidRPr="009B0D59">
        <w:rPr>
          <w:rFonts w:cs="Calibri"/>
          <w:szCs w:val="22"/>
        </w:rPr>
        <w:t xml:space="preserve">and hold perpetrators </w:t>
      </w:r>
      <w:r w:rsidR="00281438">
        <w:rPr>
          <w:rFonts w:cs="Calibri"/>
          <w:szCs w:val="22"/>
        </w:rPr>
        <w:t xml:space="preserve">of GBV </w:t>
      </w:r>
      <w:r w:rsidR="34ACBB1A" w:rsidRPr="009B0D59">
        <w:rPr>
          <w:rFonts w:cs="Calibri"/>
          <w:szCs w:val="22"/>
        </w:rPr>
        <w:t xml:space="preserve">accountable. </w:t>
      </w:r>
      <w:r w:rsidR="00281438">
        <w:rPr>
          <w:rFonts w:cs="Calibri"/>
          <w:szCs w:val="22"/>
        </w:rPr>
        <w:t>The Plan</w:t>
      </w:r>
      <w:r w:rsidR="34ACBB1A" w:rsidRPr="009B0D59">
        <w:rPr>
          <w:rFonts w:cs="Calibri"/>
          <w:szCs w:val="22"/>
        </w:rPr>
        <w:t xml:space="preserve"> commits $4.7 billion to systemic reform, including strengthening institutional responses and improving data transparency and accou</w:t>
      </w:r>
      <w:r w:rsidR="4EB0239F" w:rsidRPr="009B0D59">
        <w:rPr>
          <w:rFonts w:cs="Calibri"/>
          <w:szCs w:val="22"/>
        </w:rPr>
        <w:t>ntability.</w:t>
      </w:r>
    </w:p>
    <w:p w14:paraId="0507A7F1" w14:textId="2CB7A223" w:rsidR="6EAD2541" w:rsidRPr="009B0D59" w:rsidRDefault="72D786CE" w:rsidP="009B0D59">
      <w:pPr>
        <w:spacing w:before="120" w:after="120" w:line="276" w:lineRule="auto"/>
        <w:rPr>
          <w:rFonts w:cs="Calibri"/>
          <w:szCs w:val="22"/>
        </w:rPr>
      </w:pPr>
      <w:r w:rsidRPr="009B0D59">
        <w:rPr>
          <w:rFonts w:cs="Calibri"/>
          <w:szCs w:val="22"/>
        </w:rPr>
        <w:t xml:space="preserve">This Impact Analysis represents the </w:t>
      </w:r>
      <w:r w:rsidR="54D7BFAE" w:rsidRPr="009B0D59">
        <w:rPr>
          <w:rFonts w:cs="Calibri"/>
          <w:szCs w:val="22"/>
        </w:rPr>
        <w:t>D</w:t>
      </w:r>
      <w:r w:rsidRPr="009B0D59">
        <w:rPr>
          <w:rFonts w:cs="Calibri"/>
          <w:szCs w:val="22"/>
        </w:rPr>
        <w:t xml:space="preserve">epartment of </w:t>
      </w:r>
      <w:r w:rsidR="0610E55B" w:rsidRPr="009B0D59">
        <w:rPr>
          <w:rFonts w:cs="Calibri"/>
          <w:szCs w:val="22"/>
        </w:rPr>
        <w:t>E</w:t>
      </w:r>
      <w:r w:rsidRPr="009B0D59">
        <w:rPr>
          <w:rFonts w:cs="Calibri"/>
          <w:szCs w:val="22"/>
        </w:rPr>
        <w:t>ducation</w:t>
      </w:r>
      <w:r w:rsidR="1EAFEAA9" w:rsidRPr="009B0D59">
        <w:rPr>
          <w:rFonts w:cs="Calibri"/>
          <w:szCs w:val="22"/>
        </w:rPr>
        <w:t>’</w:t>
      </w:r>
      <w:r w:rsidRPr="009B0D59">
        <w:rPr>
          <w:rFonts w:cs="Calibri"/>
          <w:szCs w:val="22"/>
        </w:rPr>
        <w:t xml:space="preserve">s contribution to the implementation of the </w:t>
      </w:r>
      <w:r w:rsidRPr="002C7B6D">
        <w:rPr>
          <w:rFonts w:cs="Calibri"/>
          <w:szCs w:val="22"/>
        </w:rPr>
        <w:t>National Plan</w:t>
      </w:r>
      <w:r w:rsidRPr="009B0D59">
        <w:rPr>
          <w:rFonts w:cs="Calibri"/>
          <w:szCs w:val="22"/>
        </w:rPr>
        <w:t>, focus</w:t>
      </w:r>
      <w:r w:rsidR="0EE0E0A2" w:rsidRPr="009B0D59">
        <w:rPr>
          <w:rFonts w:cs="Calibri"/>
          <w:szCs w:val="22"/>
        </w:rPr>
        <w:t>sing</w:t>
      </w:r>
      <w:r w:rsidRPr="009B0D59">
        <w:rPr>
          <w:rFonts w:cs="Calibri"/>
          <w:szCs w:val="22"/>
        </w:rPr>
        <w:t xml:space="preserve"> specifically on strengthening </w:t>
      </w:r>
      <w:r w:rsidR="002C4CB4">
        <w:rPr>
          <w:rFonts w:cs="Calibri"/>
          <w:szCs w:val="22"/>
        </w:rPr>
        <w:t xml:space="preserve">the </w:t>
      </w:r>
      <w:r w:rsidRPr="009B0D59">
        <w:rPr>
          <w:rFonts w:cs="Calibri"/>
          <w:szCs w:val="22"/>
        </w:rPr>
        <w:t xml:space="preserve">prevention </w:t>
      </w:r>
      <w:r w:rsidR="002C4CB4">
        <w:rPr>
          <w:rFonts w:cs="Calibri"/>
          <w:szCs w:val="22"/>
        </w:rPr>
        <w:t>of</w:t>
      </w:r>
      <w:r w:rsidRPr="009B0D59">
        <w:rPr>
          <w:rFonts w:cs="Calibri"/>
          <w:szCs w:val="22"/>
        </w:rPr>
        <w:t xml:space="preserve"> and response to </w:t>
      </w:r>
      <w:r w:rsidR="00B7771B" w:rsidRPr="009B0D59">
        <w:rPr>
          <w:rFonts w:cs="Calibri"/>
          <w:szCs w:val="22"/>
        </w:rPr>
        <w:t>GBV</w:t>
      </w:r>
      <w:r w:rsidRPr="009B0D59">
        <w:rPr>
          <w:rFonts w:cs="Calibri"/>
          <w:szCs w:val="22"/>
        </w:rPr>
        <w:t xml:space="preserve"> within the higher education sector. </w:t>
      </w:r>
    </w:p>
    <w:p w14:paraId="67F8DE3D" w14:textId="4089E983" w:rsidR="4FD3A49D" w:rsidRDefault="4FD3A49D" w:rsidP="5F9A7F11">
      <w:pPr>
        <w:pStyle w:val="Heading3"/>
        <w:spacing w:line="276" w:lineRule="auto"/>
      </w:pPr>
      <w:bookmarkStart w:id="16" w:name="_Toc204682583"/>
      <w:bookmarkStart w:id="17" w:name="_Toc204699838"/>
      <w:bookmarkStart w:id="18" w:name="_Toc204763287"/>
      <w:bookmarkStart w:id="19" w:name="_Toc204764855"/>
      <w:bookmarkStart w:id="20" w:name="_Toc205216867"/>
      <w:r>
        <w:t xml:space="preserve">Drivers of </w:t>
      </w:r>
      <w:bookmarkEnd w:id="16"/>
      <w:bookmarkEnd w:id="17"/>
      <w:bookmarkEnd w:id="18"/>
      <w:bookmarkEnd w:id="19"/>
      <w:r w:rsidR="005D20A3">
        <w:t>gender-based violence</w:t>
      </w:r>
      <w:bookmarkEnd w:id="20"/>
      <w:r>
        <w:t xml:space="preserve"> </w:t>
      </w:r>
    </w:p>
    <w:p w14:paraId="3DEC4C69" w14:textId="7C45A562" w:rsidR="38CC8B09" w:rsidRPr="009B0D59" w:rsidRDefault="00B7771B" w:rsidP="009B0D59">
      <w:pPr>
        <w:spacing w:before="120" w:after="120" w:line="276" w:lineRule="auto"/>
        <w:rPr>
          <w:rStyle w:val="normaltextrun"/>
          <w:rFonts w:cs="Calibri"/>
          <w:szCs w:val="22"/>
        </w:rPr>
      </w:pPr>
      <w:r w:rsidRPr="009B0D59">
        <w:rPr>
          <w:rStyle w:val="normaltextrun"/>
          <w:rFonts w:cs="Calibri"/>
          <w:szCs w:val="22"/>
        </w:rPr>
        <w:t>GBV</w:t>
      </w:r>
      <w:r w:rsidR="38CC8B09" w:rsidRPr="009B0D59">
        <w:rPr>
          <w:rStyle w:val="normaltextrun"/>
          <w:rFonts w:cs="Calibri"/>
          <w:szCs w:val="22"/>
        </w:rPr>
        <w:t xml:space="preserve"> in higher education is not isolated – it is deeply rooted in </w:t>
      </w:r>
      <w:r w:rsidR="6D92FD8E" w:rsidRPr="009B0D59">
        <w:rPr>
          <w:rStyle w:val="normaltextrun"/>
          <w:rFonts w:cs="Calibri"/>
          <w:szCs w:val="22"/>
        </w:rPr>
        <w:t xml:space="preserve">the same inequalities, norms and power imbalances that drive </w:t>
      </w:r>
      <w:r w:rsidRPr="009B0D59">
        <w:rPr>
          <w:rStyle w:val="normaltextrun"/>
          <w:rFonts w:cs="Calibri"/>
          <w:szCs w:val="22"/>
        </w:rPr>
        <w:t>GBV</w:t>
      </w:r>
      <w:r w:rsidR="6D92FD8E" w:rsidRPr="009B0D59">
        <w:rPr>
          <w:rStyle w:val="normaltextrun"/>
          <w:rFonts w:cs="Calibri"/>
          <w:szCs w:val="22"/>
        </w:rPr>
        <w:t xml:space="preserve"> in the wider community.</w:t>
      </w:r>
      <w:r w:rsidR="38CC8B09" w:rsidRPr="009B0D59">
        <w:rPr>
          <w:rStyle w:val="normaltextrun"/>
          <w:rFonts w:cs="Calibri"/>
          <w:szCs w:val="22"/>
        </w:rPr>
        <w:t xml:space="preserve"> To understand </w:t>
      </w:r>
      <w:r w:rsidR="1F193A9B" w:rsidRPr="009B0D59">
        <w:rPr>
          <w:rStyle w:val="normaltextrun"/>
          <w:rFonts w:cs="Calibri"/>
          <w:szCs w:val="22"/>
        </w:rPr>
        <w:t xml:space="preserve">and address </w:t>
      </w:r>
      <w:r w:rsidR="38CC8B09" w:rsidRPr="009B0D59">
        <w:rPr>
          <w:rStyle w:val="normaltextrun"/>
          <w:rFonts w:cs="Calibri"/>
          <w:szCs w:val="22"/>
        </w:rPr>
        <w:t xml:space="preserve">the policy problem, it is key to understand the drivers of </w:t>
      </w:r>
      <w:r w:rsidRPr="009B0D59">
        <w:rPr>
          <w:rStyle w:val="normaltextrun"/>
          <w:rFonts w:cs="Calibri"/>
          <w:szCs w:val="22"/>
        </w:rPr>
        <w:t>GBV</w:t>
      </w:r>
      <w:r w:rsidR="38CC8B09" w:rsidRPr="009B0D59">
        <w:rPr>
          <w:rStyle w:val="normaltextrun"/>
          <w:rFonts w:cs="Calibri"/>
          <w:szCs w:val="22"/>
        </w:rPr>
        <w:t xml:space="preserve">. </w:t>
      </w:r>
    </w:p>
    <w:p w14:paraId="5E5EF86C" w14:textId="77C21A36" w:rsidR="538537F6" w:rsidRPr="009B0D59" w:rsidRDefault="008223FC" w:rsidP="009B0D59">
      <w:pPr>
        <w:spacing w:before="120" w:after="120" w:line="276" w:lineRule="auto"/>
        <w:rPr>
          <w:rStyle w:val="normaltextrun"/>
          <w:rFonts w:cs="Calibri"/>
          <w:szCs w:val="22"/>
        </w:rPr>
      </w:pPr>
      <w:r w:rsidRPr="009B0D59">
        <w:rPr>
          <w:rStyle w:val="normaltextrun"/>
          <w:rFonts w:cs="Calibri"/>
          <w:szCs w:val="22"/>
        </w:rPr>
        <w:t>GBV</w:t>
      </w:r>
      <w:r w:rsidR="538537F6" w:rsidRPr="009B0D59">
        <w:rPr>
          <w:rStyle w:val="normaltextrun"/>
          <w:rFonts w:cs="Calibri"/>
          <w:szCs w:val="22"/>
        </w:rPr>
        <w:t xml:space="preserve"> is deeply rooted in gender inequality</w:t>
      </w:r>
      <w:r w:rsidR="00F24827" w:rsidRPr="00F24827">
        <w:rPr>
          <w:rStyle w:val="normaltextrun"/>
          <w:rFonts w:cs="Calibri"/>
          <w:szCs w:val="22"/>
        </w:rPr>
        <w:t xml:space="preserve"> </w:t>
      </w:r>
      <w:r w:rsidR="00F24827" w:rsidRPr="009B0D59">
        <w:rPr>
          <w:rStyle w:val="normaltextrun"/>
          <w:rFonts w:cs="Calibri"/>
          <w:szCs w:val="22"/>
        </w:rPr>
        <w:t>and reflects entrenched power imbalances reinforced by rigid gender roles, harmful stereotypes and social norms that perpetuate discrimination and control.</w:t>
      </w:r>
      <w:r w:rsidR="538537F6" w:rsidRPr="009B0D59">
        <w:rPr>
          <w:rStyle w:val="FootnoteReference"/>
          <w:rFonts w:cs="Calibri"/>
          <w:szCs w:val="22"/>
        </w:rPr>
        <w:footnoteReference w:id="12"/>
      </w:r>
      <w:r w:rsidR="00CE466A">
        <w:rPr>
          <w:rStyle w:val="normaltextrun"/>
          <w:rFonts w:cs="Calibri"/>
          <w:szCs w:val="22"/>
        </w:rPr>
        <w:t xml:space="preserve"> </w:t>
      </w:r>
      <w:r w:rsidR="538537F6" w:rsidRPr="009B0D59">
        <w:rPr>
          <w:rStyle w:val="normaltextrun"/>
          <w:rFonts w:cs="Calibri"/>
          <w:szCs w:val="22"/>
        </w:rPr>
        <w:t xml:space="preserve">While there is no single cause of </w:t>
      </w:r>
      <w:r w:rsidRPr="009B0D59">
        <w:rPr>
          <w:rStyle w:val="normaltextrun"/>
          <w:rFonts w:cs="Calibri"/>
          <w:szCs w:val="22"/>
        </w:rPr>
        <w:t>GBV</w:t>
      </w:r>
      <w:r w:rsidR="538537F6" w:rsidRPr="009B0D59">
        <w:rPr>
          <w:rStyle w:val="normaltextrun"/>
          <w:rFonts w:cs="Calibri"/>
          <w:szCs w:val="22"/>
        </w:rPr>
        <w:t xml:space="preserve">, gender inequality creates the </w:t>
      </w:r>
      <w:r w:rsidR="24F329E4" w:rsidRPr="009B0D59">
        <w:rPr>
          <w:rStyle w:val="normaltextrun"/>
          <w:rFonts w:cs="Calibri"/>
          <w:szCs w:val="22"/>
        </w:rPr>
        <w:t xml:space="preserve">social </w:t>
      </w:r>
      <w:r w:rsidR="538537F6" w:rsidRPr="009B0D59">
        <w:rPr>
          <w:rStyle w:val="normaltextrun"/>
          <w:rFonts w:cs="Calibri"/>
          <w:szCs w:val="22"/>
        </w:rPr>
        <w:t xml:space="preserve">conditions in which this violence is more likely to occur, </w:t>
      </w:r>
      <w:r w:rsidR="003B1C90">
        <w:rPr>
          <w:rStyle w:val="normaltextrun"/>
          <w:rFonts w:cs="Calibri"/>
          <w:szCs w:val="22"/>
        </w:rPr>
        <w:t>p</w:t>
      </w:r>
      <w:r w:rsidR="00C57386">
        <w:rPr>
          <w:rStyle w:val="normaltextrun"/>
          <w:rFonts w:cs="Calibri"/>
          <w:szCs w:val="22"/>
        </w:rPr>
        <w:t xml:space="preserve">roliferate </w:t>
      </w:r>
      <w:r w:rsidR="538537F6" w:rsidRPr="009B0D59">
        <w:rPr>
          <w:rStyle w:val="normaltextrun"/>
          <w:rFonts w:cs="Calibri"/>
          <w:szCs w:val="22"/>
        </w:rPr>
        <w:t>and be tolerated. Systems and institutions that fail to prevent violence or hold perpetrators accountable further enable its persistence.</w:t>
      </w:r>
      <w:r w:rsidR="538537F6" w:rsidRPr="009B0D59">
        <w:rPr>
          <w:rStyle w:val="FootnoteReference"/>
          <w:rFonts w:cs="Calibri"/>
          <w:szCs w:val="22"/>
        </w:rPr>
        <w:footnoteReference w:id="13"/>
      </w:r>
    </w:p>
    <w:p w14:paraId="7C6D40D7" w14:textId="66546527" w:rsidR="538537F6" w:rsidRPr="009B0D59" w:rsidRDefault="538537F6" w:rsidP="009B0D59">
      <w:pPr>
        <w:spacing w:before="120" w:after="120" w:line="276" w:lineRule="auto"/>
        <w:rPr>
          <w:rFonts w:cs="Calibri"/>
          <w:szCs w:val="22"/>
        </w:rPr>
      </w:pPr>
      <w:r w:rsidRPr="009B0D59">
        <w:rPr>
          <w:rFonts w:cs="Calibri"/>
          <w:i/>
          <w:iCs/>
          <w:szCs w:val="22"/>
        </w:rPr>
        <w:lastRenderedPageBreak/>
        <w:t>Change the Story</w:t>
      </w:r>
      <w:r w:rsidRPr="009B0D59">
        <w:rPr>
          <w:rFonts w:cs="Calibri"/>
          <w:szCs w:val="22"/>
        </w:rPr>
        <w:t>, Australia’s national framework for preventing violence against women</w:t>
      </w:r>
      <w:r w:rsidR="003A4795">
        <w:rPr>
          <w:rFonts w:cs="Calibri"/>
          <w:szCs w:val="22"/>
        </w:rPr>
        <w:t>,</w:t>
      </w:r>
      <w:r w:rsidRPr="009B0D59">
        <w:rPr>
          <w:rFonts w:cs="Calibri"/>
          <w:szCs w:val="22"/>
        </w:rPr>
        <w:t xml:space="preserve"> identifies four drivers that most consistently predict this violence at a population level</w:t>
      </w:r>
      <w:r w:rsidR="003A4795">
        <w:rPr>
          <w:rFonts w:cs="Calibri"/>
          <w:szCs w:val="22"/>
        </w:rPr>
        <w:t xml:space="preserve"> </w:t>
      </w:r>
      <w:r w:rsidRPr="009B0D59">
        <w:rPr>
          <w:rFonts w:cs="Calibri"/>
          <w:szCs w:val="22"/>
        </w:rPr>
        <w:t>and explain its gendered patterns, including:</w:t>
      </w:r>
    </w:p>
    <w:p w14:paraId="065D70BE" w14:textId="378A022B" w:rsidR="538537F6" w:rsidRPr="009B0D59" w:rsidRDefault="538537F6" w:rsidP="009B0D59">
      <w:pPr>
        <w:pStyle w:val="ListParagraph"/>
        <w:numPr>
          <w:ilvl w:val="0"/>
          <w:numId w:val="4"/>
        </w:numPr>
        <w:spacing w:before="120" w:after="120" w:line="276" w:lineRule="auto"/>
        <w:ind w:left="378"/>
        <w:rPr>
          <w:rFonts w:cs="Calibri"/>
          <w:szCs w:val="22"/>
        </w:rPr>
      </w:pPr>
      <w:r w:rsidRPr="009B0D59">
        <w:rPr>
          <w:rFonts w:cs="Calibri"/>
          <w:szCs w:val="22"/>
        </w:rPr>
        <w:t xml:space="preserve">the condoning of violence against women </w:t>
      </w:r>
    </w:p>
    <w:p w14:paraId="49BAED95" w14:textId="3C83C108" w:rsidR="538537F6" w:rsidRPr="009B0D59" w:rsidRDefault="538537F6" w:rsidP="009B0D59">
      <w:pPr>
        <w:pStyle w:val="ListParagraph"/>
        <w:numPr>
          <w:ilvl w:val="0"/>
          <w:numId w:val="4"/>
        </w:numPr>
        <w:spacing w:before="120" w:after="120" w:line="276" w:lineRule="auto"/>
        <w:ind w:left="378"/>
        <w:rPr>
          <w:rFonts w:cs="Calibri"/>
          <w:szCs w:val="22"/>
        </w:rPr>
      </w:pPr>
      <w:r w:rsidRPr="009B0D59">
        <w:rPr>
          <w:rFonts w:cs="Calibri"/>
          <w:szCs w:val="22"/>
        </w:rPr>
        <w:t xml:space="preserve">men’s control of decision-making and limits to women’s independence in public and private life </w:t>
      </w:r>
    </w:p>
    <w:p w14:paraId="23394EB0" w14:textId="57BB1DAB" w:rsidR="538537F6" w:rsidRPr="009B0D59" w:rsidRDefault="538537F6" w:rsidP="009B0D59">
      <w:pPr>
        <w:pStyle w:val="ListParagraph"/>
        <w:numPr>
          <w:ilvl w:val="0"/>
          <w:numId w:val="4"/>
        </w:numPr>
        <w:spacing w:before="120" w:after="120" w:line="276" w:lineRule="auto"/>
        <w:ind w:left="378"/>
        <w:rPr>
          <w:rFonts w:cs="Calibri"/>
          <w:szCs w:val="22"/>
        </w:rPr>
      </w:pPr>
      <w:r w:rsidRPr="009B0D59">
        <w:rPr>
          <w:rFonts w:cs="Calibri"/>
          <w:szCs w:val="22"/>
        </w:rPr>
        <w:t xml:space="preserve">rigid gender stereotyping and dominant forms of masculinity </w:t>
      </w:r>
    </w:p>
    <w:p w14:paraId="688C7C71" w14:textId="2D24A88C" w:rsidR="538537F6" w:rsidRPr="009B0D59" w:rsidRDefault="538537F6" w:rsidP="009B0D59">
      <w:pPr>
        <w:pStyle w:val="ListParagraph"/>
        <w:numPr>
          <w:ilvl w:val="0"/>
          <w:numId w:val="4"/>
        </w:numPr>
        <w:spacing w:before="120" w:after="120" w:line="276" w:lineRule="auto"/>
        <w:ind w:left="378"/>
        <w:rPr>
          <w:rFonts w:cs="Calibri"/>
          <w:szCs w:val="22"/>
        </w:rPr>
      </w:pPr>
      <w:r w:rsidRPr="009B0D59">
        <w:rPr>
          <w:rFonts w:cs="Calibri"/>
          <w:szCs w:val="22"/>
        </w:rPr>
        <w:t>male peer relations and cultures of masculinity that emphasise aggression, dominance and control.</w:t>
      </w:r>
      <w:r w:rsidRPr="009B0D59">
        <w:rPr>
          <w:rStyle w:val="FootnoteReference"/>
          <w:rFonts w:cs="Calibri"/>
          <w:szCs w:val="22"/>
        </w:rPr>
        <w:footnoteReference w:id="14"/>
      </w:r>
    </w:p>
    <w:p w14:paraId="708EF854" w14:textId="5751E54A" w:rsidR="538537F6" w:rsidRPr="009B0D59" w:rsidRDefault="008223FC" w:rsidP="009B0D59">
      <w:pPr>
        <w:spacing w:before="120" w:after="120" w:line="276" w:lineRule="auto"/>
        <w:rPr>
          <w:rFonts w:cs="Calibri"/>
          <w:szCs w:val="22"/>
        </w:rPr>
      </w:pPr>
      <w:r w:rsidRPr="009B0D59">
        <w:rPr>
          <w:rFonts w:cs="Calibri"/>
          <w:szCs w:val="22"/>
        </w:rPr>
        <w:t>GBV</w:t>
      </w:r>
      <w:r w:rsidR="538537F6" w:rsidRPr="009B0D59">
        <w:rPr>
          <w:rFonts w:cs="Calibri"/>
          <w:szCs w:val="22"/>
        </w:rPr>
        <w:t xml:space="preserve"> is not only a consequence of gender inequality; it is a barrier to achieving gender equality. The impacts on victim-survivors are both immediate and long-lasting, affecting physical and mental health, senses of safety, educational and economic outcomes, and the ability to participate fully and equally in public and private life.</w:t>
      </w:r>
      <w:r w:rsidR="538537F6" w:rsidRPr="009B0D59">
        <w:rPr>
          <w:rStyle w:val="FootnoteReference"/>
          <w:rFonts w:cs="Calibri"/>
          <w:szCs w:val="22"/>
        </w:rPr>
        <w:footnoteReference w:id="15"/>
      </w:r>
    </w:p>
    <w:p w14:paraId="37D9A354" w14:textId="7D1E361A" w:rsidR="538537F6" w:rsidRDefault="538537F6" w:rsidP="009B0D59">
      <w:pPr>
        <w:spacing w:before="120" w:after="120" w:line="276" w:lineRule="auto"/>
        <w:rPr>
          <w:rFonts w:cs="Calibri"/>
          <w:szCs w:val="22"/>
        </w:rPr>
      </w:pPr>
      <w:r w:rsidRPr="009B0D59">
        <w:rPr>
          <w:rFonts w:cs="Calibri"/>
          <w:szCs w:val="22"/>
        </w:rPr>
        <w:t xml:space="preserve">While all women and girls experience gender inequality, not all experience it in the same way or with the same impacts. Systemic and structural forms of discrimination including racism, colonialism, homophobia, biphobia, transphobia, </w:t>
      </w:r>
      <w:r w:rsidR="009454D6" w:rsidRPr="009B0D59">
        <w:rPr>
          <w:rFonts w:cs="Calibri"/>
          <w:szCs w:val="22"/>
        </w:rPr>
        <w:t xml:space="preserve">ableism, </w:t>
      </w:r>
      <w:r w:rsidRPr="009B0D59">
        <w:rPr>
          <w:rFonts w:cs="Calibri"/>
          <w:szCs w:val="22"/>
        </w:rPr>
        <w:t>ageism, and classism intersect with the gendered drivers of violence to shape the experience and use of violence, increase risk, and create additional barriers to accessing safety, support and justice.</w:t>
      </w:r>
      <w:r w:rsidRPr="009B0D59">
        <w:rPr>
          <w:rStyle w:val="FootnoteReference"/>
          <w:rFonts w:cs="Calibri"/>
          <w:szCs w:val="22"/>
        </w:rPr>
        <w:footnoteReference w:id="16"/>
      </w:r>
      <w:r w:rsidR="009265C6">
        <w:rPr>
          <w:rStyle w:val="FootnoteReference"/>
          <w:rFonts w:cs="Calibri"/>
          <w:szCs w:val="22"/>
        </w:rPr>
        <w:t xml:space="preserve"> </w:t>
      </w:r>
      <w:r w:rsidRPr="009B0D59">
        <w:rPr>
          <w:rFonts w:cs="Calibri"/>
          <w:szCs w:val="22"/>
        </w:rPr>
        <w:t xml:space="preserve">Effective strategies to address </w:t>
      </w:r>
      <w:r w:rsidR="00B7771B" w:rsidRPr="009B0D59">
        <w:rPr>
          <w:rFonts w:cs="Calibri"/>
          <w:szCs w:val="22"/>
        </w:rPr>
        <w:t>GBV</w:t>
      </w:r>
      <w:r w:rsidRPr="009B0D59">
        <w:rPr>
          <w:rFonts w:cs="Calibri"/>
          <w:szCs w:val="22"/>
        </w:rPr>
        <w:t xml:space="preserve"> therefore need to consider the multiple, intersecting systems of oppression experienced by </w:t>
      </w:r>
      <w:r w:rsidR="4C5877FA" w:rsidRPr="009B0D59">
        <w:rPr>
          <w:rFonts w:cs="Calibri"/>
          <w:szCs w:val="22"/>
        </w:rPr>
        <w:t>First Nations</w:t>
      </w:r>
      <w:r w:rsidRPr="009B0D59">
        <w:rPr>
          <w:rFonts w:cs="Calibri"/>
          <w:szCs w:val="22"/>
        </w:rPr>
        <w:t xml:space="preserve"> women, women from culturally and linguistically diverse communities, LGBTQ</w:t>
      </w:r>
      <w:r w:rsidR="007A438F">
        <w:rPr>
          <w:rFonts w:cs="Calibri"/>
          <w:szCs w:val="22"/>
        </w:rPr>
        <w:t>I</w:t>
      </w:r>
      <w:r w:rsidR="009B6642">
        <w:rPr>
          <w:rFonts w:cs="Calibri"/>
          <w:szCs w:val="22"/>
        </w:rPr>
        <w:t>A</w:t>
      </w:r>
      <w:r w:rsidRPr="009B0D59">
        <w:rPr>
          <w:rFonts w:cs="Calibri"/>
          <w:szCs w:val="22"/>
        </w:rPr>
        <w:t>+ communities, and women with disabilit</w:t>
      </w:r>
      <w:r w:rsidR="00DF4105">
        <w:rPr>
          <w:rFonts w:cs="Calibri"/>
          <w:szCs w:val="22"/>
        </w:rPr>
        <w:t>y</w:t>
      </w:r>
      <w:r w:rsidRPr="009B0D59">
        <w:rPr>
          <w:rFonts w:cs="Calibri"/>
          <w:szCs w:val="22"/>
        </w:rPr>
        <w:t xml:space="preserve">, among others. </w:t>
      </w:r>
    </w:p>
    <w:p w14:paraId="5B916B96" w14:textId="2A1E2D8D" w:rsidR="004413B4" w:rsidRPr="004625B0" w:rsidRDefault="007F4023" w:rsidP="004625B0">
      <w:pPr>
        <w:spacing w:line="276" w:lineRule="auto"/>
        <w:rPr>
          <w:szCs w:val="22"/>
        </w:rPr>
      </w:pPr>
      <w:r>
        <w:rPr>
          <w:szCs w:val="22"/>
        </w:rPr>
        <w:t xml:space="preserve">In addition to affirming </w:t>
      </w:r>
      <w:r w:rsidR="00A35336">
        <w:rPr>
          <w:szCs w:val="22"/>
        </w:rPr>
        <w:t xml:space="preserve">the </w:t>
      </w:r>
      <w:r>
        <w:rPr>
          <w:szCs w:val="22"/>
        </w:rPr>
        <w:t>high prevalence and underreporting</w:t>
      </w:r>
      <w:r w:rsidR="00A35336">
        <w:rPr>
          <w:szCs w:val="22"/>
        </w:rPr>
        <w:t xml:space="preserve"> of GBV</w:t>
      </w:r>
      <w:r>
        <w:rPr>
          <w:szCs w:val="22"/>
        </w:rPr>
        <w:t xml:space="preserve">, the </w:t>
      </w:r>
      <w:r w:rsidRPr="006F1B58">
        <w:rPr>
          <w:i/>
          <w:szCs w:val="22"/>
        </w:rPr>
        <w:t>Change the Course</w:t>
      </w:r>
      <w:r w:rsidRPr="006F1B58">
        <w:rPr>
          <w:szCs w:val="22"/>
        </w:rPr>
        <w:t xml:space="preserve"> report identified several factors specific to </w:t>
      </w:r>
      <w:r w:rsidR="00A35336">
        <w:rPr>
          <w:szCs w:val="22"/>
        </w:rPr>
        <w:t xml:space="preserve">GBV in </w:t>
      </w:r>
      <w:r w:rsidRPr="006F1B58">
        <w:rPr>
          <w:szCs w:val="22"/>
        </w:rPr>
        <w:t>university settings. These included harmful attitudes towards women, misunderstandings about consent, the misuse of alcohol, the abuse of institutional or peer-based power, and risks associated with residential and accommodation environments.</w:t>
      </w:r>
      <w:r>
        <w:rPr>
          <w:rStyle w:val="FootnoteReference"/>
          <w:szCs w:val="22"/>
        </w:rPr>
        <w:footnoteReference w:id="17"/>
      </w:r>
      <w:r>
        <w:rPr>
          <w:szCs w:val="22"/>
        </w:rPr>
        <w:t xml:space="preserve">  </w:t>
      </w:r>
      <w:r w:rsidR="004625B0" w:rsidRPr="004625B0">
        <w:rPr>
          <w:szCs w:val="22"/>
        </w:rPr>
        <w:t>Such factors reflect how university cultures and structures can actively shape conditions for GBV</w:t>
      </w:r>
      <w:r w:rsidR="004625B0">
        <w:rPr>
          <w:szCs w:val="22"/>
        </w:rPr>
        <w:t xml:space="preserve"> – whe</w:t>
      </w:r>
      <w:r w:rsidR="004625B0" w:rsidRPr="004625B0">
        <w:rPr>
          <w:szCs w:val="22"/>
        </w:rPr>
        <w:t xml:space="preserve">re inadequate education, poor accountability, and power imbalances reinforce unsafe norms. </w:t>
      </w:r>
      <w:r w:rsidR="00180F9F">
        <w:rPr>
          <w:szCs w:val="22"/>
        </w:rPr>
        <w:t>Essentially,</w:t>
      </w:r>
      <w:r w:rsidR="004625B0" w:rsidRPr="004625B0">
        <w:rPr>
          <w:szCs w:val="22"/>
        </w:rPr>
        <w:t xml:space="preserve"> GBV in higher education is not merely individual misconduct, but a systemic issue </w:t>
      </w:r>
      <w:r w:rsidR="004625B0">
        <w:rPr>
          <w:szCs w:val="22"/>
        </w:rPr>
        <w:t xml:space="preserve">that is embedded in </w:t>
      </w:r>
      <w:r w:rsidR="00410187">
        <w:rPr>
          <w:szCs w:val="22"/>
        </w:rPr>
        <w:t>the structures and cultures of the higher education sector</w:t>
      </w:r>
      <w:r w:rsidR="004625B0">
        <w:rPr>
          <w:szCs w:val="22"/>
        </w:rPr>
        <w:t xml:space="preserve">. </w:t>
      </w:r>
      <w:r w:rsidR="004413B4" w:rsidRPr="007A423A">
        <w:t xml:space="preserve"> </w:t>
      </w:r>
    </w:p>
    <w:p w14:paraId="2C48259B" w14:textId="5C2F9DAB" w:rsidR="00182509" w:rsidRDefault="000F0164" w:rsidP="007A423A">
      <w:pPr>
        <w:spacing w:before="120" w:after="120" w:line="276" w:lineRule="auto"/>
        <w:rPr>
          <w:rFonts w:cs="Calibri"/>
          <w:szCs w:val="22"/>
        </w:rPr>
      </w:pPr>
      <w:r>
        <w:rPr>
          <w:rFonts w:cs="Calibri"/>
          <w:szCs w:val="22"/>
        </w:rPr>
        <w:t>HEPs</w:t>
      </w:r>
      <w:r w:rsidR="5352C601" w:rsidRPr="009B0D59">
        <w:rPr>
          <w:rFonts w:cs="Calibri"/>
          <w:szCs w:val="22"/>
        </w:rPr>
        <w:t xml:space="preserve"> </w:t>
      </w:r>
      <w:r w:rsidR="005B5CAA">
        <w:rPr>
          <w:rFonts w:cs="Calibri"/>
          <w:szCs w:val="22"/>
        </w:rPr>
        <w:t>encompass all</w:t>
      </w:r>
      <w:r w:rsidR="5352C601" w:rsidRPr="009B0D59">
        <w:rPr>
          <w:rFonts w:cs="Calibri"/>
          <w:szCs w:val="22"/>
        </w:rPr>
        <w:t xml:space="preserve"> institution</w:t>
      </w:r>
      <w:r w:rsidR="005B5CAA">
        <w:rPr>
          <w:rFonts w:cs="Calibri"/>
          <w:szCs w:val="22"/>
        </w:rPr>
        <w:t>s</w:t>
      </w:r>
      <w:r w:rsidR="5352C601" w:rsidRPr="009B0D59">
        <w:rPr>
          <w:rFonts w:cs="Calibri"/>
          <w:szCs w:val="22"/>
        </w:rPr>
        <w:t xml:space="preserve"> </w:t>
      </w:r>
      <w:r w:rsidR="005B5CAA">
        <w:rPr>
          <w:rFonts w:cs="Calibri"/>
          <w:szCs w:val="22"/>
        </w:rPr>
        <w:t>and</w:t>
      </w:r>
      <w:r w:rsidR="5352C601" w:rsidRPr="009B0D59">
        <w:rPr>
          <w:rFonts w:cs="Calibri"/>
          <w:szCs w:val="22"/>
        </w:rPr>
        <w:t xml:space="preserve"> organisation</w:t>
      </w:r>
      <w:r w:rsidR="005B5CAA">
        <w:rPr>
          <w:rFonts w:cs="Calibri"/>
          <w:szCs w:val="22"/>
        </w:rPr>
        <w:t>s</w:t>
      </w:r>
      <w:r w:rsidR="5352C601" w:rsidRPr="009B0D59">
        <w:rPr>
          <w:rFonts w:cs="Calibri"/>
          <w:szCs w:val="22"/>
        </w:rPr>
        <w:t xml:space="preserve"> registered to deliver higher education qualifications under the Tertiary Education Quality and Standards Agency (TEQSA) framework</w:t>
      </w:r>
      <w:r w:rsidR="00356C32">
        <w:rPr>
          <w:rFonts w:cs="Calibri"/>
          <w:szCs w:val="22"/>
        </w:rPr>
        <w:t xml:space="preserve">. These </w:t>
      </w:r>
      <w:r w:rsidR="5352C601" w:rsidRPr="009B0D59">
        <w:rPr>
          <w:rFonts w:cs="Calibri"/>
          <w:szCs w:val="22"/>
        </w:rPr>
        <w:t>includ</w:t>
      </w:r>
      <w:r w:rsidR="00356C32">
        <w:rPr>
          <w:rFonts w:cs="Calibri"/>
          <w:szCs w:val="22"/>
        </w:rPr>
        <w:t>e</w:t>
      </w:r>
      <w:r w:rsidR="5352C601" w:rsidRPr="009B0D59">
        <w:rPr>
          <w:rFonts w:cs="Calibri"/>
          <w:szCs w:val="22"/>
        </w:rPr>
        <w:t xml:space="preserve"> universities, colleges, and other accredited institutions. </w:t>
      </w:r>
      <w:r w:rsidR="003115C3" w:rsidRPr="009B0D59">
        <w:rPr>
          <w:rFonts w:cs="Calibri"/>
          <w:szCs w:val="22"/>
        </w:rPr>
        <w:t xml:space="preserve">HEPs are foundational institutions in Australian society, serving as environments where individuals learn, work and live, and where cultural, social, economic and political norms are both reflected and shaped. Through education, research, innovation, and global engagement, HEPs contribute significantly to workforce development, thought leadership and national progress. Their influence extends beyond the campus, shaping public discourse and informing policy, industry and community outcomes. </w:t>
      </w:r>
    </w:p>
    <w:p w14:paraId="5DE779C4" w14:textId="47530827" w:rsidR="004413B4" w:rsidRPr="009B0D59" w:rsidRDefault="004413B4" w:rsidP="007A423A">
      <w:pPr>
        <w:spacing w:before="120" w:after="120" w:line="276" w:lineRule="auto"/>
        <w:rPr>
          <w:szCs w:val="22"/>
        </w:rPr>
      </w:pPr>
      <w:r w:rsidRPr="009B0D59">
        <w:rPr>
          <w:rFonts w:cs="Calibri"/>
          <w:szCs w:val="22"/>
        </w:rPr>
        <w:lastRenderedPageBreak/>
        <w:t>Universities Australia, the</w:t>
      </w:r>
      <w:r w:rsidR="6A2DFF61" w:rsidRPr="009B0D59">
        <w:rPr>
          <w:rFonts w:cs="Calibri"/>
          <w:szCs w:val="22"/>
        </w:rPr>
        <w:t xml:space="preserve"> higher education</w:t>
      </w:r>
      <w:r w:rsidRPr="009B0D59">
        <w:rPr>
          <w:rFonts w:cs="Calibri"/>
          <w:szCs w:val="22"/>
        </w:rPr>
        <w:t xml:space="preserve"> sector</w:t>
      </w:r>
      <w:r w:rsidR="6F8545C7" w:rsidRPr="009B0D59">
        <w:rPr>
          <w:rFonts w:cs="Calibri"/>
          <w:szCs w:val="22"/>
        </w:rPr>
        <w:t>’</w:t>
      </w:r>
      <w:r w:rsidRPr="009B0D59">
        <w:rPr>
          <w:rFonts w:cs="Calibri"/>
          <w:szCs w:val="22"/>
        </w:rPr>
        <w:t>s peak body, notes that “teaching and learning is a fundamental mission of Australian universities. Through educating the next generation, universities make a strong contribution to our economic prosperity, social wellbeing and our communities.”</w:t>
      </w:r>
      <w:r w:rsidRPr="009B0D59">
        <w:rPr>
          <w:rStyle w:val="FootnoteReference"/>
          <w:rFonts w:cs="Calibri"/>
          <w:szCs w:val="22"/>
        </w:rPr>
        <w:footnoteReference w:id="18"/>
      </w:r>
      <w:r w:rsidRPr="009B0D59">
        <w:rPr>
          <w:rFonts w:cs="Calibri"/>
          <w:szCs w:val="22"/>
        </w:rPr>
        <w:t xml:space="preserve"> Similarly, the Group of Eight (Go8) has highlighted the role of universities as national anchors, stating that “Australian universities are key drivers of national prosperity, societal and environmental wellbeing.”</w:t>
      </w:r>
      <w:r w:rsidR="00E424BF">
        <w:rPr>
          <w:rStyle w:val="FootnoteReference"/>
          <w:rFonts w:cs="Calibri"/>
          <w:szCs w:val="22"/>
        </w:rPr>
        <w:footnoteReference w:id="19"/>
      </w:r>
      <w:r w:rsidRPr="009B0D59">
        <w:rPr>
          <w:rFonts w:cs="Calibri"/>
          <w:szCs w:val="22"/>
        </w:rPr>
        <w:t xml:space="preserve"> In this context, ensuring that higher education institutions are safe</w:t>
      </w:r>
      <w:r w:rsidR="00424066">
        <w:rPr>
          <w:rFonts w:cs="Calibri"/>
          <w:szCs w:val="22"/>
        </w:rPr>
        <w:t>,</w:t>
      </w:r>
      <w:r w:rsidRPr="009B0D59">
        <w:rPr>
          <w:rFonts w:cs="Calibri"/>
          <w:szCs w:val="22"/>
        </w:rPr>
        <w:t xml:space="preserve"> inclusive</w:t>
      </w:r>
      <w:r w:rsidR="00424066">
        <w:rPr>
          <w:rFonts w:cs="Calibri"/>
          <w:szCs w:val="22"/>
        </w:rPr>
        <w:t>,</w:t>
      </w:r>
      <w:r w:rsidRPr="009B0D59">
        <w:rPr>
          <w:rFonts w:cs="Calibri"/>
          <w:szCs w:val="22"/>
        </w:rPr>
        <w:t xml:space="preserve"> and free from </w:t>
      </w:r>
      <w:r w:rsidR="008223FC" w:rsidRPr="009B0D59">
        <w:rPr>
          <w:rFonts w:cs="Calibri"/>
          <w:szCs w:val="22"/>
        </w:rPr>
        <w:t>GBV</w:t>
      </w:r>
      <w:r w:rsidRPr="009B0D59">
        <w:rPr>
          <w:rFonts w:cs="Calibri"/>
          <w:szCs w:val="22"/>
        </w:rPr>
        <w:t xml:space="preserve"> is not only a matter of individual wellbeing</w:t>
      </w:r>
      <w:r w:rsidR="00002CB9">
        <w:rPr>
          <w:rFonts w:cs="Calibri"/>
          <w:szCs w:val="22"/>
        </w:rPr>
        <w:t>, but is</w:t>
      </w:r>
      <w:r w:rsidR="001E03D5">
        <w:rPr>
          <w:rFonts w:cs="Calibri"/>
          <w:szCs w:val="22"/>
        </w:rPr>
        <w:t xml:space="preserve"> </w:t>
      </w:r>
      <w:r w:rsidRPr="009B0D59">
        <w:rPr>
          <w:rFonts w:cs="Calibri"/>
          <w:szCs w:val="22"/>
        </w:rPr>
        <w:t xml:space="preserve">integral to achieving equality, supporting full participation, and maximising the sector’s contribution to Australia’s social and economic future. </w:t>
      </w:r>
    </w:p>
    <w:p w14:paraId="07B7D680" w14:textId="7D2A4CEE" w:rsidR="0012280E" w:rsidRDefault="055FBF73" w:rsidP="282084BF">
      <w:pPr>
        <w:spacing w:after="240" w:line="276" w:lineRule="auto"/>
        <w:rPr>
          <w:rStyle w:val="normaltextrun"/>
          <w:rFonts w:cs="Calibri"/>
          <w:szCs w:val="22"/>
        </w:rPr>
      </w:pPr>
      <w:r w:rsidRPr="009B0D59">
        <w:rPr>
          <w:rStyle w:val="normaltextrun"/>
          <w:rFonts w:cs="Calibri"/>
          <w:szCs w:val="22"/>
        </w:rPr>
        <w:t xml:space="preserve">Furthermore, the higher education sector has a unique opportunity to drive social change at scale. </w:t>
      </w:r>
      <w:r w:rsidR="004413B4" w:rsidRPr="009B0D59">
        <w:rPr>
          <w:rStyle w:val="normaltextrun"/>
          <w:rFonts w:cs="Calibri"/>
          <w:szCs w:val="22"/>
        </w:rPr>
        <w:t xml:space="preserve">As of 2023, Australia’s higher </w:t>
      </w:r>
      <w:r w:rsidR="0012280E">
        <w:rPr>
          <w:rStyle w:val="normaltextrun"/>
          <w:rFonts w:cs="Calibri"/>
          <w:szCs w:val="22"/>
        </w:rPr>
        <w:t>education</w:t>
      </w:r>
      <w:r w:rsidR="00A870D1">
        <w:rPr>
          <w:rStyle w:val="normaltextrun"/>
          <w:rFonts w:cs="Calibri"/>
          <w:szCs w:val="22"/>
        </w:rPr>
        <w:t xml:space="preserve"> </w:t>
      </w:r>
      <w:r w:rsidR="0012280E">
        <w:rPr>
          <w:rStyle w:val="normaltextrun"/>
          <w:rFonts w:cs="Calibri"/>
          <w:szCs w:val="22"/>
        </w:rPr>
        <w:t>sector encompasses</w:t>
      </w:r>
      <w:r w:rsidR="00C951A6">
        <w:rPr>
          <w:rStyle w:val="normaltextrun"/>
          <w:rFonts w:cs="Calibri"/>
          <w:szCs w:val="22"/>
        </w:rPr>
        <w:t xml:space="preserve"> approximately:</w:t>
      </w:r>
    </w:p>
    <w:p w14:paraId="26116E02" w14:textId="23B283AD" w:rsidR="0012280E" w:rsidRDefault="0095152D" w:rsidP="008D4824">
      <w:pPr>
        <w:pStyle w:val="ListParagraph"/>
        <w:numPr>
          <w:ilvl w:val="0"/>
          <w:numId w:val="184"/>
        </w:numPr>
        <w:spacing w:after="240" w:line="276" w:lineRule="auto"/>
        <w:rPr>
          <w:rStyle w:val="normaltextrun"/>
          <w:rFonts w:cs="Calibri"/>
          <w:szCs w:val="22"/>
        </w:rPr>
      </w:pPr>
      <w:r>
        <w:rPr>
          <w:rStyle w:val="normaltextrun"/>
          <w:rFonts w:cs="Calibri"/>
          <w:szCs w:val="22"/>
        </w:rPr>
        <w:t xml:space="preserve">Over 1.6 million students, including </w:t>
      </w:r>
      <w:r w:rsidR="0088794F">
        <w:rPr>
          <w:rStyle w:val="normaltextrun"/>
          <w:rFonts w:cs="Calibri"/>
          <w:szCs w:val="22"/>
        </w:rPr>
        <w:t>1.075 million domestic students and 525,000 international students</w:t>
      </w:r>
      <w:r w:rsidR="00077423">
        <w:rPr>
          <w:rStyle w:val="FootnoteReference"/>
          <w:rFonts w:cs="Calibri"/>
          <w:szCs w:val="22"/>
        </w:rPr>
        <w:footnoteReference w:id="20"/>
      </w:r>
    </w:p>
    <w:p w14:paraId="30C901D2" w14:textId="665255CB" w:rsidR="0088794F" w:rsidRDefault="00431725" w:rsidP="008D4824">
      <w:pPr>
        <w:pStyle w:val="ListParagraph"/>
        <w:numPr>
          <w:ilvl w:val="0"/>
          <w:numId w:val="184"/>
        </w:numPr>
        <w:spacing w:after="240" w:line="276" w:lineRule="auto"/>
        <w:rPr>
          <w:rStyle w:val="normaltextrun"/>
          <w:rFonts w:cs="Calibri"/>
          <w:szCs w:val="22"/>
        </w:rPr>
      </w:pPr>
      <w:r>
        <w:rPr>
          <w:rStyle w:val="normaltextrun"/>
          <w:rFonts w:cs="Calibri"/>
          <w:szCs w:val="22"/>
        </w:rPr>
        <w:t>260,000 staff</w:t>
      </w:r>
      <w:r w:rsidR="00E8117F">
        <w:rPr>
          <w:rStyle w:val="FootnoteReference"/>
          <w:rFonts w:cs="Calibri"/>
          <w:szCs w:val="22"/>
        </w:rPr>
        <w:footnoteReference w:id="21"/>
      </w:r>
    </w:p>
    <w:p w14:paraId="4E5A611D" w14:textId="1CA26A54" w:rsidR="004413B4" w:rsidRPr="009B0D59" w:rsidRDefault="00971E10" w:rsidP="282084BF">
      <w:pPr>
        <w:spacing w:after="240" w:line="276" w:lineRule="auto"/>
        <w:rPr>
          <w:rFonts w:cs="Calibri"/>
          <w:szCs w:val="22"/>
        </w:rPr>
      </w:pPr>
      <w:r>
        <w:rPr>
          <w:rStyle w:val="normaltextrun"/>
          <w:rFonts w:cs="Calibri"/>
          <w:szCs w:val="22"/>
        </w:rPr>
        <w:t xml:space="preserve">Based on these numbers, the higher education </w:t>
      </w:r>
      <w:r w:rsidR="00222FE5">
        <w:rPr>
          <w:rStyle w:val="normaltextrun"/>
          <w:rFonts w:cs="Calibri"/>
          <w:szCs w:val="22"/>
        </w:rPr>
        <w:t xml:space="preserve">sector </w:t>
      </w:r>
      <w:r>
        <w:rPr>
          <w:rStyle w:val="normaltextrun"/>
          <w:rFonts w:cs="Calibri"/>
          <w:szCs w:val="22"/>
        </w:rPr>
        <w:t>enrol</w:t>
      </w:r>
      <w:r w:rsidR="00873633">
        <w:rPr>
          <w:rStyle w:val="normaltextrun"/>
          <w:rFonts w:cs="Calibri"/>
          <w:szCs w:val="22"/>
        </w:rPr>
        <w:t xml:space="preserve">s or </w:t>
      </w:r>
      <w:r>
        <w:rPr>
          <w:rStyle w:val="normaltextrun"/>
          <w:rFonts w:cs="Calibri"/>
          <w:szCs w:val="22"/>
        </w:rPr>
        <w:t>employs</w:t>
      </w:r>
      <w:r w:rsidR="00873633">
        <w:rPr>
          <w:rStyle w:val="normaltextrun"/>
          <w:rFonts w:cs="Calibri"/>
          <w:szCs w:val="22"/>
        </w:rPr>
        <w:t xml:space="preserve"> </w:t>
      </w:r>
      <w:r w:rsidR="006B58B6">
        <w:rPr>
          <w:rStyle w:val="normaltextrun"/>
          <w:rFonts w:cs="Calibri"/>
          <w:szCs w:val="22"/>
        </w:rPr>
        <w:t xml:space="preserve">almost 7% of the Australian population. This proportion provides an unparalleled opportunity to influence attitudes </w:t>
      </w:r>
      <w:r w:rsidR="006B552A">
        <w:rPr>
          <w:rStyle w:val="normaltextrun"/>
          <w:rFonts w:cs="Calibri"/>
          <w:szCs w:val="22"/>
        </w:rPr>
        <w:t xml:space="preserve">and </w:t>
      </w:r>
      <w:r w:rsidR="006B58B6">
        <w:rPr>
          <w:rStyle w:val="normaltextrun"/>
          <w:rFonts w:cs="Calibri"/>
          <w:szCs w:val="22"/>
        </w:rPr>
        <w:t xml:space="preserve">values and foster safe and supportive environments in higher education sector. </w:t>
      </w:r>
      <w:r w:rsidR="004413B4" w:rsidRPr="009B0D59">
        <w:rPr>
          <w:rStyle w:val="normaltextrun"/>
          <w:rFonts w:cs="Calibri"/>
          <w:szCs w:val="22"/>
        </w:rPr>
        <w:t>While gender-disaggregated data is not included, historical trends indicate that women continue to comprise a growing proportion of the higher education workforce, particularly in professional and academic support roles.</w:t>
      </w:r>
      <w:r w:rsidR="004413B4" w:rsidRPr="009B0D59">
        <w:rPr>
          <w:rStyle w:val="normaltextrun"/>
          <w:rFonts w:cs="Calibri"/>
          <w:szCs w:val="22"/>
          <w:vertAlign w:val="superscript"/>
        </w:rPr>
        <w:footnoteReference w:id="22"/>
      </w:r>
      <w:r w:rsidR="4DF90F4A" w:rsidRPr="009B0D59">
        <w:rPr>
          <w:rFonts w:cs="Calibri"/>
          <w:szCs w:val="22"/>
        </w:rPr>
        <w:t xml:space="preserve"> </w:t>
      </w:r>
      <w:r w:rsidR="4DF90F4A" w:rsidRPr="009B0D59">
        <w:rPr>
          <w:rFonts w:eastAsiaTheme="minorEastAsia"/>
          <w:szCs w:val="22"/>
        </w:rPr>
        <w:t xml:space="preserve">With significant reach in the Australian population and a pivotal role in shaping the workforce and driving national progress, </w:t>
      </w:r>
      <w:r w:rsidR="000F0164">
        <w:rPr>
          <w:rFonts w:eastAsiaTheme="minorEastAsia"/>
          <w:szCs w:val="22"/>
        </w:rPr>
        <w:t>HEPs</w:t>
      </w:r>
      <w:r w:rsidR="4DF90F4A" w:rsidRPr="009B0D59">
        <w:rPr>
          <w:rFonts w:eastAsiaTheme="minorEastAsia"/>
          <w:szCs w:val="22"/>
        </w:rPr>
        <w:t xml:space="preserve"> have the reach, influence and responsibility to build a future where </w:t>
      </w:r>
      <w:r w:rsidR="00B7771B" w:rsidRPr="009B0D59">
        <w:rPr>
          <w:rFonts w:eastAsiaTheme="minorEastAsia"/>
          <w:szCs w:val="22"/>
        </w:rPr>
        <w:t>GBV</w:t>
      </w:r>
      <w:r w:rsidR="4DF90F4A" w:rsidRPr="009B0D59">
        <w:rPr>
          <w:rFonts w:eastAsiaTheme="minorEastAsia"/>
          <w:szCs w:val="22"/>
        </w:rPr>
        <w:t xml:space="preserve"> is not tolerated.  </w:t>
      </w:r>
    </w:p>
    <w:p w14:paraId="71985A5D" w14:textId="77777777" w:rsidR="00CF337A" w:rsidRDefault="00CF337A" w:rsidP="282084BF">
      <w:pPr>
        <w:spacing w:after="240" w:line="276" w:lineRule="auto"/>
        <w:rPr>
          <w:rFonts w:eastAsiaTheme="minorEastAsia"/>
          <w:szCs w:val="22"/>
        </w:rPr>
      </w:pPr>
    </w:p>
    <w:p w14:paraId="13FF92F8" w14:textId="77777777" w:rsidR="00CF337A" w:rsidRPr="009B0D59" w:rsidRDefault="00CF337A" w:rsidP="282084BF">
      <w:pPr>
        <w:spacing w:after="240" w:line="276" w:lineRule="auto"/>
        <w:rPr>
          <w:rFonts w:cs="Calibri"/>
          <w:szCs w:val="22"/>
        </w:rPr>
      </w:pPr>
    </w:p>
    <w:p w14:paraId="55687C1E" w14:textId="127D52C6" w:rsidR="00C76E5C" w:rsidRDefault="005F2405" w:rsidP="007A423A">
      <w:pPr>
        <w:pStyle w:val="Heading2"/>
        <w:spacing w:line="276" w:lineRule="auto"/>
        <w:rPr>
          <w:rFonts w:asciiTheme="minorHAnsi" w:hAnsiTheme="minorHAnsi"/>
        </w:rPr>
      </w:pPr>
      <w:bookmarkStart w:id="21" w:name="_Toc204699840"/>
      <w:bookmarkStart w:id="22" w:name="_Toc210050217"/>
      <w:r w:rsidRPr="007A423A">
        <w:rPr>
          <w:rFonts w:asciiTheme="minorHAnsi" w:hAnsiTheme="minorHAnsi"/>
        </w:rPr>
        <w:t>Elements of the policy problem</w:t>
      </w:r>
      <w:bookmarkEnd w:id="21"/>
      <w:bookmarkEnd w:id="22"/>
      <w:r w:rsidRPr="007A423A">
        <w:rPr>
          <w:rFonts w:asciiTheme="minorHAnsi" w:hAnsiTheme="minorHAnsi"/>
        </w:rPr>
        <w:t xml:space="preserve"> </w:t>
      </w:r>
    </w:p>
    <w:p w14:paraId="66CC84F6" w14:textId="27948224" w:rsidR="007C6BBD" w:rsidRPr="009B0D59" w:rsidRDefault="007C6BBD" w:rsidP="009B0D59">
      <w:pPr>
        <w:spacing w:line="276" w:lineRule="auto"/>
        <w:rPr>
          <w:szCs w:val="22"/>
        </w:rPr>
      </w:pPr>
      <w:r w:rsidRPr="009B0D59">
        <w:rPr>
          <w:szCs w:val="22"/>
        </w:rPr>
        <w:t xml:space="preserve">This Impact Analysis identifies </w:t>
      </w:r>
      <w:r w:rsidR="00B25CAD">
        <w:rPr>
          <w:szCs w:val="22"/>
        </w:rPr>
        <w:t>six</w:t>
      </w:r>
      <w:r w:rsidRPr="009B0D59">
        <w:rPr>
          <w:szCs w:val="22"/>
        </w:rPr>
        <w:t xml:space="preserve"> core elements of the problem:</w:t>
      </w:r>
    </w:p>
    <w:p w14:paraId="50C54A4F" w14:textId="2300B7DF" w:rsidR="00863D14" w:rsidRPr="009B0D59" w:rsidRDefault="00B7771B" w:rsidP="009B0D59">
      <w:pPr>
        <w:pStyle w:val="ListParagraph"/>
        <w:numPr>
          <w:ilvl w:val="0"/>
          <w:numId w:val="30"/>
        </w:numPr>
        <w:spacing w:line="276" w:lineRule="auto"/>
        <w:rPr>
          <w:szCs w:val="22"/>
        </w:rPr>
      </w:pPr>
      <w:r w:rsidRPr="009B0D59">
        <w:rPr>
          <w:szCs w:val="22"/>
        </w:rPr>
        <w:t>GBV</w:t>
      </w:r>
      <w:r w:rsidR="008E019B" w:rsidRPr="009B0D59">
        <w:rPr>
          <w:szCs w:val="22"/>
        </w:rPr>
        <w:t xml:space="preserve"> in higher education is prevalent, underreported, and inadequately addressed</w:t>
      </w:r>
    </w:p>
    <w:p w14:paraId="7F90D9C3" w14:textId="46625DC4" w:rsidR="004B130F" w:rsidRPr="009B0D59" w:rsidRDefault="00B7771B" w:rsidP="009B0D59">
      <w:pPr>
        <w:pStyle w:val="ListParagraph"/>
        <w:numPr>
          <w:ilvl w:val="0"/>
          <w:numId w:val="30"/>
        </w:numPr>
        <w:spacing w:line="276" w:lineRule="auto"/>
        <w:rPr>
          <w:szCs w:val="22"/>
        </w:rPr>
      </w:pPr>
      <w:r w:rsidRPr="009B0D59">
        <w:rPr>
          <w:szCs w:val="22"/>
        </w:rPr>
        <w:t>GBV</w:t>
      </w:r>
      <w:r w:rsidR="008E019B" w:rsidRPr="009B0D59">
        <w:rPr>
          <w:szCs w:val="22"/>
        </w:rPr>
        <w:t xml:space="preserve"> has detrimental effects on student and staff health, wellbeing, educational attainment and career progression</w:t>
      </w:r>
    </w:p>
    <w:p w14:paraId="5032D2D7" w14:textId="199B40BC" w:rsidR="008E019B" w:rsidRPr="009B0D59" w:rsidRDefault="00B7771B" w:rsidP="009B0D59">
      <w:pPr>
        <w:pStyle w:val="ListParagraph"/>
        <w:numPr>
          <w:ilvl w:val="0"/>
          <w:numId w:val="30"/>
        </w:numPr>
        <w:spacing w:line="276" w:lineRule="auto"/>
        <w:rPr>
          <w:szCs w:val="22"/>
        </w:rPr>
      </w:pPr>
      <w:r w:rsidRPr="009B0D59">
        <w:rPr>
          <w:szCs w:val="22"/>
        </w:rPr>
        <w:t>GBV</w:t>
      </w:r>
      <w:r w:rsidR="008E019B" w:rsidRPr="009B0D59">
        <w:rPr>
          <w:szCs w:val="22"/>
        </w:rPr>
        <w:t xml:space="preserve"> in higher education disproportionately impacts women and girls experiencing intersecting forms of </w:t>
      </w:r>
      <w:r w:rsidR="000D5EAB">
        <w:rPr>
          <w:szCs w:val="22"/>
        </w:rPr>
        <w:t>inequalities and discrimination</w:t>
      </w:r>
      <w:r w:rsidR="008E019B" w:rsidRPr="009B0D59">
        <w:rPr>
          <w:szCs w:val="22"/>
        </w:rPr>
        <w:t xml:space="preserve"> </w:t>
      </w:r>
    </w:p>
    <w:p w14:paraId="38810D1F" w14:textId="5539051A" w:rsidR="004B130F" w:rsidRPr="009B0D59" w:rsidRDefault="000B05E3" w:rsidP="009B0D59">
      <w:pPr>
        <w:pStyle w:val="ListParagraph"/>
        <w:numPr>
          <w:ilvl w:val="0"/>
          <w:numId w:val="30"/>
        </w:numPr>
        <w:spacing w:line="276" w:lineRule="auto"/>
        <w:rPr>
          <w:szCs w:val="22"/>
        </w:rPr>
      </w:pPr>
      <w:r w:rsidRPr="009B0D59">
        <w:rPr>
          <w:szCs w:val="22"/>
        </w:rPr>
        <w:t xml:space="preserve">Previous measures to address </w:t>
      </w:r>
      <w:r w:rsidR="00B7771B" w:rsidRPr="009B0D59">
        <w:rPr>
          <w:szCs w:val="22"/>
        </w:rPr>
        <w:t>GBV</w:t>
      </w:r>
      <w:r w:rsidRPr="009B0D59">
        <w:rPr>
          <w:szCs w:val="22"/>
        </w:rPr>
        <w:t xml:space="preserve"> in higher education have been fragmented, </w:t>
      </w:r>
      <w:r w:rsidR="00A92B53" w:rsidRPr="009B0D59">
        <w:rPr>
          <w:szCs w:val="22"/>
        </w:rPr>
        <w:t>reactive</w:t>
      </w:r>
      <w:r w:rsidRPr="009B0D59">
        <w:rPr>
          <w:szCs w:val="22"/>
        </w:rPr>
        <w:t xml:space="preserve"> and under resourced</w:t>
      </w:r>
      <w:r w:rsidR="3326C092" w:rsidRPr="009B0D59">
        <w:rPr>
          <w:szCs w:val="22"/>
        </w:rPr>
        <w:t>,</w:t>
      </w:r>
      <w:r w:rsidRPr="009B0D59">
        <w:rPr>
          <w:szCs w:val="22"/>
        </w:rPr>
        <w:t xml:space="preserve"> failing to drive lasting change</w:t>
      </w:r>
    </w:p>
    <w:p w14:paraId="37177499" w14:textId="6641A379" w:rsidR="004B130F" w:rsidRPr="009B0D59" w:rsidRDefault="000B05E3" w:rsidP="009B0D59">
      <w:pPr>
        <w:pStyle w:val="ListParagraph"/>
        <w:numPr>
          <w:ilvl w:val="0"/>
          <w:numId w:val="30"/>
        </w:numPr>
        <w:spacing w:line="276" w:lineRule="auto"/>
        <w:rPr>
          <w:szCs w:val="22"/>
        </w:rPr>
      </w:pPr>
      <w:r w:rsidRPr="009B0D59">
        <w:rPr>
          <w:szCs w:val="22"/>
        </w:rPr>
        <w:lastRenderedPageBreak/>
        <w:t xml:space="preserve">Insufficient data availability hinders comprehensive understanding of </w:t>
      </w:r>
      <w:r w:rsidR="00B7771B" w:rsidRPr="009B0D59">
        <w:rPr>
          <w:szCs w:val="22"/>
        </w:rPr>
        <w:t>GBV</w:t>
      </w:r>
      <w:r w:rsidRPr="009B0D59">
        <w:rPr>
          <w:szCs w:val="22"/>
        </w:rPr>
        <w:t xml:space="preserve"> in higher education and limits the ability to hold service providers accountable</w:t>
      </w:r>
    </w:p>
    <w:p w14:paraId="623ECEA4" w14:textId="3CB5B7FE" w:rsidR="004B130F" w:rsidRPr="009B0D59" w:rsidRDefault="000B05E3" w:rsidP="009B0D59">
      <w:pPr>
        <w:pStyle w:val="ListParagraph"/>
        <w:numPr>
          <w:ilvl w:val="0"/>
          <w:numId w:val="30"/>
        </w:numPr>
        <w:spacing w:line="276" w:lineRule="auto"/>
        <w:rPr>
          <w:szCs w:val="22"/>
        </w:rPr>
      </w:pPr>
      <w:r w:rsidRPr="009B0D59">
        <w:rPr>
          <w:szCs w:val="22"/>
        </w:rPr>
        <w:t>The current regulatory framework is limited, posing an ongoing risk to student and staff safety</w:t>
      </w:r>
      <w:r w:rsidR="00613DFE">
        <w:rPr>
          <w:szCs w:val="22"/>
        </w:rPr>
        <w:t>.</w:t>
      </w:r>
    </w:p>
    <w:p w14:paraId="2FC5F228" w14:textId="24DB4F2B" w:rsidR="004B130F" w:rsidRPr="009B0D59" w:rsidRDefault="000B05E3" w:rsidP="009B0D59">
      <w:pPr>
        <w:spacing w:line="276" w:lineRule="auto"/>
        <w:rPr>
          <w:szCs w:val="22"/>
        </w:rPr>
      </w:pPr>
      <w:r w:rsidRPr="009B0D59">
        <w:rPr>
          <w:noProof/>
          <w:szCs w:val="22"/>
          <w:lang w:eastAsia="en-AU"/>
        </w:rPr>
        <w:drawing>
          <wp:anchor distT="0" distB="0" distL="114300" distR="114300" simplePos="0" relativeHeight="251658241" behindDoc="0" locked="0" layoutInCell="1" allowOverlap="1" wp14:anchorId="7ADDB63D" wp14:editId="0956EFAD">
            <wp:simplePos x="0" y="0"/>
            <wp:positionH relativeFrom="margin">
              <wp:align>right</wp:align>
            </wp:positionH>
            <wp:positionV relativeFrom="paragraph">
              <wp:posOffset>713584</wp:posOffset>
            </wp:positionV>
            <wp:extent cx="5723890" cy="3125470"/>
            <wp:effectExtent l="0" t="0" r="0" b="0"/>
            <wp:wrapThrough wrapText="bothSides">
              <wp:wrapPolygon edited="0">
                <wp:start x="0" y="0"/>
                <wp:lineTo x="0" y="21460"/>
                <wp:lineTo x="21495" y="21460"/>
                <wp:lineTo x="21495" y="0"/>
                <wp:lineTo x="0" y="0"/>
              </wp:wrapPolygon>
            </wp:wrapThrough>
            <wp:docPr id="1636179855" name="Picture 1" descr="A diagram showing six key problems linked to gender-based violence, including prevalence, health impacts, marginalisation, fragmented responses, data gaps, and limited regulatory frame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9855" name="Picture 1" descr="A diagram showing six key problems linked to gender-based violence, including prevalence, health impacts, marginalisation, fragmented responses, data gaps, and limited regulatory framework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3890" cy="3125470"/>
                    </a:xfrm>
                    <a:prstGeom prst="rect">
                      <a:avLst/>
                    </a:prstGeom>
                  </pic:spPr>
                </pic:pic>
              </a:graphicData>
            </a:graphic>
            <wp14:sizeRelH relativeFrom="margin">
              <wp14:pctWidth>0</wp14:pctWidth>
            </wp14:sizeRelH>
            <wp14:sizeRelV relativeFrom="margin">
              <wp14:pctHeight>0</wp14:pctHeight>
            </wp14:sizeRelV>
          </wp:anchor>
        </w:drawing>
      </w:r>
      <w:r w:rsidR="004B130F" w:rsidRPr="009B0D59">
        <w:rPr>
          <w:szCs w:val="22"/>
        </w:rPr>
        <w:t xml:space="preserve">Addressing these 6 elements is essential to ensuring that </w:t>
      </w:r>
      <w:r w:rsidR="000F0164">
        <w:rPr>
          <w:szCs w:val="22"/>
        </w:rPr>
        <w:t>HEPs</w:t>
      </w:r>
      <w:r w:rsidR="00516FC0" w:rsidRPr="009B0D59">
        <w:rPr>
          <w:szCs w:val="22"/>
        </w:rPr>
        <w:t xml:space="preserve"> can fulfil their duty of care, uphold human rights, and contribute </w:t>
      </w:r>
      <w:r w:rsidR="00C80E55">
        <w:rPr>
          <w:szCs w:val="22"/>
        </w:rPr>
        <w:t>meaningful</w:t>
      </w:r>
      <w:r w:rsidR="00516FC0" w:rsidRPr="009B0D59">
        <w:rPr>
          <w:szCs w:val="22"/>
        </w:rPr>
        <w:t>l</w:t>
      </w:r>
      <w:r w:rsidR="00C80E55">
        <w:rPr>
          <w:szCs w:val="22"/>
        </w:rPr>
        <w:t>y</w:t>
      </w:r>
      <w:r w:rsidR="00516FC0" w:rsidRPr="009B0D59">
        <w:rPr>
          <w:szCs w:val="22"/>
        </w:rPr>
        <w:t xml:space="preserve"> to national efforts to end </w:t>
      </w:r>
      <w:r w:rsidR="00B7771B" w:rsidRPr="009B0D59">
        <w:rPr>
          <w:szCs w:val="22"/>
        </w:rPr>
        <w:t>GBV</w:t>
      </w:r>
      <w:r w:rsidR="00D65928">
        <w:rPr>
          <w:szCs w:val="22"/>
        </w:rPr>
        <w:t>.</w:t>
      </w:r>
      <w:r w:rsidR="00386C3F">
        <w:rPr>
          <w:szCs w:val="22"/>
        </w:rPr>
        <w:t xml:space="preserve"> Below is a visual of </w:t>
      </w:r>
      <w:r w:rsidR="008B0CCC">
        <w:rPr>
          <w:szCs w:val="22"/>
        </w:rPr>
        <w:t xml:space="preserve">the above </w:t>
      </w:r>
      <w:r w:rsidR="00386C3F">
        <w:rPr>
          <w:szCs w:val="22"/>
        </w:rPr>
        <w:t xml:space="preserve">policy problems. </w:t>
      </w:r>
    </w:p>
    <w:p w14:paraId="7F44A183" w14:textId="712EE85B" w:rsidR="005F2405" w:rsidRPr="007A423A" w:rsidRDefault="00FD7A32" w:rsidP="007A423A">
      <w:pPr>
        <w:pStyle w:val="Heading2"/>
        <w:spacing w:line="276" w:lineRule="auto"/>
        <w:rPr>
          <w:rFonts w:asciiTheme="minorHAnsi" w:hAnsiTheme="minorHAnsi"/>
        </w:rPr>
      </w:pPr>
      <w:bookmarkStart w:id="23" w:name="_Toc204699841"/>
      <w:bookmarkStart w:id="24" w:name="_Toc210050218"/>
      <w:r w:rsidRPr="007A423A">
        <w:rPr>
          <w:rFonts w:asciiTheme="minorHAnsi" w:hAnsiTheme="minorHAnsi"/>
        </w:rPr>
        <w:lastRenderedPageBreak/>
        <w:t xml:space="preserve">Problem 1: </w:t>
      </w:r>
      <w:r w:rsidR="00B7771B">
        <w:rPr>
          <w:rFonts w:asciiTheme="minorHAnsi" w:hAnsiTheme="minorHAnsi"/>
        </w:rPr>
        <w:t>GBV</w:t>
      </w:r>
      <w:r w:rsidRPr="007A423A">
        <w:rPr>
          <w:rFonts w:asciiTheme="minorHAnsi" w:hAnsiTheme="minorHAnsi"/>
        </w:rPr>
        <w:t xml:space="preserve"> in higher education is prevalent, underreported, and inadequately </w:t>
      </w:r>
      <w:r w:rsidR="00134E66" w:rsidRPr="007A423A">
        <w:rPr>
          <w:rFonts w:asciiTheme="minorHAnsi" w:hAnsiTheme="minorHAnsi"/>
        </w:rPr>
        <w:t>addressed</w:t>
      </w:r>
      <w:bookmarkEnd w:id="23"/>
      <w:bookmarkEnd w:id="24"/>
      <w:r w:rsidR="00134E66" w:rsidRPr="007A423A">
        <w:rPr>
          <w:rFonts w:asciiTheme="minorHAnsi" w:hAnsiTheme="minorHAnsi"/>
        </w:rPr>
        <w:t xml:space="preserve"> </w:t>
      </w:r>
    </w:p>
    <w:p w14:paraId="16F03041" w14:textId="18161208" w:rsidR="008D5B7B" w:rsidRDefault="00B27253" w:rsidP="007A423A">
      <w:pPr>
        <w:spacing w:before="120" w:after="120" w:line="276" w:lineRule="auto"/>
        <w:rPr>
          <w:rFonts w:cs="Calibri"/>
          <w:szCs w:val="22"/>
        </w:rPr>
      </w:pPr>
      <w:r w:rsidRPr="00731031">
        <w:rPr>
          <w:noProof/>
          <w:lang w:eastAsia="en-AU"/>
        </w:rPr>
        <w:drawing>
          <wp:anchor distT="0" distB="0" distL="114300" distR="114300" simplePos="0" relativeHeight="251658242" behindDoc="0" locked="0" layoutInCell="1" allowOverlap="1" wp14:anchorId="4877B981" wp14:editId="5C1B135D">
            <wp:simplePos x="0" y="0"/>
            <wp:positionH relativeFrom="margin">
              <wp:align>left</wp:align>
            </wp:positionH>
            <wp:positionV relativeFrom="paragraph">
              <wp:posOffset>1413074</wp:posOffset>
            </wp:positionV>
            <wp:extent cx="5778500" cy="3827145"/>
            <wp:effectExtent l="0" t="0" r="0" b="0"/>
            <wp:wrapThrough wrapText="bothSides">
              <wp:wrapPolygon edited="0">
                <wp:start x="0" y="0"/>
                <wp:lineTo x="0" y="21396"/>
                <wp:lineTo x="21505" y="21396"/>
                <wp:lineTo x="21505" y="0"/>
                <wp:lineTo x="10895" y="0"/>
                <wp:lineTo x="0" y="0"/>
              </wp:wrapPolygon>
            </wp:wrapThrough>
            <wp:docPr id="370245305" name="Picture 6" descr="Infographic with statistics on sexual harassment and sexual assault in higher education, highlighting prevalence among students and staff, and common locations and perpe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45305" name="Picture 6" descr="Infographic with statistics on sexual harassment and sexual assault in higher education, highlighting prevalence among students and staff, and common locations and perpetrato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8500" cy="3827145"/>
                    </a:xfrm>
                    <a:prstGeom prst="rect">
                      <a:avLst/>
                    </a:prstGeom>
                    <a:noFill/>
                    <a:ln>
                      <a:noFill/>
                    </a:ln>
                  </pic:spPr>
                </pic:pic>
              </a:graphicData>
            </a:graphic>
          </wp:anchor>
        </w:drawing>
      </w:r>
      <w:r w:rsidR="008D5B7B" w:rsidRPr="00D14F0B">
        <w:rPr>
          <w:rFonts w:cs="Calibri"/>
          <w:szCs w:val="22"/>
        </w:rPr>
        <w:t>Despite their central role in shaping Australia’s future, higher educat</w:t>
      </w:r>
      <w:r w:rsidR="008561BF">
        <w:rPr>
          <w:rFonts w:cs="Calibri"/>
          <w:szCs w:val="22"/>
        </w:rPr>
        <w:t xml:space="preserve">ion </w:t>
      </w:r>
      <w:r w:rsidR="008D5B7B" w:rsidRPr="00D14F0B">
        <w:rPr>
          <w:rFonts w:cs="Calibri"/>
          <w:szCs w:val="22"/>
        </w:rPr>
        <w:t xml:space="preserve">settings remain sites where </w:t>
      </w:r>
      <w:r w:rsidR="008223FC" w:rsidRPr="00D14F0B">
        <w:rPr>
          <w:rFonts w:cs="Calibri"/>
          <w:szCs w:val="22"/>
        </w:rPr>
        <w:t>GBV</w:t>
      </w:r>
      <w:r w:rsidR="008D5B7B" w:rsidRPr="00D14F0B">
        <w:rPr>
          <w:rFonts w:cs="Calibri"/>
          <w:szCs w:val="22"/>
        </w:rPr>
        <w:t xml:space="preserve"> is prevalent, under-reported, and inadequately addressed. Multiple inquir</w:t>
      </w:r>
      <w:r w:rsidR="002B1EB6">
        <w:rPr>
          <w:rFonts w:cs="Calibri"/>
          <w:szCs w:val="22"/>
        </w:rPr>
        <w:t>i</w:t>
      </w:r>
      <w:r w:rsidR="008D5B7B" w:rsidRPr="00D14F0B">
        <w:rPr>
          <w:rFonts w:cs="Calibri"/>
          <w:szCs w:val="22"/>
        </w:rPr>
        <w:t xml:space="preserve">es and national surveys have highlighted that many providers lack the necessary investment, systems, policies and practices to effectively prevent and respond to </w:t>
      </w:r>
      <w:r w:rsidR="008223FC" w:rsidRPr="00D14F0B">
        <w:rPr>
          <w:rFonts w:cs="Calibri"/>
          <w:szCs w:val="22"/>
        </w:rPr>
        <w:t>GBV</w:t>
      </w:r>
      <w:r w:rsidR="008D5B7B" w:rsidRPr="00D14F0B">
        <w:rPr>
          <w:rFonts w:cs="Calibri"/>
          <w:szCs w:val="22"/>
        </w:rPr>
        <w:t>. In some cases, institutional responses have not only failed to support victim-</w:t>
      </w:r>
      <w:r w:rsidR="007D6014" w:rsidRPr="00D14F0B">
        <w:rPr>
          <w:rFonts w:cs="Calibri"/>
          <w:szCs w:val="22"/>
        </w:rPr>
        <w:t>survivors but</w:t>
      </w:r>
      <w:r w:rsidR="008D5B7B" w:rsidRPr="00D14F0B">
        <w:rPr>
          <w:rFonts w:cs="Calibri"/>
          <w:szCs w:val="22"/>
        </w:rPr>
        <w:t xml:space="preserve"> have also compounded harm – through inconsistent complaints and grievance processes, limited accountability for perpetrators, and approaches that risk further traumatisation or backlash. </w:t>
      </w:r>
    </w:p>
    <w:p w14:paraId="21167BCC" w14:textId="3E79A1AB" w:rsidR="004616BF" w:rsidRPr="0059063F" w:rsidRDefault="004616BF" w:rsidP="0059063F">
      <w:pPr>
        <w:spacing w:line="276" w:lineRule="auto"/>
        <w:rPr>
          <w:sz w:val="18"/>
          <w:szCs w:val="18"/>
        </w:rPr>
      </w:pPr>
      <w:r w:rsidRPr="00AF17D2">
        <w:rPr>
          <w:sz w:val="18"/>
          <w:szCs w:val="18"/>
        </w:rPr>
        <w:t>Source:</w:t>
      </w:r>
      <w:r w:rsidR="00F41415" w:rsidRPr="00F41415">
        <w:t xml:space="preserve"> </w:t>
      </w:r>
      <w:r w:rsidR="00F41415" w:rsidRPr="00F41415">
        <w:rPr>
          <w:sz w:val="18"/>
          <w:szCs w:val="18"/>
        </w:rPr>
        <w:t>Deloitte Economics (2025). Cost Benefit Analysis of the Proposed National Higher Education Code to Prevent and Respond to Gender-based Violence. Prepared for the Commonwealth Department of Education</w:t>
      </w:r>
      <w:r w:rsidR="00CF545C">
        <w:rPr>
          <w:sz w:val="18"/>
          <w:szCs w:val="18"/>
        </w:rPr>
        <w:t>.</w:t>
      </w:r>
      <w:r w:rsidRPr="00AF17D2">
        <w:rPr>
          <w:sz w:val="18"/>
          <w:szCs w:val="18"/>
        </w:rPr>
        <w:t xml:space="preserve"> (Source: Social Research Centre (SRC), ‘National Student Safety Survey.’ (2022) &lt;https://www.nsss.edu.au/results&gt;; National Tertiary Education Union, ‘Sexual Harassment in the Workplace.’ (2023) &lt;https://www.nteu.au/News_Articles/Media_Releases/Sexual_Harassment_Survey_Report.aspx&gt;.</w:t>
      </w:r>
    </w:p>
    <w:p w14:paraId="6149186E" w14:textId="17CF7D5F" w:rsidR="00C72569" w:rsidRPr="007A423A" w:rsidRDefault="008D5B7B" w:rsidP="007A423A">
      <w:pPr>
        <w:pStyle w:val="Heading3"/>
        <w:spacing w:line="276" w:lineRule="auto"/>
      </w:pPr>
      <w:bookmarkStart w:id="25" w:name="_Toc204682587"/>
      <w:bookmarkStart w:id="26" w:name="_Toc204699842"/>
      <w:bookmarkStart w:id="27" w:name="_Toc204763290"/>
      <w:bookmarkStart w:id="28" w:name="_Toc204764858"/>
      <w:bookmarkStart w:id="29" w:name="_Toc205216870"/>
      <w:r w:rsidRPr="007A423A">
        <w:t xml:space="preserve">Student experiences of </w:t>
      </w:r>
      <w:bookmarkEnd w:id="25"/>
      <w:r w:rsidR="00B7771B">
        <w:t>GBV</w:t>
      </w:r>
      <w:bookmarkEnd w:id="26"/>
      <w:bookmarkEnd w:id="27"/>
      <w:bookmarkEnd w:id="28"/>
      <w:bookmarkEnd w:id="29"/>
    </w:p>
    <w:p w14:paraId="5019BFDE" w14:textId="7A64D163" w:rsidR="00AE2D4F" w:rsidRPr="00AE2D4F" w:rsidRDefault="00AE2D4F" w:rsidP="00AE2D4F">
      <w:pPr>
        <w:spacing w:line="276" w:lineRule="auto"/>
        <w:rPr>
          <w:szCs w:val="22"/>
        </w:rPr>
      </w:pPr>
      <w:r w:rsidRPr="00AE2D4F">
        <w:rPr>
          <w:szCs w:val="22"/>
        </w:rPr>
        <w:t>It is important to reiterate key findings from national research to contextualise the lived experiences of students affected by gender-based violence in higher education. While these points have been raised earlier in this analysis, revisiting them here helps to underscore the systemic nature of the issue and the environments in which harm occurs.</w:t>
      </w:r>
    </w:p>
    <w:p w14:paraId="59C097D6" w14:textId="348C4B21" w:rsidR="009A7E1B" w:rsidRDefault="00EE2D63" w:rsidP="00AE2D4F">
      <w:pPr>
        <w:spacing w:line="276" w:lineRule="auto"/>
        <w:rPr>
          <w:szCs w:val="22"/>
        </w:rPr>
      </w:pPr>
      <w:r>
        <w:rPr>
          <w:szCs w:val="22"/>
        </w:rPr>
        <w:t>The</w:t>
      </w:r>
      <w:r w:rsidR="002C7B6D">
        <w:rPr>
          <w:szCs w:val="22"/>
        </w:rPr>
        <w:t xml:space="preserve"> </w:t>
      </w:r>
      <w:r>
        <w:rPr>
          <w:szCs w:val="22"/>
        </w:rPr>
        <w:t>AHRC’s</w:t>
      </w:r>
      <w:r w:rsidR="00AE2D4F" w:rsidRPr="00AE2D4F">
        <w:rPr>
          <w:szCs w:val="22"/>
        </w:rPr>
        <w:t xml:space="preserve"> 2017 </w:t>
      </w:r>
      <w:r w:rsidR="00AE2D4F" w:rsidRPr="00AE2D4F">
        <w:rPr>
          <w:i/>
          <w:iCs/>
          <w:szCs w:val="22"/>
        </w:rPr>
        <w:t xml:space="preserve">Change the Course </w:t>
      </w:r>
      <w:r w:rsidR="00AE2D4F" w:rsidRPr="002C7B6D">
        <w:rPr>
          <w:szCs w:val="22"/>
        </w:rPr>
        <w:t>report</w:t>
      </w:r>
      <w:r w:rsidR="00AE2D4F" w:rsidRPr="00AE2D4F">
        <w:rPr>
          <w:szCs w:val="22"/>
        </w:rPr>
        <w:t xml:space="preserve"> provided the first national dataset on sexual assault and harassment in university settings. Its findings were deeply concerning: one in five students reported experiencing sexual harassment</w:t>
      </w:r>
      <w:r w:rsidR="00F213D7">
        <w:rPr>
          <w:szCs w:val="22"/>
        </w:rPr>
        <w:t>.</w:t>
      </w:r>
      <w:r w:rsidR="00AE2D4F">
        <w:rPr>
          <w:rStyle w:val="FootnoteReference"/>
          <w:szCs w:val="22"/>
        </w:rPr>
        <w:footnoteReference w:id="23"/>
      </w:r>
      <w:r w:rsidR="00AE2D4F">
        <w:rPr>
          <w:szCs w:val="22"/>
        </w:rPr>
        <w:t xml:space="preserve"> </w:t>
      </w:r>
      <w:r w:rsidR="00AE2D4F" w:rsidRPr="00AE2D4F">
        <w:rPr>
          <w:szCs w:val="22"/>
        </w:rPr>
        <w:t xml:space="preserve">Further evidence from the 2021 </w:t>
      </w:r>
      <w:r w:rsidR="00AE2D4F" w:rsidRPr="00AE2D4F">
        <w:rPr>
          <w:i/>
          <w:iCs/>
          <w:szCs w:val="22"/>
        </w:rPr>
        <w:lastRenderedPageBreak/>
        <w:t>National Student Safety Survey</w:t>
      </w:r>
      <w:r w:rsidR="00AE2D4F" w:rsidRPr="00AE2D4F">
        <w:rPr>
          <w:szCs w:val="22"/>
        </w:rPr>
        <w:t xml:space="preserve"> (NSSS) confirmed the persistence of GBV in higher education. Since commencing university, one in six students had experienced sexual harassment and one in twenty had experienced sexual assault</w:t>
      </w:r>
      <w:r w:rsidR="00D645F9">
        <w:rPr>
          <w:szCs w:val="22"/>
        </w:rPr>
        <w:t>.</w:t>
      </w:r>
      <w:r w:rsidR="00AE2D4F">
        <w:rPr>
          <w:rStyle w:val="FootnoteReference"/>
          <w:szCs w:val="22"/>
        </w:rPr>
        <w:footnoteReference w:id="24"/>
      </w:r>
      <w:r w:rsidR="00AE2D4F" w:rsidRPr="00AE2D4F">
        <w:rPr>
          <w:szCs w:val="22"/>
        </w:rPr>
        <w:t xml:space="preserve"> These incidents were most prevalent in student accommodation, clubs and societies events, and on campus, with the most impactful experiences occurring during student-led social events (25.8%) and within residential settings (25.3%).</w:t>
      </w:r>
      <w:r w:rsidR="00AE2D4F">
        <w:rPr>
          <w:rStyle w:val="FootnoteReference"/>
          <w:szCs w:val="22"/>
        </w:rPr>
        <w:footnoteReference w:id="25"/>
      </w:r>
    </w:p>
    <w:p w14:paraId="2CEE19ED" w14:textId="72FFBF15" w:rsidR="002E27B8" w:rsidRDefault="002E27B8" w:rsidP="007A423A">
      <w:pPr>
        <w:spacing w:line="276" w:lineRule="auto"/>
        <w:rPr>
          <w:szCs w:val="22"/>
        </w:rPr>
      </w:pPr>
      <w:r>
        <w:rPr>
          <w:szCs w:val="22"/>
        </w:rPr>
        <w:t>The 201</w:t>
      </w:r>
      <w:r w:rsidR="00A41F81">
        <w:rPr>
          <w:szCs w:val="22"/>
        </w:rPr>
        <w:t>7</w:t>
      </w:r>
      <w:r>
        <w:rPr>
          <w:szCs w:val="22"/>
        </w:rPr>
        <w:t xml:space="preserve"> </w:t>
      </w:r>
      <w:r w:rsidRPr="002C7B6D">
        <w:rPr>
          <w:i/>
          <w:szCs w:val="22"/>
        </w:rPr>
        <w:t>Change the Course</w:t>
      </w:r>
      <w:r>
        <w:rPr>
          <w:szCs w:val="22"/>
        </w:rPr>
        <w:t xml:space="preserve"> </w:t>
      </w:r>
      <w:r w:rsidR="00A41F81">
        <w:rPr>
          <w:szCs w:val="22"/>
        </w:rPr>
        <w:t>r</w:t>
      </w:r>
      <w:r w:rsidR="00D97DC8">
        <w:rPr>
          <w:szCs w:val="22"/>
        </w:rPr>
        <w:t>eport lists 3 ‘unavoida</w:t>
      </w:r>
      <w:r w:rsidR="00244A56">
        <w:rPr>
          <w:szCs w:val="22"/>
        </w:rPr>
        <w:t xml:space="preserve">ble’ conclusions of </w:t>
      </w:r>
      <w:r w:rsidR="003644D9">
        <w:rPr>
          <w:szCs w:val="22"/>
        </w:rPr>
        <w:t xml:space="preserve">its </w:t>
      </w:r>
      <w:r w:rsidR="00244A56">
        <w:rPr>
          <w:szCs w:val="22"/>
        </w:rPr>
        <w:t xml:space="preserve">findings </w:t>
      </w:r>
      <w:r w:rsidR="00E50D91">
        <w:rPr>
          <w:szCs w:val="22"/>
        </w:rPr>
        <w:t>that affirm this element of the policy problem</w:t>
      </w:r>
      <w:r w:rsidR="00A41F81">
        <w:rPr>
          <w:szCs w:val="22"/>
        </w:rPr>
        <w:t>:</w:t>
      </w:r>
    </w:p>
    <w:p w14:paraId="5813B41D" w14:textId="43645432" w:rsidR="00244A56" w:rsidRPr="00420035" w:rsidRDefault="00E50D91" w:rsidP="00244A56">
      <w:pPr>
        <w:pStyle w:val="ListParagraph"/>
        <w:numPr>
          <w:ilvl w:val="0"/>
          <w:numId w:val="193"/>
        </w:numPr>
        <w:spacing w:line="276" w:lineRule="auto"/>
        <w:rPr>
          <w:szCs w:val="22"/>
        </w:rPr>
      </w:pPr>
      <w:r w:rsidRPr="00420035">
        <w:rPr>
          <w:szCs w:val="22"/>
        </w:rPr>
        <w:t>“</w:t>
      </w:r>
      <w:r w:rsidR="00244A56" w:rsidRPr="00420035">
        <w:rPr>
          <w:szCs w:val="22"/>
        </w:rPr>
        <w:t>Sexual assault and sexual harassment are far too prevalent in university settings as they are in the broader comm</w:t>
      </w:r>
      <w:r w:rsidR="00880FA2" w:rsidRPr="00420035">
        <w:rPr>
          <w:szCs w:val="22"/>
        </w:rPr>
        <w:t xml:space="preserve">unity </w:t>
      </w:r>
    </w:p>
    <w:p w14:paraId="4FC1A677" w14:textId="2F94FBE4" w:rsidR="00880FA2" w:rsidRPr="00420035" w:rsidRDefault="00880FA2" w:rsidP="00244A56">
      <w:pPr>
        <w:pStyle w:val="ListParagraph"/>
        <w:numPr>
          <w:ilvl w:val="0"/>
          <w:numId w:val="193"/>
        </w:numPr>
        <w:spacing w:line="276" w:lineRule="auto"/>
        <w:rPr>
          <w:szCs w:val="22"/>
        </w:rPr>
      </w:pPr>
      <w:r w:rsidRPr="00420035">
        <w:rPr>
          <w:szCs w:val="22"/>
        </w:rPr>
        <w:t xml:space="preserve">There is significant underreporting of sexual assault and sexual harassment to the university </w:t>
      </w:r>
    </w:p>
    <w:p w14:paraId="2678C65D" w14:textId="693313D8" w:rsidR="00E50D91" w:rsidRPr="00420035" w:rsidRDefault="00880FA2" w:rsidP="00E50D91">
      <w:pPr>
        <w:pStyle w:val="ListParagraph"/>
        <w:numPr>
          <w:ilvl w:val="0"/>
          <w:numId w:val="193"/>
        </w:numPr>
        <w:spacing w:line="276" w:lineRule="auto"/>
        <w:rPr>
          <w:szCs w:val="22"/>
        </w:rPr>
      </w:pPr>
      <w:r w:rsidRPr="00420035">
        <w:rPr>
          <w:szCs w:val="22"/>
        </w:rPr>
        <w:t xml:space="preserve">Universities need to do more to prevent such abuse from occurring in the first place, to build a culture of respect </w:t>
      </w:r>
      <w:r w:rsidR="00E50D91" w:rsidRPr="00420035">
        <w:rPr>
          <w:szCs w:val="22"/>
        </w:rPr>
        <w:t>and respond appropriately by supporting victims of abuse and sanctioning perpetrators”</w:t>
      </w:r>
      <w:r w:rsidR="00E50D91" w:rsidRPr="00420035">
        <w:rPr>
          <w:rStyle w:val="FootnoteReference"/>
          <w:szCs w:val="22"/>
        </w:rPr>
        <w:footnoteReference w:id="26"/>
      </w:r>
    </w:p>
    <w:p w14:paraId="19E77F0B" w14:textId="2454F557" w:rsidR="004768D2" w:rsidRPr="004768D2" w:rsidRDefault="004768D2" w:rsidP="004768D2">
      <w:pPr>
        <w:spacing w:line="276" w:lineRule="auto"/>
        <w:rPr>
          <w:szCs w:val="22"/>
        </w:rPr>
      </w:pPr>
      <w:r w:rsidRPr="004768D2">
        <w:rPr>
          <w:szCs w:val="22"/>
        </w:rPr>
        <w:t xml:space="preserve">Underreporting within higher education settings suggests a lack of trust in institutional responses, where students may feel that their experiences will not be taken seriously or handled appropriately. It also points to inadequate reporting pathways and an environment where disclosure is not actively supported or encouraged. Quantitative and qualitative findings from the </w:t>
      </w:r>
      <w:r w:rsidRPr="002C7B6D">
        <w:rPr>
          <w:i/>
          <w:szCs w:val="22"/>
        </w:rPr>
        <w:t>Change the Course</w:t>
      </w:r>
      <w:r w:rsidRPr="004768D2">
        <w:rPr>
          <w:szCs w:val="22"/>
        </w:rPr>
        <w:t xml:space="preserve"> report reinforce this concern: one in ten students cited a lack of trust that their report would be kept confidential, while many others felt that the procedures themselves discouraged reporting or were unaware that such processes even existed.</w:t>
      </w:r>
    </w:p>
    <w:p w14:paraId="4C586BC8" w14:textId="6283994D" w:rsidR="004768D2" w:rsidRDefault="004768D2" w:rsidP="004768D2">
      <w:pPr>
        <w:spacing w:line="276" w:lineRule="auto"/>
        <w:rPr>
          <w:szCs w:val="22"/>
        </w:rPr>
      </w:pPr>
      <w:r w:rsidRPr="004768D2">
        <w:rPr>
          <w:szCs w:val="22"/>
        </w:rPr>
        <w:t xml:space="preserve">The NSSS qualitative findings further highlight a perceived lack of genuine commitment from universities to address GBV. Students reported sensing reluctance from their institutions to take disclosures seriously and described slow or inadequate follow-up responses that made them feel their experiences were not prioritised. For some, the trauma of the original incident was compounded </w:t>
      </w:r>
      <w:r w:rsidR="00B5316E">
        <w:rPr>
          <w:szCs w:val="22"/>
        </w:rPr>
        <w:t>by inadequate institutional response</w:t>
      </w:r>
      <w:r w:rsidRPr="004768D2">
        <w:rPr>
          <w:szCs w:val="22"/>
        </w:rPr>
        <w:t>, ultimately discouraging them from pursuing the reporting process to its conclusion.</w:t>
      </w:r>
      <w:r>
        <w:rPr>
          <w:rStyle w:val="FootnoteReference"/>
          <w:szCs w:val="22"/>
        </w:rPr>
        <w:footnoteReference w:id="27"/>
      </w:r>
      <w:r w:rsidR="00F21CD3">
        <w:rPr>
          <w:szCs w:val="22"/>
        </w:rPr>
        <w:t xml:space="preserve"> </w:t>
      </w:r>
    </w:p>
    <w:p w14:paraId="4907D52E" w14:textId="057C61D5" w:rsidR="00EF2DE9" w:rsidRDefault="0059063F" w:rsidP="004768D2">
      <w:pPr>
        <w:spacing w:line="276" w:lineRule="auto"/>
        <w:rPr>
          <w:szCs w:val="22"/>
        </w:rPr>
      </w:pPr>
      <w:r w:rsidRPr="0059063F">
        <w:rPr>
          <w:szCs w:val="22"/>
        </w:rPr>
        <w:t>Underreporting not only reflects a lack of trust in institutional systems</w:t>
      </w:r>
      <w:r>
        <w:rPr>
          <w:szCs w:val="22"/>
        </w:rPr>
        <w:t xml:space="preserve">, </w:t>
      </w:r>
      <w:r w:rsidR="00EE481B" w:rsidRPr="0059063F">
        <w:rPr>
          <w:szCs w:val="22"/>
        </w:rPr>
        <w:t>but it</w:t>
      </w:r>
      <w:r w:rsidRPr="0059063F">
        <w:rPr>
          <w:szCs w:val="22"/>
        </w:rPr>
        <w:t xml:space="preserve"> also re</w:t>
      </w:r>
      <w:r w:rsidR="00D55F62">
        <w:rPr>
          <w:szCs w:val="22"/>
        </w:rPr>
        <w:t xml:space="preserve">duces the ability of </w:t>
      </w:r>
      <w:r w:rsidR="00793456">
        <w:rPr>
          <w:szCs w:val="22"/>
        </w:rPr>
        <w:t xml:space="preserve">institutions to properly </w:t>
      </w:r>
      <w:r w:rsidR="00D25A62">
        <w:rPr>
          <w:szCs w:val="22"/>
        </w:rPr>
        <w:t>understand and approach the scale of the problem</w:t>
      </w:r>
      <w:r w:rsidRPr="0059063F">
        <w:rPr>
          <w:szCs w:val="22"/>
        </w:rPr>
        <w:t xml:space="preserve">. When disclosures are limited, institutions may lack the necessary data to fully understand the scope and nature of gender-based violence within their communities. This absence of information can lead to underinvestment in prevention and response efforts, poorly targeted policies, and a continued failure to prioritise student safety. In turn, this </w:t>
      </w:r>
      <w:r>
        <w:rPr>
          <w:szCs w:val="22"/>
        </w:rPr>
        <w:t xml:space="preserve">cycle </w:t>
      </w:r>
      <w:r w:rsidRPr="0059063F">
        <w:rPr>
          <w:szCs w:val="22"/>
        </w:rPr>
        <w:t>discourages victim-survivors</w:t>
      </w:r>
      <w:r w:rsidR="00C9774F">
        <w:rPr>
          <w:szCs w:val="22"/>
        </w:rPr>
        <w:t xml:space="preserve"> f</w:t>
      </w:r>
      <w:r w:rsidRPr="0059063F">
        <w:rPr>
          <w:szCs w:val="22"/>
        </w:rPr>
        <w:t>rom coming forward, deepening the gap between institutional responsibility and lived experience.</w:t>
      </w:r>
    </w:p>
    <w:p w14:paraId="46D45A66" w14:textId="1EE8B102" w:rsidR="002648CF" w:rsidRDefault="002648CF" w:rsidP="004768D2">
      <w:pPr>
        <w:spacing w:line="276" w:lineRule="auto"/>
        <w:rPr>
          <w:b/>
          <w:bCs/>
          <w:szCs w:val="22"/>
        </w:rPr>
      </w:pPr>
      <w:r w:rsidRPr="007F1252">
        <w:rPr>
          <w:b/>
          <w:bCs/>
          <w:szCs w:val="22"/>
        </w:rPr>
        <w:t>Different student cohorts</w:t>
      </w:r>
    </w:p>
    <w:p w14:paraId="5DDFB5B3" w14:textId="1405FC60" w:rsidR="002648CF" w:rsidRPr="002648CF" w:rsidRDefault="002648CF" w:rsidP="004768D2">
      <w:pPr>
        <w:spacing w:line="276" w:lineRule="auto"/>
        <w:rPr>
          <w:szCs w:val="22"/>
        </w:rPr>
      </w:pPr>
      <w:r>
        <w:rPr>
          <w:szCs w:val="22"/>
        </w:rPr>
        <w:lastRenderedPageBreak/>
        <w:t>It is important to recognise that student experiences of GBV are not uniform. Un</w:t>
      </w:r>
      <w:r w:rsidR="00C9774F">
        <w:rPr>
          <w:szCs w:val="22"/>
        </w:rPr>
        <w:t>dergraduate students report higher rates of sexual harassment and sexual assault than postgraduate students.</w:t>
      </w:r>
      <w:r w:rsidR="00C9774F">
        <w:rPr>
          <w:rStyle w:val="FootnoteReference"/>
          <w:szCs w:val="22"/>
        </w:rPr>
        <w:footnoteReference w:id="28"/>
      </w:r>
      <w:r w:rsidR="00C9774F">
        <w:rPr>
          <w:szCs w:val="22"/>
        </w:rPr>
        <w:t xml:space="preserve"> Generally speaking, this cohort is often younger and navigating a transitional life stage</w:t>
      </w:r>
      <w:r w:rsidR="003050A8">
        <w:rPr>
          <w:szCs w:val="22"/>
        </w:rPr>
        <w:t>.</w:t>
      </w:r>
      <w:r w:rsidR="00C9774F">
        <w:rPr>
          <w:szCs w:val="22"/>
        </w:rPr>
        <w:t xml:space="preserve"> such as leaving home, forming new social networks and exploring independence. </w:t>
      </w:r>
      <w:r w:rsidR="002E0CE4">
        <w:rPr>
          <w:szCs w:val="22"/>
        </w:rPr>
        <w:t>They may begin forming intimate relationships and encounter new social dynamics</w:t>
      </w:r>
      <w:r w:rsidR="00D36905">
        <w:rPr>
          <w:szCs w:val="22"/>
        </w:rPr>
        <w:t xml:space="preserve"> </w:t>
      </w:r>
      <w:r w:rsidR="002E0CE4">
        <w:rPr>
          <w:szCs w:val="22"/>
        </w:rPr>
        <w:t xml:space="preserve">that will shape their understanding of relationships, consent, and their own sense of safety </w:t>
      </w:r>
      <w:r w:rsidR="00315248">
        <w:rPr>
          <w:szCs w:val="22"/>
        </w:rPr>
        <w:t>in the world</w:t>
      </w:r>
      <w:r w:rsidR="00250133">
        <w:rPr>
          <w:szCs w:val="22"/>
        </w:rPr>
        <w:t>.</w:t>
      </w:r>
    </w:p>
    <w:p w14:paraId="419667B1" w14:textId="282165F8" w:rsidR="00C9774F" w:rsidRPr="002648CF" w:rsidRDefault="00C9774F" w:rsidP="004768D2">
      <w:pPr>
        <w:spacing w:line="276" w:lineRule="auto"/>
        <w:rPr>
          <w:szCs w:val="22"/>
        </w:rPr>
      </w:pPr>
      <w:r>
        <w:rPr>
          <w:szCs w:val="22"/>
        </w:rPr>
        <w:t xml:space="preserve">Risk factors such as alcohol consumption, </w:t>
      </w:r>
      <w:r w:rsidR="004760F5">
        <w:rPr>
          <w:szCs w:val="22"/>
        </w:rPr>
        <w:t xml:space="preserve">cultural traditions </w:t>
      </w:r>
      <w:r w:rsidR="00FF4864" w:rsidRPr="00FF4864">
        <w:rPr>
          <w:szCs w:val="22"/>
        </w:rPr>
        <w:t>like</w:t>
      </w:r>
      <w:r w:rsidR="004760F5">
        <w:rPr>
          <w:szCs w:val="22"/>
        </w:rPr>
        <w:t xml:space="preserve"> hazing</w:t>
      </w:r>
      <w:r w:rsidR="00FF4864" w:rsidRPr="00FF4864">
        <w:rPr>
          <w:szCs w:val="22"/>
        </w:rPr>
        <w:t>,</w:t>
      </w:r>
      <w:r w:rsidR="004760F5">
        <w:rPr>
          <w:szCs w:val="22"/>
        </w:rPr>
        <w:t xml:space="preserve"> and </w:t>
      </w:r>
      <w:r w:rsidR="00FF4864" w:rsidRPr="00FF4864">
        <w:rPr>
          <w:szCs w:val="22"/>
        </w:rPr>
        <w:t>peer pressure to conform to unsafe social norms</w:t>
      </w:r>
      <w:r w:rsidR="004760F5">
        <w:rPr>
          <w:szCs w:val="22"/>
        </w:rPr>
        <w:t xml:space="preserve"> can </w:t>
      </w:r>
      <w:r w:rsidR="00FF4864" w:rsidRPr="00FF4864">
        <w:rPr>
          <w:szCs w:val="22"/>
        </w:rPr>
        <w:t>significantly</w:t>
      </w:r>
      <w:r w:rsidR="004760F5">
        <w:rPr>
          <w:szCs w:val="22"/>
        </w:rPr>
        <w:t xml:space="preserve"> </w:t>
      </w:r>
      <w:r w:rsidR="00250133">
        <w:rPr>
          <w:szCs w:val="22"/>
        </w:rPr>
        <w:t>increase</w:t>
      </w:r>
      <w:r w:rsidR="004760F5">
        <w:rPr>
          <w:szCs w:val="22"/>
        </w:rPr>
        <w:t xml:space="preserve"> </w:t>
      </w:r>
      <w:r w:rsidR="00755768">
        <w:rPr>
          <w:szCs w:val="22"/>
        </w:rPr>
        <w:t xml:space="preserve">exposure to </w:t>
      </w:r>
      <w:r w:rsidR="00250133">
        <w:rPr>
          <w:szCs w:val="22"/>
        </w:rPr>
        <w:t>GBV</w:t>
      </w:r>
      <w:r w:rsidR="00755768">
        <w:rPr>
          <w:szCs w:val="22"/>
        </w:rPr>
        <w:t>, particularly sexual violence</w:t>
      </w:r>
      <w:r w:rsidR="00FF4864" w:rsidRPr="00FF4864">
        <w:rPr>
          <w:szCs w:val="22"/>
        </w:rPr>
        <w:t>.</w:t>
      </w:r>
      <w:r w:rsidR="009D291E">
        <w:rPr>
          <w:rStyle w:val="FootnoteReference"/>
          <w:szCs w:val="22"/>
        </w:rPr>
        <w:footnoteReference w:id="29"/>
      </w:r>
      <w:r w:rsidR="00755768">
        <w:rPr>
          <w:szCs w:val="22"/>
        </w:rPr>
        <w:t xml:space="preserve"> New students may also lack awareness of </w:t>
      </w:r>
      <w:r w:rsidR="00FF4864" w:rsidRPr="00FF4864">
        <w:rPr>
          <w:szCs w:val="22"/>
        </w:rPr>
        <w:t xml:space="preserve">available </w:t>
      </w:r>
      <w:r w:rsidR="00755768">
        <w:rPr>
          <w:szCs w:val="22"/>
        </w:rPr>
        <w:t>reporting pathways</w:t>
      </w:r>
      <w:r w:rsidR="00FF4864" w:rsidRPr="00FF4864">
        <w:rPr>
          <w:szCs w:val="22"/>
        </w:rPr>
        <w:t>,</w:t>
      </w:r>
      <w:r w:rsidR="00755768">
        <w:rPr>
          <w:szCs w:val="22"/>
        </w:rPr>
        <w:t xml:space="preserve"> feel uncertain about seeking help, and have not yet </w:t>
      </w:r>
      <w:r w:rsidR="00FF4864" w:rsidRPr="00FF4864">
        <w:rPr>
          <w:szCs w:val="22"/>
        </w:rPr>
        <w:t>established trusted</w:t>
      </w:r>
      <w:r w:rsidR="00755768">
        <w:rPr>
          <w:szCs w:val="22"/>
        </w:rPr>
        <w:t xml:space="preserve"> relationships with staff</w:t>
      </w:r>
      <w:r w:rsidR="00FF4864" w:rsidRPr="00FF4864">
        <w:rPr>
          <w:szCs w:val="22"/>
        </w:rPr>
        <w:t xml:space="preserve">. </w:t>
      </w:r>
      <w:r w:rsidR="00FF4864">
        <w:rPr>
          <w:szCs w:val="22"/>
        </w:rPr>
        <w:t>T</w:t>
      </w:r>
      <w:r w:rsidR="00FF4864" w:rsidRPr="00FF4864">
        <w:rPr>
          <w:szCs w:val="22"/>
        </w:rPr>
        <w:t>rust in staff</w:t>
      </w:r>
      <w:r w:rsidR="00755768">
        <w:rPr>
          <w:szCs w:val="22"/>
        </w:rPr>
        <w:t xml:space="preserve"> </w:t>
      </w:r>
      <w:r w:rsidR="0052760D">
        <w:rPr>
          <w:szCs w:val="22"/>
        </w:rPr>
        <w:t>helps</w:t>
      </w:r>
      <w:r w:rsidR="00755768">
        <w:rPr>
          <w:szCs w:val="22"/>
        </w:rPr>
        <w:t xml:space="preserve"> </w:t>
      </w:r>
      <w:r w:rsidR="00FF4864" w:rsidRPr="00FF4864">
        <w:rPr>
          <w:szCs w:val="22"/>
        </w:rPr>
        <w:t>individuals to feel safe</w:t>
      </w:r>
      <w:r w:rsidR="000A06D2">
        <w:rPr>
          <w:szCs w:val="22"/>
        </w:rPr>
        <w:t xml:space="preserve"> in</w:t>
      </w:r>
      <w:r w:rsidR="00FF4864" w:rsidRPr="00FF4864">
        <w:rPr>
          <w:szCs w:val="22"/>
        </w:rPr>
        <w:t xml:space="preserve"> disclosing experiences of GBV. These factors collectively contribute to underreporting and hinder timely access to support.</w:t>
      </w:r>
    </w:p>
    <w:p w14:paraId="2F538C44" w14:textId="79627434" w:rsidR="00CA37B3" w:rsidRDefault="00CA37B3" w:rsidP="004768D2">
      <w:pPr>
        <w:spacing w:line="276" w:lineRule="auto"/>
        <w:rPr>
          <w:szCs w:val="22"/>
        </w:rPr>
      </w:pPr>
      <w:r>
        <w:rPr>
          <w:szCs w:val="22"/>
        </w:rPr>
        <w:t xml:space="preserve">The </w:t>
      </w:r>
      <w:r w:rsidR="00135F87">
        <w:rPr>
          <w:szCs w:val="22"/>
        </w:rPr>
        <w:t>2018</w:t>
      </w:r>
      <w:r>
        <w:rPr>
          <w:szCs w:val="22"/>
        </w:rPr>
        <w:t xml:space="preserve"> </w:t>
      </w:r>
      <w:r w:rsidRPr="00AC4AF0">
        <w:rPr>
          <w:i/>
          <w:szCs w:val="22"/>
        </w:rPr>
        <w:t>Red Zone Report,</w:t>
      </w:r>
      <w:r>
        <w:rPr>
          <w:szCs w:val="22"/>
        </w:rPr>
        <w:t xml:space="preserve"> </w:t>
      </w:r>
      <w:r w:rsidR="00656458">
        <w:rPr>
          <w:szCs w:val="22"/>
        </w:rPr>
        <w:t>a</w:t>
      </w:r>
      <w:r>
        <w:rPr>
          <w:szCs w:val="22"/>
        </w:rPr>
        <w:t xml:space="preserve"> </w:t>
      </w:r>
      <w:r w:rsidR="002A2A61">
        <w:rPr>
          <w:szCs w:val="22"/>
        </w:rPr>
        <w:t>landmark report into sexual violence in higher education,</w:t>
      </w:r>
      <w:r>
        <w:rPr>
          <w:szCs w:val="22"/>
        </w:rPr>
        <w:t xml:space="preserve"> reported </w:t>
      </w:r>
      <w:r w:rsidR="00936DB3">
        <w:rPr>
          <w:szCs w:val="22"/>
        </w:rPr>
        <w:t>that many</w:t>
      </w:r>
      <w:r>
        <w:rPr>
          <w:szCs w:val="22"/>
        </w:rPr>
        <w:t xml:space="preserve"> students, </w:t>
      </w:r>
      <w:r w:rsidR="00936DB3">
        <w:rPr>
          <w:szCs w:val="22"/>
        </w:rPr>
        <w:t>particularly</w:t>
      </w:r>
      <w:r>
        <w:rPr>
          <w:szCs w:val="22"/>
        </w:rPr>
        <w:t xml:space="preserve"> first-year</w:t>
      </w:r>
      <w:r w:rsidR="000A06D2">
        <w:rPr>
          <w:szCs w:val="22"/>
        </w:rPr>
        <w:t xml:space="preserve"> students,</w:t>
      </w:r>
      <w:r>
        <w:rPr>
          <w:szCs w:val="22"/>
        </w:rPr>
        <w:t xml:space="preserve"> do not report experiences of sexual violence due to fear of reprisals, lack of trust in institutional processes</w:t>
      </w:r>
      <w:r w:rsidR="004E27DF">
        <w:rPr>
          <w:szCs w:val="22"/>
        </w:rPr>
        <w:t>,</w:t>
      </w:r>
      <w:r>
        <w:rPr>
          <w:szCs w:val="22"/>
        </w:rPr>
        <w:t xml:space="preserve"> and uncertainty about where to seek help.</w:t>
      </w:r>
      <w:r w:rsidR="0020303B">
        <w:rPr>
          <w:rStyle w:val="FootnoteReference"/>
          <w:szCs w:val="22"/>
        </w:rPr>
        <w:footnoteReference w:id="30"/>
      </w:r>
      <w:r>
        <w:rPr>
          <w:szCs w:val="22"/>
        </w:rPr>
        <w:t xml:space="preserve"> </w:t>
      </w:r>
      <w:r w:rsidR="004A4141">
        <w:rPr>
          <w:szCs w:val="22"/>
        </w:rPr>
        <w:t xml:space="preserve">The report also notes that first-year students will seek to suppress their own </w:t>
      </w:r>
      <w:r w:rsidR="00FC3092">
        <w:rPr>
          <w:szCs w:val="22"/>
        </w:rPr>
        <w:t xml:space="preserve">boundaries to ensure they are aligned with the dominant social norms, </w:t>
      </w:r>
      <w:r w:rsidR="00936DB3">
        <w:rPr>
          <w:szCs w:val="22"/>
        </w:rPr>
        <w:t>particularly</w:t>
      </w:r>
      <w:r w:rsidR="00FC3092">
        <w:rPr>
          <w:szCs w:val="22"/>
        </w:rPr>
        <w:t xml:space="preserve"> </w:t>
      </w:r>
      <w:r w:rsidR="00936DB3">
        <w:rPr>
          <w:szCs w:val="22"/>
        </w:rPr>
        <w:t>during</w:t>
      </w:r>
      <w:r w:rsidR="00FC3092">
        <w:rPr>
          <w:szCs w:val="22"/>
        </w:rPr>
        <w:t xml:space="preserve"> high</w:t>
      </w:r>
      <w:r w:rsidR="00936DB3">
        <w:rPr>
          <w:szCs w:val="22"/>
        </w:rPr>
        <w:t>-</w:t>
      </w:r>
      <w:r w:rsidR="00FC3092">
        <w:rPr>
          <w:szCs w:val="22"/>
        </w:rPr>
        <w:t>risk periods like orientation week.</w:t>
      </w:r>
      <w:r w:rsidR="002A2A61">
        <w:rPr>
          <w:rStyle w:val="FootnoteReference"/>
          <w:szCs w:val="22"/>
        </w:rPr>
        <w:footnoteReference w:id="31"/>
      </w:r>
      <w:r w:rsidR="00FC3092">
        <w:rPr>
          <w:szCs w:val="22"/>
        </w:rPr>
        <w:t xml:space="preserve"> This social pressure, </w:t>
      </w:r>
      <w:r w:rsidR="00936DB3">
        <w:rPr>
          <w:szCs w:val="22"/>
        </w:rPr>
        <w:t>combined with limited awareness of reporting pathways and support services, contributes to a culture of silence and deters students from seeking support.</w:t>
      </w:r>
      <w:r w:rsidR="00936DB3">
        <w:rPr>
          <w:rStyle w:val="FootnoteReference"/>
          <w:szCs w:val="22"/>
        </w:rPr>
        <w:footnoteReference w:id="32"/>
      </w:r>
      <w:r w:rsidR="00936DB3">
        <w:rPr>
          <w:szCs w:val="22"/>
        </w:rPr>
        <w:t xml:space="preserve"> </w:t>
      </w:r>
    </w:p>
    <w:p w14:paraId="789C0378" w14:textId="7AC84D39" w:rsidR="00FF4864" w:rsidRPr="002648CF" w:rsidRDefault="00FF4864" w:rsidP="00A43A00">
      <w:pPr>
        <w:spacing w:line="276" w:lineRule="auto"/>
        <w:rPr>
          <w:szCs w:val="22"/>
        </w:rPr>
      </w:pPr>
      <w:r>
        <w:rPr>
          <w:szCs w:val="22"/>
        </w:rPr>
        <w:t>Postgraduate students often occupy dual roles as both students and staff. This situational factor can introduce complex power dynamics, particularly in supervisory relationships, research environments, and work placements. Postgraduate students may also have dependence on their supervisor for funding to continue study, job references and general career progression</w:t>
      </w:r>
      <w:r w:rsidR="0040389B">
        <w:rPr>
          <w:szCs w:val="22"/>
        </w:rPr>
        <w:t>.</w:t>
      </w:r>
      <w:r w:rsidR="00A43A00">
        <w:rPr>
          <w:szCs w:val="22"/>
        </w:rPr>
        <w:t xml:space="preserve"> </w:t>
      </w:r>
      <w:r w:rsidR="0040389B">
        <w:rPr>
          <w:szCs w:val="22"/>
        </w:rPr>
        <w:t>T</w:t>
      </w:r>
      <w:r>
        <w:rPr>
          <w:szCs w:val="22"/>
        </w:rPr>
        <w:t xml:space="preserve">he risk of academic retaliation or reputational harm </w:t>
      </w:r>
      <w:r w:rsidR="00A43A00">
        <w:rPr>
          <w:szCs w:val="22"/>
        </w:rPr>
        <w:t>could</w:t>
      </w:r>
      <w:r>
        <w:rPr>
          <w:szCs w:val="22"/>
        </w:rPr>
        <w:t xml:space="preserve"> discourage this cohort from disclosing</w:t>
      </w:r>
      <w:r w:rsidR="00A43A00">
        <w:rPr>
          <w:szCs w:val="22"/>
        </w:rPr>
        <w:t xml:space="preserve"> incidences of GBV. </w:t>
      </w:r>
    </w:p>
    <w:p w14:paraId="57D5828D" w14:textId="00427A4C" w:rsidR="004910FD" w:rsidRPr="007A423A" w:rsidRDefault="004910FD" w:rsidP="007A423A">
      <w:pPr>
        <w:pStyle w:val="Heading3"/>
        <w:spacing w:line="276" w:lineRule="auto"/>
      </w:pPr>
      <w:bookmarkStart w:id="30" w:name="_Toc204682588"/>
      <w:bookmarkStart w:id="31" w:name="_Toc204699843"/>
      <w:bookmarkStart w:id="32" w:name="_Toc204763291"/>
      <w:bookmarkStart w:id="33" w:name="_Toc204764859"/>
      <w:bookmarkStart w:id="34" w:name="_Toc205216871"/>
      <w:r w:rsidRPr="007A423A">
        <w:t>Student accommodation is</w:t>
      </w:r>
      <w:r w:rsidR="002D737D">
        <w:t xml:space="preserve"> a </w:t>
      </w:r>
      <w:r w:rsidR="008E019B">
        <w:t>high-risk</w:t>
      </w:r>
      <w:r w:rsidR="002D737D">
        <w:t xml:space="preserve"> site </w:t>
      </w:r>
      <w:r w:rsidR="7E531179">
        <w:t xml:space="preserve">for </w:t>
      </w:r>
      <w:r w:rsidR="006B58B6">
        <w:t>GBV</w:t>
      </w:r>
      <w:bookmarkEnd w:id="30"/>
      <w:bookmarkEnd w:id="31"/>
      <w:bookmarkEnd w:id="32"/>
      <w:bookmarkEnd w:id="33"/>
      <w:bookmarkEnd w:id="34"/>
    </w:p>
    <w:p w14:paraId="0797BA5A" w14:textId="5D73E54A" w:rsidR="004910FD" w:rsidRPr="00386C3F" w:rsidRDefault="004910FD" w:rsidP="007A423A">
      <w:pPr>
        <w:spacing w:line="276" w:lineRule="auto"/>
        <w:rPr>
          <w:szCs w:val="22"/>
        </w:rPr>
      </w:pPr>
      <w:r w:rsidRPr="00386C3F">
        <w:rPr>
          <w:szCs w:val="22"/>
        </w:rPr>
        <w:t xml:space="preserve">Student accommodation is a particularly high-risk environment for the perpetration of </w:t>
      </w:r>
      <w:r w:rsidR="00B7771B" w:rsidRPr="00386C3F">
        <w:rPr>
          <w:szCs w:val="22"/>
        </w:rPr>
        <w:t>GBV</w:t>
      </w:r>
      <w:r w:rsidRPr="00386C3F">
        <w:rPr>
          <w:szCs w:val="22"/>
        </w:rPr>
        <w:t xml:space="preserve">. One in </w:t>
      </w:r>
      <w:r w:rsidR="0038723F">
        <w:rPr>
          <w:szCs w:val="22"/>
        </w:rPr>
        <w:t>four</w:t>
      </w:r>
      <w:r w:rsidRPr="00386C3F">
        <w:rPr>
          <w:szCs w:val="22"/>
        </w:rPr>
        <w:t xml:space="preserve"> students reported experiencing sexual harassment since starting university, and among those who had experienced sexual assault, the most common location was student accommodation or residences</w:t>
      </w:r>
      <w:r w:rsidR="00D645F9">
        <w:rPr>
          <w:szCs w:val="22"/>
        </w:rPr>
        <w:t>.</w:t>
      </w:r>
      <w:r w:rsidR="00162373">
        <w:rPr>
          <w:rStyle w:val="FootnoteReference"/>
          <w:szCs w:val="22"/>
        </w:rPr>
        <w:footnoteReference w:id="33"/>
      </w:r>
      <w:r w:rsidRPr="00386C3F">
        <w:rPr>
          <w:szCs w:val="22"/>
        </w:rPr>
        <w:t xml:space="preserve"> The proximity of students in shared living spaces, the presence of alcohol, and the lack of supervision or oversight can exacerbate risk.</w:t>
      </w:r>
    </w:p>
    <w:p w14:paraId="62D4D307" w14:textId="77777777" w:rsidR="004910FD" w:rsidRPr="00386C3F" w:rsidRDefault="004910FD" w:rsidP="00DD4830">
      <w:pPr>
        <w:spacing w:line="276" w:lineRule="auto"/>
        <w:rPr>
          <w:szCs w:val="22"/>
        </w:rPr>
      </w:pPr>
      <w:r w:rsidRPr="00386C3F">
        <w:rPr>
          <w:szCs w:val="22"/>
        </w:rPr>
        <w:t>Student accommodation is also one of the most common sites where students seek support following incidents of sexual assault or harassment. However, consultation has identified significant gaps in the responses provided by accommodation services. These include:</w:t>
      </w:r>
    </w:p>
    <w:p w14:paraId="19B0A690" w14:textId="307D3131" w:rsidR="004910FD" w:rsidRPr="00386C3F" w:rsidRDefault="004910FD" w:rsidP="00D72928">
      <w:pPr>
        <w:numPr>
          <w:ilvl w:val="0"/>
          <w:numId w:val="29"/>
        </w:numPr>
        <w:spacing w:after="0" w:line="276" w:lineRule="auto"/>
        <w:rPr>
          <w:szCs w:val="22"/>
        </w:rPr>
      </w:pPr>
      <w:r w:rsidRPr="00386C3F">
        <w:rPr>
          <w:szCs w:val="22"/>
        </w:rPr>
        <w:t>A lack of staff expertise in delivering trauma-informed responses</w:t>
      </w:r>
    </w:p>
    <w:p w14:paraId="28F28ED2" w14:textId="4F0637AB" w:rsidR="004910FD" w:rsidRPr="00386C3F" w:rsidRDefault="004910FD" w:rsidP="00D72928">
      <w:pPr>
        <w:numPr>
          <w:ilvl w:val="0"/>
          <w:numId w:val="29"/>
        </w:numPr>
        <w:spacing w:after="0" w:line="276" w:lineRule="auto"/>
        <w:rPr>
          <w:szCs w:val="22"/>
        </w:rPr>
      </w:pPr>
      <w:r w:rsidRPr="00386C3F">
        <w:rPr>
          <w:szCs w:val="22"/>
        </w:rPr>
        <w:t>Inconsistent commitment to safety and accountability across providers</w:t>
      </w:r>
    </w:p>
    <w:p w14:paraId="7C5DE414" w14:textId="6AD71366" w:rsidR="004910FD" w:rsidRPr="00386C3F" w:rsidRDefault="004910FD" w:rsidP="00DD4830">
      <w:pPr>
        <w:numPr>
          <w:ilvl w:val="0"/>
          <w:numId w:val="29"/>
        </w:numPr>
        <w:spacing w:line="276" w:lineRule="auto"/>
        <w:rPr>
          <w:szCs w:val="22"/>
        </w:rPr>
      </w:pPr>
      <w:r w:rsidRPr="00386C3F">
        <w:rPr>
          <w:szCs w:val="22"/>
        </w:rPr>
        <w:lastRenderedPageBreak/>
        <w:t>Limited integration between higher education institutions and accommodation providers</w:t>
      </w:r>
      <w:r w:rsidR="4F4241C1" w:rsidRPr="00386C3F">
        <w:rPr>
          <w:szCs w:val="22"/>
        </w:rPr>
        <w:t>.</w:t>
      </w:r>
    </w:p>
    <w:p w14:paraId="3903D2A5" w14:textId="7525A6D6" w:rsidR="004910FD" w:rsidRPr="00386C3F" w:rsidRDefault="004910FD" w:rsidP="007A423A">
      <w:pPr>
        <w:spacing w:line="276" w:lineRule="auto"/>
        <w:rPr>
          <w:szCs w:val="22"/>
        </w:rPr>
      </w:pPr>
      <w:r w:rsidRPr="00386C3F">
        <w:rPr>
          <w:szCs w:val="22"/>
        </w:rPr>
        <w:t>For many students, living in student accommodation represents their first experience of independence and identity formation. When these environments are unsafe, the consequences can be profound and life-altering.</w:t>
      </w:r>
    </w:p>
    <w:p w14:paraId="03DCFB0E" w14:textId="4002E5EF" w:rsidR="005D5FE4" w:rsidRPr="00386C3F" w:rsidRDefault="005D5FE4" w:rsidP="007A423A">
      <w:pPr>
        <w:spacing w:line="276" w:lineRule="auto"/>
        <w:rPr>
          <w:szCs w:val="22"/>
        </w:rPr>
      </w:pPr>
      <w:r w:rsidRPr="005D5FE4">
        <w:rPr>
          <w:szCs w:val="22"/>
        </w:rPr>
        <w:t>Qualitative data from the NSSS also highlights that perpetrators in student accommodation settings may include not only peers, but also residence staff or student leaders in positions of authority. These informal hierarchies can create environments where GBV is normalised or overlooked, and where students may feel unsafe or unsupported in reporting incidents</w:t>
      </w:r>
      <w:r w:rsidR="00CF357F">
        <w:rPr>
          <w:szCs w:val="22"/>
        </w:rPr>
        <w:t>.</w:t>
      </w:r>
      <w:r w:rsidR="00CF357F">
        <w:rPr>
          <w:rStyle w:val="FootnoteReference"/>
          <w:szCs w:val="22"/>
        </w:rPr>
        <w:footnoteReference w:id="34"/>
      </w:r>
      <w:r w:rsidR="00980859">
        <w:rPr>
          <w:szCs w:val="22"/>
        </w:rPr>
        <w:t xml:space="preserve"> </w:t>
      </w:r>
    </w:p>
    <w:p w14:paraId="4C33E67F" w14:textId="0CEE520D" w:rsidR="004910FD" w:rsidRPr="007A423A" w:rsidRDefault="005B6E67" w:rsidP="007A423A">
      <w:pPr>
        <w:pStyle w:val="Heading3"/>
        <w:spacing w:line="276" w:lineRule="auto"/>
      </w:pPr>
      <w:bookmarkStart w:id="35" w:name="_Toc204682589"/>
      <w:bookmarkStart w:id="36" w:name="_Toc204699844"/>
      <w:bookmarkStart w:id="37" w:name="_Toc204763292"/>
      <w:bookmarkStart w:id="38" w:name="_Toc204764860"/>
      <w:bookmarkStart w:id="39" w:name="_Toc205216872"/>
      <w:r w:rsidRPr="007A423A">
        <w:t xml:space="preserve">Staff experiences of </w:t>
      </w:r>
      <w:bookmarkEnd w:id="35"/>
      <w:r w:rsidR="00B7771B">
        <w:t>GBV</w:t>
      </w:r>
      <w:bookmarkEnd w:id="36"/>
      <w:bookmarkEnd w:id="37"/>
      <w:bookmarkEnd w:id="38"/>
      <w:bookmarkEnd w:id="39"/>
      <w:r w:rsidRPr="007A423A">
        <w:t xml:space="preserve"> </w:t>
      </w:r>
    </w:p>
    <w:p w14:paraId="6E1E5B9E" w14:textId="1A54C893" w:rsidR="003D4725" w:rsidRDefault="00864E44" w:rsidP="00DA6F58">
      <w:pPr>
        <w:spacing w:line="276" w:lineRule="auto"/>
        <w:rPr>
          <w:rFonts w:eastAsia="Calibri" w:cs="Calibri"/>
          <w:szCs w:val="22"/>
        </w:rPr>
      </w:pPr>
      <w:r w:rsidRPr="00DA6F58">
        <w:rPr>
          <w:rStyle w:val="normaltextrun"/>
          <w:rFonts w:cs="Calibri"/>
          <w:szCs w:val="22"/>
        </w:rPr>
        <w:t>Staff experiences of gender-base</w:t>
      </w:r>
      <w:r w:rsidR="00F42334">
        <w:rPr>
          <w:rStyle w:val="normaltextrun"/>
          <w:rFonts w:cs="Calibri"/>
          <w:szCs w:val="22"/>
        </w:rPr>
        <w:t>d</w:t>
      </w:r>
      <w:r w:rsidRPr="00DA6F58">
        <w:rPr>
          <w:rStyle w:val="normaltextrun"/>
          <w:rFonts w:cs="Calibri"/>
          <w:szCs w:val="22"/>
        </w:rPr>
        <w:t xml:space="preserve"> violence in</w:t>
      </w:r>
      <w:r w:rsidR="00340EF2" w:rsidRPr="00DA6F58">
        <w:rPr>
          <w:rStyle w:val="normaltextrun"/>
          <w:rFonts w:cs="Calibri"/>
          <w:szCs w:val="22"/>
        </w:rPr>
        <w:t xml:space="preserve"> higher educat</w:t>
      </w:r>
      <w:r w:rsidR="008561BF">
        <w:rPr>
          <w:rStyle w:val="normaltextrun"/>
          <w:rFonts w:cs="Calibri"/>
          <w:szCs w:val="22"/>
        </w:rPr>
        <w:t>ion</w:t>
      </w:r>
      <w:r w:rsidR="00340EF2" w:rsidRPr="00DA6F58">
        <w:rPr>
          <w:rStyle w:val="normaltextrun"/>
          <w:rFonts w:cs="Calibri"/>
          <w:szCs w:val="22"/>
        </w:rPr>
        <w:t xml:space="preserve"> settings remain a significant issue, marked with</w:t>
      </w:r>
      <w:r w:rsidR="00C63C03" w:rsidRPr="00DA6F58">
        <w:rPr>
          <w:rStyle w:val="normaltextrun"/>
          <w:rFonts w:cs="Calibri"/>
          <w:szCs w:val="22"/>
        </w:rPr>
        <w:t xml:space="preserve"> prevalence, underreporting and inadequate responses.</w:t>
      </w:r>
      <w:r w:rsidR="005B6E67" w:rsidRPr="00DA6F58">
        <w:rPr>
          <w:rStyle w:val="normaltextrun"/>
          <w:rFonts w:cs="Calibri"/>
          <w:szCs w:val="22"/>
        </w:rPr>
        <w:t xml:space="preserve"> </w:t>
      </w:r>
      <w:r w:rsidR="00C63C03" w:rsidRPr="00DA6F58">
        <w:rPr>
          <w:rStyle w:val="normaltextrun"/>
          <w:rFonts w:cs="Calibri"/>
          <w:szCs w:val="22"/>
        </w:rPr>
        <w:t xml:space="preserve">As previously </w:t>
      </w:r>
      <w:r w:rsidR="003D4725" w:rsidRPr="00DA6F58">
        <w:rPr>
          <w:rStyle w:val="normaltextrun"/>
          <w:rFonts w:cs="Calibri"/>
          <w:szCs w:val="22"/>
        </w:rPr>
        <w:t>stat</w:t>
      </w:r>
      <w:r w:rsidR="00F42334">
        <w:rPr>
          <w:rStyle w:val="normaltextrun"/>
          <w:rFonts w:cs="Calibri"/>
          <w:szCs w:val="22"/>
        </w:rPr>
        <w:t>e</w:t>
      </w:r>
      <w:r w:rsidR="0047540B">
        <w:rPr>
          <w:rStyle w:val="normaltextrun"/>
          <w:rFonts w:cs="Calibri"/>
          <w:szCs w:val="22"/>
        </w:rPr>
        <w:t>d</w:t>
      </w:r>
      <w:r w:rsidR="003D4725">
        <w:rPr>
          <w:rStyle w:val="normaltextrun"/>
          <w:rFonts w:cs="Calibri"/>
          <w:szCs w:val="22"/>
        </w:rPr>
        <w:t>,</w:t>
      </w:r>
      <w:r w:rsidR="001F3854">
        <w:rPr>
          <w:rStyle w:val="normaltextrun"/>
          <w:rFonts w:cs="Calibri"/>
          <w:szCs w:val="22"/>
        </w:rPr>
        <w:t xml:space="preserve"> </w:t>
      </w:r>
      <w:r w:rsidR="0047540B">
        <w:rPr>
          <w:rFonts w:cs="Calibri"/>
          <w:szCs w:val="22"/>
        </w:rPr>
        <w:t>a</w:t>
      </w:r>
      <w:r w:rsidR="001F3854" w:rsidRPr="00DA6F58">
        <w:rPr>
          <w:rFonts w:cs="Calibri"/>
          <w:szCs w:val="22"/>
        </w:rPr>
        <w:t xml:space="preserve"> survey by the National Tertiary Education Union found that</w:t>
      </w:r>
      <w:r w:rsidR="003D4725" w:rsidRPr="00DA6F58">
        <w:rPr>
          <w:rFonts w:cs="Calibri"/>
          <w:szCs w:val="22"/>
        </w:rPr>
        <w:t xml:space="preserve"> 1 in 3 participants reported experiences of </w:t>
      </w:r>
      <w:r w:rsidR="00DA6F58" w:rsidRPr="00DA6F58">
        <w:rPr>
          <w:rFonts w:cs="Calibri"/>
          <w:szCs w:val="22"/>
        </w:rPr>
        <w:t>sexual harassment</w:t>
      </w:r>
      <w:r w:rsidR="00DA6F58">
        <w:rPr>
          <w:rFonts w:eastAsiaTheme="minorEastAsia"/>
          <w:color w:val="000000" w:themeColor="text1"/>
          <w:szCs w:val="22"/>
        </w:rPr>
        <w:t xml:space="preserve">. </w:t>
      </w:r>
      <w:r w:rsidR="004F3C2B" w:rsidRPr="00386C3F">
        <w:rPr>
          <w:rStyle w:val="normaltextrun"/>
          <w:rFonts w:cs="Calibri"/>
          <w:szCs w:val="22"/>
        </w:rPr>
        <w:t>Of those who chose to report their experiences, 52% were encouraged to drop the issue, while 48% reported that no action was taken at all.</w:t>
      </w:r>
      <w:r w:rsidR="004F3C2B" w:rsidRPr="00386C3F">
        <w:rPr>
          <w:rFonts w:eastAsia="Calibri" w:cs="Calibri"/>
          <w:szCs w:val="22"/>
        </w:rPr>
        <w:t xml:space="preserve"> Qualitative feedback indicated that workplace cultures and gender discriminatory attitudes and behaviours allowed sexual harassment to continue, and that institutional responses were inadequate and compounded harm.</w:t>
      </w:r>
      <w:r w:rsidR="00163864">
        <w:rPr>
          <w:rStyle w:val="FootnoteReference"/>
          <w:rFonts w:eastAsia="Calibri" w:cs="Calibri"/>
          <w:szCs w:val="22"/>
        </w:rPr>
        <w:footnoteReference w:id="35"/>
      </w:r>
      <w:r w:rsidR="004F3C2B" w:rsidRPr="00386C3F">
        <w:rPr>
          <w:rFonts w:eastAsia="Calibri" w:cs="Calibri"/>
          <w:szCs w:val="22"/>
        </w:rPr>
        <w:t xml:space="preserve"> Othe</w:t>
      </w:r>
      <w:r w:rsidR="00B71AA8">
        <w:rPr>
          <w:rFonts w:eastAsia="Calibri" w:cs="Calibri"/>
          <w:szCs w:val="22"/>
        </w:rPr>
        <w:t>r recent findings from an independent review have highlighted ongoing gender bias</w:t>
      </w:r>
      <w:r w:rsidR="00834CFD">
        <w:rPr>
          <w:rFonts w:eastAsia="Calibri" w:cs="Calibri"/>
          <w:szCs w:val="22"/>
        </w:rPr>
        <w:t xml:space="preserve"> and discrimination are prevalent</w:t>
      </w:r>
      <w:r w:rsidR="004F3C2B" w:rsidRPr="00386C3F">
        <w:rPr>
          <w:rFonts w:eastAsia="Calibri" w:cs="Calibri"/>
          <w:szCs w:val="22"/>
        </w:rPr>
        <w:t>.</w:t>
      </w:r>
      <w:r w:rsidR="005A36E0">
        <w:rPr>
          <w:rStyle w:val="FootnoteReference"/>
          <w:rFonts w:eastAsia="Calibri" w:cs="Calibri"/>
          <w:szCs w:val="22"/>
        </w:rPr>
        <w:footnoteReference w:id="36"/>
      </w:r>
    </w:p>
    <w:p w14:paraId="473845AE" w14:textId="7BB102A9" w:rsidR="00B44BC3" w:rsidRPr="007A15D7" w:rsidRDefault="00B363C5" w:rsidP="00DA6F58">
      <w:pPr>
        <w:spacing w:line="276" w:lineRule="auto"/>
        <w:rPr>
          <w:rStyle w:val="normaltextrun"/>
          <w:szCs w:val="22"/>
        </w:rPr>
      </w:pPr>
      <w:r>
        <w:rPr>
          <w:rFonts w:eastAsia="Calibri" w:cs="Calibri"/>
          <w:szCs w:val="22"/>
        </w:rPr>
        <w:t>The</w:t>
      </w:r>
      <w:r w:rsidR="00652E3C">
        <w:rPr>
          <w:rFonts w:eastAsia="Calibri" w:cs="Calibri"/>
          <w:szCs w:val="22"/>
        </w:rPr>
        <w:t xml:space="preserve"> Australian Human Rights Commission</w:t>
      </w:r>
      <w:r>
        <w:rPr>
          <w:rFonts w:eastAsia="Calibri" w:cs="Calibri"/>
          <w:szCs w:val="22"/>
        </w:rPr>
        <w:t xml:space="preserve"> </w:t>
      </w:r>
      <w:r w:rsidRPr="00B77DE6">
        <w:rPr>
          <w:rFonts w:eastAsia="Calibri" w:cs="Calibri"/>
          <w:i/>
          <w:iCs/>
          <w:szCs w:val="22"/>
        </w:rPr>
        <w:t>Respect@Work: Sexual Harassment National Inquiry Report</w:t>
      </w:r>
      <w:r>
        <w:rPr>
          <w:rFonts w:eastAsia="Calibri" w:cs="Calibri"/>
          <w:szCs w:val="22"/>
        </w:rPr>
        <w:t xml:space="preserve"> (2020) </w:t>
      </w:r>
      <w:r w:rsidR="00A96201">
        <w:rPr>
          <w:rFonts w:eastAsia="Calibri" w:cs="Calibri"/>
          <w:szCs w:val="22"/>
        </w:rPr>
        <w:t>raised concerns of the use of</w:t>
      </w:r>
      <w:r w:rsidR="005C37F5">
        <w:rPr>
          <w:rFonts w:eastAsia="Calibri" w:cs="Calibri"/>
          <w:szCs w:val="22"/>
        </w:rPr>
        <w:t xml:space="preserve"> non-</w:t>
      </w:r>
      <w:r w:rsidR="00A96201">
        <w:rPr>
          <w:rFonts w:eastAsia="Calibri" w:cs="Calibri"/>
          <w:szCs w:val="22"/>
        </w:rPr>
        <w:t>disclosure</w:t>
      </w:r>
      <w:r w:rsidR="005C37F5">
        <w:rPr>
          <w:rFonts w:eastAsia="Calibri" w:cs="Calibri"/>
          <w:szCs w:val="22"/>
        </w:rPr>
        <w:t xml:space="preserve"> agreements</w:t>
      </w:r>
      <w:r w:rsidR="00854E1C">
        <w:rPr>
          <w:rFonts w:eastAsia="Calibri" w:cs="Calibri"/>
          <w:szCs w:val="22"/>
        </w:rPr>
        <w:t xml:space="preserve"> (NDAs)</w:t>
      </w:r>
      <w:r w:rsidR="005C37F5">
        <w:rPr>
          <w:rFonts w:eastAsia="Calibri" w:cs="Calibri"/>
          <w:szCs w:val="22"/>
        </w:rPr>
        <w:t xml:space="preserve"> in sexual harassment matters</w:t>
      </w:r>
      <w:r w:rsidR="00A96201">
        <w:rPr>
          <w:rFonts w:eastAsia="Calibri" w:cs="Calibri"/>
          <w:szCs w:val="22"/>
        </w:rPr>
        <w:t xml:space="preserve">. </w:t>
      </w:r>
      <w:r w:rsidR="00E1604D">
        <w:rPr>
          <w:szCs w:val="22"/>
        </w:rPr>
        <w:t>A</w:t>
      </w:r>
      <w:r w:rsidR="00854E1C">
        <w:rPr>
          <w:szCs w:val="22"/>
        </w:rPr>
        <w:t>n NDA</w:t>
      </w:r>
      <w:r w:rsidR="00E1604D">
        <w:rPr>
          <w:szCs w:val="22"/>
        </w:rPr>
        <w:t xml:space="preserve"> is a contract that places legally enforceable obligations on confidentiality. </w:t>
      </w:r>
      <w:r w:rsidR="00E1604D">
        <w:rPr>
          <w:rFonts w:eastAsia="Calibri" w:cs="Calibri"/>
          <w:szCs w:val="22"/>
        </w:rPr>
        <w:t>Victim</w:t>
      </w:r>
      <w:r w:rsidR="00A122A3">
        <w:rPr>
          <w:rFonts w:eastAsia="Calibri" w:cs="Calibri"/>
          <w:szCs w:val="22"/>
        </w:rPr>
        <w:t>-</w:t>
      </w:r>
      <w:r w:rsidR="00E1604D">
        <w:rPr>
          <w:rFonts w:eastAsia="Calibri" w:cs="Calibri"/>
          <w:szCs w:val="22"/>
        </w:rPr>
        <w:t>survivors were unable to speak to the Sex Discrimination Commissioner as part of this inquiry</w:t>
      </w:r>
      <w:r w:rsidR="00BC2F64">
        <w:rPr>
          <w:rFonts w:eastAsia="Calibri" w:cs="Calibri"/>
          <w:szCs w:val="22"/>
        </w:rPr>
        <w:t>,</w:t>
      </w:r>
      <w:r w:rsidR="00E1604D">
        <w:rPr>
          <w:rFonts w:eastAsia="Calibri" w:cs="Calibri"/>
          <w:szCs w:val="22"/>
        </w:rPr>
        <w:t xml:space="preserve"> without having their employers </w:t>
      </w:r>
      <w:r w:rsidR="000B306B">
        <w:rPr>
          <w:rFonts w:eastAsia="Calibri" w:cs="Calibri"/>
          <w:szCs w:val="22"/>
        </w:rPr>
        <w:t xml:space="preserve">waive their confidentiality obligations. The report </w:t>
      </w:r>
      <w:r w:rsidR="00F24EFC">
        <w:rPr>
          <w:rFonts w:eastAsia="Calibri" w:cs="Calibri"/>
          <w:szCs w:val="22"/>
        </w:rPr>
        <w:t xml:space="preserve">found there were concerns that </w:t>
      </w:r>
      <w:r w:rsidR="006A1A77">
        <w:rPr>
          <w:rFonts w:eastAsia="Calibri" w:cs="Calibri"/>
          <w:szCs w:val="22"/>
        </w:rPr>
        <w:t>NDAs</w:t>
      </w:r>
      <w:r w:rsidR="00F24EFC">
        <w:rPr>
          <w:rFonts w:eastAsia="Calibri" w:cs="Calibri"/>
          <w:szCs w:val="22"/>
        </w:rPr>
        <w:t xml:space="preserve"> were used to protect the reputation of </w:t>
      </w:r>
      <w:r w:rsidR="00E82E58">
        <w:rPr>
          <w:rFonts w:eastAsia="Calibri" w:cs="Calibri"/>
          <w:szCs w:val="22"/>
        </w:rPr>
        <w:t>a</w:t>
      </w:r>
      <w:r w:rsidR="00F24EFC">
        <w:rPr>
          <w:rFonts w:eastAsia="Calibri" w:cs="Calibri"/>
          <w:szCs w:val="22"/>
        </w:rPr>
        <w:t xml:space="preserve"> business or the harasser and contribute to a culture of silen</w:t>
      </w:r>
      <w:r w:rsidR="00E82E58">
        <w:rPr>
          <w:rFonts w:eastAsia="Calibri" w:cs="Calibri"/>
          <w:szCs w:val="22"/>
        </w:rPr>
        <w:t>ce.</w:t>
      </w:r>
      <w:r w:rsidR="00E82E58">
        <w:rPr>
          <w:rStyle w:val="FootnoteReference"/>
          <w:rFonts w:eastAsia="Calibri" w:cs="Calibri"/>
          <w:szCs w:val="22"/>
        </w:rPr>
        <w:footnoteReference w:id="37"/>
      </w:r>
      <w:r w:rsidR="004244EE">
        <w:rPr>
          <w:rFonts w:eastAsia="Calibri" w:cs="Calibri"/>
          <w:szCs w:val="22"/>
        </w:rPr>
        <w:t xml:space="preserve"> </w:t>
      </w:r>
      <w:r w:rsidR="00C60B33">
        <w:rPr>
          <w:rFonts w:eastAsia="Calibri" w:cs="Calibri"/>
          <w:szCs w:val="22"/>
        </w:rPr>
        <w:t>In the</w:t>
      </w:r>
      <w:r w:rsidR="00A45C4A">
        <w:rPr>
          <w:rFonts w:eastAsia="Calibri" w:cs="Calibri"/>
          <w:szCs w:val="22"/>
        </w:rPr>
        <w:t xml:space="preserve"> report </w:t>
      </w:r>
      <w:r w:rsidR="004244EE">
        <w:rPr>
          <w:rFonts w:eastAsia="Calibri" w:cs="Calibri"/>
          <w:szCs w:val="22"/>
        </w:rPr>
        <w:t xml:space="preserve">Women’s </w:t>
      </w:r>
      <w:r w:rsidR="00A45C4A">
        <w:rPr>
          <w:rFonts w:eastAsia="Calibri" w:cs="Calibri"/>
          <w:szCs w:val="22"/>
        </w:rPr>
        <w:t>H</w:t>
      </w:r>
      <w:r w:rsidR="004244EE">
        <w:rPr>
          <w:rFonts w:eastAsia="Calibri" w:cs="Calibri"/>
          <w:szCs w:val="22"/>
        </w:rPr>
        <w:t>ealth Victoria</w:t>
      </w:r>
      <w:r w:rsidR="00A45C4A">
        <w:rPr>
          <w:rFonts w:eastAsia="Calibri" w:cs="Calibri"/>
          <w:szCs w:val="22"/>
        </w:rPr>
        <w:t xml:space="preserve"> </w:t>
      </w:r>
      <w:r w:rsidR="00A83E48">
        <w:rPr>
          <w:rFonts w:eastAsia="Calibri" w:cs="Calibri"/>
          <w:szCs w:val="22"/>
        </w:rPr>
        <w:t xml:space="preserve">stated that </w:t>
      </w:r>
      <w:r w:rsidR="006A1A77">
        <w:rPr>
          <w:rFonts w:eastAsia="Calibri" w:cs="Calibri"/>
          <w:szCs w:val="22"/>
        </w:rPr>
        <w:t>NDAs</w:t>
      </w:r>
      <w:r w:rsidR="00A83E48">
        <w:rPr>
          <w:rFonts w:eastAsia="Calibri" w:cs="Calibri"/>
          <w:szCs w:val="22"/>
        </w:rPr>
        <w:t xml:space="preserve"> contribute to low reporting numbers of sexual harassment</w:t>
      </w:r>
      <w:r w:rsidR="004C0AFC">
        <w:rPr>
          <w:rFonts w:eastAsia="Calibri" w:cs="Calibri"/>
          <w:szCs w:val="22"/>
        </w:rPr>
        <w:t>.</w:t>
      </w:r>
      <w:r w:rsidR="004C0AFC">
        <w:rPr>
          <w:rStyle w:val="FootnoteReference"/>
          <w:rFonts w:eastAsia="Calibri" w:cs="Calibri"/>
          <w:szCs w:val="22"/>
        </w:rPr>
        <w:footnoteReference w:id="38"/>
      </w:r>
      <w:r w:rsidR="004C0AFC">
        <w:rPr>
          <w:rFonts w:eastAsia="Calibri" w:cs="Calibri"/>
          <w:szCs w:val="22"/>
        </w:rPr>
        <w:t xml:space="preserve"> </w:t>
      </w:r>
      <w:r w:rsidR="00A83E48">
        <w:rPr>
          <w:rFonts w:eastAsia="Calibri" w:cs="Calibri"/>
          <w:szCs w:val="22"/>
        </w:rPr>
        <w:t xml:space="preserve">Although this report is not specific to the higher education sector, it </w:t>
      </w:r>
      <w:r w:rsidR="00BD2C86">
        <w:rPr>
          <w:rFonts w:eastAsia="Calibri" w:cs="Calibri"/>
          <w:szCs w:val="22"/>
        </w:rPr>
        <w:t>is relevant for all workplaces</w:t>
      </w:r>
      <w:r w:rsidR="00F958ED">
        <w:rPr>
          <w:rFonts w:eastAsia="Calibri" w:cs="Calibri"/>
          <w:szCs w:val="22"/>
        </w:rPr>
        <w:t>. The use of NDAs was highlighted during</w:t>
      </w:r>
      <w:r w:rsidR="008F78C4">
        <w:rPr>
          <w:rFonts w:eastAsia="Calibri" w:cs="Calibri"/>
          <w:szCs w:val="22"/>
        </w:rPr>
        <w:t xml:space="preserve"> consultations</w:t>
      </w:r>
      <w:r w:rsidR="00F958ED">
        <w:rPr>
          <w:rFonts w:eastAsia="Calibri" w:cs="Calibri"/>
          <w:szCs w:val="22"/>
        </w:rPr>
        <w:t xml:space="preserve"> on a proposed National </w:t>
      </w:r>
      <w:r w:rsidR="00EE481B">
        <w:rPr>
          <w:rFonts w:eastAsia="Calibri" w:cs="Calibri"/>
          <w:szCs w:val="22"/>
        </w:rPr>
        <w:t>Code and</w:t>
      </w:r>
      <w:r w:rsidR="00F958ED">
        <w:rPr>
          <w:rFonts w:eastAsia="Calibri" w:cs="Calibri"/>
          <w:szCs w:val="22"/>
        </w:rPr>
        <w:t xml:space="preserve"> was said</w:t>
      </w:r>
      <w:r w:rsidR="008F78C4">
        <w:rPr>
          <w:rFonts w:eastAsia="Calibri" w:cs="Calibri"/>
          <w:szCs w:val="22"/>
        </w:rPr>
        <w:t xml:space="preserve"> to be</w:t>
      </w:r>
      <w:r w:rsidR="00B44BC3">
        <w:rPr>
          <w:rFonts w:eastAsia="Calibri" w:cs="Calibri"/>
          <w:szCs w:val="22"/>
        </w:rPr>
        <w:t xml:space="preserve"> common for </w:t>
      </w:r>
      <w:r w:rsidR="008F78C4">
        <w:rPr>
          <w:rFonts w:eastAsia="Calibri" w:cs="Calibri"/>
          <w:szCs w:val="22"/>
        </w:rPr>
        <w:t>HEPs</w:t>
      </w:r>
      <w:r w:rsidR="00B44BC3">
        <w:rPr>
          <w:rFonts w:eastAsia="Calibri" w:cs="Calibri"/>
          <w:szCs w:val="22"/>
        </w:rPr>
        <w:t xml:space="preserve"> to use non-disclosure agreements</w:t>
      </w:r>
      <w:r w:rsidR="006B1760">
        <w:rPr>
          <w:rFonts w:eastAsia="Calibri" w:cs="Calibri"/>
          <w:szCs w:val="22"/>
        </w:rPr>
        <w:t xml:space="preserve"> to resolve matters</w:t>
      </w:r>
      <w:r w:rsidR="0023035A">
        <w:rPr>
          <w:rFonts w:eastAsia="Calibri" w:cs="Calibri"/>
          <w:szCs w:val="22"/>
        </w:rPr>
        <w:t>. This</w:t>
      </w:r>
      <w:r w:rsidR="0023035A">
        <w:rPr>
          <w:szCs w:val="22"/>
        </w:rPr>
        <w:t xml:space="preserve"> is </w:t>
      </w:r>
      <w:r w:rsidR="0023035A">
        <w:rPr>
          <w:rFonts w:eastAsia="Calibri" w:cs="Calibri"/>
          <w:szCs w:val="22"/>
        </w:rPr>
        <w:t>relevant</w:t>
      </w:r>
      <w:r w:rsidR="00B44BC3">
        <w:rPr>
          <w:szCs w:val="22"/>
        </w:rPr>
        <w:t xml:space="preserve"> to </w:t>
      </w:r>
      <w:r w:rsidR="0023035A">
        <w:rPr>
          <w:rFonts w:eastAsia="Calibri" w:cs="Calibri"/>
          <w:szCs w:val="22"/>
        </w:rPr>
        <w:t>students as well as staff.</w:t>
      </w:r>
      <w:r w:rsidR="00B44BC3">
        <w:rPr>
          <w:szCs w:val="22"/>
        </w:rPr>
        <w:t xml:space="preserve"> </w:t>
      </w:r>
      <w:r w:rsidR="008F78C4">
        <w:rPr>
          <w:szCs w:val="22"/>
        </w:rPr>
        <w:t>NDAs</w:t>
      </w:r>
      <w:r w:rsidR="00B44BC3">
        <w:rPr>
          <w:szCs w:val="22"/>
        </w:rPr>
        <w:t xml:space="preserve"> have the effect of silencing the </w:t>
      </w:r>
      <w:r w:rsidR="008F78C4">
        <w:rPr>
          <w:szCs w:val="22"/>
        </w:rPr>
        <w:t>victim-survivor</w:t>
      </w:r>
      <w:r w:rsidR="00B44BC3">
        <w:rPr>
          <w:szCs w:val="22"/>
        </w:rPr>
        <w:t xml:space="preserve">, undermining their safety, whilst protecting </w:t>
      </w:r>
      <w:r w:rsidR="008F78C4">
        <w:rPr>
          <w:szCs w:val="22"/>
        </w:rPr>
        <w:t>perpetrators</w:t>
      </w:r>
      <w:r w:rsidR="00B44BC3">
        <w:rPr>
          <w:szCs w:val="22"/>
        </w:rPr>
        <w:t xml:space="preserve"> and </w:t>
      </w:r>
      <w:r w:rsidR="008F78C4">
        <w:rPr>
          <w:szCs w:val="22"/>
        </w:rPr>
        <w:t>organisations</w:t>
      </w:r>
      <w:r w:rsidR="00B44BC3">
        <w:rPr>
          <w:szCs w:val="22"/>
        </w:rPr>
        <w:t xml:space="preserve">. They promote a culture of secrecy, limit access to supports, and prevent accountability. </w:t>
      </w:r>
    </w:p>
    <w:p w14:paraId="71F258A4" w14:textId="6735253F" w:rsidR="007E53FE" w:rsidRDefault="00D442F7" w:rsidP="007A423A">
      <w:pPr>
        <w:spacing w:before="120" w:after="120" w:line="276" w:lineRule="auto"/>
        <w:rPr>
          <w:rStyle w:val="normaltextrun"/>
          <w:rFonts w:cs="Calibri"/>
          <w:szCs w:val="22"/>
        </w:rPr>
      </w:pPr>
      <w:r>
        <w:rPr>
          <w:rStyle w:val="normaltextrun"/>
          <w:rFonts w:cs="Calibri"/>
          <w:szCs w:val="22"/>
        </w:rPr>
        <w:t>Despite existing policies and processes, reporting rates often remain low due to fears of</w:t>
      </w:r>
      <w:r w:rsidR="00F862EA">
        <w:rPr>
          <w:rStyle w:val="normaltextrun"/>
          <w:rFonts w:cs="Calibri"/>
          <w:szCs w:val="22"/>
        </w:rPr>
        <w:t xml:space="preserve"> retaliation, lack of trust in the complaint process</w:t>
      </w:r>
      <w:r w:rsidR="00151648">
        <w:rPr>
          <w:rStyle w:val="normaltextrun"/>
          <w:rFonts w:cs="Calibri"/>
          <w:szCs w:val="22"/>
        </w:rPr>
        <w:t>es and concer</w:t>
      </w:r>
      <w:r w:rsidR="002D52BE">
        <w:rPr>
          <w:rStyle w:val="normaltextrun"/>
          <w:rFonts w:cs="Calibri"/>
          <w:szCs w:val="22"/>
        </w:rPr>
        <w:t>ns of impact on careers.</w:t>
      </w:r>
      <w:r w:rsidR="00BF5413">
        <w:rPr>
          <w:rStyle w:val="normaltextrun"/>
          <w:rFonts w:cs="Calibri"/>
          <w:szCs w:val="22"/>
        </w:rPr>
        <w:t xml:space="preserve"> </w:t>
      </w:r>
      <w:r w:rsidR="004B6AF3">
        <w:rPr>
          <w:rStyle w:val="normaltextrun"/>
          <w:rFonts w:cs="Calibri"/>
          <w:szCs w:val="22"/>
        </w:rPr>
        <w:t xml:space="preserve">Qualitative </w:t>
      </w:r>
      <w:r w:rsidR="00003352">
        <w:rPr>
          <w:rStyle w:val="normaltextrun"/>
          <w:rFonts w:cs="Calibri"/>
          <w:szCs w:val="22"/>
        </w:rPr>
        <w:t>survey data has brought to light</w:t>
      </w:r>
      <w:r w:rsidR="0089283A">
        <w:rPr>
          <w:rStyle w:val="normaltextrun"/>
          <w:rFonts w:cs="Calibri"/>
          <w:szCs w:val="22"/>
        </w:rPr>
        <w:t xml:space="preserve"> common sentiments </w:t>
      </w:r>
      <w:r w:rsidR="004D713F">
        <w:rPr>
          <w:rStyle w:val="normaltextrun"/>
          <w:rFonts w:cs="Calibri"/>
          <w:szCs w:val="22"/>
        </w:rPr>
        <w:t xml:space="preserve">by </w:t>
      </w:r>
      <w:r w:rsidR="0089283A">
        <w:rPr>
          <w:rStyle w:val="normaltextrun"/>
          <w:rFonts w:cs="Calibri"/>
          <w:szCs w:val="22"/>
        </w:rPr>
        <w:t xml:space="preserve">staff that providers were </w:t>
      </w:r>
      <w:r w:rsidR="0089283A">
        <w:rPr>
          <w:rStyle w:val="normaltextrun"/>
          <w:rFonts w:cs="Calibri"/>
          <w:szCs w:val="22"/>
        </w:rPr>
        <w:lastRenderedPageBreak/>
        <w:t xml:space="preserve">more focused on reputational risk management </w:t>
      </w:r>
      <w:r w:rsidR="00F3371E">
        <w:rPr>
          <w:rStyle w:val="normaltextrun"/>
          <w:rFonts w:cs="Calibri"/>
          <w:szCs w:val="22"/>
        </w:rPr>
        <w:t>than support</w:t>
      </w:r>
      <w:r w:rsidR="00D645F9">
        <w:rPr>
          <w:rStyle w:val="normaltextrun"/>
          <w:rFonts w:cs="Calibri"/>
          <w:szCs w:val="22"/>
        </w:rPr>
        <w:t>.</w:t>
      </w:r>
      <w:r w:rsidR="004B6AF3">
        <w:rPr>
          <w:rStyle w:val="FootnoteReference"/>
          <w:rFonts w:cs="Calibri"/>
          <w:szCs w:val="22"/>
        </w:rPr>
        <w:footnoteReference w:id="39"/>
      </w:r>
      <w:r w:rsidR="00F3371E">
        <w:rPr>
          <w:rStyle w:val="normaltextrun"/>
          <w:rFonts w:cs="Calibri"/>
          <w:szCs w:val="22"/>
        </w:rPr>
        <w:t xml:space="preserve"> These systemic </w:t>
      </w:r>
      <w:r w:rsidR="004909E6">
        <w:rPr>
          <w:rStyle w:val="normaltextrun"/>
          <w:rFonts w:cs="Calibri"/>
          <w:szCs w:val="22"/>
        </w:rPr>
        <w:t xml:space="preserve">shortcomings </w:t>
      </w:r>
      <w:r w:rsidR="004B6AF3">
        <w:rPr>
          <w:rStyle w:val="normaltextrun"/>
          <w:rFonts w:cs="Calibri"/>
          <w:szCs w:val="22"/>
        </w:rPr>
        <w:t xml:space="preserve">can </w:t>
      </w:r>
      <w:r w:rsidR="00F3371E">
        <w:rPr>
          <w:rStyle w:val="normaltextrun"/>
          <w:rFonts w:cs="Calibri"/>
          <w:szCs w:val="22"/>
        </w:rPr>
        <w:t xml:space="preserve">contribute to a culture of silence that undermines staff wellbeing and efforts to foster safe environments. </w:t>
      </w:r>
      <w:r w:rsidR="007E53FE">
        <w:rPr>
          <w:rStyle w:val="normaltextrun"/>
          <w:rFonts w:cs="Calibri"/>
          <w:szCs w:val="22"/>
        </w:rPr>
        <w:t xml:space="preserve">This impact on staff may also </w:t>
      </w:r>
      <w:r w:rsidR="007B131A">
        <w:rPr>
          <w:rStyle w:val="normaltextrun"/>
          <w:rFonts w:cs="Calibri"/>
          <w:szCs w:val="22"/>
        </w:rPr>
        <w:t>perpetuate broader</w:t>
      </w:r>
      <w:r w:rsidR="00754D69">
        <w:rPr>
          <w:rStyle w:val="normaltextrun"/>
          <w:rFonts w:cs="Calibri"/>
          <w:szCs w:val="22"/>
        </w:rPr>
        <w:t xml:space="preserve"> </w:t>
      </w:r>
      <w:r w:rsidR="00B83E6F">
        <w:rPr>
          <w:rStyle w:val="normaltextrun"/>
          <w:rFonts w:cs="Calibri"/>
          <w:szCs w:val="22"/>
        </w:rPr>
        <w:t>underreporting. When staff do not feel supported or safe to report, they m</w:t>
      </w:r>
      <w:r w:rsidR="006C1724">
        <w:rPr>
          <w:rStyle w:val="normaltextrun"/>
          <w:rFonts w:cs="Calibri"/>
          <w:szCs w:val="22"/>
        </w:rPr>
        <w:t xml:space="preserve">ay be reluctant or ill-equipped to encourage student disclosures or navigate reporting pathways effectively. </w:t>
      </w:r>
      <w:r w:rsidR="00500442">
        <w:rPr>
          <w:rStyle w:val="normaltextrun"/>
          <w:rFonts w:cs="Calibri"/>
          <w:szCs w:val="22"/>
        </w:rPr>
        <w:t>As a result, students who disclose to staff may be met with uncertainty and minimisatio</w:t>
      </w:r>
      <w:r w:rsidR="0010504A">
        <w:rPr>
          <w:rStyle w:val="normaltextrun"/>
          <w:rFonts w:cs="Calibri"/>
          <w:szCs w:val="22"/>
        </w:rPr>
        <w:t xml:space="preserve">n that will dissuade reporting. </w:t>
      </w:r>
    </w:p>
    <w:p w14:paraId="28DA959A" w14:textId="1F6B5102" w:rsidR="00AE7681" w:rsidRDefault="00AE7681" w:rsidP="007A423A">
      <w:pPr>
        <w:spacing w:before="120" w:after="120" w:line="276" w:lineRule="auto"/>
        <w:rPr>
          <w:rStyle w:val="normaltextrun"/>
          <w:rFonts w:cs="Calibri"/>
          <w:b/>
          <w:bCs/>
          <w:szCs w:val="22"/>
        </w:rPr>
      </w:pPr>
      <w:r w:rsidRPr="001F78F0">
        <w:rPr>
          <w:rStyle w:val="normaltextrun"/>
          <w:rFonts w:cs="Calibri"/>
          <w:b/>
          <w:bCs/>
          <w:szCs w:val="22"/>
        </w:rPr>
        <w:t>Different staff cohorts</w:t>
      </w:r>
    </w:p>
    <w:p w14:paraId="189D9FCA" w14:textId="48789FEC" w:rsidR="00344A2E" w:rsidRDefault="00E40276" w:rsidP="007A423A">
      <w:pPr>
        <w:spacing w:before="120" w:after="120" w:line="276" w:lineRule="auto"/>
        <w:rPr>
          <w:rStyle w:val="normaltextrun"/>
          <w:rFonts w:cs="Calibri"/>
          <w:szCs w:val="22"/>
        </w:rPr>
      </w:pPr>
      <w:r>
        <w:rPr>
          <w:rStyle w:val="normaltextrun"/>
          <w:rFonts w:cs="Calibri"/>
          <w:szCs w:val="22"/>
        </w:rPr>
        <w:t>Similarly to students, experiences of GBV may differ between academic and professional staff contexts.</w:t>
      </w:r>
    </w:p>
    <w:p w14:paraId="44B74188" w14:textId="77777777" w:rsidR="00C2739D" w:rsidRPr="00C2739D" w:rsidRDefault="00C2739D" w:rsidP="00C2739D">
      <w:pPr>
        <w:spacing w:before="120" w:after="120" w:line="276" w:lineRule="auto"/>
        <w:rPr>
          <w:rFonts w:cs="Calibri"/>
          <w:szCs w:val="22"/>
        </w:rPr>
      </w:pPr>
      <w:r w:rsidRPr="00C2739D">
        <w:rPr>
          <w:rFonts w:cs="Calibri"/>
          <w:szCs w:val="22"/>
        </w:rPr>
        <w:t>Academic staff typically have more direct and sustained interaction with students through classes, tutorials, supervision, and mentoring. As previously noted, trust in a staff member is a key factor in a student’s decision to disclose experiences of GBV. This positions academic staff as likely first responders to student disclosures, making their role critical in shaping the student’s experience of support and institutional response. However, this can also expose academic staff to vicarious trauma, particularly when disclosures are frequent or inadequately supported by institutional systems.</w:t>
      </w:r>
    </w:p>
    <w:p w14:paraId="4559D34D" w14:textId="59A5292D" w:rsidR="00C2739D" w:rsidRPr="00C2739D" w:rsidRDefault="00C2739D" w:rsidP="00C2739D">
      <w:pPr>
        <w:spacing w:before="120" w:after="120" w:line="276" w:lineRule="auto"/>
        <w:rPr>
          <w:rFonts w:cs="Calibri"/>
          <w:szCs w:val="22"/>
        </w:rPr>
      </w:pPr>
      <w:r w:rsidRPr="00C2739D">
        <w:rPr>
          <w:rFonts w:cs="Calibri"/>
          <w:szCs w:val="22"/>
        </w:rPr>
        <w:t>At the same time, structural issues such as casualisation and job insecurity</w:t>
      </w:r>
      <w:r w:rsidR="00F37C51">
        <w:rPr>
          <w:rFonts w:cs="Calibri"/>
          <w:szCs w:val="22"/>
        </w:rPr>
        <w:t>,</w:t>
      </w:r>
      <w:r w:rsidRPr="00C2739D">
        <w:rPr>
          <w:rFonts w:cs="Calibri"/>
          <w:szCs w:val="22"/>
        </w:rPr>
        <w:t xml:space="preserve"> may discourage academic staff from reporting their own experiences of GBV. These same pressures can also inhibit their ability to act on student disclosures, especially when doing so may jeopardise their employment or professional relationships. The </w:t>
      </w:r>
      <w:r w:rsidR="00E626FA">
        <w:rPr>
          <w:rFonts w:cs="Calibri"/>
          <w:szCs w:val="22"/>
        </w:rPr>
        <w:t>trust</w:t>
      </w:r>
      <w:r w:rsidRPr="00C2739D">
        <w:rPr>
          <w:rFonts w:cs="Calibri"/>
          <w:szCs w:val="22"/>
        </w:rPr>
        <w:t xml:space="preserve"> staff </w:t>
      </w:r>
      <w:r w:rsidR="00E626FA">
        <w:rPr>
          <w:rFonts w:cs="Calibri"/>
          <w:szCs w:val="22"/>
        </w:rPr>
        <w:t>have with</w:t>
      </w:r>
      <w:r w:rsidRPr="00C2739D">
        <w:rPr>
          <w:rFonts w:cs="Calibri"/>
          <w:szCs w:val="22"/>
        </w:rPr>
        <w:t xml:space="preserve"> their </w:t>
      </w:r>
      <w:r w:rsidR="00464B3D" w:rsidRPr="00C2739D">
        <w:rPr>
          <w:rFonts w:cs="Calibri"/>
          <w:szCs w:val="22"/>
        </w:rPr>
        <w:t xml:space="preserve">employer </w:t>
      </w:r>
      <w:r w:rsidRPr="00C2739D">
        <w:rPr>
          <w:rFonts w:cs="Calibri"/>
          <w:szCs w:val="22"/>
        </w:rPr>
        <w:t>has a direct impact on the broader culture of safety and accountability within higher education</w:t>
      </w:r>
      <w:r w:rsidR="00E626FA">
        <w:rPr>
          <w:rFonts w:cs="Calibri"/>
          <w:szCs w:val="22"/>
        </w:rPr>
        <w:t xml:space="preserve">. </w:t>
      </w:r>
    </w:p>
    <w:p w14:paraId="2C022256" w14:textId="4B885150" w:rsidR="00C11CB7" w:rsidRDefault="00C11CB7" w:rsidP="00C2739D">
      <w:pPr>
        <w:spacing w:before="120" w:after="120" w:line="276" w:lineRule="auto"/>
        <w:rPr>
          <w:rFonts w:cs="Calibri"/>
          <w:szCs w:val="22"/>
        </w:rPr>
      </w:pPr>
      <w:r>
        <w:rPr>
          <w:rFonts w:cs="Calibri"/>
          <w:szCs w:val="22"/>
        </w:rPr>
        <w:t>Due to the nature of higher education, the boundaries of student and staff roles are often overlapping</w:t>
      </w:r>
      <w:r w:rsidRPr="00C11CB7">
        <w:rPr>
          <w:rFonts w:cs="Calibri"/>
          <w:szCs w:val="22"/>
        </w:rPr>
        <w:t xml:space="preserve">. It is not uncommon for students to hold tutoring or research assistant positions, placing them in ambiguous power structures. </w:t>
      </w:r>
      <w:r w:rsidR="00C03A26">
        <w:rPr>
          <w:rFonts w:cs="Calibri"/>
          <w:szCs w:val="22"/>
        </w:rPr>
        <w:t xml:space="preserve">The </w:t>
      </w:r>
      <w:r w:rsidRPr="00C11CB7">
        <w:rPr>
          <w:rFonts w:cs="Calibri"/>
          <w:szCs w:val="22"/>
        </w:rPr>
        <w:t>NSSS qualitative findings document</w:t>
      </w:r>
      <w:r w:rsidR="00263EDD">
        <w:rPr>
          <w:rFonts w:cs="Calibri"/>
          <w:szCs w:val="22"/>
        </w:rPr>
        <w:t>s</w:t>
      </w:r>
      <w:r w:rsidRPr="00C11CB7">
        <w:rPr>
          <w:rFonts w:cs="Calibri"/>
          <w:szCs w:val="22"/>
        </w:rPr>
        <w:t xml:space="preserve"> cases where young tutors sexually harassed students, underscoring the risks inherent in these dual-role arrangements.</w:t>
      </w:r>
      <w:r w:rsidR="004851A4">
        <w:rPr>
          <w:rStyle w:val="FootnoteReference"/>
          <w:rFonts w:cs="Calibri"/>
          <w:szCs w:val="22"/>
        </w:rPr>
        <w:footnoteReference w:id="40"/>
      </w:r>
      <w:r w:rsidRPr="00C11CB7">
        <w:rPr>
          <w:rFonts w:cs="Calibri"/>
          <w:szCs w:val="22"/>
        </w:rPr>
        <w:t xml:space="preserve"> Students experiencing harassment from academic supervisors face particular</w:t>
      </w:r>
      <w:r w:rsidR="004851A4">
        <w:rPr>
          <w:rFonts w:cs="Calibri"/>
          <w:szCs w:val="22"/>
        </w:rPr>
        <w:t xml:space="preserve"> </w:t>
      </w:r>
      <w:r w:rsidRPr="00C11CB7">
        <w:rPr>
          <w:rFonts w:cs="Calibri"/>
          <w:szCs w:val="22"/>
        </w:rPr>
        <w:t>vulnerabilities, as their academic outcomes and career trajectories may be contingent on maintaining favour with senior figures. The one-on-one nature of supervision, often conducted off-campus or via private communication channels, can create opportunities for exploitation.</w:t>
      </w:r>
    </w:p>
    <w:p w14:paraId="38ADEE2A" w14:textId="5EB4A5B7" w:rsidR="00333A5D" w:rsidRDefault="00333A5D" w:rsidP="007A423A">
      <w:pPr>
        <w:spacing w:before="120" w:after="120" w:line="276" w:lineRule="auto"/>
        <w:rPr>
          <w:rFonts w:cs="Calibri"/>
          <w:szCs w:val="22"/>
        </w:rPr>
      </w:pPr>
      <w:r w:rsidRPr="00333A5D">
        <w:rPr>
          <w:rFonts w:cs="Calibri"/>
          <w:szCs w:val="22"/>
        </w:rPr>
        <w:t xml:space="preserve">Qualitative findings from the </w:t>
      </w:r>
      <w:r>
        <w:rPr>
          <w:rFonts w:cs="Calibri"/>
          <w:szCs w:val="22"/>
        </w:rPr>
        <w:t xml:space="preserve">NSSS </w:t>
      </w:r>
      <w:r w:rsidRPr="00333A5D">
        <w:rPr>
          <w:rFonts w:cs="Calibri"/>
          <w:szCs w:val="22"/>
        </w:rPr>
        <w:t>highlight</w:t>
      </w:r>
      <w:r>
        <w:rPr>
          <w:rFonts w:cs="Calibri"/>
          <w:szCs w:val="22"/>
        </w:rPr>
        <w:t>ed</w:t>
      </w:r>
      <w:r w:rsidRPr="00333A5D">
        <w:rPr>
          <w:rFonts w:cs="Calibri"/>
          <w:szCs w:val="22"/>
        </w:rPr>
        <w:t xml:space="preserve"> that GBV can be perpetrated by non-academic staff, including contractors such as security and construction personnel</w:t>
      </w:r>
      <w:r w:rsidR="002F2FC5">
        <w:rPr>
          <w:rFonts w:cs="Calibri"/>
          <w:szCs w:val="22"/>
        </w:rPr>
        <w:t>, and</w:t>
      </w:r>
      <w:r w:rsidR="00543357">
        <w:rPr>
          <w:rFonts w:cs="Calibri"/>
          <w:szCs w:val="22"/>
        </w:rPr>
        <w:t xml:space="preserve"> that</w:t>
      </w:r>
      <w:r w:rsidRPr="00333A5D">
        <w:rPr>
          <w:rFonts w:cs="Calibri"/>
          <w:szCs w:val="22"/>
        </w:rPr>
        <w:t xml:space="preserve"> </w:t>
      </w:r>
      <w:r w:rsidR="002F2FC5">
        <w:rPr>
          <w:rFonts w:cs="Calibri"/>
          <w:szCs w:val="22"/>
        </w:rPr>
        <w:t>p</w:t>
      </w:r>
      <w:r w:rsidRPr="00333A5D">
        <w:rPr>
          <w:rFonts w:cs="Calibri"/>
          <w:szCs w:val="22"/>
        </w:rPr>
        <w:t>rofessional staff may also be victim-survivors themselves, and their experiences are frequently underreported and underacknowledged.</w:t>
      </w:r>
      <w:r w:rsidR="002F2FC5" w:rsidRPr="002F2FC5">
        <w:rPr>
          <w:rStyle w:val="FootnoteReference"/>
          <w:rFonts w:cs="Calibri"/>
          <w:szCs w:val="22"/>
        </w:rPr>
        <w:t xml:space="preserve"> </w:t>
      </w:r>
      <w:r w:rsidR="002F2FC5">
        <w:rPr>
          <w:rStyle w:val="FootnoteReference"/>
          <w:rFonts w:cs="Calibri"/>
          <w:szCs w:val="22"/>
        </w:rPr>
        <w:footnoteReference w:id="41"/>
      </w:r>
    </w:p>
    <w:p w14:paraId="70330545" w14:textId="77777777" w:rsidR="00167629" w:rsidRDefault="00D67172" w:rsidP="007A423A">
      <w:pPr>
        <w:spacing w:before="120" w:after="120" w:line="276" w:lineRule="auto"/>
        <w:rPr>
          <w:rFonts w:cs="Calibri"/>
          <w:szCs w:val="22"/>
        </w:rPr>
      </w:pPr>
      <w:r>
        <w:t>P</w:t>
      </w:r>
      <w:r w:rsidRPr="00D67172">
        <w:rPr>
          <w:rFonts w:cs="Calibri"/>
          <w:szCs w:val="22"/>
        </w:rPr>
        <w:t>rofessional staff are often on the frontline of institutional responses to GBV. Those working in student services, human resources, and wellbeing roles are regularly tasked with supporting students and colleagues through complex disclosures and trauma. This responsibility can be emotionally demanding, particularly when staff are not adequately trained or resourced to respond in a trauma-informed manner.</w:t>
      </w:r>
      <w:r w:rsidR="00167629">
        <w:rPr>
          <w:rFonts w:cs="Calibri"/>
          <w:szCs w:val="22"/>
        </w:rPr>
        <w:t xml:space="preserve"> </w:t>
      </w:r>
    </w:p>
    <w:p w14:paraId="7D60DB47" w14:textId="4DD6A13D" w:rsidR="00F51CF7" w:rsidRPr="00164A65" w:rsidRDefault="00167629" w:rsidP="007A423A">
      <w:pPr>
        <w:spacing w:before="120" w:after="120" w:line="276" w:lineRule="auto"/>
        <w:rPr>
          <w:rFonts w:cs="Calibri"/>
          <w:szCs w:val="22"/>
        </w:rPr>
      </w:pPr>
      <w:r w:rsidRPr="00167629">
        <w:rPr>
          <w:rFonts w:cs="Calibri"/>
          <w:szCs w:val="22"/>
        </w:rPr>
        <w:lastRenderedPageBreak/>
        <w:t xml:space="preserve">Moreover, many professional staff may be navigating their own experiences of GBV, including domestic and family violence, while simultaneously supporting others. Without appropriate support structures, this dual burden can lead to burnout, vicarious trauma, and feelings of isolation. </w:t>
      </w:r>
    </w:p>
    <w:p w14:paraId="2E907CF8" w14:textId="07C200F6" w:rsidR="00C95B29" w:rsidRPr="0061396C" w:rsidRDefault="009D518E" w:rsidP="009101D1">
      <w:pPr>
        <w:pStyle w:val="Heading2"/>
      </w:pPr>
      <w:bookmarkStart w:id="40" w:name="_Toc204699845"/>
      <w:bookmarkStart w:id="41" w:name="_Toc210050219"/>
      <w:r w:rsidRPr="007A423A">
        <w:t xml:space="preserve">Problem 2: </w:t>
      </w:r>
      <w:r w:rsidR="00B7771B">
        <w:t>GBV</w:t>
      </w:r>
      <w:r w:rsidRPr="007A423A">
        <w:t xml:space="preserve"> has detrimental effects on student and staff health, wellbeing, educational attainment and career progression</w:t>
      </w:r>
      <w:bookmarkEnd w:id="40"/>
      <w:bookmarkEnd w:id="41"/>
    </w:p>
    <w:p w14:paraId="618DCA33" w14:textId="1AD297AB" w:rsidR="001661EB" w:rsidRDefault="008223FC" w:rsidP="003D22A1">
      <w:pPr>
        <w:spacing w:line="276" w:lineRule="auto"/>
        <w:rPr>
          <w:rFonts w:ascii="Aptos" w:eastAsia="MS Mincho" w:hAnsi="Aptos" w:cs="Times New Roman"/>
          <w:kern w:val="0"/>
          <w:szCs w:val="22"/>
          <w14:ligatures w14:val="none"/>
        </w:rPr>
      </w:pPr>
      <w:r w:rsidRPr="003D22A1">
        <w:rPr>
          <w:rFonts w:cs="Calibri"/>
          <w:szCs w:val="22"/>
        </w:rPr>
        <w:t>GBV</w:t>
      </w:r>
      <w:r w:rsidR="00284B8A" w:rsidRPr="003D22A1">
        <w:rPr>
          <w:rFonts w:cs="Calibri"/>
          <w:szCs w:val="22"/>
        </w:rPr>
        <w:t xml:space="preserve"> has significant and enduring impacts on both students and staff </w:t>
      </w:r>
      <w:r w:rsidR="00BF3723">
        <w:rPr>
          <w:rFonts w:cs="Calibri"/>
          <w:szCs w:val="22"/>
        </w:rPr>
        <w:t>in the</w:t>
      </w:r>
      <w:r w:rsidR="00284B8A" w:rsidRPr="003D22A1">
        <w:rPr>
          <w:rFonts w:cs="Calibri"/>
          <w:szCs w:val="22"/>
        </w:rPr>
        <w:t xml:space="preserve"> higher education sector. </w:t>
      </w:r>
      <w:r w:rsidR="00BF3723">
        <w:rPr>
          <w:rFonts w:cs="Calibri"/>
          <w:szCs w:val="22"/>
        </w:rPr>
        <w:t>These impacts are multifaceted – ranging</w:t>
      </w:r>
      <w:r w:rsidR="00284B8A" w:rsidRPr="003D22A1">
        <w:rPr>
          <w:rFonts w:cs="Calibri"/>
          <w:szCs w:val="22"/>
        </w:rPr>
        <w:t xml:space="preserve"> from acute psychological trauma to long term disruptions in academic achievements and life outcomes</w:t>
      </w:r>
      <w:r w:rsidR="00D56004">
        <w:rPr>
          <w:rFonts w:cs="Calibri"/>
          <w:szCs w:val="22"/>
        </w:rPr>
        <w:t>.</w:t>
      </w:r>
      <w:r w:rsidR="00A42C3B">
        <w:rPr>
          <w:rStyle w:val="FootnoteReference"/>
          <w:rFonts w:cs="Calibri"/>
          <w:szCs w:val="22"/>
        </w:rPr>
        <w:footnoteReference w:id="42"/>
      </w:r>
      <w:r w:rsidR="00284B8A" w:rsidRPr="003D22A1">
        <w:rPr>
          <w:rFonts w:cs="Calibri"/>
          <w:szCs w:val="22"/>
        </w:rPr>
        <w:t xml:space="preserve"> </w:t>
      </w:r>
      <w:r w:rsidR="002C638D" w:rsidRPr="002C638D">
        <w:rPr>
          <w:rFonts w:ascii="Aptos" w:eastAsia="MS Mincho" w:hAnsi="Aptos" w:cs="Times New Roman"/>
          <w:kern w:val="0"/>
          <w:szCs w:val="22"/>
          <w14:ligatures w14:val="none"/>
        </w:rPr>
        <w:t>Students report significant mental health impacts, including an increase in stress, anxiety, depression, substance abuse, self-harm, suicidal thoughts and post-traumatic stress disorder.</w:t>
      </w:r>
      <w:r w:rsidR="002C638D" w:rsidRPr="002C638D">
        <w:rPr>
          <w:rFonts w:ascii="Aptos" w:eastAsia="MS Mincho" w:hAnsi="Aptos" w:cs="Times New Roman"/>
          <w:kern w:val="0"/>
          <w:szCs w:val="22"/>
          <w:vertAlign w:val="superscript"/>
          <w14:ligatures w14:val="none"/>
        </w:rPr>
        <w:footnoteReference w:id="43"/>
      </w:r>
      <w:r w:rsidR="002C638D" w:rsidRPr="002C638D">
        <w:rPr>
          <w:rFonts w:ascii="Aptos" w:eastAsia="MS Mincho" w:hAnsi="Aptos" w:cs="Times New Roman"/>
          <w:kern w:val="0"/>
          <w:szCs w:val="22"/>
          <w14:ligatures w14:val="none"/>
        </w:rPr>
        <w:t xml:space="preserve"> Educational outcomes are impacted, such as decreased academic performance</w:t>
      </w:r>
      <w:r w:rsidR="008F2FC4">
        <w:rPr>
          <w:rFonts w:ascii="Aptos" w:eastAsia="MS Mincho" w:hAnsi="Aptos" w:cs="Times New Roman"/>
          <w:kern w:val="0"/>
          <w:szCs w:val="22"/>
          <w14:ligatures w14:val="none"/>
        </w:rPr>
        <w:t xml:space="preserve"> </w:t>
      </w:r>
      <w:r w:rsidR="00E85A7E">
        <w:rPr>
          <w:rFonts w:ascii="Aptos" w:eastAsia="MS Mincho" w:hAnsi="Aptos" w:cs="Times New Roman"/>
          <w:kern w:val="0"/>
          <w:szCs w:val="22"/>
          <w14:ligatures w14:val="none"/>
        </w:rPr>
        <w:t>and</w:t>
      </w:r>
      <w:r w:rsidR="002C638D" w:rsidRPr="002C638D">
        <w:rPr>
          <w:rFonts w:ascii="Aptos" w:eastAsia="MS Mincho" w:hAnsi="Aptos" w:cs="Times New Roman"/>
          <w:kern w:val="0"/>
          <w:szCs w:val="22"/>
          <w14:ligatures w14:val="none"/>
        </w:rPr>
        <w:t xml:space="preserve"> absenteeism</w:t>
      </w:r>
      <w:r w:rsidR="008F2FC4">
        <w:rPr>
          <w:rFonts w:ascii="Aptos" w:eastAsia="MS Mincho" w:hAnsi="Aptos" w:cs="Times New Roman"/>
          <w:kern w:val="0"/>
          <w:szCs w:val="22"/>
          <w14:ligatures w14:val="none"/>
        </w:rPr>
        <w:t xml:space="preserve">, </w:t>
      </w:r>
      <w:r w:rsidR="00BD54D4">
        <w:rPr>
          <w:rFonts w:ascii="Aptos" w:eastAsia="MS Mincho" w:hAnsi="Aptos" w:cs="Times New Roman"/>
          <w:kern w:val="0"/>
          <w:szCs w:val="22"/>
          <w14:ligatures w14:val="none"/>
        </w:rPr>
        <w:t>with</w:t>
      </w:r>
      <w:r w:rsidR="002C638D" w:rsidRPr="002C638D">
        <w:rPr>
          <w:rFonts w:ascii="Aptos" w:eastAsia="MS Mincho" w:hAnsi="Aptos" w:cs="Times New Roman"/>
          <w:kern w:val="0"/>
          <w:szCs w:val="22"/>
          <w14:ligatures w14:val="none"/>
        </w:rPr>
        <w:t xml:space="preserve"> some students withdrawing from their studies altogethe</w:t>
      </w:r>
      <w:r w:rsidR="00B3063C">
        <w:rPr>
          <w:rFonts w:ascii="Aptos" w:eastAsia="MS Mincho" w:hAnsi="Aptos" w:cs="Times New Roman"/>
          <w:kern w:val="0"/>
          <w:szCs w:val="22"/>
          <w14:ligatures w14:val="none"/>
        </w:rPr>
        <w:t>r, often exacerbated</w:t>
      </w:r>
      <w:r w:rsidR="009766BD" w:rsidRPr="009766BD">
        <w:rPr>
          <w:rStyle w:val="Heading4Char"/>
          <w:rFonts w:cs="Calibri"/>
          <w:szCs w:val="22"/>
        </w:rPr>
        <w:t xml:space="preserve"> </w:t>
      </w:r>
      <w:r w:rsidR="009766BD" w:rsidRPr="00386C3F">
        <w:rPr>
          <w:rStyle w:val="normaltextrun"/>
          <w:rFonts w:cs="Calibri"/>
          <w:szCs w:val="22"/>
        </w:rPr>
        <w:t xml:space="preserve">fear of encountering perpetrators, </w:t>
      </w:r>
      <w:r w:rsidR="009766BD">
        <w:rPr>
          <w:rStyle w:val="normaltextrun"/>
          <w:rFonts w:cs="Calibri"/>
          <w:szCs w:val="22"/>
        </w:rPr>
        <w:t xml:space="preserve">and </w:t>
      </w:r>
      <w:r w:rsidR="009766BD" w:rsidRPr="00386C3F">
        <w:rPr>
          <w:rStyle w:val="normaltextrun"/>
          <w:rFonts w:cs="Calibri"/>
          <w:szCs w:val="22"/>
        </w:rPr>
        <w:t>disbelief and inadequate support from staff and peers, can significantly heighten social isolation and psychological harm.</w:t>
      </w:r>
      <w:r w:rsidR="009766BD" w:rsidRPr="00386C3F">
        <w:rPr>
          <w:rFonts w:cs="Calibri"/>
          <w:szCs w:val="22"/>
        </w:rPr>
        <w:t xml:space="preserve"> These challenges often result in course withdrawal, deferral, or complete disengagement from study.</w:t>
      </w:r>
      <w:r w:rsidR="00FD5B63">
        <w:rPr>
          <w:rFonts w:cs="Calibri"/>
          <w:szCs w:val="22"/>
        </w:rPr>
        <w:t xml:space="preserve"> </w:t>
      </w:r>
    </w:p>
    <w:p w14:paraId="1AD29D36" w14:textId="20FC1758" w:rsidR="006B2809" w:rsidRPr="001661EB" w:rsidRDefault="009766BD" w:rsidP="003D22A1">
      <w:pPr>
        <w:spacing w:line="276" w:lineRule="auto"/>
        <w:rPr>
          <w:rFonts w:ascii="Aptos" w:eastAsia="MS Mincho" w:hAnsi="Aptos" w:cs="Times New Roman"/>
          <w:kern w:val="0"/>
          <w:szCs w:val="22"/>
          <w14:ligatures w14:val="none"/>
        </w:rPr>
      </w:pPr>
      <w:r>
        <w:rPr>
          <w:rFonts w:cs="Calibri"/>
          <w:szCs w:val="22"/>
        </w:rPr>
        <w:t>Barriers</w:t>
      </w:r>
      <w:r w:rsidRPr="00386C3F">
        <w:rPr>
          <w:rFonts w:cs="Calibri"/>
          <w:szCs w:val="22"/>
        </w:rPr>
        <w:t xml:space="preserve"> to academic success – such as those imposed by GBV – not only constrain individual potential but also entrench structural gender inequality across the workforce and broader society. </w:t>
      </w:r>
      <w:r w:rsidR="002C638D" w:rsidRPr="003D22A1">
        <w:rPr>
          <w:rFonts w:ascii="Aptos" w:eastAsia="MS Mincho" w:hAnsi="Aptos" w:cs="Times New Roman"/>
          <w:kern w:val="0"/>
          <w:szCs w:val="22"/>
          <w14:ligatures w14:val="none"/>
        </w:rPr>
        <w:t>Recent research to quantify the direct impact of domestic violence on educational outcomes shows that domestic violence decreases university attainment among victim-survivors by nearly 10</w:t>
      </w:r>
      <w:r w:rsidR="009C55B3">
        <w:rPr>
          <w:rFonts w:ascii="Aptos" w:eastAsia="MS Mincho" w:hAnsi="Aptos" w:cs="Times New Roman"/>
          <w:kern w:val="0"/>
          <w:szCs w:val="22"/>
          <w14:ligatures w14:val="none"/>
        </w:rPr>
        <w:t>%</w:t>
      </w:r>
      <w:r w:rsidR="002C638D" w:rsidRPr="003D22A1">
        <w:rPr>
          <w:rFonts w:ascii="Aptos" w:eastAsia="MS Mincho" w:hAnsi="Aptos" w:cs="Times New Roman"/>
          <w:kern w:val="0"/>
          <w:szCs w:val="22"/>
          <w14:ligatures w14:val="none"/>
        </w:rPr>
        <w:t xml:space="preserve"> in the three years following violence, and that there is a negative effect on university attainment regardless of the kind of violence experienced or the length of time over which the violence occurs.</w:t>
      </w:r>
      <w:r w:rsidR="002C638D" w:rsidRPr="003D22A1">
        <w:rPr>
          <w:rFonts w:ascii="Aptos" w:eastAsia="MS Mincho" w:hAnsi="Aptos" w:cs="Times New Roman"/>
          <w:kern w:val="0"/>
          <w:szCs w:val="22"/>
          <w:vertAlign w:val="superscript"/>
          <w14:ligatures w14:val="none"/>
        </w:rPr>
        <w:footnoteReference w:id="44"/>
      </w:r>
      <w:r w:rsidR="006B2809" w:rsidRPr="003D22A1">
        <w:rPr>
          <w:rFonts w:ascii="Aptos" w:hAnsi="Aptos"/>
          <w:szCs w:val="22"/>
        </w:rPr>
        <w:t xml:space="preserve"> Research also shows that the gap in university degree attainment between victim-survivors and women who have not experienced domestic violence continues to increase over time.</w:t>
      </w:r>
      <w:r w:rsidR="006B2809" w:rsidRPr="003D22A1">
        <w:rPr>
          <w:rStyle w:val="FootnoteReference"/>
          <w:rFonts w:ascii="Aptos" w:hAnsi="Aptos"/>
          <w:szCs w:val="22"/>
        </w:rPr>
        <w:footnoteReference w:id="45"/>
      </w:r>
    </w:p>
    <w:p w14:paraId="2FAFD6D1" w14:textId="47DF4EB2" w:rsidR="0044077B" w:rsidRPr="005B7760" w:rsidRDefault="006B2809" w:rsidP="007A423A">
      <w:pPr>
        <w:spacing w:line="276" w:lineRule="auto"/>
        <w:rPr>
          <w:rFonts w:ascii="Aptos" w:hAnsi="Aptos"/>
          <w:szCs w:val="22"/>
        </w:rPr>
      </w:pPr>
      <w:r w:rsidRPr="003D22A1">
        <w:rPr>
          <w:rFonts w:ascii="Aptos" w:hAnsi="Aptos"/>
          <w:szCs w:val="22"/>
        </w:rPr>
        <w:t xml:space="preserve">This impact on educational attainment </w:t>
      </w:r>
      <w:r w:rsidR="00D36D39">
        <w:rPr>
          <w:rFonts w:ascii="Aptos" w:hAnsi="Aptos"/>
          <w:szCs w:val="22"/>
        </w:rPr>
        <w:t>also has long-term</w:t>
      </w:r>
      <w:r w:rsidR="00D36D39" w:rsidRPr="003D22A1">
        <w:rPr>
          <w:rFonts w:ascii="Aptos" w:hAnsi="Aptos"/>
          <w:szCs w:val="22"/>
        </w:rPr>
        <w:t xml:space="preserve"> </w:t>
      </w:r>
      <w:r w:rsidR="00D36D39">
        <w:rPr>
          <w:rFonts w:ascii="Aptos" w:hAnsi="Aptos"/>
          <w:szCs w:val="22"/>
        </w:rPr>
        <w:t>effects</w:t>
      </w:r>
      <w:r w:rsidR="00CD379F">
        <w:rPr>
          <w:rFonts w:ascii="Aptos" w:hAnsi="Aptos"/>
          <w:szCs w:val="22"/>
        </w:rPr>
        <w:t xml:space="preserve"> </w:t>
      </w:r>
      <w:r w:rsidR="00D36D39">
        <w:rPr>
          <w:rFonts w:ascii="Aptos" w:hAnsi="Aptos"/>
          <w:szCs w:val="22"/>
        </w:rPr>
        <w:t xml:space="preserve">on </w:t>
      </w:r>
      <w:r w:rsidR="00CD379F">
        <w:rPr>
          <w:rFonts w:ascii="Aptos" w:hAnsi="Aptos"/>
          <w:szCs w:val="22"/>
        </w:rPr>
        <w:t>lifetime earnings</w:t>
      </w:r>
      <w:r w:rsidR="00D36D39">
        <w:rPr>
          <w:rFonts w:ascii="Aptos" w:hAnsi="Aptos"/>
          <w:szCs w:val="22"/>
        </w:rPr>
        <w:t>,</w:t>
      </w:r>
      <w:r w:rsidRPr="003D22A1">
        <w:rPr>
          <w:rFonts w:ascii="Aptos" w:hAnsi="Aptos"/>
          <w:szCs w:val="22"/>
        </w:rPr>
        <w:t xml:space="preserve"> as </w:t>
      </w:r>
      <w:r>
        <w:rPr>
          <w:rFonts w:cs="Calibri"/>
          <w:szCs w:val="22"/>
        </w:rPr>
        <w:t>h</w:t>
      </w:r>
      <w:r w:rsidRPr="00386C3F">
        <w:rPr>
          <w:rFonts w:cs="Calibri"/>
          <w:szCs w:val="22"/>
        </w:rPr>
        <w:t>igher education is a key pathway to financial security</w:t>
      </w:r>
      <w:r w:rsidR="00CF59A5" w:rsidRPr="00386C3F">
        <w:rPr>
          <w:rFonts w:cs="Calibri"/>
          <w:szCs w:val="22"/>
        </w:rPr>
        <w:t>, labour market participation and social mobility</w:t>
      </w:r>
      <w:r w:rsidRPr="003D22A1">
        <w:rPr>
          <w:rFonts w:ascii="Aptos" w:hAnsi="Aptos"/>
          <w:szCs w:val="22"/>
        </w:rPr>
        <w:t>.  Educational attainment leads to higher rates of employment, higher productivity and higher lifetime earnings for individuals.</w:t>
      </w:r>
      <w:r w:rsidRPr="003D22A1">
        <w:rPr>
          <w:rStyle w:val="FootnoteReference"/>
          <w:rFonts w:ascii="Aptos" w:hAnsi="Aptos"/>
          <w:szCs w:val="22"/>
        </w:rPr>
        <w:footnoteReference w:id="46"/>
      </w:r>
      <w:r w:rsidRPr="003D22A1">
        <w:rPr>
          <w:rFonts w:ascii="Aptos" w:hAnsi="Aptos"/>
          <w:szCs w:val="22"/>
        </w:rPr>
        <w:t xml:space="preserve"> </w:t>
      </w:r>
      <w:r w:rsidR="00AB27AF" w:rsidRPr="00AB27AF">
        <w:rPr>
          <w:rFonts w:ascii="Aptos" w:hAnsi="Aptos"/>
          <w:szCs w:val="22"/>
        </w:rPr>
        <w:t>Recent research indicates that individuals with a university degree earn, on average, 41% more annually than those whose highest qualification is Year 12</w:t>
      </w:r>
      <w:r w:rsidRPr="003D22A1">
        <w:rPr>
          <w:rFonts w:ascii="Aptos" w:hAnsi="Aptos"/>
          <w:szCs w:val="22"/>
        </w:rPr>
        <w:t>.</w:t>
      </w:r>
      <w:r w:rsidRPr="003D22A1">
        <w:rPr>
          <w:rStyle w:val="FootnoteReference"/>
          <w:rFonts w:ascii="Aptos" w:hAnsi="Aptos"/>
          <w:szCs w:val="22"/>
        </w:rPr>
        <w:footnoteReference w:id="47"/>
      </w:r>
      <w:r w:rsidRPr="003D22A1">
        <w:rPr>
          <w:rFonts w:ascii="Aptos" w:hAnsi="Aptos"/>
          <w:szCs w:val="22"/>
        </w:rPr>
        <w:t xml:space="preserve"> </w:t>
      </w:r>
      <w:r w:rsidR="00CD6A80">
        <w:rPr>
          <w:rFonts w:ascii="Aptos" w:hAnsi="Aptos"/>
          <w:szCs w:val="22"/>
        </w:rPr>
        <w:t>In addition, a 2018 study found that</w:t>
      </w:r>
      <w:r w:rsidR="00CD6A80" w:rsidRPr="00CD6A80">
        <w:t xml:space="preserve"> </w:t>
      </w:r>
      <w:r w:rsidR="00CD6A80" w:rsidRPr="00CD6A80">
        <w:rPr>
          <w:rFonts w:ascii="Aptos" w:hAnsi="Aptos"/>
          <w:szCs w:val="22"/>
        </w:rPr>
        <w:t>university degree was found to significantly improve employment outcomes: it increased the likelihood of being employed by approximately 2.5 times compared to not being employed, reduced the likelihood of being unemployed relative to being employed by 1.75 times, and raised the odds of securing full-</w:t>
      </w:r>
      <w:r w:rsidR="00CD6A80" w:rsidRPr="00CD6A80">
        <w:rPr>
          <w:rFonts w:ascii="Aptos" w:hAnsi="Aptos"/>
          <w:szCs w:val="22"/>
        </w:rPr>
        <w:lastRenderedPageBreak/>
        <w:t>time work by about 1.9 times compared to part-time or no employment</w:t>
      </w:r>
      <w:r w:rsidR="008E730A">
        <w:rPr>
          <w:rFonts w:ascii="Aptos" w:hAnsi="Aptos"/>
          <w:szCs w:val="22"/>
        </w:rPr>
        <w:t>.</w:t>
      </w:r>
      <w:r w:rsidR="00CD6A80">
        <w:rPr>
          <w:rStyle w:val="FootnoteReference"/>
          <w:rFonts w:ascii="Aptos" w:hAnsi="Aptos"/>
          <w:szCs w:val="22"/>
        </w:rPr>
        <w:footnoteReference w:id="48"/>
      </w:r>
      <w:r w:rsidR="00CD6A80">
        <w:rPr>
          <w:rFonts w:ascii="Aptos" w:hAnsi="Aptos"/>
          <w:szCs w:val="22"/>
        </w:rPr>
        <w:t xml:space="preserve"> </w:t>
      </w:r>
      <w:r w:rsidR="0008720B">
        <w:rPr>
          <w:rFonts w:ascii="Aptos" w:hAnsi="Aptos"/>
          <w:szCs w:val="22"/>
        </w:rPr>
        <w:t xml:space="preserve">Not only is higher education associated with improved employment and economic outcomes – the consequences for women who do not </w:t>
      </w:r>
      <w:r w:rsidR="0075500E">
        <w:rPr>
          <w:rFonts w:ascii="Aptos" w:hAnsi="Aptos"/>
          <w:szCs w:val="22"/>
        </w:rPr>
        <w:t>complete their degrees can further exacerbate this gap.</w:t>
      </w:r>
      <w:r w:rsidR="003A1108">
        <w:rPr>
          <w:rFonts w:ascii="Aptos" w:hAnsi="Aptos"/>
          <w:szCs w:val="22"/>
        </w:rPr>
        <w:t xml:space="preserve"> Anne Summe</w:t>
      </w:r>
      <w:r w:rsidR="00AC64E3">
        <w:rPr>
          <w:rFonts w:ascii="Aptos" w:hAnsi="Aptos"/>
          <w:szCs w:val="22"/>
        </w:rPr>
        <w:t>rs describe</w:t>
      </w:r>
      <w:r w:rsidR="00385FB2">
        <w:rPr>
          <w:rFonts w:ascii="Aptos" w:hAnsi="Aptos"/>
          <w:szCs w:val="22"/>
        </w:rPr>
        <w:t xml:space="preserve">s that for women who leave higher education without </w:t>
      </w:r>
      <w:r w:rsidR="005D56B1">
        <w:rPr>
          <w:rFonts w:ascii="Aptos" w:hAnsi="Aptos"/>
          <w:szCs w:val="22"/>
        </w:rPr>
        <w:t>graduating</w:t>
      </w:r>
      <w:r w:rsidR="00385FB2">
        <w:rPr>
          <w:rFonts w:ascii="Aptos" w:hAnsi="Aptos"/>
          <w:szCs w:val="22"/>
        </w:rPr>
        <w:t xml:space="preserve"> the burden of student debts remains</w:t>
      </w:r>
      <w:r w:rsidR="00A31436">
        <w:rPr>
          <w:rFonts w:ascii="Aptos" w:hAnsi="Aptos"/>
          <w:szCs w:val="22"/>
        </w:rPr>
        <w:t xml:space="preserve"> without the financial benefits associated with </w:t>
      </w:r>
      <w:r w:rsidR="00CD58E6">
        <w:rPr>
          <w:rFonts w:ascii="Aptos" w:hAnsi="Aptos"/>
          <w:szCs w:val="22"/>
        </w:rPr>
        <w:t>a degree.</w:t>
      </w:r>
      <w:r w:rsidR="00CD58E6">
        <w:rPr>
          <w:rStyle w:val="FootnoteReference"/>
          <w:rFonts w:ascii="Aptos" w:hAnsi="Aptos"/>
          <w:szCs w:val="22"/>
        </w:rPr>
        <w:footnoteReference w:id="49"/>
      </w:r>
      <w:r w:rsidR="005D56B1">
        <w:rPr>
          <w:rFonts w:ascii="Aptos" w:hAnsi="Aptos"/>
          <w:szCs w:val="22"/>
        </w:rPr>
        <w:t xml:space="preserve"> </w:t>
      </w:r>
      <w:r w:rsidR="001258CF">
        <w:rPr>
          <w:rFonts w:ascii="Aptos" w:hAnsi="Aptos"/>
          <w:szCs w:val="22"/>
        </w:rPr>
        <w:t>Therefore, if a student experiences gender-based violence that leads to withdrawal from study, the</w:t>
      </w:r>
      <w:r w:rsidR="00CC6607">
        <w:rPr>
          <w:rFonts w:ascii="Aptos" w:hAnsi="Aptos"/>
          <w:szCs w:val="22"/>
        </w:rPr>
        <w:t xml:space="preserve"> impacts are not only educational – they are economic and social</w:t>
      </w:r>
      <w:r w:rsidR="004A7078">
        <w:rPr>
          <w:rFonts w:ascii="Aptos" w:hAnsi="Aptos"/>
          <w:szCs w:val="22"/>
        </w:rPr>
        <w:t>,</w:t>
      </w:r>
      <w:r w:rsidR="00CC6607">
        <w:rPr>
          <w:rFonts w:ascii="Aptos" w:hAnsi="Aptos"/>
          <w:szCs w:val="22"/>
        </w:rPr>
        <w:t xml:space="preserve"> that can reinforce cycles of </w:t>
      </w:r>
      <w:r w:rsidR="00A61EB0">
        <w:rPr>
          <w:rFonts w:ascii="Aptos" w:hAnsi="Aptos"/>
          <w:szCs w:val="22"/>
        </w:rPr>
        <w:t>reduced earnings and disadvantage over a lifetime.</w:t>
      </w:r>
    </w:p>
    <w:p w14:paraId="6A6BF48B" w14:textId="45B8C39D" w:rsidR="00284B8A" w:rsidRPr="00386C3F" w:rsidRDefault="00284B8A" w:rsidP="007A423A">
      <w:pPr>
        <w:spacing w:before="120" w:after="120" w:line="276" w:lineRule="auto"/>
        <w:rPr>
          <w:rFonts w:cs="Calibri"/>
          <w:szCs w:val="22"/>
        </w:rPr>
      </w:pPr>
      <w:r w:rsidRPr="00386C3F">
        <w:rPr>
          <w:rFonts w:cs="Calibri"/>
          <w:szCs w:val="22"/>
        </w:rPr>
        <w:t xml:space="preserve">For staff, </w:t>
      </w:r>
      <w:r w:rsidR="00B7771B" w:rsidRPr="00386C3F">
        <w:rPr>
          <w:rFonts w:cs="Calibri"/>
          <w:szCs w:val="22"/>
        </w:rPr>
        <w:t>GBV</w:t>
      </w:r>
      <w:r w:rsidRPr="00386C3F">
        <w:rPr>
          <w:rFonts w:cs="Calibri"/>
          <w:szCs w:val="22"/>
        </w:rPr>
        <w:t xml:space="preserve"> has negative effects on work</w:t>
      </w:r>
      <w:r w:rsidR="00290E91">
        <w:rPr>
          <w:rFonts w:cs="Calibri"/>
          <w:szCs w:val="22"/>
        </w:rPr>
        <w:t>ing</w:t>
      </w:r>
      <w:r w:rsidRPr="00386C3F">
        <w:rPr>
          <w:rFonts w:cs="Calibri"/>
          <w:szCs w:val="22"/>
        </w:rPr>
        <w:t xml:space="preserve"> conditions and career progression. A contributing factor is the precarious nature of employment in universities, where it is estimated that 60% of staff </w:t>
      </w:r>
      <w:r w:rsidR="00EA5B93">
        <w:rPr>
          <w:rFonts w:cs="Calibri"/>
          <w:szCs w:val="22"/>
        </w:rPr>
        <w:t xml:space="preserve">are </w:t>
      </w:r>
      <w:r w:rsidRPr="00386C3F">
        <w:rPr>
          <w:rFonts w:cs="Calibri"/>
          <w:szCs w:val="22"/>
        </w:rPr>
        <w:t>either employed in a casual or contract capacity.</w:t>
      </w:r>
      <w:r w:rsidR="00876CA5">
        <w:rPr>
          <w:rStyle w:val="FootnoteReference"/>
          <w:rFonts w:cs="Calibri"/>
          <w:szCs w:val="22"/>
        </w:rPr>
        <w:footnoteReference w:id="50"/>
      </w:r>
      <w:r w:rsidR="00DB325C">
        <w:rPr>
          <w:rFonts w:cs="Calibri"/>
          <w:szCs w:val="22"/>
        </w:rPr>
        <w:t xml:space="preserve"> </w:t>
      </w:r>
      <w:r w:rsidRPr="00386C3F">
        <w:rPr>
          <w:rFonts w:cs="Calibri"/>
          <w:szCs w:val="22"/>
        </w:rPr>
        <w:t>This has been argued to create a workplace culture where staff feel afraid to reject or report harassment for fear of losing their jobs or harming their career prospects</w:t>
      </w:r>
      <w:r w:rsidR="00385C88">
        <w:rPr>
          <w:rFonts w:cs="Calibri"/>
          <w:szCs w:val="22"/>
        </w:rPr>
        <w:t>.</w:t>
      </w:r>
      <w:r w:rsidR="00876CA5">
        <w:rPr>
          <w:rStyle w:val="FootnoteReference"/>
          <w:rFonts w:cs="Calibri"/>
          <w:szCs w:val="22"/>
        </w:rPr>
        <w:footnoteReference w:id="51"/>
      </w:r>
      <w:r w:rsidRPr="00386C3F">
        <w:rPr>
          <w:rFonts w:cs="Calibri"/>
          <w:szCs w:val="22"/>
        </w:rPr>
        <w:t xml:space="preserve"> Similarly, post-graduate students employed in insecure research assistant or tutoring positions may feel that they do not have the authority to confront the perpetrator. This, according to the National Tertiary Education Union, creates a culture of “</w:t>
      </w:r>
      <w:r w:rsidR="00EE481B" w:rsidRPr="00386C3F">
        <w:rPr>
          <w:rFonts w:cs="Calibri"/>
          <w:szCs w:val="22"/>
        </w:rPr>
        <w:t>don</w:t>
      </w:r>
      <w:r w:rsidR="00EE481B">
        <w:rPr>
          <w:rFonts w:cs="Calibri"/>
          <w:szCs w:val="22"/>
        </w:rPr>
        <w:t>’</w:t>
      </w:r>
      <w:r w:rsidRPr="00386C3F">
        <w:rPr>
          <w:rFonts w:cs="Calibri"/>
          <w:szCs w:val="22"/>
        </w:rPr>
        <w:t>t talk, don</w:t>
      </w:r>
      <w:r w:rsidR="00EE481B">
        <w:rPr>
          <w:rFonts w:cs="Calibri"/>
          <w:szCs w:val="22"/>
        </w:rPr>
        <w:t>’</w:t>
      </w:r>
      <w:r w:rsidRPr="00386C3F">
        <w:rPr>
          <w:rFonts w:cs="Calibri"/>
          <w:szCs w:val="22"/>
        </w:rPr>
        <w:t>t ask</w:t>
      </w:r>
      <w:r w:rsidR="3042A00C" w:rsidRPr="00386C3F">
        <w:rPr>
          <w:rFonts w:cs="Calibri"/>
          <w:szCs w:val="22"/>
        </w:rPr>
        <w:t>”</w:t>
      </w:r>
      <w:r w:rsidRPr="00386C3F">
        <w:rPr>
          <w:rFonts w:cs="Calibri"/>
          <w:szCs w:val="22"/>
        </w:rPr>
        <w:t>.</w:t>
      </w:r>
      <w:r w:rsidR="00740506">
        <w:rPr>
          <w:rStyle w:val="FootnoteReference"/>
          <w:rFonts w:cs="Calibri"/>
          <w:szCs w:val="22"/>
        </w:rPr>
        <w:footnoteReference w:id="52"/>
      </w:r>
    </w:p>
    <w:p w14:paraId="1D6493E1" w14:textId="12CF4694" w:rsidR="7513C9AA" w:rsidRPr="00386C3F" w:rsidRDefault="00284B8A" w:rsidP="7513C9AA">
      <w:pPr>
        <w:spacing w:before="120" w:after="120" w:line="276" w:lineRule="auto"/>
        <w:rPr>
          <w:rFonts w:cs="Calibri"/>
          <w:szCs w:val="22"/>
        </w:rPr>
      </w:pPr>
      <w:r w:rsidRPr="00386C3F">
        <w:rPr>
          <w:rFonts w:cs="Calibri"/>
          <w:szCs w:val="22"/>
        </w:rPr>
        <w:t>A survey by the National Tertiary Education Union in 2023 indicated that among those who made a complaint, 45% indicated that they were labelled a troublemaker, and 44% said there were negative consequences from their employer (including denial of promotion, transfer, re-assignment to less favourable work and/or scheduling changes)</w:t>
      </w:r>
      <w:r w:rsidR="001708E0">
        <w:rPr>
          <w:rFonts w:cs="Calibri"/>
          <w:szCs w:val="22"/>
        </w:rPr>
        <w:t>.</w:t>
      </w:r>
      <w:r w:rsidR="00705194">
        <w:rPr>
          <w:rStyle w:val="FootnoteReference"/>
          <w:rFonts w:cs="Calibri"/>
          <w:szCs w:val="22"/>
        </w:rPr>
        <w:footnoteReference w:id="53"/>
      </w:r>
      <w:r w:rsidR="00A51049">
        <w:rPr>
          <w:rFonts w:cs="Calibri"/>
          <w:szCs w:val="22"/>
        </w:rPr>
        <w:t xml:space="preserve"> </w:t>
      </w:r>
      <w:r w:rsidR="00B7771B" w:rsidRPr="00386C3F">
        <w:rPr>
          <w:rFonts w:cs="Calibri"/>
          <w:szCs w:val="22"/>
        </w:rPr>
        <w:t>GBV</w:t>
      </w:r>
      <w:r w:rsidRPr="00386C3F">
        <w:rPr>
          <w:rFonts w:cs="Calibri"/>
          <w:szCs w:val="22"/>
        </w:rPr>
        <w:t xml:space="preserve"> therefore has a significant cost on the job security and career progression of staff.</w:t>
      </w:r>
    </w:p>
    <w:p w14:paraId="3DCD1788" w14:textId="56590C9C" w:rsidR="009D518E" w:rsidRPr="007A423A" w:rsidRDefault="00CA7DE1" w:rsidP="007A423A">
      <w:pPr>
        <w:pStyle w:val="Heading2"/>
        <w:spacing w:line="276" w:lineRule="auto"/>
        <w:rPr>
          <w:rFonts w:asciiTheme="minorHAnsi" w:hAnsiTheme="minorHAnsi"/>
        </w:rPr>
      </w:pPr>
      <w:bookmarkStart w:id="42" w:name="_Toc204699846"/>
      <w:bookmarkStart w:id="43" w:name="_Toc210050220"/>
      <w:r w:rsidRPr="007A423A">
        <w:rPr>
          <w:rFonts w:asciiTheme="minorHAnsi" w:hAnsiTheme="minorHAnsi"/>
        </w:rPr>
        <w:t xml:space="preserve">Problem 3: </w:t>
      </w:r>
      <w:r w:rsidR="00B7771B">
        <w:rPr>
          <w:rFonts w:asciiTheme="minorHAnsi" w:hAnsiTheme="minorHAnsi"/>
        </w:rPr>
        <w:t>GBV</w:t>
      </w:r>
      <w:r w:rsidRPr="007A423A">
        <w:rPr>
          <w:rFonts w:asciiTheme="minorHAnsi" w:hAnsiTheme="minorHAnsi"/>
        </w:rPr>
        <w:t xml:space="preserve"> in higher education disproportionately impacts women and girls experiencing intersecting forms</w:t>
      </w:r>
      <w:bookmarkEnd w:id="42"/>
      <w:r w:rsidR="006D527A">
        <w:rPr>
          <w:rFonts w:asciiTheme="minorHAnsi" w:hAnsiTheme="minorHAnsi"/>
        </w:rPr>
        <w:t xml:space="preserve"> of inequalities and discrimination</w:t>
      </w:r>
      <w:bookmarkEnd w:id="43"/>
      <w:r w:rsidRPr="007A423A">
        <w:rPr>
          <w:rFonts w:asciiTheme="minorHAnsi" w:hAnsiTheme="minorHAnsi"/>
        </w:rPr>
        <w:t xml:space="preserve"> </w:t>
      </w:r>
    </w:p>
    <w:p w14:paraId="6FDB5E29" w14:textId="7CE2C1DE" w:rsidR="00C35DEA" w:rsidRPr="00F971D1" w:rsidRDefault="00C35DEA" w:rsidP="007A423A">
      <w:pPr>
        <w:spacing w:before="120" w:after="120" w:line="276" w:lineRule="auto"/>
        <w:rPr>
          <w:rFonts w:cs="Calibri"/>
          <w:szCs w:val="22"/>
        </w:rPr>
      </w:pPr>
      <w:r w:rsidRPr="00F971D1">
        <w:rPr>
          <w:rFonts w:cs="Calibri"/>
          <w:szCs w:val="22"/>
        </w:rPr>
        <w:t xml:space="preserve">The burden of </w:t>
      </w:r>
      <w:r w:rsidR="008223FC" w:rsidRPr="00F971D1">
        <w:rPr>
          <w:rFonts w:cs="Calibri"/>
          <w:szCs w:val="22"/>
        </w:rPr>
        <w:t>GBV</w:t>
      </w:r>
      <w:r w:rsidRPr="00F971D1">
        <w:rPr>
          <w:rFonts w:cs="Calibri"/>
          <w:szCs w:val="22"/>
        </w:rPr>
        <w:t xml:space="preserve"> is not equally shared across the population. Women and girls are disproportionately impacted, with First Nations women, women with disabilit</w:t>
      </w:r>
      <w:r w:rsidR="00DF4105">
        <w:rPr>
          <w:rFonts w:cs="Calibri"/>
          <w:szCs w:val="22"/>
        </w:rPr>
        <w:t>y</w:t>
      </w:r>
      <w:r w:rsidRPr="00F971D1">
        <w:rPr>
          <w:rFonts w:cs="Calibri"/>
          <w:szCs w:val="22"/>
        </w:rPr>
        <w:t>, LGBTQ</w:t>
      </w:r>
      <w:r w:rsidR="009B6642">
        <w:rPr>
          <w:rFonts w:cs="Calibri"/>
          <w:szCs w:val="22"/>
        </w:rPr>
        <w:t>IA</w:t>
      </w:r>
      <w:r w:rsidRPr="00F971D1">
        <w:rPr>
          <w:rFonts w:cs="Calibri"/>
          <w:szCs w:val="22"/>
        </w:rPr>
        <w:t xml:space="preserve">+ individuals, and culturally and linguistically diverse (CALD) and migrant women experiencing higher rates of </w:t>
      </w:r>
      <w:r w:rsidR="008223FC" w:rsidRPr="00F971D1">
        <w:rPr>
          <w:rFonts w:cs="Calibri"/>
          <w:szCs w:val="22"/>
        </w:rPr>
        <w:t>GBV</w:t>
      </w:r>
      <w:r w:rsidRPr="00F971D1">
        <w:rPr>
          <w:rFonts w:cs="Calibri"/>
          <w:szCs w:val="22"/>
        </w:rPr>
        <w:t>. This reflects the compounding effect of multiple forms of discrimination, including racism, colonialism, heteronormativity, cisnormativity and ableism. These intersecting oppressions not only increase the risk of experienc</w:t>
      </w:r>
      <w:r w:rsidR="00DF3FAF" w:rsidRPr="00F971D1">
        <w:rPr>
          <w:rFonts w:cs="Calibri"/>
          <w:szCs w:val="22"/>
        </w:rPr>
        <w:t xml:space="preserve">ing </w:t>
      </w:r>
      <w:r w:rsidRPr="00F971D1">
        <w:rPr>
          <w:rFonts w:cs="Calibri"/>
          <w:szCs w:val="22"/>
        </w:rPr>
        <w:t>violence but also present additional barriers to accessing safety, support and justice.</w:t>
      </w:r>
      <w:r w:rsidRPr="00F971D1">
        <w:rPr>
          <w:rStyle w:val="FootnoteReference"/>
          <w:rFonts w:cs="Calibri"/>
          <w:szCs w:val="22"/>
        </w:rPr>
        <w:footnoteReference w:id="54"/>
      </w:r>
      <w:r w:rsidRPr="00F971D1">
        <w:rPr>
          <w:rFonts w:cs="Calibri"/>
          <w:szCs w:val="22"/>
        </w:rPr>
        <w:t xml:space="preserve"> </w:t>
      </w:r>
    </w:p>
    <w:p w14:paraId="5B1A6C0A" w14:textId="12B131E5" w:rsidR="00086C57" w:rsidRPr="00DD4830" w:rsidRDefault="00086C57" w:rsidP="00086C57">
      <w:pPr>
        <w:rPr>
          <w:rFonts w:ascii="Aptos" w:hAnsi="Aptos"/>
          <w:szCs w:val="22"/>
        </w:rPr>
      </w:pPr>
      <w:r w:rsidRPr="00DD4830">
        <w:rPr>
          <w:rFonts w:ascii="Aptos" w:hAnsi="Aptos"/>
          <w:szCs w:val="22"/>
        </w:rPr>
        <w:lastRenderedPageBreak/>
        <w:t xml:space="preserve">Both the </w:t>
      </w:r>
      <w:r w:rsidRPr="00DD4830">
        <w:rPr>
          <w:rFonts w:ascii="Aptos" w:hAnsi="Aptos"/>
          <w:i/>
          <w:szCs w:val="22"/>
        </w:rPr>
        <w:t xml:space="preserve">Change the Course </w:t>
      </w:r>
      <w:r w:rsidRPr="00DD4830">
        <w:rPr>
          <w:rFonts w:ascii="Aptos" w:hAnsi="Aptos"/>
          <w:szCs w:val="22"/>
        </w:rPr>
        <w:t xml:space="preserve">Report and the </w:t>
      </w:r>
      <w:r w:rsidRPr="00DD4830">
        <w:rPr>
          <w:rFonts w:ascii="Aptos" w:hAnsi="Aptos"/>
          <w:i/>
          <w:szCs w:val="22"/>
        </w:rPr>
        <w:t>National Student Safety Survey</w:t>
      </w:r>
      <w:r w:rsidRPr="00DD4830">
        <w:rPr>
          <w:rFonts w:ascii="Aptos" w:hAnsi="Aptos"/>
          <w:szCs w:val="22"/>
        </w:rPr>
        <w:t xml:space="preserve"> reveal that in higher education disproportionately </w:t>
      </w:r>
      <w:r w:rsidR="00207F0A">
        <w:rPr>
          <w:rFonts w:ascii="Aptos" w:hAnsi="Aptos"/>
          <w:szCs w:val="22"/>
        </w:rPr>
        <w:t>a</w:t>
      </w:r>
      <w:r w:rsidRPr="00DD4830">
        <w:rPr>
          <w:rFonts w:ascii="Aptos" w:hAnsi="Aptos"/>
          <w:szCs w:val="22"/>
        </w:rPr>
        <w:t>ffects groups such as gender and sexually diverse students, students with disability and First Nations students.</w:t>
      </w:r>
      <w:r w:rsidRPr="00DD4830">
        <w:rPr>
          <w:rStyle w:val="FootnoteReference"/>
          <w:rFonts w:ascii="Aptos" w:hAnsi="Aptos"/>
          <w:szCs w:val="22"/>
        </w:rPr>
        <w:footnoteReference w:id="55"/>
      </w:r>
      <w:r w:rsidRPr="00DD4830">
        <w:rPr>
          <w:rFonts w:ascii="Aptos" w:hAnsi="Aptos"/>
          <w:szCs w:val="22"/>
        </w:rPr>
        <w:t xml:space="preserve"> </w:t>
      </w:r>
      <w:r w:rsidR="00CF1EA6" w:rsidRPr="00DD4830">
        <w:rPr>
          <w:rFonts w:ascii="Aptos" w:hAnsi="Aptos"/>
          <w:szCs w:val="22"/>
        </w:rPr>
        <w:t>For example:</w:t>
      </w:r>
    </w:p>
    <w:p w14:paraId="2FAD6C48" w14:textId="1B7BAFB8" w:rsidR="00C35DEA" w:rsidRPr="00F971D1" w:rsidRDefault="00C35DEA" w:rsidP="00876CA5">
      <w:pPr>
        <w:pStyle w:val="ListParagraph"/>
        <w:numPr>
          <w:ilvl w:val="0"/>
          <w:numId w:val="4"/>
        </w:numPr>
        <w:spacing w:after="120" w:line="276" w:lineRule="auto"/>
        <w:ind w:left="426"/>
        <w:rPr>
          <w:rStyle w:val="normaltextrun"/>
          <w:rFonts w:cs="Calibri"/>
          <w:szCs w:val="22"/>
        </w:rPr>
      </w:pPr>
      <w:r w:rsidRPr="00F971D1">
        <w:rPr>
          <w:rStyle w:val="normaltextrun"/>
          <w:rFonts w:cs="Calibri"/>
          <w:szCs w:val="22"/>
        </w:rPr>
        <w:t xml:space="preserve">Gender and </w:t>
      </w:r>
      <w:r w:rsidRPr="00F971D1">
        <w:rPr>
          <w:rFonts w:cs="Calibri"/>
          <w:szCs w:val="22"/>
        </w:rPr>
        <w:t xml:space="preserve">sexually </w:t>
      </w:r>
      <w:r w:rsidRPr="00F971D1">
        <w:rPr>
          <w:rStyle w:val="normaltextrun"/>
          <w:rFonts w:cs="Calibri"/>
          <w:szCs w:val="22"/>
        </w:rPr>
        <w:t>diverse students were nearly twice as likely to have experienced sexual harassment compared to heterosexual and cisgender students</w:t>
      </w:r>
      <w:r w:rsidR="00654D56">
        <w:rPr>
          <w:rStyle w:val="normaltextrun"/>
          <w:rFonts w:cs="Calibri"/>
          <w:szCs w:val="22"/>
        </w:rPr>
        <w:t>.</w:t>
      </w:r>
    </w:p>
    <w:p w14:paraId="2B1FD86E" w14:textId="7310DD23" w:rsidR="00C35DEA" w:rsidRPr="00F971D1" w:rsidRDefault="00CF1EA6" w:rsidP="00876CA5">
      <w:pPr>
        <w:pStyle w:val="ListParagraph"/>
        <w:numPr>
          <w:ilvl w:val="0"/>
          <w:numId w:val="4"/>
        </w:numPr>
        <w:spacing w:after="0" w:line="276" w:lineRule="auto"/>
        <w:ind w:left="426"/>
        <w:contextualSpacing w:val="0"/>
        <w:rPr>
          <w:rStyle w:val="normaltextrun"/>
          <w:rFonts w:cs="Calibri"/>
          <w:szCs w:val="22"/>
        </w:rPr>
      </w:pPr>
      <w:r w:rsidRPr="00F971D1">
        <w:rPr>
          <w:rStyle w:val="normaltextrun"/>
          <w:rFonts w:cs="Calibri"/>
          <w:szCs w:val="22"/>
        </w:rPr>
        <w:t xml:space="preserve">1 </w:t>
      </w:r>
      <w:r w:rsidR="00C35DEA" w:rsidRPr="00F971D1">
        <w:rPr>
          <w:rStyle w:val="normaltextrun"/>
          <w:rFonts w:cs="Calibri"/>
          <w:szCs w:val="22"/>
        </w:rPr>
        <w:t xml:space="preserve">in </w:t>
      </w:r>
      <w:r w:rsidRPr="00F971D1">
        <w:rPr>
          <w:rStyle w:val="normaltextrun"/>
          <w:rFonts w:cs="Calibri"/>
          <w:szCs w:val="22"/>
        </w:rPr>
        <w:t xml:space="preserve">3 </w:t>
      </w:r>
      <w:r w:rsidR="00C35DEA" w:rsidRPr="00F971D1">
        <w:rPr>
          <w:rStyle w:val="normaltextrun"/>
          <w:rFonts w:cs="Calibri"/>
          <w:szCs w:val="22"/>
        </w:rPr>
        <w:t xml:space="preserve">students with a disability reported being sexually harassed, and </w:t>
      </w:r>
      <w:r w:rsidRPr="00F971D1">
        <w:rPr>
          <w:rStyle w:val="normaltextrun"/>
          <w:rFonts w:cs="Calibri"/>
          <w:szCs w:val="22"/>
        </w:rPr>
        <w:t xml:space="preserve">1 </w:t>
      </w:r>
      <w:r w:rsidR="00C35DEA" w:rsidRPr="00F971D1">
        <w:rPr>
          <w:rStyle w:val="normaltextrun"/>
          <w:rFonts w:cs="Calibri"/>
          <w:szCs w:val="22"/>
        </w:rPr>
        <w:t xml:space="preserve">in </w:t>
      </w:r>
      <w:r w:rsidRPr="00F971D1">
        <w:rPr>
          <w:rStyle w:val="normaltextrun"/>
          <w:rFonts w:cs="Calibri"/>
          <w:szCs w:val="22"/>
        </w:rPr>
        <w:t xml:space="preserve">10 </w:t>
      </w:r>
      <w:r w:rsidR="00C35DEA" w:rsidRPr="00F971D1">
        <w:rPr>
          <w:rStyle w:val="normaltextrun"/>
          <w:rFonts w:cs="Calibri"/>
          <w:szCs w:val="22"/>
        </w:rPr>
        <w:t>had been sexually assaulted in a university context</w:t>
      </w:r>
      <w:r w:rsidR="00654D56">
        <w:rPr>
          <w:rStyle w:val="normaltextrun"/>
          <w:rFonts w:cs="Calibri"/>
          <w:szCs w:val="22"/>
        </w:rPr>
        <w:t>.</w:t>
      </w:r>
    </w:p>
    <w:p w14:paraId="0AA3D396" w14:textId="741C518C" w:rsidR="00A8583C" w:rsidRPr="00F971D1" w:rsidRDefault="00CF1EA6" w:rsidP="000868C7">
      <w:pPr>
        <w:pStyle w:val="ListParagraph"/>
        <w:numPr>
          <w:ilvl w:val="0"/>
          <w:numId w:val="4"/>
        </w:numPr>
        <w:spacing w:after="0" w:line="276" w:lineRule="auto"/>
        <w:ind w:left="426"/>
        <w:contextualSpacing w:val="0"/>
        <w:rPr>
          <w:rFonts w:cs="Calibri"/>
          <w:szCs w:val="22"/>
        </w:rPr>
      </w:pPr>
      <w:r w:rsidRPr="00F971D1">
        <w:rPr>
          <w:rStyle w:val="normaltextrun"/>
          <w:rFonts w:cs="Calibri"/>
          <w:szCs w:val="22"/>
        </w:rPr>
        <w:t xml:space="preserve">1 </w:t>
      </w:r>
      <w:r w:rsidR="00C35DEA" w:rsidRPr="00F971D1">
        <w:rPr>
          <w:rStyle w:val="normaltextrun"/>
          <w:rFonts w:cs="Calibri"/>
          <w:szCs w:val="22"/>
        </w:rPr>
        <w:t xml:space="preserve">in </w:t>
      </w:r>
      <w:r w:rsidRPr="00F971D1">
        <w:rPr>
          <w:rStyle w:val="normaltextrun"/>
          <w:rFonts w:cs="Calibri"/>
          <w:szCs w:val="22"/>
        </w:rPr>
        <w:t xml:space="preserve">5 </w:t>
      </w:r>
      <w:r w:rsidR="00C35DEA" w:rsidRPr="00F971D1">
        <w:rPr>
          <w:rStyle w:val="normaltextrun"/>
          <w:rFonts w:cs="Calibri"/>
          <w:szCs w:val="22"/>
        </w:rPr>
        <w:t xml:space="preserve">First Nations students had been sexually harassed, and </w:t>
      </w:r>
      <w:r w:rsidRPr="00F971D1">
        <w:rPr>
          <w:rStyle w:val="normaltextrun"/>
          <w:rFonts w:cs="Calibri"/>
          <w:szCs w:val="22"/>
        </w:rPr>
        <w:t xml:space="preserve">1 </w:t>
      </w:r>
      <w:r w:rsidR="00C35DEA" w:rsidRPr="00F971D1">
        <w:rPr>
          <w:rStyle w:val="normaltextrun"/>
          <w:rFonts w:cs="Calibri"/>
          <w:szCs w:val="22"/>
        </w:rPr>
        <w:t>in 13 ha</w:t>
      </w:r>
      <w:r w:rsidRPr="00F971D1">
        <w:rPr>
          <w:rStyle w:val="normaltextrun"/>
          <w:rFonts w:cs="Calibri"/>
          <w:szCs w:val="22"/>
        </w:rPr>
        <w:t xml:space="preserve">d </w:t>
      </w:r>
      <w:r w:rsidR="00C35DEA" w:rsidRPr="00F971D1">
        <w:rPr>
          <w:rStyle w:val="normaltextrun"/>
          <w:rFonts w:cs="Calibri"/>
          <w:szCs w:val="22"/>
        </w:rPr>
        <w:t>been sexually assaulted in a university context.</w:t>
      </w:r>
      <w:r w:rsidR="00B1396A" w:rsidRPr="00F971D1">
        <w:rPr>
          <w:rStyle w:val="FootnoteReference"/>
          <w:rFonts w:cs="Calibri"/>
          <w:szCs w:val="22"/>
        </w:rPr>
        <w:footnoteReference w:id="56"/>
      </w:r>
    </w:p>
    <w:p w14:paraId="7864475F" w14:textId="512E8548" w:rsidR="000868C7" w:rsidRPr="00F971D1" w:rsidRDefault="000868C7" w:rsidP="00995BB5">
      <w:pPr>
        <w:spacing w:before="240"/>
        <w:rPr>
          <w:rFonts w:ascii="Aptos" w:hAnsi="Aptos"/>
          <w:szCs w:val="22"/>
        </w:rPr>
      </w:pPr>
      <w:r w:rsidRPr="00F971D1">
        <w:rPr>
          <w:rFonts w:ascii="Aptos" w:hAnsi="Aptos"/>
          <w:szCs w:val="22"/>
        </w:rPr>
        <w:t xml:space="preserve">As the </w:t>
      </w:r>
      <w:r w:rsidRPr="00F971D1">
        <w:rPr>
          <w:rFonts w:ascii="Aptos" w:hAnsi="Aptos"/>
          <w:i/>
          <w:szCs w:val="22"/>
        </w:rPr>
        <w:t>Change the Course Report</w:t>
      </w:r>
      <w:r w:rsidRPr="00F971D1">
        <w:rPr>
          <w:rFonts w:ascii="Aptos" w:hAnsi="Aptos"/>
          <w:szCs w:val="22"/>
        </w:rPr>
        <w:t xml:space="preserve"> states, some of the data is limited due to sample sizes of minority groups, such as First Nations students,  and therefore may not fully encapsulate the experiences of these groups.</w:t>
      </w:r>
      <w:r w:rsidRPr="00F971D1">
        <w:rPr>
          <w:rStyle w:val="FootnoteReference"/>
          <w:rFonts w:ascii="Aptos" w:hAnsi="Aptos"/>
          <w:szCs w:val="22"/>
        </w:rPr>
        <w:footnoteReference w:id="57"/>
      </w:r>
      <w:r w:rsidRPr="00F971D1">
        <w:rPr>
          <w:rFonts w:ascii="Aptos" w:hAnsi="Aptos"/>
          <w:szCs w:val="22"/>
        </w:rPr>
        <w:t xml:space="preserve"> However, the NSSS and the </w:t>
      </w:r>
      <w:r w:rsidRPr="00F971D1">
        <w:rPr>
          <w:rFonts w:ascii="Aptos" w:hAnsi="Aptos"/>
          <w:i/>
          <w:szCs w:val="22"/>
        </w:rPr>
        <w:t>Change the Course</w:t>
      </w:r>
      <w:r w:rsidRPr="00F971D1">
        <w:rPr>
          <w:rFonts w:ascii="Aptos" w:hAnsi="Aptos"/>
          <w:szCs w:val="22"/>
        </w:rPr>
        <w:t xml:space="preserve"> </w:t>
      </w:r>
      <w:r w:rsidR="00CF1EA6" w:rsidRPr="00F971D1">
        <w:rPr>
          <w:rFonts w:ascii="Aptos" w:hAnsi="Aptos"/>
          <w:szCs w:val="22"/>
        </w:rPr>
        <w:t>r</w:t>
      </w:r>
      <w:r w:rsidRPr="00F971D1">
        <w:rPr>
          <w:rFonts w:ascii="Aptos" w:hAnsi="Aptos"/>
          <w:szCs w:val="22"/>
        </w:rPr>
        <w:t xml:space="preserve">eport are largely reflective of national data sets and affirm that groups </w:t>
      </w:r>
      <w:r w:rsidR="004E44EE" w:rsidRPr="00F971D1">
        <w:rPr>
          <w:rFonts w:ascii="Aptos" w:hAnsi="Aptos"/>
          <w:szCs w:val="22"/>
        </w:rPr>
        <w:t xml:space="preserve">that </w:t>
      </w:r>
      <w:r w:rsidR="00402ED3" w:rsidRPr="00F971D1">
        <w:rPr>
          <w:rFonts w:ascii="Aptos" w:hAnsi="Aptos"/>
          <w:szCs w:val="22"/>
        </w:rPr>
        <w:t xml:space="preserve">experience structural inequalities and discrimination </w:t>
      </w:r>
      <w:r w:rsidRPr="00F971D1">
        <w:rPr>
          <w:rFonts w:ascii="Aptos" w:hAnsi="Aptos"/>
          <w:szCs w:val="22"/>
        </w:rPr>
        <w:t>are disproportionately affected by gender-based violence.</w:t>
      </w:r>
      <w:r w:rsidRPr="00F971D1">
        <w:rPr>
          <w:rStyle w:val="FootnoteReference"/>
          <w:rFonts w:ascii="Aptos" w:hAnsi="Aptos"/>
          <w:szCs w:val="22"/>
        </w:rPr>
        <w:footnoteReference w:id="58"/>
      </w:r>
      <w:r w:rsidRPr="00F971D1">
        <w:rPr>
          <w:rFonts w:ascii="Aptos" w:hAnsi="Aptos"/>
          <w:szCs w:val="22"/>
        </w:rPr>
        <w:t xml:space="preserve"> For example, the National Plan states that First Nations women report </w:t>
      </w:r>
      <w:r w:rsidR="005B49C6" w:rsidRPr="00F971D1">
        <w:rPr>
          <w:rFonts w:ascii="Aptos" w:hAnsi="Aptos"/>
          <w:szCs w:val="22"/>
        </w:rPr>
        <w:t>three</w:t>
      </w:r>
      <w:r w:rsidRPr="00F971D1">
        <w:rPr>
          <w:rFonts w:ascii="Aptos" w:hAnsi="Aptos"/>
          <w:szCs w:val="22"/>
        </w:rPr>
        <w:t xml:space="preserve"> times as many incidents of gendered-based violence, 64% of women with disability report experiencing gendered-based violence, and almost half of gender and sexuality diverse people report being coerced or forced into sexual acts that they did not want to engage in.</w:t>
      </w:r>
      <w:r w:rsidRPr="00F971D1">
        <w:rPr>
          <w:rStyle w:val="FootnoteReference"/>
          <w:rFonts w:ascii="Aptos" w:hAnsi="Aptos"/>
          <w:szCs w:val="22"/>
        </w:rPr>
        <w:footnoteReference w:id="59"/>
      </w:r>
      <w:r w:rsidRPr="00F971D1">
        <w:rPr>
          <w:rFonts w:ascii="Aptos" w:hAnsi="Aptos"/>
          <w:szCs w:val="22"/>
        </w:rPr>
        <w:t xml:space="preserve"> </w:t>
      </w:r>
    </w:p>
    <w:p w14:paraId="752F8C07" w14:textId="77777777" w:rsidR="0027573A" w:rsidRDefault="000868C7" w:rsidP="007A423A">
      <w:pPr>
        <w:spacing w:before="120" w:after="120" w:line="276" w:lineRule="auto"/>
        <w:rPr>
          <w:rFonts w:ascii="Aptos" w:hAnsi="Aptos"/>
          <w:szCs w:val="22"/>
        </w:rPr>
      </w:pPr>
      <w:r w:rsidRPr="00386C3F">
        <w:rPr>
          <w:rFonts w:ascii="Aptos" w:hAnsi="Aptos"/>
          <w:szCs w:val="22"/>
        </w:rPr>
        <w:t xml:space="preserve">While there is limited data that specifically considers the impact of intersecting and compounding disadvantage on the rates of gender-based violence in higher education, the Department of Education has drawn on a broad range of research and information to further understand the factors that converge to increase vulnerability and shape individual experiences. Since August 2023, the Department of Education has undertaken significant consultation on potential actions to address the prevalence of gender-based violence in higher education, including consultation with advocacy groups representing people with a disability, LGBTQIA+ people, culturally and linguistically diverse (CALD) people and First Nations people. This consultation, which is discussed in greater detail in </w:t>
      </w:r>
      <w:r w:rsidR="00E60E57">
        <w:rPr>
          <w:rFonts w:ascii="Aptos" w:hAnsi="Aptos"/>
          <w:szCs w:val="22"/>
        </w:rPr>
        <w:t>C</w:t>
      </w:r>
      <w:r w:rsidRPr="00386C3F">
        <w:rPr>
          <w:rFonts w:ascii="Aptos" w:hAnsi="Aptos"/>
          <w:szCs w:val="22"/>
        </w:rPr>
        <w:t xml:space="preserve">hapter 5, combined with available data and research discussed briefly below, has informed the </w:t>
      </w:r>
      <w:r w:rsidR="0045480A">
        <w:rPr>
          <w:rFonts w:ascii="Aptos" w:hAnsi="Aptos"/>
          <w:szCs w:val="22"/>
        </w:rPr>
        <w:t>d</w:t>
      </w:r>
      <w:r w:rsidRPr="00386C3F">
        <w:rPr>
          <w:rFonts w:ascii="Aptos" w:hAnsi="Aptos"/>
          <w:szCs w:val="22"/>
        </w:rPr>
        <w:t>epartment’s understanding of the intersecting issues impacting diverse higher education students</w:t>
      </w:r>
      <w:r w:rsidR="00164A65">
        <w:rPr>
          <w:rFonts w:ascii="Aptos" w:hAnsi="Aptos"/>
          <w:szCs w:val="22"/>
        </w:rPr>
        <w:t xml:space="preserve">. </w:t>
      </w:r>
    </w:p>
    <w:p w14:paraId="1E247C5B" w14:textId="483004A8" w:rsidR="00740E90" w:rsidRPr="00386C3F" w:rsidRDefault="00740E90" w:rsidP="007A423A">
      <w:pPr>
        <w:spacing w:before="120" w:after="120" w:line="276" w:lineRule="auto"/>
        <w:rPr>
          <w:rStyle w:val="Strong"/>
          <w:szCs w:val="22"/>
        </w:rPr>
      </w:pPr>
      <w:r w:rsidRPr="00386C3F">
        <w:rPr>
          <w:rStyle w:val="Strong"/>
          <w:szCs w:val="22"/>
        </w:rPr>
        <w:t xml:space="preserve">First Nation students </w:t>
      </w:r>
    </w:p>
    <w:p w14:paraId="6466ADD1" w14:textId="77777777" w:rsidR="00CF1DBC" w:rsidRPr="00386C3F" w:rsidRDefault="00CF1DBC" w:rsidP="001661EB">
      <w:pPr>
        <w:spacing w:before="240"/>
        <w:rPr>
          <w:rFonts w:ascii="Aptos" w:hAnsi="Aptos"/>
          <w:szCs w:val="22"/>
        </w:rPr>
      </w:pPr>
      <w:r w:rsidRPr="00386C3F">
        <w:rPr>
          <w:rFonts w:ascii="Aptos" w:hAnsi="Aptos"/>
          <w:szCs w:val="22"/>
        </w:rPr>
        <w:t>First Nations students face different and complex barriers to higher education, such as remoteness, financial burden and cultural and community isolation.</w:t>
      </w:r>
      <w:r w:rsidRPr="00386C3F">
        <w:rPr>
          <w:rStyle w:val="FootnoteReference"/>
          <w:rFonts w:ascii="Aptos" w:hAnsi="Aptos"/>
          <w:szCs w:val="22"/>
        </w:rPr>
        <w:footnoteReference w:id="60"/>
      </w:r>
      <w:r w:rsidRPr="00386C3F">
        <w:rPr>
          <w:rFonts w:ascii="Aptos" w:hAnsi="Aptos"/>
          <w:szCs w:val="22"/>
        </w:rPr>
        <w:t xml:space="preserve"> Levels of educational attainment are lower for First Nations people than non-indigenous people.</w:t>
      </w:r>
      <w:r w:rsidRPr="00386C3F">
        <w:rPr>
          <w:rStyle w:val="FootnoteReference"/>
          <w:rFonts w:ascii="Aptos" w:hAnsi="Aptos"/>
          <w:szCs w:val="22"/>
        </w:rPr>
        <w:footnoteReference w:id="61"/>
      </w:r>
      <w:r w:rsidRPr="00386C3F">
        <w:rPr>
          <w:rFonts w:ascii="Aptos" w:hAnsi="Aptos"/>
          <w:szCs w:val="22"/>
        </w:rPr>
        <w:t xml:space="preserve"> The National </w:t>
      </w:r>
      <w:r w:rsidRPr="00386C3F">
        <w:rPr>
          <w:rFonts w:ascii="Aptos" w:hAnsi="Aptos"/>
          <w:szCs w:val="22"/>
        </w:rPr>
        <w:lastRenderedPageBreak/>
        <w:t xml:space="preserve">Agreement on Closing the Gap includes 19 national socio-economic targets across areas that have an impact on life outcomes for Aboriginal and Torres Strait Islander people, including two targets relating to education: </w:t>
      </w:r>
    </w:p>
    <w:p w14:paraId="33AAE69D" w14:textId="1C170A5B" w:rsidR="00353D7F" w:rsidRPr="00386C3F" w:rsidRDefault="00353D7F" w:rsidP="001661EB">
      <w:pPr>
        <w:numPr>
          <w:ilvl w:val="0"/>
          <w:numId w:val="28"/>
        </w:numPr>
        <w:spacing w:before="240" w:line="276" w:lineRule="auto"/>
        <w:contextualSpacing/>
        <w:rPr>
          <w:rFonts w:eastAsia="MS Mincho" w:cs="Calibri"/>
          <w:kern w:val="0"/>
          <w:szCs w:val="22"/>
          <w14:ligatures w14:val="none"/>
        </w:rPr>
      </w:pPr>
      <w:r w:rsidRPr="00386C3F">
        <w:rPr>
          <w:rFonts w:eastAsia="MS Mincho" w:cs="Calibri"/>
          <w:kern w:val="0"/>
          <w:szCs w:val="22"/>
          <w14:ligatures w14:val="none"/>
        </w:rPr>
        <w:t xml:space="preserve">By 2031, increase the proportion of Aboriginal and Torres Strait Islander people aged 25-34 years who have completed a tertiary qualification to </w:t>
      </w:r>
      <w:r w:rsidR="00654D56" w:rsidRPr="00386C3F">
        <w:rPr>
          <w:rFonts w:eastAsia="MS Mincho" w:cs="Calibri"/>
          <w:kern w:val="0"/>
          <w:szCs w:val="22"/>
          <w14:ligatures w14:val="none"/>
        </w:rPr>
        <w:t>70</w:t>
      </w:r>
      <w:r w:rsidR="00654D56">
        <w:rPr>
          <w:rFonts w:eastAsia="MS Mincho" w:cs="Calibri"/>
          <w:kern w:val="0"/>
          <w:szCs w:val="22"/>
          <w14:ligatures w14:val="none"/>
        </w:rPr>
        <w:t>%.</w:t>
      </w:r>
    </w:p>
    <w:p w14:paraId="6682E71D" w14:textId="541928D6" w:rsidR="001661EB" w:rsidRDefault="00353D7F" w:rsidP="001661EB">
      <w:pPr>
        <w:numPr>
          <w:ilvl w:val="0"/>
          <w:numId w:val="28"/>
        </w:numPr>
        <w:spacing w:before="240" w:line="276" w:lineRule="auto"/>
        <w:contextualSpacing/>
        <w:rPr>
          <w:rFonts w:eastAsia="MS Mincho" w:cs="Calibri"/>
          <w:kern w:val="0"/>
          <w:szCs w:val="22"/>
          <w14:ligatures w14:val="none"/>
        </w:rPr>
      </w:pPr>
      <w:r w:rsidRPr="00386C3F">
        <w:rPr>
          <w:rFonts w:eastAsia="MS Mincho" w:cs="Calibri"/>
          <w:kern w:val="0"/>
          <w:szCs w:val="22"/>
          <w14:ligatures w14:val="none"/>
        </w:rPr>
        <w:t xml:space="preserve">By 2031, increase the proportion of Aboriginal and Torres Strait Islander youth (15-14) who are in employment, education, or training to </w:t>
      </w:r>
      <w:r w:rsidR="00654D56" w:rsidRPr="00386C3F">
        <w:rPr>
          <w:rFonts w:eastAsia="MS Mincho" w:cs="Calibri"/>
          <w:kern w:val="0"/>
          <w:szCs w:val="22"/>
          <w14:ligatures w14:val="none"/>
        </w:rPr>
        <w:t>67</w:t>
      </w:r>
      <w:r w:rsidR="00654D56">
        <w:rPr>
          <w:rFonts w:eastAsia="MS Mincho" w:cs="Calibri"/>
          <w:kern w:val="0"/>
          <w:szCs w:val="22"/>
          <w14:ligatures w14:val="none"/>
        </w:rPr>
        <w:t>%.</w:t>
      </w:r>
    </w:p>
    <w:p w14:paraId="04889462" w14:textId="78A1EFCA" w:rsidR="00F971D1" w:rsidRPr="00224312" w:rsidRDefault="00F971D1" w:rsidP="00DD4830">
      <w:pPr>
        <w:spacing w:line="240" w:lineRule="auto"/>
        <w:contextualSpacing/>
        <w:rPr>
          <w:rFonts w:eastAsia="MS Mincho" w:cs="Calibri"/>
          <w:kern w:val="0"/>
          <w:szCs w:val="22"/>
          <w14:ligatures w14:val="none"/>
        </w:rPr>
      </w:pPr>
    </w:p>
    <w:p w14:paraId="6A67948C" w14:textId="4485C17E" w:rsidR="003744BD" w:rsidRPr="00386C3F" w:rsidRDefault="00353D7F" w:rsidP="001661EB">
      <w:pPr>
        <w:spacing w:before="240" w:line="276" w:lineRule="auto"/>
        <w:contextualSpacing/>
        <w:rPr>
          <w:rFonts w:eastAsia="MS Mincho" w:cs="Calibri"/>
          <w:kern w:val="0"/>
          <w:szCs w:val="22"/>
          <w14:ligatures w14:val="none"/>
        </w:rPr>
      </w:pPr>
      <w:r w:rsidRPr="00386C3F">
        <w:rPr>
          <w:rFonts w:eastAsia="MS Mincho" w:cs="Calibri"/>
          <w:kern w:val="0"/>
          <w:szCs w:val="22"/>
          <w14:ligatures w14:val="none"/>
        </w:rPr>
        <w:t xml:space="preserve">Higher education outcomes are crucial to closing the </w:t>
      </w:r>
      <w:r w:rsidR="003B3C85" w:rsidRPr="00386C3F">
        <w:rPr>
          <w:rFonts w:eastAsia="MS Mincho" w:cs="Calibri"/>
          <w:kern w:val="0"/>
          <w:szCs w:val="22"/>
          <w14:ligatures w14:val="none"/>
        </w:rPr>
        <w:t>gap;</w:t>
      </w:r>
      <w:r w:rsidRPr="00386C3F">
        <w:rPr>
          <w:rFonts w:eastAsia="MS Mincho" w:cs="Calibri"/>
          <w:kern w:val="0"/>
          <w:szCs w:val="22"/>
          <w14:ligatures w14:val="none"/>
        </w:rPr>
        <w:t xml:space="preserve"> </w:t>
      </w:r>
      <w:r w:rsidR="00276EA6" w:rsidRPr="00386C3F">
        <w:rPr>
          <w:rFonts w:eastAsia="MS Mincho" w:cs="Calibri"/>
          <w:kern w:val="0"/>
          <w:szCs w:val="22"/>
          <w14:ligatures w14:val="none"/>
        </w:rPr>
        <w:t>however,</w:t>
      </w:r>
      <w:r w:rsidRPr="00386C3F">
        <w:rPr>
          <w:rFonts w:eastAsia="MS Mincho" w:cs="Calibri"/>
          <w:kern w:val="0"/>
          <w:szCs w:val="22"/>
          <w14:ligatures w14:val="none"/>
        </w:rPr>
        <w:t xml:space="preserve"> Australia is not on track to meet these targets. Despite progress in participation, </w:t>
      </w:r>
      <w:r w:rsidR="00561D67">
        <w:rPr>
          <w:rFonts w:eastAsia="MS Mincho" w:cs="Calibri"/>
          <w:kern w:val="0"/>
          <w:szCs w:val="22"/>
          <w14:ligatures w14:val="none"/>
        </w:rPr>
        <w:t>F</w:t>
      </w:r>
      <w:r w:rsidRPr="00386C3F">
        <w:rPr>
          <w:rFonts w:eastAsia="MS Mincho" w:cs="Calibri"/>
          <w:kern w:val="0"/>
          <w:szCs w:val="22"/>
          <w14:ligatures w14:val="none"/>
        </w:rPr>
        <w:t>irst Nations students remain approximately 40% below parity</w:t>
      </w:r>
      <w:r w:rsidR="00396F4C">
        <w:rPr>
          <w:rFonts w:eastAsia="MS Mincho" w:cs="Calibri"/>
          <w:kern w:val="0"/>
          <w:szCs w:val="22"/>
          <w14:ligatures w14:val="none"/>
        </w:rPr>
        <w:t>,</w:t>
      </w:r>
      <w:r w:rsidRPr="00386C3F">
        <w:rPr>
          <w:rFonts w:eastAsia="MS Mincho" w:cs="Calibri"/>
          <w:kern w:val="0"/>
          <w:szCs w:val="22"/>
          <w:vertAlign w:val="superscript"/>
          <w14:ligatures w14:val="none"/>
        </w:rPr>
        <w:footnoteReference w:id="62"/>
      </w:r>
      <w:r w:rsidRPr="00386C3F">
        <w:rPr>
          <w:rFonts w:eastAsia="MS Mincho" w:cs="Calibri"/>
          <w:kern w:val="0"/>
          <w:szCs w:val="22"/>
          <w14:ligatures w14:val="none"/>
        </w:rPr>
        <w:t xml:space="preserve"> and completion rates lag significantly</w:t>
      </w:r>
      <w:r w:rsidR="00253B9C">
        <w:rPr>
          <w:rFonts w:eastAsia="MS Mincho" w:cs="Calibri"/>
          <w:kern w:val="0"/>
          <w:szCs w:val="22"/>
          <w14:ligatures w14:val="none"/>
        </w:rPr>
        <w:t xml:space="preserve"> - </w:t>
      </w:r>
      <w:r w:rsidRPr="00386C3F">
        <w:rPr>
          <w:rFonts w:eastAsia="MS Mincho" w:cs="Calibri"/>
          <w:kern w:val="0"/>
          <w:szCs w:val="22"/>
          <w14:ligatures w14:val="none"/>
        </w:rPr>
        <w:t>47% compared to 74% for non-Indigenous students in 2019.</w:t>
      </w:r>
      <w:r w:rsidRPr="00386C3F">
        <w:rPr>
          <w:rFonts w:eastAsia="MS Mincho" w:cs="Calibri"/>
          <w:kern w:val="0"/>
          <w:szCs w:val="22"/>
          <w:vertAlign w:val="superscript"/>
          <w14:ligatures w14:val="none"/>
        </w:rPr>
        <w:footnoteReference w:id="63"/>
      </w:r>
      <w:r w:rsidR="002C7D4F">
        <w:rPr>
          <w:rFonts w:eastAsia="MS Mincho" w:cs="Calibri"/>
          <w:kern w:val="0"/>
          <w:szCs w:val="22"/>
          <w14:ligatures w14:val="none"/>
        </w:rPr>
        <w:t xml:space="preserve"> </w:t>
      </w:r>
      <w:r w:rsidR="008F7903" w:rsidRPr="00386C3F">
        <w:rPr>
          <w:rFonts w:eastAsia="MS Mincho" w:cs="Calibri"/>
          <w:kern w:val="0"/>
          <w:szCs w:val="22"/>
          <w14:ligatures w14:val="none"/>
        </w:rPr>
        <w:t>These disparities are rooted in historical exclusion and ongoing systemic inequality</w:t>
      </w:r>
      <w:r w:rsidR="0043693A">
        <w:rPr>
          <w:rFonts w:eastAsia="MS Mincho" w:cs="Calibri"/>
          <w:kern w:val="0"/>
          <w:szCs w:val="22"/>
          <w14:ligatures w14:val="none"/>
        </w:rPr>
        <w:t>.</w:t>
      </w:r>
      <w:r w:rsidR="003B3C85" w:rsidRPr="00386C3F">
        <w:rPr>
          <w:rStyle w:val="FootnoteReference"/>
          <w:rFonts w:eastAsia="MS Mincho" w:cs="Calibri"/>
          <w:kern w:val="0"/>
          <w:szCs w:val="22"/>
          <w14:ligatures w14:val="none"/>
        </w:rPr>
        <w:footnoteReference w:id="64"/>
      </w:r>
      <w:r w:rsidR="008F7903" w:rsidRPr="00386C3F">
        <w:rPr>
          <w:rFonts w:eastAsia="MS Mincho" w:cs="Calibri"/>
          <w:kern w:val="0"/>
          <w:szCs w:val="22"/>
          <w14:ligatures w14:val="none"/>
        </w:rPr>
        <w:t xml:space="preserve"> For much of the 20th century, First Nations people were excluded from higher education. Today, many First Nations students continue to face significant barriers, including cultural isolation, relocation stress, a lack of Indigenous staff and role models, and experiences of institutional racism</w:t>
      </w:r>
      <w:r w:rsidR="00A65821">
        <w:rPr>
          <w:rFonts w:eastAsia="MS Mincho" w:cs="Calibri"/>
          <w:kern w:val="0"/>
          <w:szCs w:val="22"/>
          <w14:ligatures w14:val="none"/>
        </w:rPr>
        <w:t>.</w:t>
      </w:r>
      <w:r w:rsidR="009B33D7" w:rsidRPr="00386C3F">
        <w:rPr>
          <w:rStyle w:val="FootnoteReference"/>
          <w:rFonts w:eastAsia="MS Mincho" w:cs="Calibri"/>
          <w:kern w:val="0"/>
          <w:szCs w:val="22"/>
          <w14:ligatures w14:val="none"/>
        </w:rPr>
        <w:footnoteReference w:id="65"/>
      </w:r>
      <w:r w:rsidR="008F7903" w:rsidRPr="00386C3F">
        <w:rPr>
          <w:rFonts w:eastAsia="MS Mincho" w:cs="Calibri"/>
          <w:kern w:val="0"/>
          <w:szCs w:val="22"/>
          <w14:ligatures w14:val="none"/>
        </w:rPr>
        <w:t xml:space="preserve"> Broader structural factors</w:t>
      </w:r>
      <w:r w:rsidR="000303D2">
        <w:rPr>
          <w:rFonts w:eastAsia="MS Mincho" w:cs="Calibri"/>
          <w:kern w:val="0"/>
          <w:szCs w:val="22"/>
          <w14:ligatures w14:val="none"/>
        </w:rPr>
        <w:t xml:space="preserve"> </w:t>
      </w:r>
      <w:r w:rsidR="008F7903" w:rsidRPr="00386C3F">
        <w:rPr>
          <w:rFonts w:eastAsia="MS Mincho" w:cs="Calibri"/>
          <w:kern w:val="0"/>
          <w:szCs w:val="22"/>
          <w14:ligatures w14:val="none"/>
        </w:rPr>
        <w:t>such as socio-economic disadvantage, geographic isolation, and lower Year 12 attainment</w:t>
      </w:r>
      <w:r w:rsidR="000303D2">
        <w:rPr>
          <w:rFonts w:eastAsia="MS Mincho" w:cs="Calibri"/>
          <w:kern w:val="0"/>
          <w:szCs w:val="22"/>
          <w14:ligatures w14:val="none"/>
        </w:rPr>
        <w:t xml:space="preserve"> </w:t>
      </w:r>
      <w:r w:rsidR="008F7903" w:rsidRPr="00386C3F">
        <w:rPr>
          <w:rFonts w:eastAsia="MS Mincho" w:cs="Calibri"/>
          <w:kern w:val="0"/>
          <w:szCs w:val="22"/>
          <w14:ligatures w14:val="none"/>
        </w:rPr>
        <w:t xml:space="preserve">further compound these </w:t>
      </w:r>
      <w:r w:rsidR="006B296A" w:rsidRPr="00386C3F">
        <w:rPr>
          <w:rFonts w:eastAsia="MS Mincho" w:cs="Calibri"/>
          <w:kern w:val="0"/>
          <w:szCs w:val="22"/>
          <w14:ligatures w14:val="none"/>
        </w:rPr>
        <w:t>challenges. The</w:t>
      </w:r>
      <w:r w:rsidR="00B57A7A" w:rsidRPr="00386C3F">
        <w:rPr>
          <w:rFonts w:eastAsia="MS Mincho" w:cs="Calibri"/>
          <w:kern w:val="0"/>
          <w:szCs w:val="22"/>
          <w14:ligatures w14:val="none"/>
        </w:rPr>
        <w:t xml:space="preserve"> National Indigenous Australians Agency </w:t>
      </w:r>
      <w:r w:rsidR="00740C66">
        <w:rPr>
          <w:rFonts w:eastAsia="MS Mincho" w:cs="Calibri"/>
          <w:kern w:val="0"/>
          <w:szCs w:val="22"/>
          <w14:ligatures w14:val="none"/>
        </w:rPr>
        <w:t xml:space="preserve">(NIAA) </w:t>
      </w:r>
      <w:r w:rsidR="00B57A7A" w:rsidRPr="00386C3F">
        <w:rPr>
          <w:rFonts w:eastAsia="MS Mincho" w:cs="Calibri"/>
          <w:kern w:val="0"/>
          <w:szCs w:val="22"/>
          <w14:ligatures w14:val="none"/>
        </w:rPr>
        <w:t xml:space="preserve">has </w:t>
      </w:r>
      <w:r w:rsidR="00F229B3">
        <w:rPr>
          <w:rFonts w:eastAsia="MS Mincho" w:cs="Calibri"/>
          <w:kern w:val="0"/>
          <w:szCs w:val="22"/>
          <w14:ligatures w14:val="none"/>
        </w:rPr>
        <w:t>stated</w:t>
      </w:r>
      <w:r w:rsidR="00F229B3" w:rsidRPr="00386C3F">
        <w:rPr>
          <w:rFonts w:eastAsia="MS Mincho" w:cs="Calibri"/>
          <w:kern w:val="0"/>
          <w:szCs w:val="22"/>
          <w14:ligatures w14:val="none"/>
        </w:rPr>
        <w:t xml:space="preserve"> </w:t>
      </w:r>
      <w:r w:rsidR="00B57A7A" w:rsidRPr="00386C3F">
        <w:rPr>
          <w:rFonts w:eastAsia="MS Mincho" w:cs="Calibri"/>
          <w:kern w:val="0"/>
          <w:szCs w:val="22"/>
          <w14:ligatures w14:val="none"/>
        </w:rPr>
        <w:t>that for First Nations students to thrive in higher education they must feel culturally safe and supported.</w:t>
      </w:r>
      <w:r w:rsidR="00B57A7A" w:rsidRPr="00386C3F">
        <w:rPr>
          <w:rStyle w:val="FootnoteReference"/>
          <w:rFonts w:ascii="Aptos" w:hAnsi="Aptos" w:cs="Calibri"/>
          <w:szCs w:val="22"/>
        </w:rPr>
        <w:footnoteReference w:id="66"/>
      </w:r>
      <w:r w:rsidR="00B57A7A" w:rsidRPr="00386C3F">
        <w:rPr>
          <w:rFonts w:eastAsia="MS Mincho" w:cs="Calibri"/>
          <w:kern w:val="0"/>
          <w:szCs w:val="22"/>
          <w14:ligatures w14:val="none"/>
        </w:rPr>
        <w:t xml:space="preserve"> However, the NSSS found that when asked about their perceptions of university culture First Nations students were less likely than other students to report feeling safe, respected by staff or respected by other students</w:t>
      </w:r>
      <w:r w:rsidR="008179CE">
        <w:rPr>
          <w:rFonts w:eastAsia="MS Mincho" w:cs="Calibri"/>
          <w:kern w:val="0"/>
          <w:szCs w:val="22"/>
          <w14:ligatures w14:val="none"/>
        </w:rPr>
        <w:t>.</w:t>
      </w:r>
      <w:r w:rsidR="00B57A7A" w:rsidRPr="00386C3F">
        <w:rPr>
          <w:rStyle w:val="FootnoteReference"/>
          <w:rFonts w:eastAsia="MS Mincho" w:cs="Calibri"/>
          <w:kern w:val="0"/>
          <w:szCs w:val="22"/>
          <w14:ligatures w14:val="none"/>
        </w:rPr>
        <w:footnoteReference w:id="67"/>
      </w:r>
    </w:p>
    <w:p w14:paraId="2EE77AB6" w14:textId="77777777" w:rsidR="008F7903" w:rsidRDefault="008F7903" w:rsidP="008F7903">
      <w:pPr>
        <w:spacing w:before="120" w:after="120" w:line="276" w:lineRule="auto"/>
        <w:contextualSpacing/>
        <w:rPr>
          <w:rFonts w:eastAsia="MS Mincho" w:cs="Calibri"/>
          <w:kern w:val="0"/>
          <w:szCs w:val="22"/>
          <w14:ligatures w14:val="none"/>
        </w:rPr>
      </w:pPr>
    </w:p>
    <w:p w14:paraId="457A424B" w14:textId="31740C09" w:rsidR="00224312" w:rsidRPr="00ED71F1" w:rsidRDefault="00C478AC" w:rsidP="00734C9F">
      <w:pPr>
        <w:spacing w:before="120" w:after="120" w:line="276" w:lineRule="auto"/>
        <w:contextualSpacing/>
        <w:rPr>
          <w:rStyle w:val="Strong"/>
          <w:rFonts w:eastAsia="MS Mincho" w:cs="Calibri"/>
          <w:b w:val="0"/>
          <w:bCs w:val="0"/>
          <w:color w:val="BD3432"/>
          <w:kern w:val="0"/>
          <w:szCs w:val="22"/>
          <w14:ligatures w14:val="none"/>
        </w:rPr>
      </w:pPr>
      <w:r w:rsidRPr="00C478AC">
        <w:rPr>
          <w:rFonts w:eastAsia="MS Mincho" w:cs="Calibri"/>
          <w:kern w:val="0"/>
          <w:szCs w:val="22"/>
          <w14:ligatures w14:val="none"/>
        </w:rPr>
        <w:t>NSSS results do not discuss whether First Nations students are more or less likely than other students to formally report instances of gender-based violence, however broader estimates have suggested that around 90% of violence against First Nations women are undisclosed, and First Nations women can face a range of barriers to reporting violence and accessing formal support.</w:t>
      </w:r>
      <w:r w:rsidR="00F02EEF" w:rsidRPr="00386C3F">
        <w:rPr>
          <w:rStyle w:val="FootnoteReference"/>
          <w:rFonts w:eastAsia="MS Mincho" w:cs="Calibri"/>
          <w:kern w:val="0"/>
          <w:szCs w:val="22"/>
          <w14:ligatures w14:val="none"/>
        </w:rPr>
        <w:footnoteReference w:id="68"/>
      </w:r>
      <w:r w:rsidRPr="00C478AC">
        <w:rPr>
          <w:rFonts w:eastAsia="MS Mincho" w:cs="Calibri"/>
          <w:kern w:val="0"/>
          <w:szCs w:val="22"/>
          <w14:ligatures w14:val="none"/>
        </w:rPr>
        <w:t xml:space="preserve"> All of these factors contribute to First Nations students being more likely to experience gender-based violence, more likely to experience other barriers to higher education (which may be exacerbated by gender-based violence), and less likely to report or seek formal support</w:t>
      </w:r>
      <w:r>
        <w:rPr>
          <w:rFonts w:eastAsia="MS Mincho" w:cs="Calibri"/>
          <w:kern w:val="0"/>
          <w:szCs w:val="22"/>
          <w14:ligatures w14:val="none"/>
        </w:rPr>
        <w:t>.</w:t>
      </w:r>
      <w:r w:rsidRPr="00C478AC">
        <w:rPr>
          <w:rFonts w:eastAsia="MS Mincho" w:cs="Calibri"/>
          <w:kern w:val="0"/>
          <w:szCs w:val="22"/>
          <w14:ligatures w14:val="none"/>
        </w:rPr>
        <w:t> </w:t>
      </w:r>
      <w:r w:rsidR="004E271E" w:rsidRPr="00386C3F">
        <w:rPr>
          <w:rFonts w:eastAsia="MS Mincho" w:cs="Calibri"/>
          <w:color w:val="BD3432"/>
          <w:kern w:val="0"/>
          <w:szCs w:val="22"/>
          <w14:ligatures w14:val="none"/>
        </w:rPr>
        <w:t xml:space="preserve"> </w:t>
      </w:r>
    </w:p>
    <w:p w14:paraId="3E3E2A15" w14:textId="000A64FA" w:rsidR="00353D7F" w:rsidRPr="00386C3F" w:rsidRDefault="00353D7F" w:rsidP="009539C3">
      <w:pPr>
        <w:spacing w:before="240" w:line="276" w:lineRule="auto"/>
        <w:rPr>
          <w:rStyle w:val="Strong"/>
          <w:szCs w:val="22"/>
        </w:rPr>
      </w:pPr>
      <w:r w:rsidRPr="00386C3F">
        <w:rPr>
          <w:rStyle w:val="Strong"/>
          <w:szCs w:val="22"/>
        </w:rPr>
        <w:t>LGBT</w:t>
      </w:r>
      <w:r w:rsidR="00E750F4" w:rsidRPr="00386C3F">
        <w:rPr>
          <w:rStyle w:val="Strong"/>
          <w:szCs w:val="22"/>
        </w:rPr>
        <w:t>Q</w:t>
      </w:r>
      <w:r w:rsidR="009B6642">
        <w:rPr>
          <w:rStyle w:val="Strong"/>
          <w:szCs w:val="22"/>
        </w:rPr>
        <w:t>I</w:t>
      </w:r>
      <w:r w:rsidR="00E750F4" w:rsidRPr="00386C3F">
        <w:rPr>
          <w:rStyle w:val="Strong"/>
          <w:szCs w:val="22"/>
        </w:rPr>
        <w:t>A</w:t>
      </w:r>
      <w:r w:rsidR="00413325" w:rsidRPr="00386C3F">
        <w:rPr>
          <w:rStyle w:val="Strong"/>
          <w:szCs w:val="22"/>
        </w:rPr>
        <w:t xml:space="preserve">+ </w:t>
      </w:r>
    </w:p>
    <w:p w14:paraId="4BD3752B" w14:textId="3DDD4D76" w:rsidR="00035AF6" w:rsidRPr="00386C3F" w:rsidRDefault="00035AF6" w:rsidP="009539C3">
      <w:pPr>
        <w:spacing w:before="240" w:after="120" w:line="276" w:lineRule="auto"/>
        <w:rPr>
          <w:rFonts w:cs="Calibri"/>
          <w:szCs w:val="22"/>
        </w:rPr>
      </w:pPr>
      <w:r w:rsidRPr="00386C3F">
        <w:rPr>
          <w:rFonts w:cs="Calibri"/>
          <w:szCs w:val="22"/>
        </w:rPr>
        <w:t>LGBTQ</w:t>
      </w:r>
      <w:r w:rsidR="009B6642">
        <w:rPr>
          <w:rFonts w:cs="Calibri"/>
          <w:szCs w:val="22"/>
        </w:rPr>
        <w:t>I</w:t>
      </w:r>
      <w:r w:rsidRPr="00386C3F">
        <w:rPr>
          <w:rFonts w:cs="Calibri"/>
          <w:szCs w:val="22"/>
        </w:rPr>
        <w:t xml:space="preserve">A+ students experience </w:t>
      </w:r>
      <w:r w:rsidR="008223FC" w:rsidRPr="00386C3F">
        <w:rPr>
          <w:rFonts w:cs="Calibri"/>
          <w:szCs w:val="22"/>
        </w:rPr>
        <w:t>GBV</w:t>
      </w:r>
      <w:r w:rsidRPr="00386C3F">
        <w:rPr>
          <w:rFonts w:cs="Calibri"/>
          <w:szCs w:val="22"/>
        </w:rPr>
        <w:t xml:space="preserve"> in unique and disproportionate ways, </w:t>
      </w:r>
      <w:r w:rsidR="3A0EA620" w:rsidRPr="00386C3F">
        <w:rPr>
          <w:rFonts w:cs="Calibri"/>
          <w:szCs w:val="22"/>
        </w:rPr>
        <w:t xml:space="preserve">driven by </w:t>
      </w:r>
      <w:r w:rsidR="00CE0AE0">
        <w:rPr>
          <w:rFonts w:cs="Calibri"/>
          <w:szCs w:val="22"/>
        </w:rPr>
        <w:t xml:space="preserve">the intersection of </w:t>
      </w:r>
      <w:r w:rsidR="3A0EA620" w:rsidRPr="00386C3F">
        <w:rPr>
          <w:rFonts w:cs="Calibri"/>
          <w:szCs w:val="22"/>
        </w:rPr>
        <w:t>gender inequality</w:t>
      </w:r>
      <w:r w:rsidRPr="00386C3F">
        <w:rPr>
          <w:rFonts w:cs="Calibri"/>
          <w:szCs w:val="22"/>
        </w:rPr>
        <w:t xml:space="preserve"> </w:t>
      </w:r>
      <w:r w:rsidR="71DE2301" w:rsidRPr="00386C3F">
        <w:rPr>
          <w:rFonts w:cs="Calibri"/>
          <w:szCs w:val="22"/>
        </w:rPr>
        <w:t>with various forms of</w:t>
      </w:r>
      <w:r w:rsidR="00402ED3">
        <w:rPr>
          <w:rFonts w:cs="Calibri"/>
          <w:szCs w:val="22"/>
        </w:rPr>
        <w:t xml:space="preserve"> </w:t>
      </w:r>
      <w:r w:rsidRPr="00386C3F">
        <w:rPr>
          <w:rFonts w:cs="Calibri"/>
          <w:szCs w:val="22"/>
        </w:rPr>
        <w:t>discrimination</w:t>
      </w:r>
      <w:r w:rsidR="71DE2301" w:rsidRPr="00386C3F">
        <w:rPr>
          <w:rFonts w:cs="Calibri"/>
          <w:szCs w:val="22"/>
        </w:rPr>
        <w:t xml:space="preserve"> including homophobia, biphobia and transphobia</w:t>
      </w:r>
      <w:r w:rsidR="6AFB3FAC" w:rsidRPr="00386C3F">
        <w:rPr>
          <w:rFonts w:cs="Calibri"/>
          <w:szCs w:val="22"/>
        </w:rPr>
        <w:t>.</w:t>
      </w:r>
      <w:r w:rsidRPr="00386C3F">
        <w:rPr>
          <w:rFonts w:cs="Calibri"/>
          <w:szCs w:val="22"/>
        </w:rPr>
        <w:t xml:space="preserve"> Trans and gender diverse individuals in particular report high </w:t>
      </w:r>
      <w:r w:rsidRPr="00386C3F">
        <w:rPr>
          <w:rFonts w:cs="Calibri"/>
          <w:szCs w:val="22"/>
        </w:rPr>
        <w:lastRenderedPageBreak/>
        <w:t>rates of verbal abuse, physical violence, sexual assault and social exclusion. Distinct forms of violence – such as threats to “out” someone’s identity or coercion tied to sexuality or gender expression – are prevalent and deeply harmful.</w:t>
      </w:r>
      <w:r w:rsidRPr="00386C3F">
        <w:rPr>
          <w:rStyle w:val="FootnoteReference"/>
          <w:rFonts w:cs="Calibri"/>
          <w:szCs w:val="22"/>
        </w:rPr>
        <w:footnoteReference w:id="69"/>
      </w:r>
      <w:r w:rsidR="00CE0AE0">
        <w:rPr>
          <w:rFonts w:cs="Calibri"/>
          <w:szCs w:val="22"/>
        </w:rPr>
        <w:t xml:space="preserve"> </w:t>
      </w:r>
      <w:r w:rsidR="297C86EA" w:rsidRPr="00386C3F">
        <w:rPr>
          <w:rFonts w:cs="Calibri"/>
          <w:szCs w:val="22"/>
        </w:rPr>
        <w:t xml:space="preserve">The </w:t>
      </w:r>
      <w:r w:rsidR="00CE0AE0">
        <w:rPr>
          <w:rFonts w:cs="Calibri"/>
          <w:szCs w:val="22"/>
        </w:rPr>
        <w:t xml:space="preserve">NSSS </w:t>
      </w:r>
      <w:r w:rsidR="0CC57BC2" w:rsidRPr="00386C3F">
        <w:rPr>
          <w:rFonts w:cs="Calibri"/>
          <w:szCs w:val="22"/>
        </w:rPr>
        <w:t>found that LGBT</w:t>
      </w:r>
      <w:r w:rsidR="009B6642">
        <w:rPr>
          <w:rFonts w:cs="Calibri"/>
          <w:szCs w:val="22"/>
        </w:rPr>
        <w:t>QI</w:t>
      </w:r>
      <w:r w:rsidR="4E92CE24" w:rsidRPr="00386C3F">
        <w:rPr>
          <w:rFonts w:cs="Calibri"/>
          <w:szCs w:val="22"/>
        </w:rPr>
        <w:t>A</w:t>
      </w:r>
      <w:r w:rsidR="0CC57BC2" w:rsidRPr="00386C3F">
        <w:rPr>
          <w:rFonts w:cs="Calibri"/>
          <w:szCs w:val="22"/>
        </w:rPr>
        <w:t xml:space="preserve">+ students were more likely to have experienced sexual harassment in </w:t>
      </w:r>
      <w:r w:rsidR="0C33EE20" w:rsidRPr="00386C3F">
        <w:rPr>
          <w:rFonts w:cs="Calibri"/>
          <w:szCs w:val="22"/>
        </w:rPr>
        <w:t>an Australian University in the last 12 months than heterosexual students</w:t>
      </w:r>
      <w:r w:rsidR="00677760">
        <w:rPr>
          <w:rFonts w:cs="Calibri"/>
          <w:szCs w:val="22"/>
        </w:rPr>
        <w:t>.</w:t>
      </w:r>
      <w:r w:rsidR="00AC60B2" w:rsidRPr="00386C3F">
        <w:rPr>
          <w:rStyle w:val="FootnoteReference"/>
          <w:rFonts w:cs="Calibri"/>
          <w:szCs w:val="22"/>
        </w:rPr>
        <w:footnoteReference w:id="70"/>
      </w:r>
      <w:r w:rsidR="0C33EE20" w:rsidRPr="00386C3F">
        <w:rPr>
          <w:rFonts w:cs="Calibri"/>
          <w:szCs w:val="22"/>
        </w:rPr>
        <w:t xml:space="preserve"> </w:t>
      </w:r>
      <w:r w:rsidR="009539C3" w:rsidRPr="00386C3F">
        <w:rPr>
          <w:rFonts w:ascii="Aptos" w:hAnsi="Aptos"/>
          <w:szCs w:val="22"/>
        </w:rPr>
        <w:t>National data sets show that LGBT</w:t>
      </w:r>
      <w:r w:rsidR="00224312">
        <w:rPr>
          <w:rFonts w:ascii="Aptos" w:hAnsi="Aptos"/>
          <w:szCs w:val="22"/>
        </w:rPr>
        <w:t>Q</w:t>
      </w:r>
      <w:r w:rsidR="009B6642">
        <w:rPr>
          <w:rFonts w:ascii="Aptos" w:hAnsi="Aptos"/>
          <w:szCs w:val="22"/>
        </w:rPr>
        <w:t>I</w:t>
      </w:r>
      <w:r w:rsidR="009539C3" w:rsidRPr="00386C3F">
        <w:rPr>
          <w:rFonts w:ascii="Aptos" w:hAnsi="Aptos"/>
          <w:szCs w:val="22"/>
        </w:rPr>
        <w:t>A+ people in Australia, particularly trans and gender diverse people, report high levels of verbal and physical abuse, harassment and sexual assault.</w:t>
      </w:r>
      <w:r w:rsidR="009539C3" w:rsidRPr="00386C3F">
        <w:rPr>
          <w:rStyle w:val="FootnoteReference"/>
          <w:rFonts w:ascii="Aptos" w:hAnsi="Aptos"/>
          <w:szCs w:val="22"/>
        </w:rPr>
        <w:footnoteReference w:id="71"/>
      </w:r>
      <w:r w:rsidR="009539C3" w:rsidRPr="00386C3F">
        <w:rPr>
          <w:rFonts w:ascii="Aptos" w:hAnsi="Aptos"/>
          <w:szCs w:val="22"/>
        </w:rPr>
        <w:t xml:space="preserve"> LGBT</w:t>
      </w:r>
      <w:r w:rsidR="009B6642">
        <w:rPr>
          <w:rFonts w:ascii="Aptos" w:hAnsi="Aptos"/>
          <w:szCs w:val="22"/>
        </w:rPr>
        <w:t>QI</w:t>
      </w:r>
      <w:r w:rsidR="009539C3" w:rsidRPr="00386C3F">
        <w:rPr>
          <w:rFonts w:ascii="Aptos" w:hAnsi="Aptos"/>
          <w:szCs w:val="22"/>
        </w:rPr>
        <w:t>A+ people can also experience distinct forms of gender-based violence because of their identity, including pressure to conform to gender norms; corrective rape</w:t>
      </w:r>
      <w:r w:rsidR="0088305F">
        <w:rPr>
          <w:rFonts w:ascii="Aptos" w:hAnsi="Aptos"/>
          <w:szCs w:val="22"/>
        </w:rPr>
        <w:t xml:space="preserve"> (a hate crime in which the victim is raped because of their perceived sexual orientation)</w:t>
      </w:r>
      <w:r w:rsidR="009539C3" w:rsidRPr="00386C3F">
        <w:rPr>
          <w:rFonts w:ascii="Aptos" w:hAnsi="Aptos"/>
          <w:szCs w:val="22"/>
        </w:rPr>
        <w:t>; or threatening to ‘out’ a person’s gender, sexuality, HIV status or intersex status.</w:t>
      </w:r>
      <w:r w:rsidR="009539C3" w:rsidRPr="00386C3F">
        <w:rPr>
          <w:rStyle w:val="FootnoteReference"/>
          <w:rFonts w:ascii="Aptos" w:hAnsi="Aptos"/>
          <w:szCs w:val="22"/>
        </w:rPr>
        <w:footnoteReference w:id="72"/>
      </w:r>
      <w:r w:rsidR="009539C3" w:rsidRPr="00386C3F">
        <w:rPr>
          <w:rFonts w:ascii="Aptos" w:hAnsi="Aptos"/>
          <w:szCs w:val="22"/>
        </w:rPr>
        <w:t xml:space="preserve">  </w:t>
      </w:r>
    </w:p>
    <w:p w14:paraId="4D1AC4D0" w14:textId="6187DBD9" w:rsidR="00035AF6" w:rsidRDefault="6AFB3FAC" w:rsidP="007A423A">
      <w:pPr>
        <w:spacing w:before="120" w:after="120" w:line="276" w:lineRule="auto"/>
        <w:rPr>
          <w:rFonts w:cs="Calibri"/>
          <w:szCs w:val="22"/>
        </w:rPr>
      </w:pPr>
      <w:r w:rsidRPr="00386C3F">
        <w:rPr>
          <w:rFonts w:cs="Calibri"/>
          <w:szCs w:val="22"/>
        </w:rPr>
        <w:t>Mental</w:t>
      </w:r>
      <w:r w:rsidR="00035AF6" w:rsidRPr="00386C3F">
        <w:rPr>
          <w:rFonts w:cs="Calibri"/>
          <w:szCs w:val="22"/>
        </w:rPr>
        <w:t xml:space="preserve"> health outcomes among LGBTQ</w:t>
      </w:r>
      <w:r w:rsidR="009B6642">
        <w:rPr>
          <w:rFonts w:cs="Calibri"/>
          <w:szCs w:val="22"/>
        </w:rPr>
        <w:t>I</w:t>
      </w:r>
      <w:r w:rsidR="00035AF6" w:rsidRPr="00386C3F">
        <w:rPr>
          <w:rFonts w:cs="Calibri"/>
          <w:szCs w:val="22"/>
        </w:rPr>
        <w:t>A+ populations are also disproportionately poor, with elevated rates of anxiety, depression and suicidal ideation. These outcomes are exacerbated by exposure to violence, compounded by fears of isolation, institutional discrimination, or retribution. As a result, many gender and sexually diverse student</w:t>
      </w:r>
      <w:r w:rsidR="00D10CB7">
        <w:rPr>
          <w:rFonts w:cs="Calibri"/>
          <w:szCs w:val="22"/>
        </w:rPr>
        <w:t>s</w:t>
      </w:r>
      <w:r w:rsidR="00035AF6" w:rsidRPr="00386C3F">
        <w:rPr>
          <w:rFonts w:cs="Calibri"/>
          <w:szCs w:val="22"/>
        </w:rPr>
        <w:t xml:space="preserve"> may choose not to report incidents of violence, further entrenching underreporting and invisibility.</w:t>
      </w:r>
      <w:r w:rsidR="00035AF6" w:rsidRPr="00386C3F">
        <w:rPr>
          <w:rStyle w:val="FootnoteReference"/>
          <w:rFonts w:cs="Calibri"/>
          <w:color w:val="000000" w:themeColor="text1"/>
          <w:szCs w:val="22"/>
        </w:rPr>
        <w:footnoteReference w:id="73"/>
      </w:r>
    </w:p>
    <w:p w14:paraId="66947A25" w14:textId="77777777" w:rsidR="00543571" w:rsidRPr="00386C3F" w:rsidRDefault="00543571" w:rsidP="007A423A">
      <w:pPr>
        <w:spacing w:before="120" w:after="120" w:line="276" w:lineRule="auto"/>
        <w:rPr>
          <w:rFonts w:cs="Calibri"/>
          <w:szCs w:val="22"/>
        </w:rPr>
      </w:pPr>
    </w:p>
    <w:p w14:paraId="77A035A3" w14:textId="54F2D239" w:rsidR="002870E0" w:rsidRPr="002418EF" w:rsidRDefault="00224312" w:rsidP="005D3DBD">
      <w:pPr>
        <w:spacing w:before="120" w:after="120" w:line="276" w:lineRule="auto"/>
        <w:rPr>
          <w:rFonts w:cs="Calibri"/>
          <w:b/>
          <w:bCs/>
          <w:szCs w:val="22"/>
        </w:rPr>
      </w:pPr>
      <w:r>
        <w:rPr>
          <w:rFonts w:cs="Calibri"/>
          <w:b/>
          <w:bCs/>
          <w:szCs w:val="22"/>
        </w:rPr>
        <w:t>People</w:t>
      </w:r>
      <w:r w:rsidR="00035AF6" w:rsidRPr="00386C3F">
        <w:rPr>
          <w:rFonts w:cs="Calibri"/>
          <w:b/>
          <w:bCs/>
          <w:szCs w:val="22"/>
        </w:rPr>
        <w:t xml:space="preserve"> with disability </w:t>
      </w:r>
    </w:p>
    <w:p w14:paraId="79B4B643" w14:textId="55032803" w:rsidR="003112FF" w:rsidRDefault="00362AAD" w:rsidP="00FA4577">
      <w:pPr>
        <w:pStyle w:val="BodyText"/>
        <w:spacing w:after="120" w:line="276" w:lineRule="auto"/>
        <w:rPr>
          <w:rFonts w:ascii="Aptos" w:hAnsi="Aptos"/>
        </w:rPr>
      </w:pPr>
      <w:r w:rsidRPr="005D3DBD">
        <w:rPr>
          <w:rFonts w:ascii="Aptos" w:hAnsi="Aptos"/>
          <w:i/>
          <w:iCs/>
        </w:rPr>
        <w:t>The Disability Discrimination Act 1992</w:t>
      </w:r>
      <w:r w:rsidRPr="00362AAD">
        <w:rPr>
          <w:rFonts w:ascii="Aptos" w:hAnsi="Aptos"/>
        </w:rPr>
        <w:t xml:space="preserve"> (Cth) defines disability broadly to ensure inclusive coverage. It includes any physical, intellectual, psychiatric, sensory, neurological, or learning disability, disease or illness, or any other condition affecting a person's body or mind. This definition covers conditions that currently exist, previously existed, may exist in the future, or are perceived to exist. The breadth of the definition reflects the diversity of disability and recognises that each person’s experience is unique.</w:t>
      </w:r>
      <w:r w:rsidR="004D6482">
        <w:rPr>
          <w:rFonts w:ascii="Aptos" w:hAnsi="Aptos"/>
        </w:rPr>
        <w:t xml:space="preserve"> </w:t>
      </w:r>
      <w:r w:rsidR="00CE2550">
        <w:rPr>
          <w:rFonts w:ascii="Aptos" w:hAnsi="Aptos"/>
        </w:rPr>
        <w:t>The social model of disability</w:t>
      </w:r>
      <w:r w:rsidR="00364C17">
        <w:rPr>
          <w:rFonts w:ascii="Aptos" w:hAnsi="Aptos"/>
        </w:rPr>
        <w:t xml:space="preserve"> defines </w:t>
      </w:r>
      <w:r w:rsidR="00C82DE6">
        <w:rPr>
          <w:rFonts w:ascii="Aptos" w:hAnsi="Aptos"/>
        </w:rPr>
        <w:t>it</w:t>
      </w:r>
      <w:r w:rsidR="00364C17">
        <w:rPr>
          <w:rFonts w:ascii="Aptos" w:hAnsi="Aptos"/>
        </w:rPr>
        <w:t xml:space="preserve"> not as an individual’s impairment, but as a result of the societal barriers and limitations that they face. The social model </w:t>
      </w:r>
      <w:r w:rsidR="00B24050">
        <w:rPr>
          <w:rFonts w:ascii="Aptos" w:hAnsi="Aptos"/>
        </w:rPr>
        <w:t xml:space="preserve">acknowledges </w:t>
      </w:r>
      <w:r w:rsidR="005D3CEE">
        <w:rPr>
          <w:rFonts w:ascii="Aptos" w:hAnsi="Aptos"/>
        </w:rPr>
        <w:t xml:space="preserve">that </w:t>
      </w:r>
      <w:r w:rsidR="00C82DE6">
        <w:rPr>
          <w:rFonts w:ascii="Aptos" w:hAnsi="Aptos"/>
        </w:rPr>
        <w:t>it is the</w:t>
      </w:r>
      <w:r w:rsidR="00B24050">
        <w:rPr>
          <w:rFonts w:ascii="Aptos" w:hAnsi="Aptos"/>
        </w:rPr>
        <w:t xml:space="preserve"> attitudes, practices and structures </w:t>
      </w:r>
      <w:r w:rsidR="00C82DE6">
        <w:rPr>
          <w:rFonts w:ascii="Aptos" w:hAnsi="Aptos"/>
        </w:rPr>
        <w:t>that are the</w:t>
      </w:r>
      <w:r w:rsidR="00157A8C">
        <w:rPr>
          <w:rFonts w:ascii="Aptos" w:hAnsi="Aptos"/>
        </w:rPr>
        <w:t xml:space="preserve"> disabling barriers themselves</w:t>
      </w:r>
      <w:r w:rsidR="00256F9B">
        <w:rPr>
          <w:rFonts w:ascii="Aptos" w:hAnsi="Aptos"/>
        </w:rPr>
        <w:t>,</w:t>
      </w:r>
      <w:r w:rsidR="00C82DE6">
        <w:rPr>
          <w:rFonts w:ascii="Aptos" w:hAnsi="Aptos"/>
        </w:rPr>
        <w:t xml:space="preserve"> and </w:t>
      </w:r>
      <w:r w:rsidR="00157A8C">
        <w:rPr>
          <w:rFonts w:ascii="Aptos" w:hAnsi="Aptos"/>
        </w:rPr>
        <w:t>prevents</w:t>
      </w:r>
      <w:r w:rsidR="00C82DE6">
        <w:rPr>
          <w:rFonts w:ascii="Aptos" w:hAnsi="Aptos"/>
        </w:rPr>
        <w:t xml:space="preserve"> individuals from </w:t>
      </w:r>
      <w:r w:rsidR="00157A8C">
        <w:rPr>
          <w:rFonts w:ascii="Aptos" w:hAnsi="Aptos"/>
        </w:rPr>
        <w:t>exercising their rights as equal members of the community.</w:t>
      </w:r>
      <w:r w:rsidR="00157A8C">
        <w:rPr>
          <w:rStyle w:val="FootnoteReference"/>
          <w:rFonts w:ascii="Aptos" w:hAnsi="Aptos"/>
        </w:rPr>
        <w:footnoteReference w:id="74"/>
      </w:r>
    </w:p>
    <w:p w14:paraId="52BABF49" w14:textId="32BC63CF" w:rsidR="005E55B8" w:rsidRDefault="00C2180C" w:rsidP="005E55B8">
      <w:pPr>
        <w:pStyle w:val="BodyText"/>
        <w:spacing w:after="120" w:line="276" w:lineRule="auto"/>
        <w:rPr>
          <w:rFonts w:ascii="Aptos" w:hAnsi="Aptos"/>
        </w:rPr>
      </w:pPr>
      <w:r>
        <w:rPr>
          <w:rFonts w:ascii="Aptos" w:hAnsi="Aptos"/>
        </w:rPr>
        <w:t xml:space="preserve">Given the broad and varied nature of disability, experiences of </w:t>
      </w:r>
      <w:r w:rsidR="007C4498">
        <w:rPr>
          <w:rFonts w:ascii="Aptos" w:hAnsi="Aptos"/>
        </w:rPr>
        <w:t>GBV</w:t>
      </w:r>
      <w:r>
        <w:rPr>
          <w:rFonts w:ascii="Aptos" w:hAnsi="Aptos"/>
        </w:rPr>
        <w:t xml:space="preserve"> also vary greatly. </w:t>
      </w:r>
      <w:r w:rsidR="004269A3">
        <w:rPr>
          <w:rFonts w:ascii="Aptos" w:hAnsi="Aptos"/>
        </w:rPr>
        <w:t>They can vary depending on</w:t>
      </w:r>
      <w:r w:rsidR="005C5CFE">
        <w:rPr>
          <w:rFonts w:ascii="Aptos" w:hAnsi="Aptos"/>
        </w:rPr>
        <w:t xml:space="preserve"> the</w:t>
      </w:r>
      <w:r w:rsidR="004269A3">
        <w:rPr>
          <w:rFonts w:ascii="Aptos" w:hAnsi="Aptos"/>
        </w:rPr>
        <w:t xml:space="preserve"> type and experience of disability, and the systems and attitudes that surround </w:t>
      </w:r>
      <w:r w:rsidR="00153821">
        <w:rPr>
          <w:rFonts w:ascii="Aptos" w:hAnsi="Aptos"/>
        </w:rPr>
        <w:t>a</w:t>
      </w:r>
      <w:r w:rsidR="004269A3">
        <w:rPr>
          <w:rFonts w:ascii="Aptos" w:hAnsi="Aptos"/>
        </w:rPr>
        <w:t xml:space="preserve"> person. </w:t>
      </w:r>
      <w:r w:rsidR="005E55B8">
        <w:rPr>
          <w:rFonts w:ascii="Aptos" w:hAnsi="Aptos"/>
        </w:rPr>
        <w:t xml:space="preserve">For example, </w:t>
      </w:r>
      <w:r w:rsidR="00EB4316">
        <w:rPr>
          <w:rFonts w:ascii="Aptos" w:hAnsi="Aptos"/>
        </w:rPr>
        <w:t>w</w:t>
      </w:r>
      <w:r w:rsidR="005E55B8">
        <w:rPr>
          <w:rFonts w:ascii="Aptos" w:hAnsi="Aptos"/>
        </w:rPr>
        <w:t>omen with a psychological or intellectual disability are nearly three times more likely to experience violence than women with physical disability</w:t>
      </w:r>
      <w:r w:rsidR="005C5CFE">
        <w:rPr>
          <w:rFonts w:ascii="Aptos" w:hAnsi="Aptos"/>
        </w:rPr>
        <w:t>.</w:t>
      </w:r>
      <w:r w:rsidR="005E55B8">
        <w:rPr>
          <w:rStyle w:val="FootnoteReference"/>
          <w:rFonts w:ascii="Aptos" w:hAnsi="Aptos"/>
        </w:rPr>
        <w:footnoteReference w:id="75"/>
      </w:r>
      <w:r w:rsidR="005E55B8">
        <w:rPr>
          <w:rFonts w:ascii="Aptos" w:hAnsi="Aptos"/>
        </w:rPr>
        <w:t xml:space="preserve"> </w:t>
      </w:r>
      <w:r w:rsidR="00AF6162">
        <w:rPr>
          <w:rFonts w:ascii="Aptos" w:hAnsi="Aptos"/>
        </w:rPr>
        <w:t>P</w:t>
      </w:r>
      <w:r w:rsidR="00981080" w:rsidRPr="00386C3F">
        <w:rPr>
          <w:rFonts w:ascii="Aptos" w:hAnsi="Aptos"/>
        </w:rPr>
        <w:t>eople with disability</w:t>
      </w:r>
      <w:r w:rsidR="004269A3">
        <w:rPr>
          <w:rFonts w:ascii="Aptos" w:hAnsi="Aptos"/>
        </w:rPr>
        <w:t xml:space="preserve">, particularly </w:t>
      </w:r>
      <w:r w:rsidR="00FF4CA8">
        <w:rPr>
          <w:rFonts w:ascii="Aptos" w:hAnsi="Aptos"/>
        </w:rPr>
        <w:t xml:space="preserve">women with disability, </w:t>
      </w:r>
      <w:r w:rsidR="00981080" w:rsidRPr="00386C3F">
        <w:rPr>
          <w:rFonts w:ascii="Aptos" w:hAnsi="Aptos"/>
        </w:rPr>
        <w:t xml:space="preserve">continue to be subjected to violence, abuse, neglect, exploitation, exclusion and discrimination at significantly higher </w:t>
      </w:r>
      <w:r w:rsidR="00981080" w:rsidRPr="00386C3F">
        <w:rPr>
          <w:rFonts w:ascii="Aptos" w:hAnsi="Aptos"/>
        </w:rPr>
        <w:lastRenderedPageBreak/>
        <w:t>rates than people without disability.</w:t>
      </w:r>
      <w:r w:rsidR="00981080" w:rsidRPr="00386C3F">
        <w:rPr>
          <w:rStyle w:val="FootnoteReference"/>
          <w:rFonts w:ascii="Aptos" w:hAnsi="Aptos"/>
          <w:color w:val="000000"/>
        </w:rPr>
        <w:footnoteReference w:id="76"/>
      </w:r>
      <w:r w:rsidR="00981080" w:rsidRPr="00386C3F">
        <w:rPr>
          <w:rFonts w:ascii="Aptos" w:hAnsi="Aptos"/>
        </w:rPr>
        <w:t xml:space="preserve"> Research shows that women with disabilit</w:t>
      </w:r>
      <w:r w:rsidR="00DF4105">
        <w:rPr>
          <w:rFonts w:ascii="Aptos" w:hAnsi="Aptos"/>
        </w:rPr>
        <w:t>y</w:t>
      </w:r>
      <w:r w:rsidR="00981080" w:rsidRPr="00386C3F">
        <w:rPr>
          <w:rFonts w:ascii="Aptos" w:hAnsi="Aptos"/>
        </w:rPr>
        <w:t xml:space="preserve"> are more likely to experience </w:t>
      </w:r>
      <w:r w:rsidR="0053559A">
        <w:rPr>
          <w:rFonts w:ascii="Aptos" w:hAnsi="Aptos"/>
        </w:rPr>
        <w:t>GBV</w:t>
      </w:r>
      <w:r w:rsidR="00981080" w:rsidRPr="00386C3F">
        <w:rPr>
          <w:rFonts w:ascii="Aptos" w:hAnsi="Aptos"/>
        </w:rPr>
        <w:t xml:space="preserve">, </w:t>
      </w:r>
      <w:r w:rsidR="005B62FA">
        <w:rPr>
          <w:rFonts w:ascii="Aptos" w:hAnsi="Aptos"/>
        </w:rPr>
        <w:t xml:space="preserve">including </w:t>
      </w:r>
      <w:r w:rsidR="00981080" w:rsidRPr="00386C3F">
        <w:rPr>
          <w:rFonts w:ascii="Aptos" w:hAnsi="Aptos"/>
        </w:rPr>
        <w:t xml:space="preserve">additional forms of </w:t>
      </w:r>
      <w:r w:rsidR="0053559A">
        <w:rPr>
          <w:rFonts w:ascii="Aptos" w:hAnsi="Aptos"/>
        </w:rPr>
        <w:t>GBV</w:t>
      </w:r>
      <w:r w:rsidR="00981080" w:rsidRPr="00386C3F">
        <w:rPr>
          <w:rFonts w:ascii="Aptos" w:hAnsi="Aptos"/>
        </w:rPr>
        <w:t xml:space="preserve"> related to disability</w:t>
      </w:r>
      <w:r w:rsidR="0053559A">
        <w:rPr>
          <w:rFonts w:ascii="Aptos" w:hAnsi="Aptos"/>
        </w:rPr>
        <w:t>, including</w:t>
      </w:r>
      <w:r w:rsidR="005E55B8">
        <w:rPr>
          <w:rFonts w:ascii="Aptos" w:hAnsi="Aptos"/>
        </w:rPr>
        <w:t xml:space="preserve"> forced sterilisation, seclusion and restrictive practices.</w:t>
      </w:r>
      <w:r w:rsidR="00E675C6">
        <w:rPr>
          <w:rStyle w:val="FootnoteReference"/>
          <w:rFonts w:ascii="Aptos" w:hAnsi="Aptos"/>
        </w:rPr>
        <w:footnoteReference w:id="77"/>
      </w:r>
      <w:r w:rsidR="005E55B8">
        <w:rPr>
          <w:rFonts w:ascii="Aptos" w:hAnsi="Aptos"/>
        </w:rPr>
        <w:t xml:space="preserve"> </w:t>
      </w:r>
    </w:p>
    <w:p w14:paraId="1DBB9323" w14:textId="2B6B8A2E" w:rsidR="00BE4553" w:rsidRPr="00386C3F" w:rsidRDefault="005E55B8" w:rsidP="0030658C">
      <w:pPr>
        <w:pStyle w:val="BodyText"/>
        <w:spacing w:after="120" w:line="276" w:lineRule="auto"/>
        <w:rPr>
          <w:rFonts w:ascii="Aptos" w:hAnsi="Aptos"/>
        </w:rPr>
      </w:pPr>
      <w:r>
        <w:rPr>
          <w:rFonts w:ascii="Aptos" w:hAnsi="Aptos"/>
        </w:rPr>
        <w:t>Women with a disability also experience violence</w:t>
      </w:r>
      <w:r w:rsidR="00764D47">
        <w:rPr>
          <w:rFonts w:ascii="Aptos" w:hAnsi="Aptos"/>
        </w:rPr>
        <w:t xml:space="preserve">, including </w:t>
      </w:r>
      <w:r w:rsidR="0048025C">
        <w:rPr>
          <w:rFonts w:ascii="Aptos" w:hAnsi="Aptos"/>
        </w:rPr>
        <w:t>GBV</w:t>
      </w:r>
      <w:r w:rsidR="00764D47">
        <w:rPr>
          <w:rFonts w:ascii="Aptos" w:hAnsi="Aptos"/>
        </w:rPr>
        <w:t>,</w:t>
      </w:r>
      <w:r>
        <w:rPr>
          <w:rFonts w:ascii="Aptos" w:hAnsi="Aptos"/>
        </w:rPr>
        <w:t xml:space="preserve"> </w:t>
      </w:r>
      <w:r w:rsidR="0030658C">
        <w:rPr>
          <w:rFonts w:ascii="Aptos" w:hAnsi="Aptos"/>
        </w:rPr>
        <w:t xml:space="preserve">in </w:t>
      </w:r>
      <w:r w:rsidR="008065C3">
        <w:rPr>
          <w:rFonts w:ascii="Aptos" w:hAnsi="Aptos"/>
        </w:rPr>
        <w:t>broader</w:t>
      </w:r>
      <w:r w:rsidR="0030658C">
        <w:rPr>
          <w:rFonts w:ascii="Aptos" w:hAnsi="Aptos"/>
        </w:rPr>
        <w:t xml:space="preserve"> settings and</w:t>
      </w:r>
      <w:r w:rsidR="00D35FDE">
        <w:rPr>
          <w:rFonts w:ascii="Aptos" w:hAnsi="Aptos"/>
        </w:rPr>
        <w:t xml:space="preserve"> from a</w:t>
      </w:r>
      <w:r w:rsidR="0030658C">
        <w:rPr>
          <w:rFonts w:ascii="Aptos" w:hAnsi="Aptos"/>
        </w:rPr>
        <w:t xml:space="preserve"> wider </w:t>
      </w:r>
      <w:r w:rsidR="0030658C" w:rsidRPr="00386C3F">
        <w:rPr>
          <w:rFonts w:ascii="Aptos" w:hAnsi="Aptos"/>
        </w:rPr>
        <w:t>range of perpetrators than women without a disability.</w:t>
      </w:r>
      <w:r w:rsidR="0030658C" w:rsidRPr="00386C3F">
        <w:rPr>
          <w:rStyle w:val="FootnoteReference"/>
          <w:rFonts w:ascii="Aptos" w:hAnsi="Aptos"/>
          <w:color w:val="000000"/>
        </w:rPr>
        <w:footnoteReference w:id="78"/>
      </w:r>
      <w:r w:rsidR="0030658C" w:rsidRPr="00386C3F">
        <w:rPr>
          <w:rFonts w:ascii="Aptos" w:hAnsi="Aptos"/>
        </w:rPr>
        <w:t xml:space="preserve"> </w:t>
      </w:r>
      <w:r>
        <w:rPr>
          <w:rFonts w:ascii="Aptos" w:hAnsi="Aptos"/>
        </w:rPr>
        <w:t xml:space="preserve">For women with disability, violence may take place in institutional and service environments such as residential support services and aged care facilities. These environments </w:t>
      </w:r>
      <w:r w:rsidR="00581959">
        <w:rPr>
          <w:rFonts w:ascii="Aptos" w:hAnsi="Aptos"/>
        </w:rPr>
        <w:t xml:space="preserve">can </w:t>
      </w:r>
      <w:r>
        <w:rPr>
          <w:rFonts w:ascii="Aptos" w:hAnsi="Aptos"/>
        </w:rPr>
        <w:t xml:space="preserve">exacerbate </w:t>
      </w:r>
      <w:r w:rsidR="00A64F77">
        <w:rPr>
          <w:rFonts w:ascii="Aptos" w:hAnsi="Aptos"/>
        </w:rPr>
        <w:t>GBV</w:t>
      </w:r>
      <w:r w:rsidR="00792471">
        <w:rPr>
          <w:rFonts w:ascii="Aptos" w:hAnsi="Aptos"/>
        </w:rPr>
        <w:t xml:space="preserve"> </w:t>
      </w:r>
      <w:r>
        <w:rPr>
          <w:rFonts w:ascii="Aptos" w:hAnsi="Aptos"/>
        </w:rPr>
        <w:t>with power imbalances</w:t>
      </w:r>
      <w:r w:rsidR="00A64F77">
        <w:rPr>
          <w:rFonts w:ascii="Aptos" w:hAnsi="Aptos"/>
        </w:rPr>
        <w:t xml:space="preserve"> </w:t>
      </w:r>
      <w:r>
        <w:rPr>
          <w:rFonts w:ascii="Aptos" w:hAnsi="Aptos"/>
        </w:rPr>
        <w:t>and limited oversight</w:t>
      </w:r>
      <w:r w:rsidR="00577852">
        <w:rPr>
          <w:rFonts w:ascii="Aptos" w:hAnsi="Aptos"/>
        </w:rPr>
        <w:t xml:space="preserve">. </w:t>
      </w:r>
      <w:r w:rsidR="0030658C">
        <w:rPr>
          <w:rFonts w:ascii="Aptos" w:hAnsi="Aptos"/>
        </w:rPr>
        <w:t>People w</w:t>
      </w:r>
      <w:r w:rsidRPr="00386C3F">
        <w:rPr>
          <w:rFonts w:ascii="Aptos" w:hAnsi="Aptos"/>
        </w:rPr>
        <w:t>ith disabili</w:t>
      </w:r>
      <w:r>
        <w:rPr>
          <w:rFonts w:ascii="Aptos" w:hAnsi="Aptos"/>
        </w:rPr>
        <w:t>ty</w:t>
      </w:r>
      <w:r w:rsidRPr="00386C3F">
        <w:rPr>
          <w:rFonts w:ascii="Aptos" w:hAnsi="Aptos"/>
        </w:rPr>
        <w:t xml:space="preserve"> face greater barriers to reporting violence and accessing support services. This </w:t>
      </w:r>
      <w:r w:rsidR="00F50639">
        <w:rPr>
          <w:rFonts w:ascii="Aptos" w:hAnsi="Aptos"/>
        </w:rPr>
        <w:t>can</w:t>
      </w:r>
      <w:r w:rsidRPr="00386C3F">
        <w:rPr>
          <w:rFonts w:ascii="Aptos" w:hAnsi="Aptos"/>
        </w:rPr>
        <w:t xml:space="preserve"> include</w:t>
      </w:r>
      <w:r w:rsidR="00F50639">
        <w:rPr>
          <w:rFonts w:ascii="Aptos" w:hAnsi="Aptos"/>
        </w:rPr>
        <w:t xml:space="preserve"> a</w:t>
      </w:r>
      <w:r w:rsidRPr="00386C3F">
        <w:rPr>
          <w:rFonts w:ascii="Aptos" w:hAnsi="Aptos"/>
        </w:rPr>
        <w:t xml:space="preserve"> lack of accessible services</w:t>
      </w:r>
      <w:r w:rsidR="00553D39">
        <w:rPr>
          <w:rFonts w:ascii="Aptos" w:hAnsi="Aptos"/>
        </w:rPr>
        <w:t xml:space="preserve"> or information on how to report</w:t>
      </w:r>
      <w:r w:rsidRPr="00386C3F">
        <w:rPr>
          <w:rFonts w:ascii="Aptos" w:hAnsi="Aptos"/>
        </w:rPr>
        <w:t>, a lack of disability education within those services</w:t>
      </w:r>
      <w:r w:rsidR="00F50639">
        <w:rPr>
          <w:rFonts w:ascii="Aptos" w:hAnsi="Aptos"/>
        </w:rPr>
        <w:t>,</w:t>
      </w:r>
      <w:r w:rsidRPr="00386C3F">
        <w:rPr>
          <w:rFonts w:ascii="Aptos" w:hAnsi="Aptos"/>
        </w:rPr>
        <w:t xml:space="preserve"> and people with disabilit</w:t>
      </w:r>
      <w:r>
        <w:rPr>
          <w:rFonts w:ascii="Aptos" w:hAnsi="Aptos"/>
        </w:rPr>
        <w:t>y</w:t>
      </w:r>
      <w:r w:rsidRPr="00386C3F">
        <w:rPr>
          <w:rFonts w:ascii="Aptos" w:hAnsi="Aptos"/>
        </w:rPr>
        <w:t xml:space="preserve"> being physically or socially isolated.</w:t>
      </w:r>
      <w:r w:rsidRPr="00386C3F">
        <w:rPr>
          <w:rStyle w:val="FootnoteReference"/>
          <w:rFonts w:ascii="Aptos" w:hAnsi="Aptos"/>
        </w:rPr>
        <w:footnoteReference w:id="79"/>
      </w:r>
      <w:r w:rsidR="00553D39">
        <w:rPr>
          <w:rFonts w:ascii="Aptos" w:hAnsi="Aptos"/>
        </w:rPr>
        <w:t xml:space="preserve"> </w:t>
      </w:r>
      <w:r w:rsidR="00BE4553">
        <w:rPr>
          <w:rFonts w:ascii="Aptos" w:hAnsi="Aptos"/>
        </w:rPr>
        <w:t>In work environments, women with a disability are twice as likely to have experienced sexual harassment at work than those without a disability</w:t>
      </w:r>
      <w:r w:rsidR="005C1041">
        <w:rPr>
          <w:rFonts w:ascii="Aptos" w:hAnsi="Aptos"/>
        </w:rPr>
        <w:t>.</w:t>
      </w:r>
      <w:r w:rsidR="00553D39">
        <w:rPr>
          <w:rStyle w:val="FootnoteReference"/>
          <w:rFonts w:ascii="Aptos" w:hAnsi="Aptos"/>
        </w:rPr>
        <w:footnoteReference w:id="80"/>
      </w:r>
    </w:p>
    <w:p w14:paraId="67140130" w14:textId="77777777" w:rsidR="00EB0B18" w:rsidRDefault="00981080" w:rsidP="00DD4830">
      <w:pPr>
        <w:pStyle w:val="BodyText"/>
        <w:spacing w:after="120" w:line="276" w:lineRule="auto"/>
        <w:rPr>
          <w:rFonts w:ascii="Aptos" w:hAnsi="Aptos"/>
        </w:rPr>
      </w:pPr>
      <w:r w:rsidRPr="00386C3F">
        <w:rPr>
          <w:rFonts w:ascii="Aptos" w:hAnsi="Aptos"/>
        </w:rPr>
        <w:t>Young people with disability continue to be underrepresented in higher education.</w:t>
      </w:r>
      <w:r w:rsidRPr="00386C3F">
        <w:rPr>
          <w:rStyle w:val="FootnoteReference"/>
          <w:rFonts w:ascii="Aptos" w:hAnsi="Aptos"/>
        </w:rPr>
        <w:footnoteReference w:id="81"/>
      </w:r>
      <w:r w:rsidRPr="00386C3F">
        <w:rPr>
          <w:rFonts w:ascii="Aptos" w:hAnsi="Aptos"/>
        </w:rPr>
        <w:t xml:space="preserve"> </w:t>
      </w:r>
      <w:r w:rsidR="00164A65">
        <w:rPr>
          <w:rFonts w:ascii="Aptos" w:hAnsi="Aptos"/>
        </w:rPr>
        <w:t>D</w:t>
      </w:r>
      <w:r w:rsidRPr="00386C3F">
        <w:rPr>
          <w:rFonts w:ascii="Aptos" w:hAnsi="Aptos"/>
        </w:rPr>
        <w:t xml:space="preserve">ata from the </w:t>
      </w:r>
      <w:r w:rsidRPr="00386C3F">
        <w:rPr>
          <w:rFonts w:ascii="Aptos" w:hAnsi="Aptos"/>
          <w:i/>
        </w:rPr>
        <w:t>Change the Course</w:t>
      </w:r>
      <w:r w:rsidRPr="00386C3F">
        <w:rPr>
          <w:rFonts w:ascii="Aptos" w:hAnsi="Aptos"/>
        </w:rPr>
        <w:t xml:space="preserve"> report and the NSSS demonstrate that people with disability experience disproportionate rates of sexual assault and sexual harassment during their time in university.</w:t>
      </w:r>
      <w:r w:rsidR="009E4C07">
        <w:rPr>
          <w:rStyle w:val="FootnoteReference"/>
          <w:rFonts w:ascii="Aptos" w:hAnsi="Aptos"/>
        </w:rPr>
        <w:footnoteReference w:id="82"/>
      </w:r>
      <w:r w:rsidRPr="00386C3F">
        <w:rPr>
          <w:rFonts w:ascii="Aptos" w:hAnsi="Aptos"/>
        </w:rPr>
        <w:t xml:space="preserve"> While there is limited research available on the experiences of higher education students with disability reporting incidences of gender-based violence to their education providers, the Department of Education heard directly from advocates during consultation that students face accessibility barriers</w:t>
      </w:r>
      <w:r w:rsidR="009020DE">
        <w:rPr>
          <w:rFonts w:ascii="Aptos" w:hAnsi="Aptos"/>
        </w:rPr>
        <w:t xml:space="preserve"> including a </w:t>
      </w:r>
      <w:r w:rsidRPr="00386C3F">
        <w:rPr>
          <w:rFonts w:ascii="Aptos" w:hAnsi="Aptos"/>
        </w:rPr>
        <w:t>lack of disability education or understanding in university complaint processes.</w:t>
      </w:r>
      <w:r w:rsidR="00FF2371">
        <w:rPr>
          <w:rFonts w:ascii="Aptos" w:hAnsi="Aptos"/>
        </w:rPr>
        <w:t xml:space="preserve"> </w:t>
      </w:r>
      <w:r w:rsidR="00F306C6" w:rsidRPr="00386C3F">
        <w:rPr>
          <w:rFonts w:ascii="Aptos" w:hAnsi="Aptos"/>
        </w:rPr>
        <w:t xml:space="preserve">Increasing access to education and learning for people with disability </w:t>
      </w:r>
      <w:r w:rsidR="00E5514D">
        <w:rPr>
          <w:rFonts w:ascii="Aptos" w:hAnsi="Aptos"/>
        </w:rPr>
        <w:t xml:space="preserve">is </w:t>
      </w:r>
      <w:r w:rsidR="00F306C6" w:rsidRPr="00386C3F">
        <w:rPr>
          <w:rFonts w:ascii="Aptos" w:hAnsi="Aptos"/>
        </w:rPr>
        <w:t xml:space="preserve">a key outcome area identified in </w:t>
      </w:r>
      <w:r w:rsidR="00F306C6" w:rsidRPr="00386C3F">
        <w:rPr>
          <w:rFonts w:ascii="Aptos" w:hAnsi="Aptos"/>
          <w:i/>
          <w:iCs/>
        </w:rPr>
        <w:t>Australia’s Disability Strategy 2021–2031</w:t>
      </w:r>
      <w:r w:rsidR="00F306C6" w:rsidRPr="00386C3F">
        <w:rPr>
          <w:rFonts w:ascii="Aptos" w:hAnsi="Aptos"/>
        </w:rPr>
        <w:t>.</w:t>
      </w:r>
      <w:r w:rsidR="00F306C6" w:rsidRPr="00386C3F">
        <w:rPr>
          <w:rStyle w:val="FootnoteReference"/>
          <w:rFonts w:ascii="Aptos" w:hAnsi="Aptos"/>
          <w:color w:val="000000"/>
        </w:rPr>
        <w:footnoteReference w:id="83"/>
      </w:r>
      <w:r w:rsidR="00F306C6" w:rsidRPr="00386C3F">
        <w:rPr>
          <w:rFonts w:ascii="Aptos" w:hAnsi="Aptos"/>
        </w:rPr>
        <w:t xml:space="preserve"> </w:t>
      </w:r>
      <w:r w:rsidRPr="00386C3F">
        <w:rPr>
          <w:rFonts w:ascii="Aptos" w:hAnsi="Aptos"/>
        </w:rPr>
        <w:t xml:space="preserve"> </w:t>
      </w:r>
    </w:p>
    <w:p w14:paraId="4CFAE668" w14:textId="3DF47AB3" w:rsidR="007D62A7" w:rsidRDefault="007D62A7" w:rsidP="00DD4830">
      <w:pPr>
        <w:pStyle w:val="BodyText"/>
        <w:spacing w:after="120" w:line="276" w:lineRule="auto"/>
        <w:rPr>
          <w:rFonts w:ascii="Aptos" w:hAnsi="Aptos"/>
          <w:b/>
        </w:rPr>
      </w:pPr>
      <w:r w:rsidRPr="0016123E">
        <w:rPr>
          <w:rFonts w:ascii="Aptos" w:hAnsi="Aptos"/>
          <w:b/>
        </w:rPr>
        <w:t>Culturally and Linguistically Diverse (C</w:t>
      </w:r>
      <w:r w:rsidR="00C7047D">
        <w:rPr>
          <w:rFonts w:ascii="Aptos" w:hAnsi="Aptos"/>
          <w:b/>
        </w:rPr>
        <w:t>A</w:t>
      </w:r>
      <w:r w:rsidRPr="0016123E">
        <w:rPr>
          <w:rFonts w:ascii="Aptos" w:hAnsi="Aptos"/>
          <w:b/>
        </w:rPr>
        <w:t xml:space="preserve">LD) </w:t>
      </w:r>
      <w:r w:rsidR="009A555A">
        <w:rPr>
          <w:rFonts w:ascii="Aptos" w:hAnsi="Aptos"/>
          <w:b/>
        </w:rPr>
        <w:t>S</w:t>
      </w:r>
      <w:r w:rsidRPr="0016123E">
        <w:rPr>
          <w:rFonts w:ascii="Aptos" w:hAnsi="Aptos"/>
          <w:b/>
        </w:rPr>
        <w:t xml:space="preserve">tudents and </w:t>
      </w:r>
      <w:r w:rsidR="009A555A">
        <w:rPr>
          <w:rFonts w:ascii="Aptos" w:hAnsi="Aptos"/>
          <w:b/>
        </w:rPr>
        <w:t>S</w:t>
      </w:r>
      <w:r w:rsidR="00EC429F" w:rsidRPr="0016123E">
        <w:rPr>
          <w:rFonts w:ascii="Aptos" w:hAnsi="Aptos"/>
          <w:b/>
        </w:rPr>
        <w:t>taff</w:t>
      </w:r>
    </w:p>
    <w:p w14:paraId="74CFEC8C" w14:textId="118A9D2B" w:rsidR="004845B1" w:rsidRDefault="001F78D4" w:rsidP="00DD4830">
      <w:pPr>
        <w:pStyle w:val="BodyText"/>
        <w:spacing w:after="120" w:line="276" w:lineRule="auto"/>
        <w:rPr>
          <w:rFonts w:ascii="Aptos" w:hAnsi="Aptos"/>
        </w:rPr>
      </w:pPr>
      <w:r w:rsidRPr="0016123E">
        <w:rPr>
          <w:rFonts w:ascii="Aptos" w:hAnsi="Aptos"/>
        </w:rPr>
        <w:t>There is currently limited data on the prevalence and experiences of</w:t>
      </w:r>
      <w:r>
        <w:rPr>
          <w:rFonts w:ascii="Aptos" w:hAnsi="Aptos"/>
        </w:rPr>
        <w:t xml:space="preserve"> </w:t>
      </w:r>
      <w:r w:rsidRPr="0016123E">
        <w:rPr>
          <w:rFonts w:ascii="Aptos" w:hAnsi="Aptos"/>
        </w:rPr>
        <w:t>GBV within C</w:t>
      </w:r>
      <w:r w:rsidR="00C7047D">
        <w:rPr>
          <w:rFonts w:ascii="Aptos" w:hAnsi="Aptos"/>
        </w:rPr>
        <w:t>A</w:t>
      </w:r>
      <w:r w:rsidRPr="0016123E">
        <w:rPr>
          <w:rFonts w:ascii="Aptos" w:hAnsi="Aptos"/>
        </w:rPr>
        <w:t>LD</w:t>
      </w:r>
      <w:r>
        <w:rPr>
          <w:rFonts w:ascii="Aptos" w:hAnsi="Aptos"/>
        </w:rPr>
        <w:t xml:space="preserve"> </w:t>
      </w:r>
      <w:r w:rsidRPr="0016123E">
        <w:rPr>
          <w:rFonts w:ascii="Aptos" w:hAnsi="Aptos"/>
        </w:rPr>
        <w:t>communities in Australia, particularly in higher education settings. However, existing national datasets indicate that C</w:t>
      </w:r>
      <w:r w:rsidR="00C7047D">
        <w:rPr>
          <w:rFonts w:ascii="Aptos" w:hAnsi="Aptos"/>
        </w:rPr>
        <w:t>A</w:t>
      </w:r>
      <w:r w:rsidRPr="0016123E">
        <w:rPr>
          <w:rFonts w:ascii="Aptos" w:hAnsi="Aptos"/>
        </w:rPr>
        <w:t>LD women experience disproportionately high rates</w:t>
      </w:r>
      <w:r>
        <w:rPr>
          <w:rFonts w:ascii="Aptos" w:hAnsi="Aptos"/>
        </w:rPr>
        <w:t xml:space="preserve"> of </w:t>
      </w:r>
      <w:r w:rsidR="00C64B6C">
        <w:rPr>
          <w:rFonts w:ascii="Aptos" w:hAnsi="Aptos"/>
        </w:rPr>
        <w:t>gender-based violence</w:t>
      </w:r>
      <w:r w:rsidR="00253B9C">
        <w:rPr>
          <w:rFonts w:ascii="Aptos" w:hAnsi="Aptos"/>
        </w:rPr>
        <w:t>.</w:t>
      </w:r>
      <w:r w:rsidR="00C64B6C">
        <w:rPr>
          <w:rStyle w:val="FootnoteReference"/>
          <w:rFonts w:ascii="Aptos" w:hAnsi="Aptos"/>
        </w:rPr>
        <w:footnoteReference w:id="84"/>
      </w:r>
      <w:r w:rsidRPr="0016123E">
        <w:rPr>
          <w:rFonts w:ascii="Aptos" w:hAnsi="Aptos"/>
        </w:rPr>
        <w:t xml:space="preserve"> Factors such as temporary or dependent visa status, language barriers, and limited access to culturally safe support networks can heighten vulnerability and </w:t>
      </w:r>
      <w:r w:rsidRPr="0016123E">
        <w:rPr>
          <w:rFonts w:ascii="Aptos" w:hAnsi="Aptos"/>
        </w:rPr>
        <w:lastRenderedPageBreak/>
        <w:t>increase exposure to family, domestic, and sexual violence</w:t>
      </w:r>
      <w:r w:rsidR="00253B9C">
        <w:rPr>
          <w:rFonts w:ascii="Aptos" w:hAnsi="Aptos"/>
        </w:rPr>
        <w:t>,</w:t>
      </w:r>
      <w:r>
        <w:rPr>
          <w:rStyle w:val="FootnoteReference"/>
          <w:rFonts w:ascii="Aptos" w:hAnsi="Aptos"/>
        </w:rPr>
        <w:footnoteReference w:id="85"/>
      </w:r>
      <w:r>
        <w:rPr>
          <w:rFonts w:ascii="Aptos" w:hAnsi="Aptos"/>
        </w:rPr>
        <w:t xml:space="preserve"> as well as other forms of </w:t>
      </w:r>
      <w:r w:rsidR="00C64B6C">
        <w:rPr>
          <w:rFonts w:ascii="Aptos" w:hAnsi="Aptos"/>
        </w:rPr>
        <w:t>GBV</w:t>
      </w:r>
      <w:r>
        <w:rPr>
          <w:rFonts w:ascii="Aptos" w:hAnsi="Aptos"/>
        </w:rPr>
        <w:t xml:space="preserve"> such as </w:t>
      </w:r>
      <w:r w:rsidRPr="0016123E">
        <w:rPr>
          <w:rFonts w:ascii="Aptos" w:hAnsi="Aptos"/>
        </w:rPr>
        <w:t>coercive control, financial abuse</w:t>
      </w:r>
      <w:r>
        <w:rPr>
          <w:rFonts w:ascii="Aptos" w:hAnsi="Aptos"/>
        </w:rPr>
        <w:t xml:space="preserve"> and</w:t>
      </w:r>
      <w:r w:rsidRPr="0016123E">
        <w:rPr>
          <w:rFonts w:ascii="Aptos" w:hAnsi="Aptos"/>
        </w:rPr>
        <w:t xml:space="preserve"> reproductive coercion</w:t>
      </w:r>
      <w:r w:rsidR="00253B9C">
        <w:rPr>
          <w:rFonts w:ascii="Aptos" w:hAnsi="Aptos"/>
        </w:rPr>
        <w:t>.</w:t>
      </w:r>
      <w:r>
        <w:rPr>
          <w:rStyle w:val="FootnoteReference"/>
          <w:rFonts w:ascii="Aptos" w:hAnsi="Aptos"/>
        </w:rPr>
        <w:footnoteReference w:id="86"/>
      </w:r>
      <w:r w:rsidR="00597491">
        <w:rPr>
          <w:rFonts w:ascii="Aptos" w:hAnsi="Aptos"/>
        </w:rPr>
        <w:t xml:space="preserve"> </w:t>
      </w:r>
      <w:r w:rsidR="00272DD4">
        <w:rPr>
          <w:rFonts w:ascii="Aptos" w:hAnsi="Aptos"/>
        </w:rPr>
        <w:t xml:space="preserve"> </w:t>
      </w:r>
    </w:p>
    <w:p w14:paraId="06EA1D14" w14:textId="6FECDD5A" w:rsidR="00E321DC" w:rsidRDefault="00A3784B" w:rsidP="00DD4830">
      <w:pPr>
        <w:pStyle w:val="BodyText"/>
        <w:spacing w:after="120" w:line="276" w:lineRule="auto"/>
        <w:rPr>
          <w:rFonts w:ascii="Aptos" w:hAnsi="Aptos"/>
        </w:rPr>
      </w:pPr>
      <w:r w:rsidRPr="00A3784B">
        <w:rPr>
          <w:rFonts w:ascii="Aptos" w:hAnsi="Aptos"/>
        </w:rPr>
        <w:t xml:space="preserve">Although </w:t>
      </w:r>
      <w:r w:rsidR="00E321DC">
        <w:rPr>
          <w:rFonts w:ascii="Aptos" w:hAnsi="Aptos"/>
        </w:rPr>
        <w:t xml:space="preserve">not </w:t>
      </w:r>
      <w:r w:rsidRPr="00A3784B">
        <w:rPr>
          <w:rFonts w:ascii="Aptos" w:hAnsi="Aptos"/>
        </w:rPr>
        <w:t>specific to</w:t>
      </w:r>
      <w:r w:rsidR="00E321DC">
        <w:rPr>
          <w:rFonts w:ascii="Aptos" w:hAnsi="Aptos"/>
        </w:rPr>
        <w:t xml:space="preserve"> C</w:t>
      </w:r>
      <w:r w:rsidR="00C7047D">
        <w:rPr>
          <w:rFonts w:ascii="Aptos" w:hAnsi="Aptos"/>
        </w:rPr>
        <w:t>A</w:t>
      </w:r>
      <w:r w:rsidR="00E321DC">
        <w:rPr>
          <w:rFonts w:ascii="Aptos" w:hAnsi="Aptos"/>
        </w:rPr>
        <w:t>LD</w:t>
      </w:r>
      <w:r w:rsidRPr="00A3784B">
        <w:rPr>
          <w:rFonts w:ascii="Aptos" w:hAnsi="Aptos"/>
        </w:rPr>
        <w:t xml:space="preserve"> communities in higher education, broader research provides valuable insights into the experiences of culturally diverse populations in Australian workplaces.</w:t>
      </w:r>
      <w:r>
        <w:rPr>
          <w:rFonts w:ascii="Aptos" w:hAnsi="Aptos"/>
        </w:rPr>
        <w:t xml:space="preserve"> A</w:t>
      </w:r>
      <w:r w:rsidR="000D10EE">
        <w:rPr>
          <w:rFonts w:ascii="Aptos" w:hAnsi="Aptos"/>
        </w:rPr>
        <w:t xml:space="preserve"> study conducted by </w:t>
      </w:r>
      <w:r w:rsidR="00607B23">
        <w:rPr>
          <w:rFonts w:ascii="Aptos" w:hAnsi="Aptos"/>
        </w:rPr>
        <w:t>Australia’s National Research Organisation for Women’s Safety (ANROWS)</w:t>
      </w:r>
      <w:r w:rsidR="000D10EE">
        <w:rPr>
          <w:rFonts w:ascii="Aptos" w:hAnsi="Aptos"/>
        </w:rPr>
        <w:t xml:space="preserve"> into the experiences of migrant and refugee women in Australia </w:t>
      </w:r>
      <w:r w:rsidR="000C6571">
        <w:rPr>
          <w:rFonts w:ascii="Aptos" w:hAnsi="Aptos"/>
        </w:rPr>
        <w:t xml:space="preserve">found that at least 46% of respondents </w:t>
      </w:r>
      <w:r w:rsidR="00667766">
        <w:rPr>
          <w:rFonts w:ascii="Aptos" w:hAnsi="Aptos"/>
        </w:rPr>
        <w:t>experienced at least one form of sexual harassment in the workplace in the last 5 years</w:t>
      </w:r>
      <w:r w:rsidR="00253B9C">
        <w:rPr>
          <w:rFonts w:ascii="Aptos" w:hAnsi="Aptos"/>
        </w:rPr>
        <w:t>.</w:t>
      </w:r>
      <w:r w:rsidR="00667766">
        <w:rPr>
          <w:rStyle w:val="FootnoteReference"/>
          <w:rFonts w:ascii="Aptos" w:hAnsi="Aptos"/>
        </w:rPr>
        <w:footnoteReference w:id="87"/>
      </w:r>
      <w:r w:rsidR="0096569B">
        <w:rPr>
          <w:rFonts w:ascii="Aptos" w:hAnsi="Aptos"/>
        </w:rPr>
        <w:t xml:space="preserve"> The Respect@Work </w:t>
      </w:r>
      <w:r w:rsidR="008D200D">
        <w:rPr>
          <w:rFonts w:ascii="Aptos" w:hAnsi="Aptos"/>
        </w:rPr>
        <w:t>Inquiry al</w:t>
      </w:r>
      <w:r w:rsidR="008742A5">
        <w:rPr>
          <w:rFonts w:ascii="Aptos" w:hAnsi="Aptos"/>
        </w:rPr>
        <w:t xml:space="preserve">so noted that </w:t>
      </w:r>
      <w:r w:rsidR="006407A0">
        <w:rPr>
          <w:rFonts w:ascii="Aptos" w:hAnsi="Aptos"/>
        </w:rPr>
        <w:t>C</w:t>
      </w:r>
      <w:r w:rsidR="00C7047D">
        <w:rPr>
          <w:rFonts w:ascii="Aptos" w:hAnsi="Aptos"/>
        </w:rPr>
        <w:t>A</w:t>
      </w:r>
      <w:r w:rsidR="006407A0">
        <w:rPr>
          <w:rFonts w:ascii="Aptos" w:hAnsi="Aptos"/>
        </w:rPr>
        <w:t xml:space="preserve">LD workers were more likely to experience sexual harassment in the workplace and </w:t>
      </w:r>
      <w:r w:rsidR="00854D44">
        <w:rPr>
          <w:rFonts w:ascii="Aptos" w:hAnsi="Aptos"/>
        </w:rPr>
        <w:t>acknowledged</w:t>
      </w:r>
      <w:r w:rsidR="006407A0">
        <w:rPr>
          <w:rFonts w:ascii="Aptos" w:hAnsi="Aptos"/>
        </w:rPr>
        <w:t xml:space="preserve"> that </w:t>
      </w:r>
      <w:r w:rsidR="00854D44">
        <w:rPr>
          <w:rFonts w:ascii="Aptos" w:hAnsi="Aptos"/>
        </w:rPr>
        <w:t xml:space="preserve">this group </w:t>
      </w:r>
      <w:r w:rsidR="003327F2">
        <w:rPr>
          <w:rFonts w:ascii="Aptos" w:hAnsi="Aptos"/>
        </w:rPr>
        <w:t>is</w:t>
      </w:r>
      <w:r w:rsidR="00854D44">
        <w:rPr>
          <w:rFonts w:ascii="Aptos" w:hAnsi="Aptos"/>
        </w:rPr>
        <w:t xml:space="preserve"> </w:t>
      </w:r>
      <w:r w:rsidR="005567FA">
        <w:rPr>
          <w:rFonts w:ascii="Aptos" w:hAnsi="Aptos"/>
        </w:rPr>
        <w:t xml:space="preserve">often engaged in non-standard </w:t>
      </w:r>
      <w:r w:rsidR="005D3645">
        <w:rPr>
          <w:rFonts w:ascii="Aptos" w:hAnsi="Aptos"/>
        </w:rPr>
        <w:t>employment</w:t>
      </w:r>
      <w:r w:rsidR="005567FA">
        <w:rPr>
          <w:rFonts w:ascii="Aptos" w:hAnsi="Aptos"/>
        </w:rPr>
        <w:t xml:space="preserve"> arrangements, such as casual, non-ongoing, contract, </w:t>
      </w:r>
      <w:r w:rsidR="004335CF">
        <w:rPr>
          <w:rFonts w:ascii="Aptos" w:hAnsi="Aptos"/>
        </w:rPr>
        <w:t>or</w:t>
      </w:r>
      <w:r w:rsidR="005567FA">
        <w:rPr>
          <w:rFonts w:ascii="Aptos" w:hAnsi="Aptos"/>
        </w:rPr>
        <w:t xml:space="preserve"> temporary arrangements, which often functions as a deterrent from reporting for fear of losing work</w:t>
      </w:r>
      <w:r w:rsidR="00253B9C">
        <w:rPr>
          <w:rFonts w:ascii="Aptos" w:hAnsi="Aptos"/>
        </w:rPr>
        <w:t>.</w:t>
      </w:r>
      <w:r w:rsidR="00AE72CE">
        <w:rPr>
          <w:rStyle w:val="FootnoteReference"/>
          <w:rFonts w:ascii="Aptos" w:hAnsi="Aptos"/>
        </w:rPr>
        <w:footnoteReference w:id="88"/>
      </w:r>
      <w:r w:rsidR="00AC6F18">
        <w:rPr>
          <w:rFonts w:ascii="Aptos" w:hAnsi="Aptos"/>
        </w:rPr>
        <w:t xml:space="preserve"> While these </w:t>
      </w:r>
      <w:r w:rsidR="004244F7" w:rsidRPr="004244F7">
        <w:rPr>
          <w:rFonts w:ascii="Aptos" w:hAnsi="Aptos"/>
        </w:rPr>
        <w:t>findings</w:t>
      </w:r>
      <w:r w:rsidR="00AC6F18">
        <w:rPr>
          <w:rFonts w:ascii="Aptos" w:hAnsi="Aptos"/>
        </w:rPr>
        <w:t xml:space="preserve"> are not</w:t>
      </w:r>
      <w:r w:rsidR="00122F4F">
        <w:rPr>
          <w:rFonts w:ascii="Aptos" w:hAnsi="Aptos"/>
        </w:rPr>
        <w:t xml:space="preserve"> specific to the </w:t>
      </w:r>
      <w:r w:rsidR="004244F7" w:rsidRPr="004244F7">
        <w:rPr>
          <w:rFonts w:ascii="Aptos" w:hAnsi="Aptos"/>
        </w:rPr>
        <w:t>tertiary</w:t>
      </w:r>
      <w:r w:rsidR="00122F4F">
        <w:rPr>
          <w:rFonts w:ascii="Aptos" w:hAnsi="Aptos"/>
        </w:rPr>
        <w:t xml:space="preserve"> education sector, </w:t>
      </w:r>
      <w:r w:rsidR="004244F7" w:rsidRPr="004244F7">
        <w:rPr>
          <w:rFonts w:ascii="Aptos" w:hAnsi="Aptos"/>
        </w:rPr>
        <w:t>they are highly relevant</w:t>
      </w:r>
      <w:r w:rsidR="000C5A5D">
        <w:rPr>
          <w:rFonts w:ascii="Aptos" w:hAnsi="Aptos"/>
        </w:rPr>
        <w:t xml:space="preserve"> given the </w:t>
      </w:r>
      <w:r w:rsidR="004244F7" w:rsidRPr="004244F7">
        <w:rPr>
          <w:rFonts w:ascii="Aptos" w:hAnsi="Aptos"/>
        </w:rPr>
        <w:t>prevalence</w:t>
      </w:r>
      <w:r w:rsidR="000C5A5D">
        <w:rPr>
          <w:rFonts w:ascii="Aptos" w:hAnsi="Aptos"/>
        </w:rPr>
        <w:t xml:space="preserve"> of casual and non-ongoing </w:t>
      </w:r>
      <w:r w:rsidR="004244F7" w:rsidRPr="004244F7">
        <w:rPr>
          <w:rFonts w:ascii="Aptos" w:hAnsi="Aptos"/>
        </w:rPr>
        <w:t>employment among staff in higher education. These patterns suggest that C</w:t>
      </w:r>
      <w:r w:rsidR="00C7047D">
        <w:rPr>
          <w:rFonts w:ascii="Aptos" w:hAnsi="Aptos"/>
        </w:rPr>
        <w:t>A</w:t>
      </w:r>
      <w:r w:rsidR="004244F7" w:rsidRPr="004244F7">
        <w:rPr>
          <w:rFonts w:ascii="Aptos" w:hAnsi="Aptos"/>
        </w:rPr>
        <w:t>LD staff</w:t>
      </w:r>
      <w:r w:rsidR="000C5A5D">
        <w:rPr>
          <w:rFonts w:ascii="Aptos" w:hAnsi="Aptos"/>
        </w:rPr>
        <w:t xml:space="preserve"> in higher education</w:t>
      </w:r>
      <w:r w:rsidR="004244F7" w:rsidRPr="004244F7">
        <w:rPr>
          <w:rFonts w:ascii="Aptos" w:hAnsi="Aptos"/>
        </w:rPr>
        <w:t xml:space="preserve"> may face similar risks and barriers</w:t>
      </w:r>
      <w:r w:rsidR="004244F7">
        <w:rPr>
          <w:rFonts w:ascii="Aptos" w:hAnsi="Aptos"/>
        </w:rPr>
        <w:t xml:space="preserve">. </w:t>
      </w:r>
    </w:p>
    <w:p w14:paraId="61D78579" w14:textId="75CDCDCC" w:rsidR="00781464" w:rsidRPr="001F78D4" w:rsidRDefault="00266140" w:rsidP="00DD4830">
      <w:pPr>
        <w:pStyle w:val="BodyText"/>
        <w:spacing w:after="120" w:line="276" w:lineRule="auto"/>
        <w:rPr>
          <w:rFonts w:ascii="Aptos" w:hAnsi="Aptos"/>
        </w:rPr>
      </w:pPr>
      <w:r w:rsidRPr="00266140">
        <w:rPr>
          <w:rFonts w:ascii="Aptos" w:hAnsi="Aptos"/>
        </w:rPr>
        <w:t>C</w:t>
      </w:r>
      <w:r w:rsidR="00C7047D">
        <w:rPr>
          <w:rFonts w:ascii="Aptos" w:hAnsi="Aptos"/>
        </w:rPr>
        <w:t>A</w:t>
      </w:r>
      <w:r w:rsidRPr="00266140">
        <w:rPr>
          <w:rFonts w:ascii="Aptos" w:hAnsi="Aptos"/>
        </w:rPr>
        <w:t xml:space="preserve">LD students are also likely to encounter barriers that can compound their vulnerability to </w:t>
      </w:r>
      <w:r w:rsidR="00D1179C">
        <w:rPr>
          <w:rFonts w:ascii="Aptos" w:hAnsi="Aptos"/>
        </w:rPr>
        <w:t>GBV</w:t>
      </w:r>
      <w:r w:rsidRPr="00266140">
        <w:rPr>
          <w:rFonts w:ascii="Aptos" w:hAnsi="Aptos"/>
        </w:rPr>
        <w:t xml:space="preserve"> and limit their ability to seek support. These barriers may include language difficulties, cultural stigma, and limited awareness of available services. However, it is worth acknowledging that the </w:t>
      </w:r>
      <w:r w:rsidRPr="00266140">
        <w:rPr>
          <w:rFonts w:ascii="Aptos" w:hAnsi="Aptos"/>
          <w:i/>
          <w:iCs/>
        </w:rPr>
        <w:t>Change the Course</w:t>
      </w:r>
      <w:r w:rsidRPr="00266140">
        <w:rPr>
          <w:rFonts w:ascii="Aptos" w:hAnsi="Aptos"/>
        </w:rPr>
        <w:t> report found domestic students who mainly spoke English at home were more likely to report experiences of sexual harassment, and that there were no substantial differences in the rates of sexual assault across language groups.</w:t>
      </w:r>
      <w:r w:rsidR="00922390">
        <w:rPr>
          <w:rStyle w:val="FootnoteReference"/>
          <w:rFonts w:ascii="Aptos" w:hAnsi="Aptos"/>
        </w:rPr>
        <w:footnoteReference w:id="89"/>
      </w:r>
      <w:r w:rsidRPr="00266140">
        <w:rPr>
          <w:rFonts w:ascii="Aptos" w:hAnsi="Aptos"/>
        </w:rPr>
        <w:t xml:space="preserve"> </w:t>
      </w:r>
      <w:r w:rsidR="00563B8F">
        <w:rPr>
          <w:rFonts w:ascii="Aptos" w:hAnsi="Aptos"/>
        </w:rPr>
        <w:t>While this specific report does not</w:t>
      </w:r>
      <w:r w:rsidR="00F63292">
        <w:rPr>
          <w:rFonts w:ascii="Aptos" w:hAnsi="Aptos"/>
        </w:rPr>
        <w:t xml:space="preserve"> indicate higher rates of </w:t>
      </w:r>
      <w:r w:rsidR="00840FC1">
        <w:rPr>
          <w:rFonts w:ascii="Aptos" w:hAnsi="Aptos"/>
        </w:rPr>
        <w:t>GBV</w:t>
      </w:r>
      <w:r w:rsidR="009B1135">
        <w:rPr>
          <w:rFonts w:ascii="Aptos" w:hAnsi="Aptos"/>
        </w:rPr>
        <w:t xml:space="preserve"> in C</w:t>
      </w:r>
      <w:r w:rsidR="00C7047D">
        <w:rPr>
          <w:rFonts w:ascii="Aptos" w:hAnsi="Aptos"/>
        </w:rPr>
        <w:t>A</w:t>
      </w:r>
      <w:r w:rsidR="009B1135">
        <w:rPr>
          <w:rFonts w:ascii="Aptos" w:hAnsi="Aptos"/>
        </w:rPr>
        <w:t>LD communities</w:t>
      </w:r>
      <w:r w:rsidR="00FB1B4C">
        <w:rPr>
          <w:rFonts w:ascii="Aptos" w:hAnsi="Aptos"/>
        </w:rPr>
        <w:t xml:space="preserve"> specific to higher education</w:t>
      </w:r>
      <w:r w:rsidR="00F63292">
        <w:rPr>
          <w:rFonts w:ascii="Aptos" w:hAnsi="Aptos"/>
        </w:rPr>
        <w:t xml:space="preserve">, </w:t>
      </w:r>
      <w:r w:rsidR="00563B8F">
        <w:rPr>
          <w:rFonts w:ascii="Aptos" w:hAnsi="Aptos"/>
        </w:rPr>
        <w:t xml:space="preserve"> this likely reflects underreporting rather than a lower prevalence</w:t>
      </w:r>
      <w:r w:rsidR="00EE0EE3">
        <w:rPr>
          <w:rFonts w:ascii="Aptos" w:hAnsi="Aptos"/>
        </w:rPr>
        <w:t>, due to C</w:t>
      </w:r>
      <w:r w:rsidR="00C7047D">
        <w:rPr>
          <w:rFonts w:ascii="Aptos" w:hAnsi="Aptos"/>
        </w:rPr>
        <w:t>A</w:t>
      </w:r>
      <w:r w:rsidR="00EE0EE3">
        <w:rPr>
          <w:rFonts w:ascii="Aptos" w:hAnsi="Aptos"/>
        </w:rPr>
        <w:t>LD communities having more barriers to reporting</w:t>
      </w:r>
      <w:r w:rsidR="0034753A">
        <w:rPr>
          <w:rFonts w:ascii="Aptos" w:hAnsi="Aptos"/>
        </w:rPr>
        <w:t xml:space="preserve">. </w:t>
      </w:r>
      <w:r w:rsidR="00C64336">
        <w:rPr>
          <w:rFonts w:ascii="Aptos" w:hAnsi="Aptos"/>
        </w:rPr>
        <w:t>These barriers can lead to underrepresentation of C</w:t>
      </w:r>
      <w:r w:rsidR="00C7047D">
        <w:rPr>
          <w:rFonts w:ascii="Aptos" w:hAnsi="Aptos"/>
        </w:rPr>
        <w:t>A</w:t>
      </w:r>
      <w:r w:rsidR="00C64336">
        <w:rPr>
          <w:rFonts w:ascii="Aptos" w:hAnsi="Aptos"/>
        </w:rPr>
        <w:t xml:space="preserve">LD experiences </w:t>
      </w:r>
      <w:r w:rsidR="00A30314">
        <w:rPr>
          <w:rFonts w:ascii="Aptos" w:hAnsi="Aptos"/>
        </w:rPr>
        <w:t>data, which skews the extent and impact</w:t>
      </w:r>
      <w:r w:rsidR="00D4194F" w:rsidRPr="00D4194F">
        <w:rPr>
          <w:rFonts w:ascii="Aptos" w:hAnsi="Aptos"/>
        </w:rPr>
        <w:t xml:space="preserve"> of </w:t>
      </w:r>
      <w:r w:rsidR="00A30314">
        <w:rPr>
          <w:rFonts w:ascii="Aptos" w:hAnsi="Aptos"/>
        </w:rPr>
        <w:t>gender-based violence within this group.</w:t>
      </w:r>
      <w:r w:rsidR="00D4194F" w:rsidRPr="00D4194F">
        <w:rPr>
          <w:rFonts w:ascii="Aptos" w:hAnsi="Aptos"/>
        </w:rPr>
        <w:t xml:space="preserve"> </w:t>
      </w:r>
    </w:p>
    <w:p w14:paraId="2A82862A" w14:textId="1445B7F7" w:rsidR="00F6459D" w:rsidRPr="00386C3F" w:rsidRDefault="00D97CFA" w:rsidP="007A423A">
      <w:pPr>
        <w:spacing w:before="120" w:after="120" w:line="276" w:lineRule="auto"/>
        <w:rPr>
          <w:b/>
          <w:szCs w:val="22"/>
        </w:rPr>
      </w:pPr>
      <w:r w:rsidRPr="00386C3F">
        <w:rPr>
          <w:rStyle w:val="Strong"/>
          <w:szCs w:val="22"/>
        </w:rPr>
        <w:t>International Students</w:t>
      </w:r>
    </w:p>
    <w:p w14:paraId="74DE3DC8" w14:textId="71C6FB17" w:rsidR="008D74C6" w:rsidRPr="00386C3F" w:rsidRDefault="007A423A" w:rsidP="007A423A">
      <w:pPr>
        <w:spacing w:line="276" w:lineRule="auto"/>
        <w:rPr>
          <w:szCs w:val="22"/>
        </w:rPr>
      </w:pPr>
      <w:r w:rsidRPr="00386C3F">
        <w:rPr>
          <w:szCs w:val="22"/>
        </w:rPr>
        <w:t>Australia is one of the most popular study destinations for international students.</w:t>
      </w:r>
      <w:r w:rsidRPr="00386C3F">
        <w:rPr>
          <w:szCs w:val="22"/>
          <w:vertAlign w:val="superscript"/>
        </w:rPr>
        <w:footnoteReference w:id="90"/>
      </w:r>
      <w:r w:rsidR="00B47782">
        <w:rPr>
          <w:szCs w:val="22"/>
          <w:vertAlign w:val="superscript"/>
        </w:rPr>
        <w:t xml:space="preserve">  </w:t>
      </w:r>
      <w:r w:rsidRPr="00386C3F">
        <w:rPr>
          <w:szCs w:val="22"/>
        </w:rPr>
        <w:t xml:space="preserve">In the year-to-date December 2024, there were 1,095,298 international student enrolments, with </w:t>
      </w:r>
      <w:r w:rsidR="004B3216">
        <w:rPr>
          <w:szCs w:val="22"/>
        </w:rPr>
        <w:t xml:space="preserve">55% </w:t>
      </w:r>
      <w:r w:rsidRPr="00386C3F">
        <w:rPr>
          <w:szCs w:val="22"/>
        </w:rPr>
        <w:t xml:space="preserve">from China (22%), India (16%), Nepal (8%), </w:t>
      </w:r>
      <w:r w:rsidR="0083334A">
        <w:rPr>
          <w:szCs w:val="22"/>
        </w:rPr>
        <w:t xml:space="preserve">the </w:t>
      </w:r>
      <w:r w:rsidRPr="00386C3F">
        <w:rPr>
          <w:szCs w:val="22"/>
        </w:rPr>
        <w:t>Philippines (5%) and Vietnam (4%).</w:t>
      </w:r>
      <w:r w:rsidRPr="00386C3F">
        <w:rPr>
          <w:szCs w:val="22"/>
          <w:vertAlign w:val="superscript"/>
        </w:rPr>
        <w:footnoteReference w:id="91"/>
      </w:r>
      <w:r w:rsidRPr="00386C3F">
        <w:rPr>
          <w:szCs w:val="22"/>
        </w:rPr>
        <w:t xml:space="preserve"> </w:t>
      </w:r>
      <w:r w:rsidR="00DF58F6" w:rsidRPr="00386C3F">
        <w:rPr>
          <w:szCs w:val="22"/>
        </w:rPr>
        <w:t>A survey into the experiences of women international students in higher education</w:t>
      </w:r>
      <w:r w:rsidR="008D74C6" w:rsidRPr="00386C3F">
        <w:rPr>
          <w:szCs w:val="22"/>
        </w:rPr>
        <w:t xml:space="preserve"> have found that over half of women international students reported experiencing sexual violenc</w:t>
      </w:r>
      <w:r w:rsidR="00DF58F6" w:rsidRPr="00386C3F">
        <w:rPr>
          <w:szCs w:val="22"/>
        </w:rPr>
        <w:t xml:space="preserve">e since </w:t>
      </w:r>
      <w:r w:rsidR="00DF58F6" w:rsidRPr="00386C3F">
        <w:rPr>
          <w:szCs w:val="22"/>
        </w:rPr>
        <w:lastRenderedPageBreak/>
        <w:t>arriving in Australia</w:t>
      </w:r>
      <w:r w:rsidR="008D74C6" w:rsidRPr="00386C3F">
        <w:rPr>
          <w:szCs w:val="22"/>
        </w:rPr>
        <w:t xml:space="preserve"> or</w:t>
      </w:r>
      <w:r w:rsidR="00BB4B2C">
        <w:rPr>
          <w:szCs w:val="22"/>
        </w:rPr>
        <w:t xml:space="preserve"> </w:t>
      </w:r>
      <w:r w:rsidR="006F389A">
        <w:rPr>
          <w:szCs w:val="22"/>
        </w:rPr>
        <w:t>reported experiencing</w:t>
      </w:r>
      <w:r w:rsidR="008D74C6" w:rsidRPr="00386C3F">
        <w:rPr>
          <w:szCs w:val="22"/>
        </w:rPr>
        <w:t xml:space="preserve"> intimate partner violence</w:t>
      </w:r>
      <w:r w:rsidR="00DF58F6" w:rsidRPr="00386C3F">
        <w:rPr>
          <w:szCs w:val="22"/>
        </w:rPr>
        <w:t xml:space="preserve"> in the last 12 months</w:t>
      </w:r>
      <w:r w:rsidR="000A41C6">
        <w:rPr>
          <w:szCs w:val="22"/>
        </w:rPr>
        <w:t>.</w:t>
      </w:r>
      <w:r w:rsidR="008D74C6" w:rsidRPr="00386C3F">
        <w:rPr>
          <w:rStyle w:val="FootnoteReference"/>
          <w:szCs w:val="22"/>
        </w:rPr>
        <w:footnoteReference w:id="92"/>
      </w:r>
    </w:p>
    <w:p w14:paraId="613358EC" w14:textId="323D39E5" w:rsidR="00436A24" w:rsidRPr="00386C3F" w:rsidRDefault="00436A24" w:rsidP="00436A24">
      <w:pPr>
        <w:spacing w:line="276" w:lineRule="auto"/>
        <w:rPr>
          <w:szCs w:val="22"/>
        </w:rPr>
      </w:pPr>
      <w:r w:rsidRPr="00386C3F">
        <w:rPr>
          <w:szCs w:val="22"/>
        </w:rPr>
        <w:t xml:space="preserve">For international students, </w:t>
      </w:r>
      <w:r w:rsidRPr="00386C3F">
        <w:rPr>
          <w:rFonts w:eastAsiaTheme="minorEastAsia"/>
          <w:szCs w:val="22"/>
          <w:lang w:val="en-US"/>
        </w:rPr>
        <w:t>financial stress, housing insecurity, low social support, and concerns about visa status can exacerbate risk and create barriers to reporting and getting help.</w:t>
      </w:r>
      <w:r w:rsidRPr="00386C3F">
        <w:rPr>
          <w:rFonts w:ascii="Cambria" w:eastAsia="Cambria" w:hAnsi="Cambria" w:cs="Cambria"/>
          <w:color w:val="000000" w:themeColor="text1"/>
          <w:szCs w:val="22"/>
          <w:lang w:val="en-US"/>
        </w:rPr>
        <w:t xml:space="preserve"> </w:t>
      </w:r>
      <w:r w:rsidRPr="00386C3F">
        <w:rPr>
          <w:szCs w:val="22"/>
        </w:rPr>
        <w:t>Perpetrators may exploit a student’s visa status to exert control, while fears of deportation, loss of residency or institutional inaction may deter students from reporting violence.</w:t>
      </w:r>
      <w:r w:rsidRPr="00386C3F">
        <w:rPr>
          <w:szCs w:val="22"/>
          <w:vertAlign w:val="superscript"/>
        </w:rPr>
        <w:footnoteReference w:id="93"/>
      </w:r>
      <w:r w:rsidRPr="00386C3F">
        <w:rPr>
          <w:szCs w:val="22"/>
        </w:rPr>
        <w:t xml:space="preserve"> During consultations, stakeholders noted that international students often lack access to culturally appropriate services and may return to unsafe environments due to the absence of viable alternatives. </w:t>
      </w:r>
      <w:r w:rsidR="00B44991" w:rsidRPr="00386C3F">
        <w:rPr>
          <w:szCs w:val="22"/>
        </w:rPr>
        <w:t>The NSSS reported that international students were more likely to report ‘I didn’t want to get anyone in trouble’ or ‘I was worried it would affect my studies or career opportunities’ as reasons for not reporting sexual harassment to their provider</w:t>
      </w:r>
      <w:r w:rsidR="00417C69">
        <w:rPr>
          <w:szCs w:val="22"/>
        </w:rPr>
        <w:t>.</w:t>
      </w:r>
      <w:r w:rsidR="00B44991" w:rsidRPr="00386C3F">
        <w:rPr>
          <w:rStyle w:val="FootnoteReference"/>
          <w:szCs w:val="22"/>
        </w:rPr>
        <w:footnoteReference w:id="94"/>
      </w:r>
      <w:r w:rsidR="00431498">
        <w:rPr>
          <w:szCs w:val="22"/>
        </w:rPr>
        <w:t xml:space="preserve"> </w:t>
      </w:r>
      <w:r w:rsidR="002202B5" w:rsidRPr="002202B5">
        <w:rPr>
          <w:szCs w:val="22"/>
        </w:rPr>
        <w:t>The </w:t>
      </w:r>
      <w:r w:rsidR="002202B5" w:rsidRPr="002202B5">
        <w:rPr>
          <w:i/>
          <w:iCs/>
          <w:szCs w:val="22"/>
        </w:rPr>
        <w:t>Change the Course</w:t>
      </w:r>
      <w:r w:rsidR="002202B5" w:rsidRPr="002202B5">
        <w:rPr>
          <w:szCs w:val="22"/>
        </w:rPr>
        <w:t> report also found that international students were less aware of formal pathways available for disclosure and reporting</w:t>
      </w:r>
      <w:r w:rsidR="00417C69">
        <w:rPr>
          <w:szCs w:val="22"/>
        </w:rPr>
        <w:t>.</w:t>
      </w:r>
      <w:r w:rsidR="002202B5">
        <w:rPr>
          <w:rStyle w:val="FootnoteReference"/>
          <w:szCs w:val="22"/>
        </w:rPr>
        <w:footnoteReference w:id="95"/>
      </w:r>
      <w:r w:rsidR="002202B5" w:rsidRPr="002202B5">
        <w:rPr>
          <w:szCs w:val="22"/>
        </w:rPr>
        <w:t xml:space="preserve"> This lack of awareness</w:t>
      </w:r>
      <w:r w:rsidR="00253B9C">
        <w:rPr>
          <w:szCs w:val="22"/>
        </w:rPr>
        <w:t xml:space="preserve">, </w:t>
      </w:r>
      <w:r w:rsidR="002202B5" w:rsidRPr="002202B5">
        <w:rPr>
          <w:szCs w:val="22"/>
        </w:rPr>
        <w:t>compounded by language barriers and the absence of translated or culturally appropriate procedures</w:t>
      </w:r>
      <w:r w:rsidR="00253B9C">
        <w:rPr>
          <w:szCs w:val="22"/>
        </w:rPr>
        <w:t xml:space="preserve">, </w:t>
      </w:r>
      <w:r w:rsidR="002202B5" w:rsidRPr="002202B5">
        <w:rPr>
          <w:szCs w:val="22"/>
        </w:rPr>
        <w:t>can significantly hinder help-seeking and further contribute to underreporting among international students.</w:t>
      </w:r>
    </w:p>
    <w:p w14:paraId="20322D90" w14:textId="5C860317" w:rsidR="00C9606D" w:rsidRPr="00386C3F" w:rsidRDefault="00B14C3C" w:rsidP="00436A24">
      <w:pPr>
        <w:spacing w:line="276" w:lineRule="auto"/>
        <w:rPr>
          <w:szCs w:val="22"/>
          <w:vertAlign w:val="superscript"/>
        </w:rPr>
      </w:pPr>
      <w:r>
        <w:rPr>
          <w:szCs w:val="22"/>
        </w:rPr>
        <w:t>Supporting the</w:t>
      </w:r>
      <w:r w:rsidR="00E30446">
        <w:rPr>
          <w:szCs w:val="22"/>
        </w:rPr>
        <w:t xml:space="preserve"> above</w:t>
      </w:r>
      <w:r>
        <w:rPr>
          <w:szCs w:val="22"/>
        </w:rPr>
        <w:t xml:space="preserve"> findings,</w:t>
      </w:r>
      <w:r w:rsidR="007A423A" w:rsidRPr="00386C3F">
        <w:rPr>
          <w:szCs w:val="22"/>
        </w:rPr>
        <w:t xml:space="preserve"> the department </w:t>
      </w:r>
      <w:r w:rsidR="00E15D90" w:rsidRPr="00386C3F">
        <w:rPr>
          <w:szCs w:val="22"/>
        </w:rPr>
        <w:t>has heard</w:t>
      </w:r>
      <w:r w:rsidR="007A423A" w:rsidRPr="00386C3F">
        <w:rPr>
          <w:szCs w:val="22"/>
        </w:rPr>
        <w:t xml:space="preserve"> directly from advocates during consultation that international students are concerned that reporting </w:t>
      </w:r>
      <w:r w:rsidR="00B7771B" w:rsidRPr="00386C3F">
        <w:rPr>
          <w:szCs w:val="22"/>
        </w:rPr>
        <w:t>GBV</w:t>
      </w:r>
      <w:r w:rsidR="007A423A" w:rsidRPr="00386C3F">
        <w:rPr>
          <w:szCs w:val="22"/>
        </w:rPr>
        <w:t xml:space="preserve"> may adversely impact their visa status</w:t>
      </w:r>
      <w:r w:rsidR="60668D64" w:rsidRPr="00386C3F">
        <w:rPr>
          <w:szCs w:val="22"/>
        </w:rPr>
        <w:t>,</w:t>
      </w:r>
      <w:r w:rsidR="007A423A" w:rsidRPr="00386C3F">
        <w:rPr>
          <w:szCs w:val="22"/>
        </w:rPr>
        <w:t xml:space="preserve"> and that </w:t>
      </w:r>
      <w:r w:rsidR="16F005EE" w:rsidRPr="00386C3F">
        <w:rPr>
          <w:szCs w:val="22"/>
        </w:rPr>
        <w:t xml:space="preserve">they </w:t>
      </w:r>
      <w:r w:rsidR="007A423A" w:rsidRPr="00386C3F">
        <w:rPr>
          <w:szCs w:val="22"/>
        </w:rPr>
        <w:t xml:space="preserve">often return to their perpetrator due to a lack of </w:t>
      </w:r>
      <w:r w:rsidR="186556C0" w:rsidRPr="00386C3F">
        <w:rPr>
          <w:szCs w:val="22"/>
        </w:rPr>
        <w:t xml:space="preserve">accessible and culturally appropriate </w:t>
      </w:r>
      <w:r w:rsidR="007A423A" w:rsidRPr="00386C3F">
        <w:rPr>
          <w:szCs w:val="22"/>
        </w:rPr>
        <w:t>support services. Research also shows that migrant and refugee women are more likely to be impacted by the consequences of domestic and family violence and the barriers to seeking help. Stereotypes of some cultures as being inherently more oppressive or violent can serve to decrease the accountability of perpetrators and disempower victim-survivors, and women may refrain from seeking help for fear of misrepresenting and reinforcing negative stereotypes about their communities.</w:t>
      </w:r>
      <w:r w:rsidR="007A423A" w:rsidRPr="00386C3F">
        <w:rPr>
          <w:szCs w:val="22"/>
          <w:vertAlign w:val="superscript"/>
        </w:rPr>
        <w:footnoteReference w:id="96"/>
      </w:r>
    </w:p>
    <w:p w14:paraId="44C2083E" w14:textId="4F5D4CD4" w:rsidR="00436A24" w:rsidRPr="00386C3F" w:rsidRDefault="00C9606D" w:rsidP="35222034">
      <w:pPr>
        <w:spacing w:line="276" w:lineRule="auto"/>
        <w:rPr>
          <w:szCs w:val="22"/>
        </w:rPr>
      </w:pPr>
      <w:r w:rsidRPr="00386C3F">
        <w:rPr>
          <w:szCs w:val="22"/>
        </w:rPr>
        <w:t xml:space="preserve">A recent study into the experiences of women international students highlights a significant gap in the current evidence base, noting that robust quantitative data on the nature, context, and prevalence of </w:t>
      </w:r>
      <w:r w:rsidR="00B7771B" w:rsidRPr="00386C3F">
        <w:rPr>
          <w:szCs w:val="22"/>
        </w:rPr>
        <w:t>GBV</w:t>
      </w:r>
      <w:r w:rsidRPr="00386C3F">
        <w:rPr>
          <w:szCs w:val="22"/>
        </w:rPr>
        <w:t xml:space="preserve"> among international students is largely absent</w:t>
      </w:r>
      <w:r w:rsidR="002248A6">
        <w:rPr>
          <w:szCs w:val="22"/>
        </w:rPr>
        <w:t>.</w:t>
      </w:r>
      <w:r w:rsidR="00C560C4" w:rsidRPr="00386C3F">
        <w:rPr>
          <w:rStyle w:val="FootnoteReference"/>
          <w:szCs w:val="22"/>
        </w:rPr>
        <w:footnoteReference w:id="97"/>
      </w:r>
      <w:r w:rsidRPr="00386C3F">
        <w:rPr>
          <w:szCs w:val="22"/>
        </w:rPr>
        <w:t xml:space="preserve"> This underscores the need for more comprehensive and disaggregated data collection that specifically includes international students as a distinct cohort. </w:t>
      </w:r>
    </w:p>
    <w:p w14:paraId="6949B3DC" w14:textId="7C281BC9" w:rsidR="00C76E5C" w:rsidRDefault="007A423A" w:rsidP="007A423A">
      <w:pPr>
        <w:pStyle w:val="Heading2"/>
      </w:pPr>
      <w:bookmarkStart w:id="47" w:name="_Toc204699847"/>
      <w:bookmarkStart w:id="48" w:name="_Toc210050221"/>
      <w:r>
        <w:lastRenderedPageBreak/>
        <w:t xml:space="preserve">Problem 4: previous measures to address </w:t>
      </w:r>
      <w:r w:rsidR="00B7771B">
        <w:t>GBV</w:t>
      </w:r>
      <w:r>
        <w:t xml:space="preserve"> in higher education have been </w:t>
      </w:r>
      <w:r w:rsidR="00365805">
        <w:t xml:space="preserve">stalled, </w:t>
      </w:r>
      <w:r>
        <w:t xml:space="preserve">fragmented, </w:t>
      </w:r>
      <w:r w:rsidR="00A92B53">
        <w:t xml:space="preserve">reactive </w:t>
      </w:r>
      <w:r>
        <w:t>and under</w:t>
      </w:r>
      <w:r w:rsidR="0082377E">
        <w:t xml:space="preserve"> re</w:t>
      </w:r>
      <w:r>
        <w:t>sourced failing to drive lasting change</w:t>
      </w:r>
      <w:bookmarkEnd w:id="47"/>
      <w:bookmarkEnd w:id="48"/>
    </w:p>
    <w:p w14:paraId="3E6C584B" w14:textId="143F65E5" w:rsidR="00A33A7F" w:rsidRPr="00A33A7F" w:rsidRDefault="00A33A7F" w:rsidP="00A33A7F">
      <w:pPr>
        <w:rPr>
          <w:szCs w:val="22"/>
        </w:rPr>
      </w:pPr>
      <w:r w:rsidRPr="00A33A7F">
        <w:rPr>
          <w:szCs w:val="22"/>
        </w:rPr>
        <w:t xml:space="preserve">Efforts to address GBV in Australian higher education have been ongoing for over a decade, yet progress remains limited, inconsistent, and largely dependent on voluntary action. While there have been moments of momentum </w:t>
      </w:r>
      <w:r w:rsidR="00770B37" w:rsidRPr="00386C3F">
        <w:rPr>
          <w:rFonts w:cs="Calibri"/>
          <w:szCs w:val="22"/>
        </w:rPr>
        <w:t>–</w:t>
      </w:r>
      <w:r w:rsidR="004E36FA">
        <w:rPr>
          <w:rFonts w:cs="Calibri"/>
          <w:szCs w:val="22"/>
        </w:rPr>
        <w:t xml:space="preserve"> </w:t>
      </w:r>
      <w:r w:rsidRPr="00A33A7F">
        <w:rPr>
          <w:szCs w:val="22"/>
        </w:rPr>
        <w:t xml:space="preserve">driven by advocacy, media attention, and landmark reports </w:t>
      </w:r>
      <w:r w:rsidR="00770B37" w:rsidRPr="00386C3F">
        <w:rPr>
          <w:rFonts w:cs="Calibri"/>
          <w:szCs w:val="22"/>
        </w:rPr>
        <w:t xml:space="preserve">– </w:t>
      </w:r>
      <w:r w:rsidRPr="00A33A7F">
        <w:rPr>
          <w:szCs w:val="22"/>
        </w:rPr>
        <w:t>these have not translated into sustained, system-wide change.</w:t>
      </w:r>
    </w:p>
    <w:p w14:paraId="3B5FDCA5" w14:textId="4608BCD4" w:rsidR="00A33A7F" w:rsidRPr="00A33A7F" w:rsidRDefault="002E54D1" w:rsidP="00D66769">
      <w:pPr>
        <w:rPr>
          <w:szCs w:val="22"/>
        </w:rPr>
      </w:pPr>
      <w:r>
        <w:rPr>
          <w:szCs w:val="22"/>
        </w:rPr>
        <w:t xml:space="preserve">The </w:t>
      </w:r>
      <w:r w:rsidR="00A33A7F" w:rsidRPr="00A33A7F">
        <w:rPr>
          <w:szCs w:val="22"/>
        </w:rPr>
        <w:t xml:space="preserve">release of the 2016 documentary </w:t>
      </w:r>
      <w:r w:rsidR="00A33A7F" w:rsidRPr="00A33A7F">
        <w:rPr>
          <w:i/>
          <w:iCs/>
          <w:szCs w:val="22"/>
        </w:rPr>
        <w:t>The Hunting Ground</w:t>
      </w:r>
      <w:r w:rsidR="00A33A7F" w:rsidRPr="00A33A7F">
        <w:rPr>
          <w:szCs w:val="22"/>
        </w:rPr>
        <w:t xml:space="preserve"> and the subsequent advocacy campaign </w:t>
      </w:r>
      <w:r w:rsidR="00F51409">
        <w:rPr>
          <w:szCs w:val="22"/>
        </w:rPr>
        <w:t xml:space="preserve">motivated a visible sector-wide response </w:t>
      </w:r>
      <w:r w:rsidR="00A33A7F" w:rsidRPr="00A33A7F">
        <w:rPr>
          <w:szCs w:val="22"/>
        </w:rPr>
        <w:t xml:space="preserve">to the issue of gender-based violence in higher education settings. </w:t>
      </w:r>
      <w:r w:rsidR="733589BB" w:rsidRPr="00386C3F">
        <w:rPr>
          <w:szCs w:val="22"/>
        </w:rPr>
        <w:t>The campaign raised</w:t>
      </w:r>
      <w:r w:rsidR="00A33A7F" w:rsidRPr="00A33A7F">
        <w:rPr>
          <w:szCs w:val="22"/>
        </w:rPr>
        <w:t xml:space="preserve"> awareness of gender-based violence on campus through screenings of the documentary at universities. An evaluation report published by the Hunting Ground – Australia Project (THGAP) documents the initial resistance they encountered, which included hostility, downplaying the extent of gender-based violence at their institution, relegation of the problem as a police matter, and classifying it as a ‘grey area’. However, as the project continued, </w:t>
      </w:r>
      <w:r w:rsidR="00AD0E6A">
        <w:rPr>
          <w:szCs w:val="22"/>
        </w:rPr>
        <w:t>and</w:t>
      </w:r>
      <w:r w:rsidR="00A33A7F" w:rsidRPr="00A33A7F">
        <w:rPr>
          <w:szCs w:val="22"/>
        </w:rPr>
        <w:t xml:space="preserve"> student activism and media attention increased, universities became more willing to address student safety. </w:t>
      </w:r>
    </w:p>
    <w:p w14:paraId="155BA52F" w14:textId="1BBB49D8" w:rsidR="00125451" w:rsidRPr="00386C3F" w:rsidRDefault="00A33A7F" w:rsidP="00D66769">
      <w:pPr>
        <w:spacing w:after="120"/>
        <w:rPr>
          <w:rFonts w:ascii="Aptos" w:hAnsi="Aptos"/>
          <w:szCs w:val="22"/>
        </w:rPr>
      </w:pPr>
      <w:r w:rsidRPr="00A33A7F">
        <w:rPr>
          <w:szCs w:val="22"/>
        </w:rPr>
        <w:t xml:space="preserve">This </w:t>
      </w:r>
      <w:r w:rsidR="009A62DF">
        <w:rPr>
          <w:szCs w:val="22"/>
        </w:rPr>
        <w:t>action</w:t>
      </w:r>
      <w:r w:rsidRPr="00A33A7F">
        <w:rPr>
          <w:szCs w:val="22"/>
        </w:rPr>
        <w:t xml:space="preserve"> led to Universities Australia launching the </w:t>
      </w:r>
      <w:r w:rsidRPr="00490BFD">
        <w:rPr>
          <w:i/>
          <w:szCs w:val="22"/>
        </w:rPr>
        <w:t>Respect. Now. Always</w:t>
      </w:r>
      <w:r w:rsidRPr="00A33A7F">
        <w:rPr>
          <w:szCs w:val="22"/>
        </w:rPr>
        <w:t xml:space="preserve"> initiative to prevent sexual violence in university communities and improve how universities respond to those affected. </w:t>
      </w:r>
      <w:r w:rsidR="00125451" w:rsidRPr="00386C3F">
        <w:rPr>
          <w:rFonts w:ascii="Aptos" w:hAnsi="Aptos"/>
          <w:szCs w:val="22"/>
        </w:rPr>
        <w:t>This initiative established:</w:t>
      </w:r>
    </w:p>
    <w:p w14:paraId="77DCC61A" w14:textId="2D312E82" w:rsidR="00125451" w:rsidRPr="00386C3F" w:rsidRDefault="00CE4F2E" w:rsidP="00D66769">
      <w:pPr>
        <w:pStyle w:val="ListParagraph"/>
        <w:numPr>
          <w:ilvl w:val="0"/>
          <w:numId w:val="19"/>
        </w:numPr>
        <w:spacing w:after="120" w:line="264" w:lineRule="auto"/>
        <w:rPr>
          <w:rFonts w:ascii="Aptos" w:hAnsi="Aptos"/>
          <w:szCs w:val="22"/>
        </w:rPr>
      </w:pPr>
      <w:r>
        <w:rPr>
          <w:szCs w:val="22"/>
        </w:rPr>
        <w:t>t</w:t>
      </w:r>
      <w:r w:rsidR="00D66769" w:rsidRPr="00386C3F">
        <w:rPr>
          <w:szCs w:val="22"/>
        </w:rPr>
        <w:t>he commissioning</w:t>
      </w:r>
      <w:r w:rsidR="00D66769" w:rsidRPr="00A33A7F">
        <w:rPr>
          <w:szCs w:val="22"/>
        </w:rPr>
        <w:t xml:space="preserve"> </w:t>
      </w:r>
      <w:r w:rsidR="00595A0A">
        <w:rPr>
          <w:szCs w:val="22"/>
        </w:rPr>
        <w:t xml:space="preserve">of </w:t>
      </w:r>
      <w:r w:rsidR="00D66769" w:rsidRPr="00A33A7F">
        <w:rPr>
          <w:szCs w:val="22"/>
        </w:rPr>
        <w:t>the Australian Human Rights Commission to conduct a national survey of university students on their experiences of sexual assault and sexual harassment.</w:t>
      </w:r>
    </w:p>
    <w:p w14:paraId="6BA8BEF7" w14:textId="77777777" w:rsidR="00125451" w:rsidRPr="00386C3F" w:rsidRDefault="00125451" w:rsidP="00D66769">
      <w:pPr>
        <w:pStyle w:val="ListParagraph"/>
        <w:numPr>
          <w:ilvl w:val="0"/>
          <w:numId w:val="19"/>
        </w:numPr>
        <w:spacing w:after="120" w:line="264" w:lineRule="auto"/>
        <w:rPr>
          <w:rFonts w:ascii="Aptos" w:hAnsi="Aptos"/>
          <w:szCs w:val="22"/>
        </w:rPr>
      </w:pPr>
      <w:r w:rsidRPr="00386C3F">
        <w:rPr>
          <w:rFonts w:ascii="Aptos" w:hAnsi="Aptos"/>
          <w:szCs w:val="22"/>
        </w:rPr>
        <w:t>a whole-of university model to prevent gender-based violence (in collaboration with Our Watch and the Victorian Government)</w:t>
      </w:r>
    </w:p>
    <w:p w14:paraId="43B2FCBF" w14:textId="77777777" w:rsidR="00125451" w:rsidRPr="00386C3F" w:rsidRDefault="00125451" w:rsidP="00D66769">
      <w:pPr>
        <w:pStyle w:val="ListParagraph"/>
        <w:numPr>
          <w:ilvl w:val="0"/>
          <w:numId w:val="19"/>
        </w:numPr>
        <w:spacing w:after="120" w:line="264" w:lineRule="auto"/>
        <w:rPr>
          <w:rFonts w:ascii="Aptos" w:hAnsi="Aptos"/>
          <w:szCs w:val="22"/>
        </w:rPr>
      </w:pPr>
      <w:r w:rsidRPr="00386C3F">
        <w:rPr>
          <w:rFonts w:ascii="Aptos" w:hAnsi="Aptos"/>
          <w:szCs w:val="22"/>
        </w:rPr>
        <w:t>training resources and guidelines for responding to incidents, supervisor-postgraduate interactions, and guidance residential colleges staff.</w:t>
      </w:r>
    </w:p>
    <w:p w14:paraId="6195B800" w14:textId="7DDA28C8" w:rsidR="00A33A7F" w:rsidRPr="00A33A7F" w:rsidRDefault="00496CD0" w:rsidP="00D66769">
      <w:pPr>
        <w:rPr>
          <w:szCs w:val="22"/>
        </w:rPr>
      </w:pPr>
      <w:r w:rsidRPr="00386C3F">
        <w:rPr>
          <w:szCs w:val="22"/>
        </w:rPr>
        <w:t>The AHRC</w:t>
      </w:r>
      <w:r w:rsidR="00CE4F2E">
        <w:rPr>
          <w:szCs w:val="22"/>
        </w:rPr>
        <w:t>’</w:t>
      </w:r>
      <w:r w:rsidRPr="00386C3F">
        <w:rPr>
          <w:szCs w:val="22"/>
        </w:rPr>
        <w:t xml:space="preserve">s 2017 </w:t>
      </w:r>
      <w:r w:rsidRPr="00386C3F">
        <w:rPr>
          <w:i/>
          <w:iCs/>
          <w:szCs w:val="22"/>
        </w:rPr>
        <w:t>Change the Course Report</w:t>
      </w:r>
      <w:r w:rsidRPr="00386C3F">
        <w:rPr>
          <w:szCs w:val="22"/>
        </w:rPr>
        <w:t xml:space="preserve"> was a significant milestone as it provided the first national prevalence data on sexual assault and sexual harassment in Australian Universities. </w:t>
      </w:r>
      <w:r w:rsidR="00A33A7F" w:rsidRPr="00A33A7F">
        <w:rPr>
          <w:szCs w:val="22"/>
        </w:rPr>
        <w:t>The report made nine recommendations – eight were directed at universities and one was directed to residential colleges and student accommodation providers. These recommendations focused on five domains of reform:</w:t>
      </w:r>
    </w:p>
    <w:p w14:paraId="47C0D2CF" w14:textId="77777777" w:rsidR="00A33A7F" w:rsidRPr="00A33A7F" w:rsidRDefault="00A33A7F" w:rsidP="00374E2E">
      <w:pPr>
        <w:numPr>
          <w:ilvl w:val="0"/>
          <w:numId w:val="20"/>
        </w:numPr>
        <w:spacing w:after="0"/>
        <w:rPr>
          <w:szCs w:val="22"/>
        </w:rPr>
      </w:pPr>
      <w:r w:rsidRPr="00A33A7F">
        <w:rPr>
          <w:szCs w:val="22"/>
        </w:rPr>
        <w:t>Strengthening institutional governance and leadership</w:t>
      </w:r>
    </w:p>
    <w:p w14:paraId="4B641DE0" w14:textId="77777777" w:rsidR="00A33A7F" w:rsidRPr="00A33A7F" w:rsidRDefault="00A33A7F" w:rsidP="00374E2E">
      <w:pPr>
        <w:numPr>
          <w:ilvl w:val="0"/>
          <w:numId w:val="20"/>
        </w:numPr>
        <w:spacing w:after="0"/>
        <w:rPr>
          <w:szCs w:val="22"/>
        </w:rPr>
      </w:pPr>
      <w:r w:rsidRPr="00A33A7F">
        <w:rPr>
          <w:szCs w:val="22"/>
        </w:rPr>
        <w:t>Embedding university-wide cultural change</w:t>
      </w:r>
    </w:p>
    <w:p w14:paraId="5ADAE993" w14:textId="77777777" w:rsidR="00A33A7F" w:rsidRPr="00A33A7F" w:rsidRDefault="00A33A7F" w:rsidP="00374E2E">
      <w:pPr>
        <w:numPr>
          <w:ilvl w:val="0"/>
          <w:numId w:val="20"/>
        </w:numPr>
        <w:spacing w:after="0"/>
        <w:rPr>
          <w:szCs w:val="22"/>
        </w:rPr>
      </w:pPr>
      <w:r w:rsidRPr="00A33A7F">
        <w:rPr>
          <w:szCs w:val="22"/>
        </w:rPr>
        <w:t>Implementing primary prevention strategies</w:t>
      </w:r>
    </w:p>
    <w:p w14:paraId="1B3F8605" w14:textId="77777777" w:rsidR="00A33A7F" w:rsidRPr="00A33A7F" w:rsidRDefault="00A33A7F" w:rsidP="00374E2E">
      <w:pPr>
        <w:numPr>
          <w:ilvl w:val="0"/>
          <w:numId w:val="20"/>
        </w:numPr>
        <w:spacing w:after="0"/>
        <w:rPr>
          <w:szCs w:val="22"/>
        </w:rPr>
      </w:pPr>
      <w:r w:rsidRPr="00A33A7F">
        <w:rPr>
          <w:szCs w:val="22"/>
        </w:rPr>
        <w:t>Establishing effective monitoring and evaluation frameworks</w:t>
      </w:r>
    </w:p>
    <w:p w14:paraId="6F052A95" w14:textId="77777777" w:rsidR="00A33A7F" w:rsidRPr="00A33A7F" w:rsidRDefault="00A33A7F" w:rsidP="00374E2E">
      <w:pPr>
        <w:numPr>
          <w:ilvl w:val="0"/>
          <w:numId w:val="20"/>
        </w:numPr>
        <w:spacing w:after="0"/>
        <w:rPr>
          <w:szCs w:val="22"/>
        </w:rPr>
      </w:pPr>
      <w:r w:rsidRPr="00A33A7F">
        <w:rPr>
          <w:szCs w:val="22"/>
        </w:rPr>
        <w:t>Ensure that student accommodation providers offer safe and supportive environment.</w:t>
      </w:r>
      <w:r w:rsidRPr="00A33A7F">
        <w:rPr>
          <w:szCs w:val="22"/>
          <w:vertAlign w:val="superscript"/>
        </w:rPr>
        <w:footnoteReference w:id="98"/>
      </w:r>
    </w:p>
    <w:p w14:paraId="6E8D98AA" w14:textId="1A98B23F" w:rsidR="009730F1" w:rsidRPr="00A33A7F" w:rsidRDefault="00A33A7F" w:rsidP="00DD4830">
      <w:pPr>
        <w:spacing w:before="240"/>
        <w:rPr>
          <w:szCs w:val="22"/>
        </w:rPr>
      </w:pPr>
      <w:r w:rsidRPr="00A33A7F">
        <w:rPr>
          <w:szCs w:val="22"/>
        </w:rPr>
        <w:t xml:space="preserve">Following the release of the </w:t>
      </w:r>
      <w:r w:rsidRPr="00A33A7F">
        <w:rPr>
          <w:i/>
          <w:szCs w:val="22"/>
        </w:rPr>
        <w:t>Change the Course</w:t>
      </w:r>
      <w:r w:rsidRPr="00A33A7F">
        <w:rPr>
          <w:szCs w:val="22"/>
        </w:rPr>
        <w:t xml:space="preserve"> report, the then Minister for Education and Training wrote to all universities, asking them to respond quickly and comprehensively to the </w:t>
      </w:r>
      <w:r w:rsidRPr="00A33A7F">
        <w:rPr>
          <w:szCs w:val="22"/>
        </w:rPr>
        <w:lastRenderedPageBreak/>
        <w:t>recommendations and take all necessary actions to ensure that Australian universities are places of safety and respect.</w:t>
      </w:r>
      <w:r w:rsidRPr="00A33A7F">
        <w:rPr>
          <w:rFonts w:eastAsiaTheme="minorEastAsia"/>
          <w:szCs w:val="22"/>
        </w:rPr>
        <w:t> The report prompted the university sector to commit to strong and swift action, adopting a range of initiatives to strengthen institutional responses. This included commitments to establishing advisory bodies, reviewing policies and response pathways, increasing and reviewing support services, and providing training and education around sexual assault, sexual harassment and respectful relationships. </w:t>
      </w:r>
    </w:p>
    <w:p w14:paraId="2704EBC2" w14:textId="327B7529" w:rsidR="007F4022" w:rsidRPr="00386C3F" w:rsidRDefault="00A33A7F" w:rsidP="007F4022">
      <w:pPr>
        <w:rPr>
          <w:szCs w:val="22"/>
        </w:rPr>
      </w:pPr>
      <w:r w:rsidRPr="00A33A7F">
        <w:rPr>
          <w:szCs w:val="22"/>
        </w:rPr>
        <w:t xml:space="preserve">A review by TEQSA in 2019 found that Universities had largely implemented the recommendations of the report </w:t>
      </w:r>
      <w:r w:rsidRPr="00A33A7F">
        <w:rPr>
          <w:rFonts w:eastAsiaTheme="minorEastAsia"/>
          <w:szCs w:val="22"/>
        </w:rPr>
        <w:t xml:space="preserve">and were responding to the issue of sexual assault and sexual harassment, supported by University Australia’s </w:t>
      </w:r>
      <w:r w:rsidR="006B296A" w:rsidRPr="00490BFD">
        <w:rPr>
          <w:rFonts w:eastAsiaTheme="minorEastAsia"/>
          <w:i/>
          <w:szCs w:val="22"/>
        </w:rPr>
        <w:t>Respect.Now.Always</w:t>
      </w:r>
      <w:r w:rsidRPr="00A33A7F">
        <w:rPr>
          <w:rFonts w:eastAsiaTheme="minorEastAsia"/>
          <w:szCs w:val="22"/>
        </w:rPr>
        <w:t xml:space="preserve"> campaign.</w:t>
      </w:r>
      <w:r w:rsidRPr="00A33A7F">
        <w:rPr>
          <w:szCs w:val="22"/>
        </w:rPr>
        <w:t xml:space="preserve"> </w:t>
      </w:r>
    </w:p>
    <w:p w14:paraId="575459D2" w14:textId="42E88C28" w:rsidR="007F4022" w:rsidRPr="007F4022" w:rsidRDefault="007F4022" w:rsidP="007F4022">
      <w:pPr>
        <w:spacing w:after="120" w:line="264" w:lineRule="auto"/>
        <w:rPr>
          <w:rFonts w:ascii="Aptos" w:eastAsia="MS Mincho" w:hAnsi="Aptos" w:cs="Times New Roman"/>
          <w:kern w:val="0"/>
          <w:szCs w:val="22"/>
          <w14:ligatures w14:val="none"/>
        </w:rPr>
      </w:pPr>
      <w:r w:rsidRPr="007F4022">
        <w:rPr>
          <w:rFonts w:ascii="Aptos" w:eastAsia="MS Mincho" w:hAnsi="Aptos" w:cs="Times New Roman"/>
          <w:kern w:val="0"/>
          <w:szCs w:val="22"/>
          <w14:ligatures w14:val="none"/>
        </w:rPr>
        <w:t>In 2019, the Tertiary Education Quality and Standards Agency (TEQSA) published an audit of higher education providers’ responses to AHRC’s recommendations in Change the Course.</w:t>
      </w:r>
      <w:r w:rsidRPr="007F4022">
        <w:rPr>
          <w:rFonts w:ascii="Aptos" w:eastAsia="MS Mincho" w:hAnsi="Aptos" w:cs="Times New Roman"/>
          <w:kern w:val="0"/>
          <w:szCs w:val="22"/>
          <w:vertAlign w:val="superscript"/>
          <w14:ligatures w14:val="none"/>
        </w:rPr>
        <w:footnoteReference w:id="99"/>
      </w:r>
      <w:r w:rsidRPr="007F4022">
        <w:rPr>
          <w:rFonts w:ascii="Aptos" w:eastAsia="MS Mincho" w:hAnsi="Aptos" w:cs="Times New Roman"/>
          <w:kern w:val="0"/>
          <w:szCs w:val="22"/>
          <w14:ligatures w14:val="none"/>
        </w:rPr>
        <w:t xml:space="preserve"> </w:t>
      </w:r>
      <w:r w:rsidR="00450449">
        <w:rPr>
          <w:rFonts w:ascii="Aptos" w:eastAsia="MS Mincho" w:hAnsi="Aptos" w:cs="Times New Roman"/>
          <w:kern w:val="0"/>
          <w:szCs w:val="22"/>
          <w14:ligatures w14:val="none"/>
        </w:rPr>
        <w:t>The audit</w:t>
      </w:r>
      <w:r w:rsidRPr="007F4022">
        <w:rPr>
          <w:rFonts w:ascii="Aptos" w:eastAsia="MS Mincho" w:hAnsi="Aptos" w:cs="Times New Roman"/>
          <w:kern w:val="0"/>
          <w:szCs w:val="22"/>
          <w14:ligatures w14:val="none"/>
        </w:rPr>
        <w:t xml:space="preserve"> found that: </w:t>
      </w:r>
    </w:p>
    <w:p w14:paraId="5A06B9DC" w14:textId="3E79F1DC" w:rsidR="007F4022" w:rsidRPr="007F4022" w:rsidRDefault="007F4022" w:rsidP="007F4022">
      <w:pPr>
        <w:numPr>
          <w:ilvl w:val="0"/>
          <w:numId w:val="19"/>
        </w:numPr>
        <w:spacing w:after="120" w:line="264" w:lineRule="auto"/>
        <w:contextualSpacing/>
        <w:rPr>
          <w:rFonts w:ascii="Aptos" w:eastAsia="MS Mincho" w:hAnsi="Aptos" w:cs="Times New Roman"/>
          <w:kern w:val="0"/>
          <w:szCs w:val="22"/>
          <w14:ligatures w14:val="none"/>
        </w:rPr>
      </w:pPr>
      <w:r w:rsidRPr="007F4022">
        <w:rPr>
          <w:rFonts w:ascii="Aptos" w:eastAsia="MS Mincho" w:hAnsi="Aptos" w:cs="Times New Roman"/>
          <w:kern w:val="0"/>
          <w:szCs w:val="22"/>
          <w14:ligatures w14:val="none"/>
        </w:rPr>
        <w:t>most universities accepted the</w:t>
      </w:r>
      <w:r w:rsidR="00490BFD">
        <w:rPr>
          <w:rFonts w:ascii="Aptos" w:eastAsia="MS Mincho" w:hAnsi="Aptos" w:cs="Times New Roman"/>
          <w:kern w:val="0"/>
          <w:szCs w:val="22"/>
          <w14:ligatures w14:val="none"/>
        </w:rPr>
        <w:t xml:space="preserve"> recommendations of the</w:t>
      </w:r>
      <w:r w:rsidRPr="007F4022">
        <w:rPr>
          <w:rFonts w:ascii="Aptos" w:eastAsia="MS Mincho" w:hAnsi="Aptos" w:cs="Times New Roman"/>
          <w:kern w:val="0"/>
          <w:szCs w:val="22"/>
          <w14:ligatures w14:val="none"/>
        </w:rPr>
        <w:t xml:space="preserve"> </w:t>
      </w:r>
      <w:r w:rsidRPr="00490BFD">
        <w:rPr>
          <w:rFonts w:ascii="Aptos" w:eastAsia="MS Mincho" w:hAnsi="Aptos" w:cs="Times New Roman"/>
          <w:i/>
          <w:kern w:val="0"/>
          <w:szCs w:val="22"/>
          <w14:ligatures w14:val="none"/>
        </w:rPr>
        <w:t xml:space="preserve">Change the Course </w:t>
      </w:r>
      <w:r w:rsidR="0055635F">
        <w:rPr>
          <w:rFonts w:ascii="Aptos" w:eastAsia="MS Mincho" w:hAnsi="Aptos" w:cs="Times New Roman"/>
          <w:kern w:val="0"/>
          <w:szCs w:val="22"/>
          <w14:ligatures w14:val="none"/>
        </w:rPr>
        <w:t>repor</w:t>
      </w:r>
      <w:r w:rsidR="00490BFD">
        <w:rPr>
          <w:rFonts w:ascii="Aptos" w:eastAsia="MS Mincho" w:hAnsi="Aptos" w:cs="Times New Roman"/>
          <w:kern w:val="0"/>
          <w:szCs w:val="22"/>
          <w14:ligatures w14:val="none"/>
        </w:rPr>
        <w:t xml:space="preserve">t </w:t>
      </w:r>
      <w:r w:rsidRPr="007F4022">
        <w:rPr>
          <w:rFonts w:ascii="Aptos" w:eastAsia="MS Mincho" w:hAnsi="Aptos" w:cs="Times New Roman"/>
          <w:kern w:val="0"/>
          <w:szCs w:val="22"/>
          <w14:ligatures w14:val="none"/>
        </w:rPr>
        <w:t xml:space="preserve">and were responding to the issue of sexual assault and sexual </w:t>
      </w:r>
      <w:r w:rsidR="00654D56" w:rsidRPr="007F4022">
        <w:rPr>
          <w:rFonts w:ascii="Aptos" w:eastAsia="MS Mincho" w:hAnsi="Aptos" w:cs="Times New Roman"/>
          <w:kern w:val="0"/>
          <w:szCs w:val="22"/>
          <w14:ligatures w14:val="none"/>
        </w:rPr>
        <w:t>harassment.</w:t>
      </w:r>
      <w:r w:rsidRPr="007F4022">
        <w:rPr>
          <w:rFonts w:ascii="Aptos" w:eastAsia="MS Mincho" w:hAnsi="Aptos" w:cs="Times New Roman"/>
          <w:kern w:val="0"/>
          <w:szCs w:val="22"/>
          <w14:ligatures w14:val="none"/>
        </w:rPr>
        <w:t xml:space="preserve"> </w:t>
      </w:r>
    </w:p>
    <w:p w14:paraId="4F150E54" w14:textId="5A69A9D9" w:rsidR="007F4022" w:rsidRPr="007F4022" w:rsidRDefault="007F4022" w:rsidP="007F4022">
      <w:pPr>
        <w:numPr>
          <w:ilvl w:val="0"/>
          <w:numId w:val="19"/>
        </w:numPr>
        <w:spacing w:after="120" w:line="264" w:lineRule="auto"/>
        <w:contextualSpacing/>
        <w:rPr>
          <w:rFonts w:ascii="Aptos" w:eastAsia="MS Mincho" w:hAnsi="Aptos" w:cs="Times New Roman"/>
          <w:kern w:val="0"/>
          <w:szCs w:val="22"/>
          <w14:ligatures w14:val="none"/>
        </w:rPr>
      </w:pPr>
      <w:r w:rsidRPr="007F4022">
        <w:rPr>
          <w:rFonts w:ascii="Aptos" w:eastAsia="MS Mincho" w:hAnsi="Aptos" w:cs="Times New Roman"/>
          <w:kern w:val="0"/>
          <w:szCs w:val="22"/>
          <w14:ligatures w14:val="none"/>
        </w:rPr>
        <w:t xml:space="preserve">the response of the 126 independent and TAFE higher education providers to the issue of sexual assault and sexual harassment was not as comprehensive as that of </w:t>
      </w:r>
      <w:r w:rsidR="00654D56" w:rsidRPr="007F4022">
        <w:rPr>
          <w:rFonts w:ascii="Aptos" w:eastAsia="MS Mincho" w:hAnsi="Aptos" w:cs="Times New Roman"/>
          <w:kern w:val="0"/>
          <w:szCs w:val="22"/>
          <w14:ligatures w14:val="none"/>
        </w:rPr>
        <w:t>universities.</w:t>
      </w:r>
      <w:r w:rsidRPr="007F4022">
        <w:rPr>
          <w:rFonts w:ascii="Aptos" w:eastAsia="MS Mincho" w:hAnsi="Aptos" w:cs="Times New Roman"/>
          <w:kern w:val="0"/>
          <w:szCs w:val="22"/>
          <w14:ligatures w14:val="none"/>
        </w:rPr>
        <w:t xml:space="preserve"> </w:t>
      </w:r>
    </w:p>
    <w:p w14:paraId="144CEAB0" w14:textId="05EC040D" w:rsidR="007F4022" w:rsidRPr="00386C3F" w:rsidRDefault="007F4022" w:rsidP="00C26860">
      <w:pPr>
        <w:numPr>
          <w:ilvl w:val="0"/>
          <w:numId w:val="19"/>
        </w:numPr>
        <w:spacing w:before="240" w:after="120" w:line="264" w:lineRule="auto"/>
        <w:contextualSpacing/>
        <w:rPr>
          <w:rFonts w:ascii="Aptos" w:eastAsia="MS Mincho" w:hAnsi="Aptos" w:cs="Times New Roman"/>
          <w:kern w:val="0"/>
          <w:szCs w:val="22"/>
          <w14:ligatures w14:val="none"/>
        </w:rPr>
      </w:pPr>
      <w:r w:rsidRPr="007F4022">
        <w:rPr>
          <w:rFonts w:ascii="Aptos" w:eastAsia="MS Mincho" w:hAnsi="Aptos" w:cs="Times New Roman"/>
          <w:kern w:val="0"/>
          <w:szCs w:val="22"/>
          <w14:ligatures w14:val="none"/>
        </w:rPr>
        <w:t xml:space="preserve">only </w:t>
      </w:r>
      <w:r w:rsidR="003F274E">
        <w:rPr>
          <w:rFonts w:ascii="Aptos" w:eastAsia="MS Mincho" w:hAnsi="Aptos" w:cs="Times New Roman"/>
          <w:kern w:val="0"/>
          <w:szCs w:val="22"/>
          <w14:ligatures w14:val="none"/>
        </w:rPr>
        <w:t>9</w:t>
      </w:r>
      <w:r w:rsidRPr="007F4022">
        <w:rPr>
          <w:rFonts w:ascii="Aptos" w:eastAsia="MS Mincho" w:hAnsi="Aptos" w:cs="Times New Roman"/>
          <w:kern w:val="0"/>
          <w:szCs w:val="22"/>
          <w14:ligatures w14:val="none"/>
        </w:rPr>
        <w:t xml:space="preserve"> universities had demonstrated evidence of public reporting of data relating to sexual assault and sexual assault. </w:t>
      </w:r>
    </w:p>
    <w:p w14:paraId="4926B482" w14:textId="062D1AB1" w:rsidR="00A33A7F" w:rsidRPr="00386C3F" w:rsidRDefault="00A33A7F" w:rsidP="00C26860">
      <w:pPr>
        <w:spacing w:before="240"/>
        <w:rPr>
          <w:szCs w:val="22"/>
        </w:rPr>
      </w:pPr>
      <w:r w:rsidRPr="00A33A7F">
        <w:rPr>
          <w:rFonts w:eastAsiaTheme="minorEastAsia"/>
          <w:szCs w:val="22"/>
        </w:rPr>
        <w:t xml:space="preserve">However, the review did not assess the quality or effectiveness of the interventions, </w:t>
      </w:r>
      <w:r w:rsidR="00270938">
        <w:rPr>
          <w:rFonts w:eastAsiaTheme="minorEastAsia"/>
          <w:szCs w:val="22"/>
        </w:rPr>
        <w:t>therefore</w:t>
      </w:r>
      <w:r w:rsidR="00270938" w:rsidRPr="00A33A7F">
        <w:rPr>
          <w:rFonts w:eastAsiaTheme="minorEastAsia"/>
          <w:szCs w:val="22"/>
        </w:rPr>
        <w:t xml:space="preserve"> </w:t>
      </w:r>
      <w:r w:rsidRPr="00A33A7F">
        <w:rPr>
          <w:rFonts w:eastAsiaTheme="minorEastAsia"/>
          <w:szCs w:val="22"/>
        </w:rPr>
        <w:t xml:space="preserve">no conclusions were made about whether responses were best-practice, evidence based, or adequately resourced. </w:t>
      </w:r>
      <w:r w:rsidRPr="00A33A7F">
        <w:rPr>
          <w:szCs w:val="22"/>
        </w:rPr>
        <w:t xml:space="preserve">TEQSA emphasised the importance of comprehensively monitoring the sector to ensure universities are </w:t>
      </w:r>
      <w:r w:rsidR="00B71EF1">
        <w:rPr>
          <w:szCs w:val="22"/>
        </w:rPr>
        <w:t>acting in alignment with their objectives</w:t>
      </w:r>
      <w:r w:rsidRPr="00A33A7F">
        <w:rPr>
          <w:szCs w:val="22"/>
        </w:rPr>
        <w:t>.</w:t>
      </w:r>
      <w:r w:rsidRPr="00A33A7F">
        <w:rPr>
          <w:szCs w:val="22"/>
          <w:vertAlign w:val="superscript"/>
        </w:rPr>
        <w:footnoteReference w:id="100"/>
      </w:r>
      <w:r w:rsidRPr="00A33A7F">
        <w:rPr>
          <w:szCs w:val="22"/>
        </w:rPr>
        <w:t xml:space="preserve"> </w:t>
      </w:r>
    </w:p>
    <w:p w14:paraId="6C269B2D" w14:textId="43CDF3AA" w:rsidR="00A33A7F" w:rsidRPr="00A33A7F" w:rsidRDefault="00005D14" w:rsidP="00A33A7F">
      <w:pPr>
        <w:rPr>
          <w:szCs w:val="22"/>
        </w:rPr>
      </w:pPr>
      <w:r w:rsidRPr="00386C3F">
        <w:rPr>
          <w:rFonts w:ascii="Aptos" w:hAnsi="Aptos"/>
          <w:szCs w:val="22"/>
        </w:rPr>
        <w:t>Despite a sector-wide approach to sexual violence and investment into education and training programs, the impact has not been discernible. The follow-up 2</w:t>
      </w:r>
      <w:r w:rsidRPr="00386C3F">
        <w:rPr>
          <w:rFonts w:ascii="Aptos" w:hAnsi="Aptos"/>
          <w:i/>
          <w:szCs w:val="22"/>
        </w:rPr>
        <w:t>021</w:t>
      </w:r>
      <w:r w:rsidR="00B34D2F" w:rsidRPr="00386C3F">
        <w:rPr>
          <w:rFonts w:ascii="Aptos" w:hAnsi="Aptos"/>
          <w:i/>
          <w:szCs w:val="22"/>
        </w:rPr>
        <w:t xml:space="preserve"> </w:t>
      </w:r>
      <w:r w:rsidR="00A33A7F" w:rsidRPr="00A33A7F">
        <w:rPr>
          <w:i/>
          <w:szCs w:val="22"/>
        </w:rPr>
        <w:t>National Student Survey</w:t>
      </w:r>
      <w:r w:rsidR="00A33A7F" w:rsidRPr="00A33A7F">
        <w:rPr>
          <w:szCs w:val="22"/>
        </w:rPr>
        <w:t xml:space="preserve"> indicated that the prevalence of gender-based violence was still significant</w:t>
      </w:r>
      <w:r w:rsidR="00490BFD">
        <w:rPr>
          <w:szCs w:val="22"/>
        </w:rPr>
        <w:t xml:space="preserve">, </w:t>
      </w:r>
      <w:r w:rsidR="00D14AAA">
        <w:rPr>
          <w:szCs w:val="22"/>
        </w:rPr>
        <w:t>and</w:t>
      </w:r>
      <w:r w:rsidR="00490BFD">
        <w:rPr>
          <w:szCs w:val="22"/>
        </w:rPr>
        <w:t xml:space="preserve"> t</w:t>
      </w:r>
      <w:r w:rsidR="00A33A7F" w:rsidRPr="00A33A7F">
        <w:rPr>
          <w:szCs w:val="22"/>
        </w:rPr>
        <w:t xml:space="preserve">hat despite voluntary steps by providers, substantive change had not occurred. </w:t>
      </w:r>
      <w:r w:rsidR="00A33A7F" w:rsidRPr="00386C3F">
        <w:rPr>
          <w:szCs w:val="22"/>
        </w:rPr>
        <w:t xml:space="preserve">The </w:t>
      </w:r>
      <w:r w:rsidR="421957D9" w:rsidRPr="00386C3F">
        <w:rPr>
          <w:szCs w:val="22"/>
        </w:rPr>
        <w:t xml:space="preserve">survey </w:t>
      </w:r>
      <w:r w:rsidR="6E52D475" w:rsidRPr="00386C3F">
        <w:rPr>
          <w:szCs w:val="22"/>
        </w:rPr>
        <w:t>i</w:t>
      </w:r>
      <w:r w:rsidR="00A33A7F" w:rsidRPr="00386C3F">
        <w:rPr>
          <w:szCs w:val="22"/>
        </w:rPr>
        <w:t>dentified</w:t>
      </w:r>
      <w:r w:rsidR="00A33A7F" w:rsidRPr="00A33A7F">
        <w:rPr>
          <w:szCs w:val="22"/>
        </w:rPr>
        <w:t xml:space="preserve"> significant deficits in institutional responses:</w:t>
      </w:r>
    </w:p>
    <w:p w14:paraId="201C00D0" w14:textId="77777777" w:rsidR="00A33A7F" w:rsidRPr="00386C3F" w:rsidRDefault="00A33A7F" w:rsidP="008D4824">
      <w:pPr>
        <w:pStyle w:val="ListParagraph"/>
        <w:numPr>
          <w:ilvl w:val="0"/>
          <w:numId w:val="177"/>
        </w:numPr>
        <w:rPr>
          <w:szCs w:val="22"/>
        </w:rPr>
      </w:pPr>
      <w:r w:rsidRPr="00386C3F">
        <w:rPr>
          <w:szCs w:val="22"/>
        </w:rPr>
        <w:t xml:space="preserve">Fewer than 10% of victim survivors report the incident to the university. </w:t>
      </w:r>
    </w:p>
    <w:p w14:paraId="6D5801F4" w14:textId="77777777" w:rsidR="00B34D2F" w:rsidRPr="00386C3F" w:rsidRDefault="00A33A7F" w:rsidP="008D4824">
      <w:pPr>
        <w:pStyle w:val="ListParagraph"/>
        <w:numPr>
          <w:ilvl w:val="0"/>
          <w:numId w:val="177"/>
        </w:numPr>
        <w:rPr>
          <w:szCs w:val="22"/>
        </w:rPr>
      </w:pPr>
      <w:r w:rsidRPr="00386C3F">
        <w:rPr>
          <w:szCs w:val="22"/>
        </w:rPr>
        <w:t xml:space="preserve">Of those who reported, only 47.5% felt the complaint and reporting process was adequately explained or accessible. </w:t>
      </w:r>
    </w:p>
    <w:p w14:paraId="644FD809" w14:textId="4ACE2174" w:rsidR="00A33A7F" w:rsidRPr="00386C3F" w:rsidRDefault="00A33A7F" w:rsidP="008D4824">
      <w:pPr>
        <w:pStyle w:val="ListParagraph"/>
        <w:numPr>
          <w:ilvl w:val="0"/>
          <w:numId w:val="177"/>
        </w:numPr>
        <w:rPr>
          <w:szCs w:val="22"/>
        </w:rPr>
      </w:pPr>
      <w:r w:rsidRPr="00386C3F">
        <w:rPr>
          <w:szCs w:val="22"/>
        </w:rPr>
        <w:t xml:space="preserve">Few than </w:t>
      </w:r>
      <w:r w:rsidR="004F0C3C">
        <w:rPr>
          <w:szCs w:val="22"/>
        </w:rPr>
        <w:t>1</w:t>
      </w:r>
      <w:r w:rsidR="004F0C3C" w:rsidRPr="00386C3F">
        <w:rPr>
          <w:szCs w:val="22"/>
        </w:rPr>
        <w:t xml:space="preserve"> </w:t>
      </w:r>
      <w:r w:rsidRPr="00386C3F">
        <w:rPr>
          <w:szCs w:val="22"/>
        </w:rPr>
        <w:t xml:space="preserve">in </w:t>
      </w:r>
      <w:r w:rsidR="004F0C3C">
        <w:rPr>
          <w:szCs w:val="22"/>
        </w:rPr>
        <w:t>3</w:t>
      </w:r>
      <w:r w:rsidR="00503E65">
        <w:rPr>
          <w:szCs w:val="22"/>
        </w:rPr>
        <w:t xml:space="preserve"> </w:t>
      </w:r>
      <w:r w:rsidRPr="00386C3F">
        <w:rPr>
          <w:szCs w:val="22"/>
        </w:rPr>
        <w:t>(29.7%) were satisfied with the providers handling of the process.</w:t>
      </w:r>
      <w:r w:rsidRPr="00386C3F">
        <w:rPr>
          <w:szCs w:val="22"/>
          <w:vertAlign w:val="superscript"/>
        </w:rPr>
        <w:t xml:space="preserve"> </w:t>
      </w:r>
      <w:r w:rsidRPr="00386C3F">
        <w:rPr>
          <w:szCs w:val="22"/>
          <w:vertAlign w:val="superscript"/>
        </w:rPr>
        <w:footnoteReference w:id="101"/>
      </w:r>
    </w:p>
    <w:p w14:paraId="752C696B" w14:textId="2F7E16B0" w:rsidR="00A33A7F" w:rsidRPr="00D4624A" w:rsidRDefault="00A33A7F" w:rsidP="0000408A">
      <w:pPr>
        <w:rPr>
          <w:szCs w:val="22"/>
        </w:rPr>
      </w:pPr>
      <w:r w:rsidRPr="00A33A7F">
        <w:rPr>
          <w:szCs w:val="22"/>
        </w:rPr>
        <w:t>In 2023, following the NSSS and the subsequent public scrutiny, Universities Australia released a Charter on Sexual Harm which commits universities to nine actions to address gender-based violence</w:t>
      </w:r>
      <w:r w:rsidR="0000408A" w:rsidRPr="00386C3F">
        <w:rPr>
          <w:szCs w:val="22"/>
        </w:rPr>
        <w:t>. The Charter outlines a commitment to fostering safe, transparent, and accountable university environments by embedding trauma-informed policies</w:t>
      </w:r>
      <w:r w:rsidR="00713B40">
        <w:rPr>
          <w:szCs w:val="22"/>
        </w:rPr>
        <w:t xml:space="preserve"> (t</w:t>
      </w:r>
      <w:r w:rsidR="00713B40" w:rsidRPr="0075407F">
        <w:rPr>
          <w:szCs w:val="22"/>
        </w:rPr>
        <w:t>rauma-</w:t>
      </w:r>
      <w:r w:rsidR="00713B40" w:rsidRPr="0075407F">
        <w:rPr>
          <w:szCs w:val="22"/>
        </w:rPr>
        <w:lastRenderedPageBreak/>
        <w:t>informed is an approach that applies the core principles of safety, trust, choice, collaboration and empowerment</w:t>
      </w:r>
      <w:r w:rsidR="00713B40">
        <w:rPr>
          <w:szCs w:val="22"/>
        </w:rPr>
        <w:t>)</w:t>
      </w:r>
      <w:r w:rsidR="00D4624A">
        <w:rPr>
          <w:szCs w:val="22"/>
        </w:rPr>
        <w:t xml:space="preserve">, </w:t>
      </w:r>
      <w:r w:rsidR="0000408A" w:rsidRPr="00386C3F">
        <w:rPr>
          <w:szCs w:val="22"/>
        </w:rPr>
        <w:t>clear reporting pathways, and culturally appropriate support services. It emphasises fairness, data transparency, and continuous improvement through evidence-based practice and collaboration</w:t>
      </w:r>
      <w:r w:rsidRPr="00A33A7F">
        <w:rPr>
          <w:szCs w:val="22"/>
        </w:rPr>
        <w:t>.</w:t>
      </w:r>
      <w:r w:rsidR="008D3AC0" w:rsidRPr="00386C3F">
        <w:rPr>
          <w:rStyle w:val="FootnoteReference"/>
          <w:szCs w:val="22"/>
        </w:rPr>
        <w:footnoteReference w:id="102"/>
      </w:r>
      <w:r w:rsidR="00393CA7">
        <w:rPr>
          <w:szCs w:val="22"/>
        </w:rPr>
        <w:t xml:space="preserve"> </w:t>
      </w:r>
    </w:p>
    <w:p w14:paraId="087BA310" w14:textId="46160111" w:rsidR="00A33A7F" w:rsidRPr="00A33A7F" w:rsidRDefault="00A33A7F" w:rsidP="00A33A7F">
      <w:pPr>
        <w:rPr>
          <w:szCs w:val="22"/>
        </w:rPr>
      </w:pPr>
      <w:r w:rsidRPr="00A33A7F">
        <w:rPr>
          <w:szCs w:val="22"/>
        </w:rPr>
        <w:t xml:space="preserve">While the Charter reflected an important intent to improve, its commitment is largely non-binding, </w:t>
      </w:r>
      <w:r w:rsidRPr="00386C3F">
        <w:rPr>
          <w:szCs w:val="22"/>
        </w:rPr>
        <w:t>lack</w:t>
      </w:r>
      <w:r w:rsidR="1837F10C" w:rsidRPr="00386C3F">
        <w:rPr>
          <w:szCs w:val="22"/>
        </w:rPr>
        <w:t>s</w:t>
      </w:r>
      <w:r w:rsidRPr="00A33A7F">
        <w:rPr>
          <w:szCs w:val="22"/>
        </w:rPr>
        <w:t xml:space="preserve"> timeframes for implementation, and largely reiterate</w:t>
      </w:r>
      <w:r w:rsidR="00702516">
        <w:rPr>
          <w:szCs w:val="22"/>
        </w:rPr>
        <w:t>s</w:t>
      </w:r>
      <w:r w:rsidRPr="00A33A7F">
        <w:rPr>
          <w:szCs w:val="22"/>
        </w:rPr>
        <w:t xml:space="preserve"> principles outlined in </w:t>
      </w:r>
      <w:r w:rsidR="00713259">
        <w:rPr>
          <w:szCs w:val="22"/>
        </w:rPr>
        <w:t>previous</w:t>
      </w:r>
      <w:r w:rsidR="00713259" w:rsidRPr="00A33A7F">
        <w:rPr>
          <w:szCs w:val="22"/>
        </w:rPr>
        <w:t xml:space="preserve"> </w:t>
      </w:r>
      <w:r w:rsidRPr="00A33A7F">
        <w:rPr>
          <w:szCs w:val="22"/>
        </w:rPr>
        <w:t>reports. A review of Australian university responses to campus sexual violence argued that that sector commitments</w:t>
      </w:r>
      <w:r w:rsidR="00842EEC">
        <w:rPr>
          <w:szCs w:val="22"/>
        </w:rPr>
        <w:t>,</w:t>
      </w:r>
      <w:r w:rsidRPr="00A33A7F">
        <w:rPr>
          <w:szCs w:val="22"/>
        </w:rPr>
        <w:t xml:space="preserve"> such as the Charter</w:t>
      </w:r>
      <w:r w:rsidR="00842EEC">
        <w:rPr>
          <w:szCs w:val="22"/>
        </w:rPr>
        <w:t>,</w:t>
      </w:r>
      <w:r w:rsidRPr="00A33A7F">
        <w:rPr>
          <w:szCs w:val="22"/>
        </w:rPr>
        <w:t xml:space="preserve"> are meaningless without sustained effort, long-term institutional commitment and resourcing across all </w:t>
      </w:r>
      <w:r w:rsidRPr="00386C3F">
        <w:rPr>
          <w:szCs w:val="22"/>
        </w:rPr>
        <w:t>universities.</w:t>
      </w:r>
      <w:r w:rsidRPr="00A33A7F">
        <w:rPr>
          <w:szCs w:val="22"/>
        </w:rPr>
        <w:t xml:space="preserve"> Furthermore, it only includes 39 universities, and over 170 private/independent </w:t>
      </w:r>
      <w:r w:rsidR="003A4319">
        <w:rPr>
          <w:szCs w:val="22"/>
        </w:rPr>
        <w:t>HEPs</w:t>
      </w:r>
      <w:r w:rsidRPr="00A33A7F">
        <w:rPr>
          <w:szCs w:val="22"/>
        </w:rPr>
        <w:t xml:space="preserve"> are not captured.</w:t>
      </w:r>
    </w:p>
    <w:p w14:paraId="60618E2C" w14:textId="396ACD6B" w:rsidR="00A33A7F" w:rsidRPr="00A33A7F" w:rsidRDefault="00A33A7F" w:rsidP="00A33A7F">
      <w:pPr>
        <w:rPr>
          <w:szCs w:val="22"/>
        </w:rPr>
      </w:pPr>
      <w:r w:rsidRPr="00A33A7F">
        <w:rPr>
          <w:szCs w:val="22"/>
        </w:rPr>
        <w:t xml:space="preserve">Concerns about declining momentum were reinforced in evidence provided to the </w:t>
      </w:r>
      <w:r w:rsidRPr="008A4BB7">
        <w:rPr>
          <w:i/>
          <w:szCs w:val="22"/>
        </w:rPr>
        <w:t>Senate Legal and Constitutional Affairs References Committee</w:t>
      </w:r>
      <w:r w:rsidRPr="00A33A7F">
        <w:rPr>
          <w:szCs w:val="22"/>
        </w:rPr>
        <w:t xml:space="preserve"> inquiry into sexual consent laws (September 2023), which </w:t>
      </w:r>
      <w:r w:rsidRPr="00386C3F">
        <w:rPr>
          <w:szCs w:val="22"/>
        </w:rPr>
        <w:t>hear</w:t>
      </w:r>
      <w:r w:rsidR="3CF2BA3D" w:rsidRPr="00386C3F">
        <w:rPr>
          <w:szCs w:val="22"/>
        </w:rPr>
        <w:t>d</w:t>
      </w:r>
      <w:r w:rsidRPr="00A33A7F">
        <w:rPr>
          <w:szCs w:val="22"/>
        </w:rPr>
        <w:t xml:space="preserve"> that sector-wide efforts had “at best waned, and at worst, stalled”.</w:t>
      </w:r>
      <w:r w:rsidRPr="00A33A7F">
        <w:rPr>
          <w:szCs w:val="22"/>
          <w:vertAlign w:val="superscript"/>
        </w:rPr>
        <w:footnoteReference w:id="103"/>
      </w:r>
      <w:r w:rsidRPr="00A33A7F">
        <w:rPr>
          <w:szCs w:val="22"/>
        </w:rPr>
        <w:t xml:space="preserve">  The Committee’s final report described university responses as ranging from proactive to “damaging and deeply troubling” and identified inconsistent delivery of prevention and support services.</w:t>
      </w:r>
      <w:r w:rsidRPr="00A33A7F">
        <w:rPr>
          <w:szCs w:val="22"/>
          <w:vertAlign w:val="superscript"/>
        </w:rPr>
        <w:footnoteReference w:id="104"/>
      </w:r>
    </w:p>
    <w:p w14:paraId="679F84D8" w14:textId="0E0DE678" w:rsidR="00A33A7F" w:rsidRPr="00A33A7F" w:rsidRDefault="00F33361" w:rsidP="00A33A7F">
      <w:pPr>
        <w:rPr>
          <w:szCs w:val="22"/>
        </w:rPr>
      </w:pPr>
      <w:r>
        <w:rPr>
          <w:szCs w:val="22"/>
        </w:rPr>
        <w:t>S</w:t>
      </w:r>
      <w:r w:rsidR="00A33A7F" w:rsidRPr="00A33A7F">
        <w:rPr>
          <w:szCs w:val="22"/>
        </w:rPr>
        <w:t>ome providers have moved beyond minimum requirements and</w:t>
      </w:r>
      <w:r w:rsidR="00E13AF4">
        <w:rPr>
          <w:szCs w:val="22"/>
        </w:rPr>
        <w:t xml:space="preserve"> have</w:t>
      </w:r>
      <w:r w:rsidR="00A33A7F" w:rsidRPr="00A33A7F">
        <w:rPr>
          <w:szCs w:val="22"/>
        </w:rPr>
        <w:t xml:space="preserve"> taken active steps to address gender-based violence at their own discretion. Several universities have published their own reports on performance, including relevant data and progress of actions, and implemented consent education for students. A</w:t>
      </w:r>
      <w:r w:rsidR="00A33A7F" w:rsidRPr="00A33A7F">
        <w:rPr>
          <w:rFonts w:eastAsiaTheme="minorEastAsia"/>
          <w:szCs w:val="22"/>
        </w:rPr>
        <w:t xml:space="preserve"> 2024 review of university responses to GBV highlighted gaps and inconsistencies to institutional responses to GBV</w:t>
      </w:r>
      <w:r w:rsidR="000B7F96">
        <w:rPr>
          <w:rFonts w:eastAsiaTheme="minorEastAsia"/>
          <w:szCs w:val="22"/>
        </w:rPr>
        <w:t>.</w:t>
      </w:r>
      <w:r w:rsidR="00490074" w:rsidRPr="00386C3F">
        <w:rPr>
          <w:rStyle w:val="FootnoteReference"/>
          <w:rFonts w:eastAsiaTheme="minorEastAsia"/>
          <w:szCs w:val="22"/>
        </w:rPr>
        <w:footnoteReference w:id="105"/>
      </w:r>
      <w:r w:rsidR="00A33A7F" w:rsidRPr="00A33A7F">
        <w:rPr>
          <w:rFonts w:eastAsiaTheme="minorEastAsia"/>
          <w:szCs w:val="22"/>
        </w:rPr>
        <w:t xml:space="preserve"> Encouragingly, the review found that nearly all Australian universities had standalone policies on sexual violence, online reporting mechanisms with information about what will happen once a disclosure or report is made, </w:t>
      </w:r>
      <w:r w:rsidR="00BC59BF">
        <w:rPr>
          <w:rFonts w:eastAsiaTheme="minorEastAsia"/>
          <w:szCs w:val="22"/>
        </w:rPr>
        <w:t xml:space="preserve">and </w:t>
      </w:r>
      <w:r w:rsidR="00A33A7F" w:rsidRPr="00A33A7F">
        <w:rPr>
          <w:rFonts w:eastAsiaTheme="minorEastAsia"/>
          <w:szCs w:val="22"/>
        </w:rPr>
        <w:t>clear guidance on how students or staff who have experienced sexual violence can access support.</w:t>
      </w:r>
      <w:r w:rsidR="00490074" w:rsidRPr="00386C3F">
        <w:rPr>
          <w:rStyle w:val="FootnoteReference"/>
          <w:rFonts w:eastAsiaTheme="minorEastAsia"/>
          <w:szCs w:val="22"/>
        </w:rPr>
        <w:footnoteReference w:id="106"/>
      </w:r>
      <w:r w:rsidR="00E77384">
        <w:rPr>
          <w:rFonts w:eastAsiaTheme="minorEastAsia"/>
          <w:szCs w:val="22"/>
        </w:rPr>
        <w:t xml:space="preserve"> </w:t>
      </w:r>
      <w:r w:rsidR="00A33A7F" w:rsidRPr="00A33A7F">
        <w:rPr>
          <w:rFonts w:eastAsiaTheme="minorEastAsia"/>
          <w:szCs w:val="22"/>
        </w:rPr>
        <w:t>However, the report also found that only 15 universities had current action plans or strategies targeting sexual or GBV, a third of Australia’s universities did not have standing governance mechanisms in place to ensure a consistent ongoing focus on sexual violence, and there was a lack of clarity in reporting procedures about the differences between concerns, disclosures, reports and complaints</w:t>
      </w:r>
      <w:r w:rsidR="00C15969">
        <w:rPr>
          <w:rFonts w:eastAsiaTheme="minorEastAsia"/>
          <w:szCs w:val="22"/>
        </w:rPr>
        <w:t>.</w:t>
      </w:r>
      <w:r w:rsidR="00490074" w:rsidRPr="00386C3F">
        <w:rPr>
          <w:rStyle w:val="FootnoteReference"/>
          <w:rFonts w:eastAsiaTheme="minorEastAsia"/>
          <w:szCs w:val="22"/>
        </w:rPr>
        <w:footnoteReference w:id="107"/>
      </w:r>
      <w:r w:rsidR="00A33A7F" w:rsidRPr="00A33A7F">
        <w:rPr>
          <w:rFonts w:eastAsiaTheme="minorEastAsia"/>
          <w:szCs w:val="22"/>
        </w:rPr>
        <w:t xml:space="preserve"> Significantly, the review also highlighted a lack of data transparency, with only 15 of 39 universities publishing consolidated information about disclosures or reports of sexual violence.</w:t>
      </w:r>
      <w:r w:rsidR="00490074" w:rsidRPr="00386C3F">
        <w:rPr>
          <w:rStyle w:val="FootnoteReference"/>
          <w:rFonts w:eastAsiaTheme="minorEastAsia"/>
          <w:szCs w:val="22"/>
        </w:rPr>
        <w:footnoteReference w:id="108"/>
      </w:r>
      <w:r w:rsidR="00A33A7F" w:rsidRPr="00A33A7F">
        <w:rPr>
          <w:rFonts w:eastAsiaTheme="minorEastAsia"/>
          <w:szCs w:val="22"/>
        </w:rPr>
        <w:t xml:space="preserve"> Overall, the review found that while there are pockets of good practice across the university sector, responses continue to be inconsistent and fragmented across the sector leaving staff and students who experience GBV exposed to a “postcode lottery”. The report also found there is currently no Australian university that represents an exemplar of good practice.</w:t>
      </w:r>
      <w:r w:rsidR="00490074" w:rsidRPr="00386C3F">
        <w:rPr>
          <w:rStyle w:val="FootnoteReference"/>
          <w:rFonts w:eastAsiaTheme="minorEastAsia"/>
          <w:szCs w:val="22"/>
        </w:rPr>
        <w:footnoteReference w:id="109"/>
      </w:r>
    </w:p>
    <w:p w14:paraId="3758A3F2" w14:textId="76EBD19D" w:rsidR="00A33A7F" w:rsidRPr="00A33A7F" w:rsidRDefault="00A33A7F" w:rsidP="00A33A7F">
      <w:pPr>
        <w:rPr>
          <w:szCs w:val="22"/>
        </w:rPr>
      </w:pPr>
      <w:r w:rsidRPr="00A33A7F">
        <w:rPr>
          <w:szCs w:val="22"/>
        </w:rPr>
        <w:lastRenderedPageBreak/>
        <w:t xml:space="preserve">In the absence of sector-wide benchmarks and quality indicators, individual institutional actions on sexual violence risk continuing to provide students and staff with inconsistent experiences that do not reflect good practice. Existing measures are mostly recommendations, with implementation varying by institution. The limited available data on the efforts of private </w:t>
      </w:r>
      <w:r w:rsidR="003A4319">
        <w:rPr>
          <w:szCs w:val="22"/>
        </w:rPr>
        <w:t>HEPs</w:t>
      </w:r>
      <w:r w:rsidRPr="00A33A7F">
        <w:rPr>
          <w:szCs w:val="22"/>
        </w:rPr>
        <w:t xml:space="preserve"> to address sexual violence raises additional concerns regarding the extent and effectiveness of current practices.</w:t>
      </w:r>
    </w:p>
    <w:p w14:paraId="5926E780" w14:textId="6E5C0D9B" w:rsidR="00A33A7F" w:rsidRPr="00A33A7F" w:rsidRDefault="00A33A7F" w:rsidP="00A33A7F">
      <w:pPr>
        <w:rPr>
          <w:szCs w:val="22"/>
        </w:rPr>
      </w:pPr>
      <w:r w:rsidRPr="00A33A7F">
        <w:rPr>
          <w:szCs w:val="22"/>
        </w:rPr>
        <w:t xml:space="preserve">Similar issues have been identified for staff. Research by the National Tertiary Education Union (NTEU) found that a substantial proportion of staff who experienced workplace sexual harassment were discouraged by their employer from making a formal report. This indicates systemic failings on ensuring appropriate support, </w:t>
      </w:r>
      <w:r w:rsidRPr="00386C3F">
        <w:rPr>
          <w:szCs w:val="22"/>
        </w:rPr>
        <w:t>report</w:t>
      </w:r>
      <w:r w:rsidR="3B8C0352" w:rsidRPr="00386C3F">
        <w:rPr>
          <w:szCs w:val="22"/>
        </w:rPr>
        <w:t>ing</w:t>
      </w:r>
      <w:r w:rsidRPr="00A33A7F">
        <w:rPr>
          <w:szCs w:val="22"/>
        </w:rPr>
        <w:t xml:space="preserve"> pathways, and cultural safety for victim/survivors.</w:t>
      </w:r>
      <w:r w:rsidRPr="00A33A7F">
        <w:rPr>
          <w:szCs w:val="22"/>
          <w:vertAlign w:val="superscript"/>
        </w:rPr>
        <w:footnoteReference w:id="110"/>
      </w:r>
    </w:p>
    <w:p w14:paraId="65C1EA31" w14:textId="67FE0F59" w:rsidR="00A33A7F" w:rsidRPr="00A33A7F" w:rsidRDefault="00A33A7F" w:rsidP="00A33A7F">
      <w:pPr>
        <w:rPr>
          <w:szCs w:val="22"/>
        </w:rPr>
      </w:pPr>
      <w:r w:rsidRPr="00A33A7F">
        <w:rPr>
          <w:szCs w:val="22"/>
        </w:rPr>
        <w:t xml:space="preserve">This evidence suggests that addressing GBV in higher education has largely been </w:t>
      </w:r>
      <w:r w:rsidR="005A04CA" w:rsidRPr="00386C3F">
        <w:rPr>
          <w:szCs w:val="22"/>
        </w:rPr>
        <w:t>reactive</w:t>
      </w:r>
      <w:r w:rsidRPr="00A33A7F">
        <w:rPr>
          <w:szCs w:val="22"/>
        </w:rPr>
        <w:t>, ad hoc, and fragmented, lacking cohesive, interlinked strategies from primary prevention to response. Without a comprehensive, whole-of-organisation approach across all domains of the higher education sector, including students, staff, teaching and learning, business and operations, and research and research pathways, interventions will be limited in their effectiveness and impact.</w:t>
      </w:r>
    </w:p>
    <w:p w14:paraId="672265DF" w14:textId="384A5DAE" w:rsidR="00D84A34" w:rsidRDefault="00A33A7F" w:rsidP="00A33A7F">
      <w:pPr>
        <w:rPr>
          <w:szCs w:val="22"/>
        </w:rPr>
      </w:pPr>
      <w:r w:rsidRPr="00A33A7F">
        <w:rPr>
          <w:szCs w:val="22"/>
        </w:rPr>
        <w:t xml:space="preserve">A summary of independent reports over the last decade and recommendations made to the sector to strengthen prevention and response are summarised in a table </w:t>
      </w:r>
      <w:r w:rsidR="003268A8" w:rsidRPr="00386C3F">
        <w:rPr>
          <w:szCs w:val="22"/>
        </w:rPr>
        <w:t>below:</w:t>
      </w:r>
      <w:r w:rsidRPr="00A33A7F">
        <w:rPr>
          <w:szCs w:val="22"/>
        </w:rPr>
        <w:t xml:space="preserve"> </w:t>
      </w:r>
    </w:p>
    <w:p w14:paraId="5F551E2F" w14:textId="77777777" w:rsidR="00543571" w:rsidRPr="00A33A7F" w:rsidRDefault="00543571" w:rsidP="00A33A7F">
      <w:pPr>
        <w:rPr>
          <w:szCs w:val="22"/>
        </w:rPr>
      </w:pPr>
    </w:p>
    <w:p w14:paraId="27873FE7" w14:textId="2EC15842" w:rsidR="00A33A7F" w:rsidRPr="00A33A7F" w:rsidRDefault="00A33A7F" w:rsidP="00A33A7F">
      <w:pPr>
        <w:rPr>
          <w:szCs w:val="22"/>
        </w:rPr>
      </w:pPr>
      <w:r w:rsidRPr="00A33A7F">
        <w:rPr>
          <w:b/>
          <w:bCs/>
          <w:szCs w:val="22"/>
        </w:rPr>
        <w:t>Table 1</w:t>
      </w:r>
      <w:r w:rsidRPr="00A33A7F">
        <w:rPr>
          <w:szCs w:val="22"/>
        </w:rPr>
        <w:t xml:space="preserve">: Key reports and recommendations made to the higher education </w:t>
      </w:r>
      <w:r w:rsidR="00654D56" w:rsidRPr="00A33A7F">
        <w:rPr>
          <w:szCs w:val="22"/>
        </w:rPr>
        <w:t>sector.</w:t>
      </w:r>
    </w:p>
    <w:tbl>
      <w:tblPr>
        <w:tblStyle w:val="GridTable4-Accent1"/>
        <w:tblW w:w="9639" w:type="dxa"/>
        <w:tblLook w:val="04A0" w:firstRow="1" w:lastRow="0" w:firstColumn="1" w:lastColumn="0" w:noHBand="0" w:noVBand="1"/>
      </w:tblPr>
      <w:tblGrid>
        <w:gridCol w:w="2381"/>
        <w:gridCol w:w="7258"/>
      </w:tblGrid>
      <w:tr w:rsidR="005A3183" w:rsidRPr="00386C3F" w14:paraId="11BDF7BE" w14:textId="77777777" w:rsidTr="002F4F96">
        <w:trPr>
          <w:cnfStyle w:val="100000000000" w:firstRow="1" w:lastRow="0" w:firstColumn="0" w:lastColumn="0" w:oddVBand="0" w:evenVBand="0" w:oddHBand="0" w:evenHBand="0" w:firstRowFirstColumn="0" w:firstRowLastColumn="0" w:lastRowFirstColumn="0" w:lastRowLastColumn="0"/>
          <w:trHeight w:val="210"/>
          <w:tblHeader/>
        </w:trPr>
        <w:tc>
          <w:tcPr>
            <w:cnfStyle w:val="001000000000" w:firstRow="0" w:lastRow="0" w:firstColumn="1" w:lastColumn="0" w:oddVBand="0" w:evenVBand="0" w:oddHBand="0" w:evenHBand="0" w:firstRowFirstColumn="0" w:firstRowLastColumn="0" w:lastRowFirstColumn="0" w:lastRowLastColumn="0"/>
            <w:tcW w:w="2122" w:type="dxa"/>
            <w:hideMark/>
          </w:tcPr>
          <w:p w14:paraId="0AAB5A63" w14:textId="77777777" w:rsidR="00A33A7F" w:rsidRPr="00A33A7F" w:rsidRDefault="00A33A7F" w:rsidP="00A33A7F">
            <w:r w:rsidRPr="00A33A7F">
              <w:t>Key report  </w:t>
            </w:r>
          </w:p>
        </w:tc>
        <w:tc>
          <w:tcPr>
            <w:tcW w:w="7517" w:type="dxa"/>
            <w:hideMark/>
          </w:tcPr>
          <w:p w14:paraId="6AB736CB" w14:textId="309D5E34" w:rsidR="00A33A7F" w:rsidRPr="00A33A7F" w:rsidRDefault="002F4F96" w:rsidP="00A33A7F">
            <w:pPr>
              <w:cnfStyle w:val="100000000000" w:firstRow="1" w:lastRow="0" w:firstColumn="0" w:lastColumn="0" w:oddVBand="0" w:evenVBand="0" w:oddHBand="0" w:evenHBand="0" w:firstRowFirstColumn="0" w:firstRowLastColumn="0" w:lastRowFirstColumn="0" w:lastRowLastColumn="0"/>
            </w:pPr>
            <w:r>
              <w:t>Key Recommendations</w:t>
            </w:r>
          </w:p>
        </w:tc>
      </w:tr>
      <w:tr w:rsidR="005A3183" w:rsidRPr="00386C3F" w14:paraId="21743E43" w14:textId="77777777" w:rsidTr="00D84A34">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122" w:type="dxa"/>
            <w:hideMark/>
          </w:tcPr>
          <w:p w14:paraId="3FD60060" w14:textId="375CEDE0" w:rsidR="00A33A7F" w:rsidRPr="00A33A7F" w:rsidRDefault="00A33A7F" w:rsidP="00A33A7F">
            <w:pPr>
              <w:spacing w:after="160" w:line="278" w:lineRule="auto"/>
            </w:pPr>
            <w:r w:rsidRPr="008A4BB7">
              <w:rPr>
                <w:i/>
              </w:rPr>
              <w:t>Change The Course: National Report on Sexual Assault and Sexual Harassment at Australian Universities</w:t>
            </w:r>
            <w:r w:rsidRPr="00A33A7F">
              <w:t xml:space="preserve"> (Australian Human Rights Commission, 2017)</w:t>
            </w:r>
            <w:r w:rsidR="00E8541C">
              <w:rPr>
                <w:rStyle w:val="FootnoteReference"/>
              </w:rPr>
              <w:footnoteReference w:id="111"/>
            </w:r>
            <w:r w:rsidRPr="00A33A7F">
              <w:t> </w:t>
            </w:r>
          </w:p>
          <w:p w14:paraId="0FD9403D" w14:textId="77777777" w:rsidR="00A33A7F" w:rsidRPr="00A33A7F" w:rsidRDefault="00A33A7F" w:rsidP="00A33A7F">
            <w:pPr>
              <w:spacing w:after="160" w:line="278" w:lineRule="auto"/>
            </w:pPr>
            <w:r w:rsidRPr="00A33A7F">
              <w:t> </w:t>
            </w:r>
          </w:p>
        </w:tc>
        <w:tc>
          <w:tcPr>
            <w:tcW w:w="7517" w:type="dxa"/>
            <w:hideMark/>
          </w:tcPr>
          <w:p w14:paraId="1C822414" w14:textId="77777777" w:rsidR="00A33A7F" w:rsidRPr="00A33A7F" w:rsidRDefault="00A33A7F" w:rsidP="00A33A7F">
            <w:pPr>
              <w:spacing w:after="160" w:line="278" w:lineRule="auto"/>
              <w:cnfStyle w:val="000000100000" w:firstRow="0" w:lastRow="0" w:firstColumn="0" w:lastColumn="0" w:oddVBand="0" w:evenVBand="0" w:oddHBand="1" w:evenHBand="0" w:firstRowFirstColumn="0" w:firstRowLastColumn="0" w:lastRowFirstColumn="0" w:lastRowLastColumn="0"/>
            </w:pPr>
            <w:r w:rsidRPr="00A33A7F">
              <w:t>The</w:t>
            </w:r>
            <w:r w:rsidRPr="00A33A7F">
              <w:rPr>
                <w:i/>
              </w:rPr>
              <w:t xml:space="preserve"> Change the Course</w:t>
            </w:r>
            <w:r w:rsidRPr="00A33A7F">
              <w:t xml:space="preserve"> report gave nine recommendations for Australian universities and university residential colleges to follow. These recommendations focused on structural and cultural reforms to minimise the frequency of incidences and effectively manage sexual harassment and assault in all university settings. </w:t>
            </w:r>
          </w:p>
          <w:p w14:paraId="47AEC46B" w14:textId="77777777" w:rsidR="00A33A7F" w:rsidRPr="00A33A7F" w:rsidRDefault="00A33A7F" w:rsidP="00A146DF">
            <w:pPr>
              <w:spacing w:line="278" w:lineRule="auto"/>
              <w:cnfStyle w:val="000000100000" w:firstRow="0" w:lastRow="0" w:firstColumn="0" w:lastColumn="0" w:oddVBand="0" w:evenVBand="0" w:oddHBand="1" w:evenHBand="0" w:firstRowFirstColumn="0" w:firstRowLastColumn="0" w:lastRowFirstColumn="0" w:lastRowLastColumn="0"/>
            </w:pPr>
            <w:r w:rsidRPr="00A33A7F">
              <w:t>Recommendations included: </w:t>
            </w:r>
          </w:p>
          <w:p w14:paraId="16B21CB5" w14:textId="77777777" w:rsidR="00A33A7F" w:rsidRPr="00A33A7F" w:rsidRDefault="00A33A7F" w:rsidP="00A146DF">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Vice-Chancellors should take direct responsibility for the implementation of these recommendations, including decision-making and monitoring and evaluation of actions taken.</w:t>
            </w:r>
          </w:p>
          <w:p w14:paraId="4A040B71" w14:textId="77777777" w:rsidR="00A33A7F" w:rsidRPr="00A33A7F" w:rsidRDefault="00A33A7F" w:rsidP="00A146DF">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Universities develop a plan for addressing the drivers of sexual assault and sexual harassment through education.</w:t>
            </w:r>
          </w:p>
          <w:p w14:paraId="1837D707" w14:textId="77777777" w:rsidR="00A33A7F" w:rsidRPr="00A33A7F" w:rsidRDefault="00A33A7F" w:rsidP="00A146DF">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Universities ensure students and staff know about support services and reporting processes for sexual assault or sexual harassment.</w:t>
            </w:r>
          </w:p>
          <w:p w14:paraId="3140ED61" w14:textId="77777777" w:rsidR="00A33A7F" w:rsidRPr="00A33A7F" w:rsidRDefault="00A33A7F" w:rsidP="00A146DF">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Within a year, universities should commission an independent, expert-led review of existing university policies and response pathways in relation to sexual assault and sexual harassment.</w:t>
            </w:r>
          </w:p>
          <w:p w14:paraId="22DF60CE" w14:textId="77777777" w:rsidR="00A33A7F" w:rsidRPr="00A33A7F" w:rsidRDefault="00A33A7F" w:rsidP="00A146DF">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lastRenderedPageBreak/>
              <w:t>Universities should ensure that information about individual disclosures and reports of sexual assault and sexual harassment is collected and stored confidentially and used for continuous improvement of processes.</w:t>
            </w:r>
          </w:p>
          <w:p w14:paraId="6E918C02" w14:textId="77777777" w:rsidR="00A33A7F" w:rsidRPr="00A33A7F" w:rsidRDefault="00A33A7F" w:rsidP="00A146DF">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As soon as possible, universities should conduct an audit of university counselling services.</w:t>
            </w:r>
          </w:p>
          <w:p w14:paraId="60B52C60" w14:textId="77777777" w:rsidR="00A33A7F" w:rsidRPr="00A33A7F" w:rsidRDefault="00A33A7F" w:rsidP="00A146DF">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Universities should engage an independent body to conduct the National university student survey of sexual assault and sexual harassment at three-yearly intervals. </w:t>
            </w:r>
          </w:p>
        </w:tc>
      </w:tr>
      <w:tr w:rsidR="001542EA" w:rsidRPr="00386C3F" w14:paraId="7376448D" w14:textId="77777777" w:rsidTr="00D84A34">
        <w:trPr>
          <w:trHeight w:val="713"/>
        </w:trPr>
        <w:tc>
          <w:tcPr>
            <w:cnfStyle w:val="001000000000" w:firstRow="0" w:lastRow="0" w:firstColumn="1" w:lastColumn="0" w:oddVBand="0" w:evenVBand="0" w:oddHBand="0" w:evenHBand="0" w:firstRowFirstColumn="0" w:firstRowLastColumn="0" w:lastRowFirstColumn="0" w:lastRowLastColumn="0"/>
            <w:tcW w:w="2122" w:type="dxa"/>
          </w:tcPr>
          <w:p w14:paraId="03854C96" w14:textId="582430F6" w:rsidR="00A33A7F" w:rsidRPr="00A33A7F" w:rsidRDefault="00A33A7F" w:rsidP="00A33A7F">
            <w:pPr>
              <w:spacing w:after="160" w:line="278" w:lineRule="auto"/>
            </w:pPr>
            <w:r w:rsidRPr="008A4BB7">
              <w:rPr>
                <w:i/>
              </w:rPr>
              <w:lastRenderedPageBreak/>
              <w:t>Connecting the Dots: Understanding sexual assault in university communities</w:t>
            </w:r>
            <w:r w:rsidRPr="00A33A7F">
              <w:t xml:space="preserve"> (End Rape on Campus, 2017)</w:t>
            </w:r>
            <w:r w:rsidR="00A84602">
              <w:rPr>
                <w:rStyle w:val="FootnoteReference"/>
              </w:rPr>
              <w:footnoteReference w:id="112"/>
            </w:r>
            <w:r w:rsidRPr="00A33A7F">
              <w:t> </w:t>
            </w:r>
          </w:p>
        </w:tc>
        <w:tc>
          <w:tcPr>
            <w:tcW w:w="7517" w:type="dxa"/>
          </w:tcPr>
          <w:p w14:paraId="2BD7CB78" w14:textId="77777777" w:rsidR="00A33A7F" w:rsidRPr="00A33A7F" w:rsidRDefault="00A33A7F" w:rsidP="00A33A7F">
            <w:pPr>
              <w:spacing w:after="160" w:line="278" w:lineRule="auto"/>
              <w:cnfStyle w:val="000000000000" w:firstRow="0" w:lastRow="0" w:firstColumn="0" w:lastColumn="0" w:oddVBand="0" w:evenVBand="0" w:oddHBand="0" w:evenHBand="0" w:firstRowFirstColumn="0" w:firstRowLastColumn="0" w:lastRowFirstColumn="0" w:lastRowLastColumn="0"/>
            </w:pPr>
            <w:r w:rsidRPr="00A33A7F">
              <w:t xml:space="preserve">The 2017 </w:t>
            </w:r>
            <w:r w:rsidRPr="00A33A7F">
              <w:rPr>
                <w:i/>
                <w:iCs/>
              </w:rPr>
              <w:t>Connecting the dots</w:t>
            </w:r>
            <w:r w:rsidRPr="00A33A7F">
              <w:t xml:space="preserve"> report by Professor Catharine Lumby, as part of the </w:t>
            </w:r>
            <w:r w:rsidRPr="00A33A7F">
              <w:rPr>
                <w:i/>
                <w:iCs/>
              </w:rPr>
              <w:t xml:space="preserve">End Rape on Campus Australia </w:t>
            </w:r>
            <w:r w:rsidRPr="00A33A7F">
              <w:t>campaign, explores the ongoing problem of sexual assault in Australian universities including the nature and extent of the issue, obstacles that students may face when reporting and accessing support and the historical context of university’s failure to respond to the issue. The report also focuses on how survivors’ needs can be best met and supported within tertiary institutions.  </w:t>
            </w:r>
          </w:p>
          <w:p w14:paraId="10A57E2F" w14:textId="77777777" w:rsidR="00A33A7F" w:rsidRPr="00A33A7F" w:rsidRDefault="00A33A7F" w:rsidP="00A33A7F">
            <w:pPr>
              <w:spacing w:after="160" w:line="278" w:lineRule="auto"/>
              <w:cnfStyle w:val="000000000000" w:firstRow="0" w:lastRow="0" w:firstColumn="0" w:lastColumn="0" w:oddVBand="0" w:evenVBand="0" w:oddHBand="0" w:evenHBand="0" w:firstRowFirstColumn="0" w:firstRowLastColumn="0" w:lastRowFirstColumn="0" w:lastRowLastColumn="0"/>
            </w:pPr>
            <w:r w:rsidRPr="00A33A7F">
              <w:t>Based on EROC’s research and findings during the curation of the report, they made several recommendations for changes in universities and beyond. Some of these include: </w:t>
            </w:r>
          </w:p>
          <w:p w14:paraId="37E67E68" w14:textId="553BA9F4" w:rsidR="00A33A7F" w:rsidRPr="00A33A7F" w:rsidRDefault="00A33A7F" w:rsidP="0000408A">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pPr>
            <w:r w:rsidRPr="00A33A7F">
              <w:t xml:space="preserve">Develop the education sector to deliver on evidence-based findings and equip them with the support systems to properly manage student </w:t>
            </w:r>
            <w:r w:rsidR="00A146DF" w:rsidRPr="00386C3F">
              <w:t>reports.</w:t>
            </w:r>
          </w:p>
          <w:p w14:paraId="208C3180" w14:textId="77777777" w:rsidR="00A33A7F" w:rsidRPr="00A33A7F" w:rsidRDefault="00A33A7F" w:rsidP="0000408A">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pPr>
            <w:r w:rsidRPr="00A33A7F">
              <w:t>Implement survivor-centric policies and procedures with functional record-keeping processes. </w:t>
            </w:r>
          </w:p>
          <w:p w14:paraId="3D53CD8C" w14:textId="77777777" w:rsidR="00A33A7F" w:rsidRPr="00A33A7F" w:rsidRDefault="00A33A7F" w:rsidP="0000408A">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pPr>
            <w:r w:rsidRPr="00A33A7F">
              <w:t>Government commitment to funding support services and ongoing research.</w:t>
            </w:r>
          </w:p>
          <w:p w14:paraId="530149BA" w14:textId="77777777" w:rsidR="00A33A7F" w:rsidRPr="00A33A7F" w:rsidRDefault="00A33A7F" w:rsidP="0000408A">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pPr>
            <w:r w:rsidRPr="00A33A7F">
              <w:t>Implementation of a federal complaints mechanism to escalate student concerns. </w:t>
            </w:r>
          </w:p>
        </w:tc>
      </w:tr>
      <w:tr w:rsidR="005A3183" w:rsidRPr="00386C3F" w14:paraId="212B1169" w14:textId="77777777" w:rsidTr="00D84A34">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122" w:type="dxa"/>
            <w:hideMark/>
          </w:tcPr>
          <w:p w14:paraId="1B30C937" w14:textId="2B55A2CD" w:rsidR="00A33A7F" w:rsidRPr="00A33A7F" w:rsidRDefault="00A33A7F" w:rsidP="00A33A7F">
            <w:pPr>
              <w:spacing w:after="160" w:line="278" w:lineRule="auto"/>
            </w:pPr>
            <w:r w:rsidRPr="008A4BB7">
              <w:rPr>
                <w:i/>
              </w:rPr>
              <w:t>The Red Zone Report: An investigation into sexual violence and hazing in Australian university residential colleges</w:t>
            </w:r>
            <w:r w:rsidRPr="00A33A7F">
              <w:t xml:space="preserve"> (End Rape on Campus, 2018)</w:t>
            </w:r>
            <w:r w:rsidR="009A2D80">
              <w:rPr>
                <w:rStyle w:val="FootnoteReference"/>
              </w:rPr>
              <w:footnoteReference w:id="113"/>
            </w:r>
            <w:r w:rsidRPr="00A33A7F">
              <w:t> </w:t>
            </w:r>
          </w:p>
          <w:p w14:paraId="39A3FD5A" w14:textId="77777777" w:rsidR="00A33A7F" w:rsidRPr="00A33A7F" w:rsidRDefault="00A33A7F" w:rsidP="00A33A7F">
            <w:pPr>
              <w:spacing w:after="160" w:line="278" w:lineRule="auto"/>
            </w:pPr>
            <w:r w:rsidRPr="00A33A7F">
              <w:t> </w:t>
            </w:r>
          </w:p>
        </w:tc>
        <w:tc>
          <w:tcPr>
            <w:tcW w:w="7517" w:type="dxa"/>
            <w:hideMark/>
          </w:tcPr>
          <w:p w14:paraId="633B2C47" w14:textId="77777777" w:rsidR="00A33A7F" w:rsidRPr="00A33A7F" w:rsidRDefault="00A33A7F" w:rsidP="00A33A7F">
            <w:pPr>
              <w:spacing w:after="160" w:line="278" w:lineRule="auto"/>
              <w:cnfStyle w:val="000000100000" w:firstRow="0" w:lastRow="0" w:firstColumn="0" w:lastColumn="0" w:oddVBand="0" w:evenVBand="0" w:oddHBand="1" w:evenHBand="0" w:firstRowFirstColumn="0" w:firstRowLastColumn="0" w:lastRowFirstColumn="0" w:lastRowLastColumn="0"/>
            </w:pPr>
            <w:r w:rsidRPr="00A33A7F">
              <w:t xml:space="preserve">The </w:t>
            </w:r>
            <w:r w:rsidRPr="00A33A7F">
              <w:rPr>
                <w:i/>
                <w:iCs/>
              </w:rPr>
              <w:t>Red Zone Report</w:t>
            </w:r>
            <w:r w:rsidRPr="00A33A7F">
              <w:t xml:space="preserve"> was a 2018 investigation into sexual violence and hazing in Australian university residential colleges conducted by End Rape on Campus. The report highlighted the risks to students during university orientation weeks, with increases in hazing, bullying, harassment and sexual assault. The report attempted to address these issues by reviewing the full breadth of available evidence, showing the normalisation of hazing and initiation rituals in university communities. </w:t>
            </w:r>
          </w:p>
          <w:p w14:paraId="701E7DAD" w14:textId="77777777" w:rsidR="00A33A7F" w:rsidRPr="00A33A7F" w:rsidRDefault="00A33A7F" w:rsidP="00A33A7F">
            <w:pPr>
              <w:spacing w:after="160" w:line="278" w:lineRule="auto"/>
              <w:cnfStyle w:val="000000100000" w:firstRow="0" w:lastRow="0" w:firstColumn="0" w:lastColumn="0" w:oddVBand="0" w:evenVBand="0" w:oddHBand="1" w:evenHBand="0" w:firstRowFirstColumn="0" w:firstRowLastColumn="0" w:lastRowFirstColumn="0" w:lastRowLastColumn="0"/>
            </w:pPr>
            <w:r w:rsidRPr="00A33A7F">
              <w:t>The report outlined a total of 10 recommendations urging both systemic and cultural shifts to minimise sexual assault and harassment in university settings, including:  </w:t>
            </w:r>
          </w:p>
          <w:p w14:paraId="5CC8468A" w14:textId="0B2F0A71" w:rsidR="00A33A7F" w:rsidRPr="00A33A7F" w:rsidRDefault="00A33A7F" w:rsidP="007804E8">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 xml:space="preserve">Improving oversight of respective student residences by the university and taking accountability for behaviours that occur on </w:t>
            </w:r>
            <w:r w:rsidRPr="00A33A7F">
              <w:lastRenderedPageBreak/>
              <w:t xml:space="preserve">premises to create streamlined processes across both campus and </w:t>
            </w:r>
            <w:r w:rsidR="00A146DF" w:rsidRPr="00386C3F">
              <w:t>accommodation.</w:t>
            </w:r>
          </w:p>
          <w:p w14:paraId="0A46FD2B" w14:textId="77777777" w:rsidR="00A33A7F" w:rsidRPr="00A33A7F" w:rsidRDefault="00A33A7F" w:rsidP="007804E8">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Ensuring equally accessible university complaints procedures and counselling services for university and college students. </w:t>
            </w:r>
          </w:p>
          <w:p w14:paraId="606B16B6" w14:textId="77777777" w:rsidR="00A33A7F" w:rsidRPr="00A33A7F" w:rsidRDefault="00A33A7F" w:rsidP="007804E8">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Reviewing the role of secondary schools in ‘feeding’ residential colleges to try and break systematic distribution misbehaviours and culture. </w:t>
            </w:r>
          </w:p>
          <w:p w14:paraId="075337E3" w14:textId="77777777" w:rsidR="00A33A7F" w:rsidRPr="00A33A7F" w:rsidRDefault="00A33A7F" w:rsidP="007804E8">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Criminalising harmful initiation practices known as ‘hazing’. </w:t>
            </w:r>
          </w:p>
          <w:p w14:paraId="1E93A4EE" w14:textId="77777777" w:rsidR="00A33A7F" w:rsidRPr="00A33A7F" w:rsidRDefault="00A33A7F" w:rsidP="007804E8">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pPr>
            <w:r w:rsidRPr="00A33A7F">
              <w:t>Establishing a government taskforce to oversee responses to sexual assault in the education sector and introduce mandatory reporting from universities. </w:t>
            </w:r>
          </w:p>
        </w:tc>
      </w:tr>
      <w:tr w:rsidR="001542EA" w:rsidRPr="00386C3F" w14:paraId="7DA86E88" w14:textId="77777777" w:rsidTr="00D84A34">
        <w:trPr>
          <w:trHeight w:val="345"/>
        </w:trPr>
        <w:tc>
          <w:tcPr>
            <w:cnfStyle w:val="001000000000" w:firstRow="0" w:lastRow="0" w:firstColumn="1" w:lastColumn="0" w:oddVBand="0" w:evenVBand="0" w:oddHBand="0" w:evenHBand="0" w:firstRowFirstColumn="0" w:firstRowLastColumn="0" w:lastRowFirstColumn="0" w:lastRowLastColumn="0"/>
            <w:tcW w:w="2122" w:type="dxa"/>
            <w:hideMark/>
          </w:tcPr>
          <w:p w14:paraId="0C479F8C" w14:textId="6619F5BB" w:rsidR="00A33A7F" w:rsidRPr="00A33A7F" w:rsidRDefault="00A33A7F" w:rsidP="00A33A7F">
            <w:pPr>
              <w:spacing w:after="160" w:line="278" w:lineRule="auto"/>
            </w:pPr>
            <w:r w:rsidRPr="008A4BB7">
              <w:rPr>
                <w:i/>
              </w:rPr>
              <w:lastRenderedPageBreak/>
              <w:t>Combative to Collaborative: International Perspectives on Prevention Sexual Violence at Australian Universities</w:t>
            </w:r>
            <w:r w:rsidRPr="00A33A7F">
              <w:t> (Camille Schloeffel, 2023)</w:t>
            </w:r>
            <w:r w:rsidR="004B7323">
              <w:rPr>
                <w:rStyle w:val="FootnoteReference"/>
              </w:rPr>
              <w:footnoteReference w:id="114"/>
            </w:r>
            <w:r w:rsidRPr="00A33A7F">
              <w:t> </w:t>
            </w:r>
          </w:p>
          <w:p w14:paraId="32C06C64" w14:textId="77777777" w:rsidR="00A33A7F" w:rsidRPr="00A33A7F" w:rsidRDefault="00A33A7F" w:rsidP="00A33A7F">
            <w:pPr>
              <w:spacing w:after="160" w:line="278" w:lineRule="auto"/>
            </w:pPr>
            <w:r w:rsidRPr="00A33A7F">
              <w:t> </w:t>
            </w:r>
          </w:p>
        </w:tc>
        <w:tc>
          <w:tcPr>
            <w:tcW w:w="7517" w:type="dxa"/>
            <w:hideMark/>
          </w:tcPr>
          <w:p w14:paraId="119CBA9E" w14:textId="6FBB1B12" w:rsidR="00A33A7F" w:rsidRPr="00A33A7F" w:rsidRDefault="00A33A7F" w:rsidP="00411107">
            <w:pPr>
              <w:spacing w:line="278" w:lineRule="auto"/>
              <w:cnfStyle w:val="000000000000" w:firstRow="0" w:lastRow="0" w:firstColumn="0" w:lastColumn="0" w:oddVBand="0" w:evenVBand="0" w:oddHBand="0" w:evenHBand="0" w:firstRowFirstColumn="0" w:firstRowLastColumn="0" w:lastRowFirstColumn="0" w:lastRowLastColumn="0"/>
            </w:pPr>
            <w:r w:rsidRPr="00A33A7F">
              <w:t xml:space="preserve">The 2023 </w:t>
            </w:r>
            <w:r w:rsidRPr="00A33A7F">
              <w:rPr>
                <w:i/>
                <w:iCs/>
              </w:rPr>
              <w:t>Combative to Collaborative: International Perspectives on Preventing Sexual Violence at Australian Universities</w:t>
            </w:r>
            <w:r w:rsidRPr="00A33A7F">
              <w:t xml:space="preserve"> report by Camille Schoeffel focuses on the prevalence of sexual assault in Australian universities and provides guidance on appropriate prevention. The report compares Australian university approaches to counterparts in the USA, Canada and the UK. The report outlines 7 core principles for effective prevention and 61 recommendations which provide a clear path for universities to follow. The key themes of these recommendations include: </w:t>
            </w:r>
          </w:p>
          <w:p w14:paraId="44AFF4E6" w14:textId="77777777" w:rsidR="00A33A7F" w:rsidRPr="00A33A7F" w:rsidRDefault="00A33A7F" w:rsidP="00411107">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pPr>
            <w:r w:rsidRPr="00A33A7F">
              <w:t>Universities should implement structures to prevent sexual assault on campus. </w:t>
            </w:r>
          </w:p>
          <w:p w14:paraId="2D52E98E" w14:textId="77777777" w:rsidR="00A33A7F" w:rsidRPr="00A33A7F" w:rsidRDefault="00A33A7F" w:rsidP="007804E8">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pPr>
            <w:r w:rsidRPr="00A33A7F">
              <w:t>Collaboration and activism are required to drive systematic and cultural change across the globe. </w:t>
            </w:r>
          </w:p>
          <w:p w14:paraId="60D6C9CC" w14:textId="40C7E37E" w:rsidR="00A33A7F" w:rsidRPr="00A33A7F" w:rsidRDefault="00A33A7F" w:rsidP="007804E8">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pPr>
            <w:r w:rsidRPr="00A33A7F">
              <w:t xml:space="preserve">Increased accountability and transparency </w:t>
            </w:r>
            <w:r w:rsidR="00553A66" w:rsidRPr="00A33A7F">
              <w:t>are</w:t>
            </w:r>
            <w:r w:rsidRPr="00A33A7F">
              <w:t xml:space="preserve"> needed across universities regarding their reporting and support structures. </w:t>
            </w:r>
          </w:p>
          <w:p w14:paraId="2B086F74" w14:textId="5BFFAC7F" w:rsidR="00A33A7F" w:rsidRPr="00A33A7F" w:rsidRDefault="007804E8" w:rsidP="007804E8">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pPr>
            <w:r w:rsidRPr="00386C3F">
              <w:t>government</w:t>
            </w:r>
            <w:r w:rsidR="00A33A7F" w:rsidRPr="00A33A7F">
              <w:t xml:space="preserve"> intervention is necessary to make major reforms to see long lasting change </w:t>
            </w:r>
          </w:p>
        </w:tc>
      </w:tr>
    </w:tbl>
    <w:p w14:paraId="765DBC5A" w14:textId="77777777" w:rsidR="00B8000B" w:rsidRPr="00A33A7F" w:rsidRDefault="00B8000B" w:rsidP="00A33A7F"/>
    <w:p w14:paraId="615FB19F" w14:textId="5616741C" w:rsidR="00415D01" w:rsidRDefault="00B93D61">
      <w:pPr>
        <w:pStyle w:val="Heading2"/>
      </w:pPr>
      <w:bookmarkStart w:id="49" w:name="_Toc204699848"/>
      <w:bookmarkStart w:id="50" w:name="_Toc210050222"/>
      <w:r>
        <w:t xml:space="preserve">Problem 5: </w:t>
      </w:r>
      <w:r w:rsidR="00655FCF">
        <w:t xml:space="preserve">Insufficient data availability hinders comprehensive understanding of </w:t>
      </w:r>
      <w:r w:rsidR="00B7771B">
        <w:t>GBV</w:t>
      </w:r>
      <w:r w:rsidR="00655FCF">
        <w:t xml:space="preserve"> in higher education and limits the ability to hold service providers accountable</w:t>
      </w:r>
      <w:bookmarkEnd w:id="49"/>
      <w:bookmarkEnd w:id="50"/>
    </w:p>
    <w:p w14:paraId="491D0F0C" w14:textId="65DD3037" w:rsidR="00415D01" w:rsidRPr="00386C3F" w:rsidRDefault="1533D702" w:rsidP="35459D9A">
      <w:pPr>
        <w:rPr>
          <w:szCs w:val="22"/>
        </w:rPr>
      </w:pPr>
      <w:r w:rsidRPr="00386C3F">
        <w:rPr>
          <w:rFonts w:eastAsiaTheme="minorEastAsia"/>
          <w:szCs w:val="22"/>
        </w:rPr>
        <w:t xml:space="preserve">Regular collection of robust and consistent data is critical to understand the nature and extent of the occurrence of </w:t>
      </w:r>
      <w:r w:rsidR="00B7771B" w:rsidRPr="00386C3F">
        <w:rPr>
          <w:rFonts w:eastAsiaTheme="minorEastAsia"/>
          <w:szCs w:val="22"/>
        </w:rPr>
        <w:t>GBV</w:t>
      </w:r>
      <w:r w:rsidRPr="00386C3F">
        <w:rPr>
          <w:rFonts w:eastAsiaTheme="minorEastAsia"/>
          <w:szCs w:val="22"/>
        </w:rPr>
        <w:t xml:space="preserve">, where prevention and response efforts are having a positive impact, and to identify areas for improvement. Without this data, change cannot be measured </w:t>
      </w:r>
      <w:r w:rsidR="008355AC">
        <w:rPr>
          <w:rFonts w:eastAsiaTheme="minorEastAsia"/>
          <w:szCs w:val="22"/>
        </w:rPr>
        <w:t>by</w:t>
      </w:r>
      <w:r w:rsidR="008355AC" w:rsidRPr="00386C3F">
        <w:rPr>
          <w:rFonts w:eastAsiaTheme="minorEastAsia"/>
          <w:szCs w:val="22"/>
        </w:rPr>
        <w:t xml:space="preserve"> </w:t>
      </w:r>
      <w:r w:rsidRPr="00386C3F">
        <w:rPr>
          <w:rFonts w:eastAsiaTheme="minorEastAsia"/>
          <w:szCs w:val="22"/>
        </w:rPr>
        <w:t xml:space="preserve">providers or across the sector. </w:t>
      </w:r>
    </w:p>
    <w:p w14:paraId="20CB56DD" w14:textId="741CBAC5" w:rsidR="00415D01" w:rsidRPr="00386C3F" w:rsidRDefault="6F492BA2" w:rsidP="3F556386">
      <w:pPr>
        <w:rPr>
          <w:szCs w:val="22"/>
        </w:rPr>
      </w:pPr>
      <w:r w:rsidRPr="00386C3F">
        <w:rPr>
          <w:rFonts w:eastAsiaTheme="minorEastAsia"/>
          <w:szCs w:val="22"/>
        </w:rPr>
        <w:t xml:space="preserve">Australia lacks a comprehensive dataset on </w:t>
      </w:r>
      <w:r w:rsidR="00B7771B" w:rsidRPr="00386C3F">
        <w:rPr>
          <w:rFonts w:eastAsiaTheme="minorEastAsia"/>
          <w:szCs w:val="22"/>
        </w:rPr>
        <w:t>GBV</w:t>
      </w:r>
      <w:r w:rsidRPr="00386C3F">
        <w:rPr>
          <w:rFonts w:eastAsiaTheme="minorEastAsia"/>
          <w:szCs w:val="22"/>
        </w:rPr>
        <w:t xml:space="preserve"> in higher education. </w:t>
      </w:r>
      <w:r w:rsidRPr="00386C3F">
        <w:rPr>
          <w:szCs w:val="22"/>
        </w:rPr>
        <w:t xml:space="preserve">While </w:t>
      </w:r>
      <w:r w:rsidR="62B4FD6D" w:rsidRPr="00386C3F">
        <w:rPr>
          <w:szCs w:val="22"/>
        </w:rPr>
        <w:t xml:space="preserve">the </w:t>
      </w:r>
      <w:r w:rsidR="62B4FD6D" w:rsidRPr="008A4BB7">
        <w:rPr>
          <w:i/>
          <w:szCs w:val="22"/>
        </w:rPr>
        <w:t>National Student Safety</w:t>
      </w:r>
      <w:r w:rsidR="62B4FD6D" w:rsidRPr="00386C3F">
        <w:rPr>
          <w:szCs w:val="22"/>
        </w:rPr>
        <w:t xml:space="preserve"> </w:t>
      </w:r>
      <w:r w:rsidR="00413C41">
        <w:rPr>
          <w:szCs w:val="22"/>
        </w:rPr>
        <w:t>s</w:t>
      </w:r>
      <w:r w:rsidR="62B4FD6D" w:rsidRPr="00386C3F">
        <w:rPr>
          <w:szCs w:val="22"/>
        </w:rPr>
        <w:t>urveys</w:t>
      </w:r>
      <w:r w:rsidRPr="00386C3F">
        <w:rPr>
          <w:szCs w:val="22"/>
        </w:rPr>
        <w:t xml:space="preserve"> and </w:t>
      </w:r>
      <w:r w:rsidR="00413C41">
        <w:rPr>
          <w:szCs w:val="22"/>
        </w:rPr>
        <w:t>the</w:t>
      </w:r>
      <w:r w:rsidRPr="00386C3F">
        <w:rPr>
          <w:szCs w:val="22"/>
        </w:rPr>
        <w:t xml:space="preserve"> NTEU survey have provided invaluable insights, these efforts are infrequent, non-standardised and do not capture the full scope or complexity of the issue to ensure transparency in the sector.</w:t>
      </w:r>
    </w:p>
    <w:p w14:paraId="653F1B5C" w14:textId="789F5E1F" w:rsidR="00415D01" w:rsidRPr="00386C3F" w:rsidRDefault="6F492BA2" w:rsidP="2C64B471">
      <w:pPr>
        <w:rPr>
          <w:szCs w:val="22"/>
        </w:rPr>
      </w:pPr>
      <w:r w:rsidRPr="00386C3F">
        <w:rPr>
          <w:rFonts w:eastAsiaTheme="minorEastAsia"/>
          <w:szCs w:val="22"/>
        </w:rPr>
        <w:lastRenderedPageBreak/>
        <w:t xml:space="preserve">Currently, there is inconsistency in how providers define </w:t>
      </w:r>
      <w:r w:rsidR="00B7771B" w:rsidRPr="00386C3F">
        <w:rPr>
          <w:rFonts w:eastAsiaTheme="minorEastAsia"/>
          <w:szCs w:val="22"/>
        </w:rPr>
        <w:t>GBV</w:t>
      </w:r>
      <w:r w:rsidRPr="00386C3F">
        <w:rPr>
          <w:rFonts w:eastAsiaTheme="minorEastAsia"/>
          <w:szCs w:val="22"/>
        </w:rPr>
        <w:t xml:space="preserve">, compromising the robustness and comparability of the data. Furthermore, while data is currently collected on staff and student experiences of sexual violence at the individual university and national level, there is a lack of sufficient data on all types of </w:t>
      </w:r>
      <w:r w:rsidR="00B7771B" w:rsidRPr="00386C3F">
        <w:rPr>
          <w:rFonts w:eastAsiaTheme="minorEastAsia"/>
          <w:szCs w:val="22"/>
        </w:rPr>
        <w:t>GBV</w:t>
      </w:r>
      <w:r w:rsidRPr="00386C3F">
        <w:rPr>
          <w:rFonts w:eastAsiaTheme="minorEastAsia"/>
          <w:szCs w:val="22"/>
        </w:rPr>
        <w:t xml:space="preserve"> experienced by students and staff – including intimate partner violence, domestic and family violence, technology-facilitated </w:t>
      </w:r>
      <w:r w:rsidR="00B7771B" w:rsidRPr="00386C3F">
        <w:rPr>
          <w:rFonts w:eastAsiaTheme="minorEastAsia"/>
          <w:szCs w:val="22"/>
        </w:rPr>
        <w:t>GBV</w:t>
      </w:r>
      <w:r w:rsidRPr="00386C3F">
        <w:rPr>
          <w:rFonts w:eastAsiaTheme="minorEastAsia"/>
          <w:szCs w:val="22"/>
        </w:rPr>
        <w:t xml:space="preserve">, and coercive control. There is also inconsistency in data terminology, collection and reporting within and between providers, and between providers and national surveys. Data on incidents of </w:t>
      </w:r>
      <w:r w:rsidR="00B7771B" w:rsidRPr="00386C3F">
        <w:rPr>
          <w:rFonts w:eastAsiaTheme="minorEastAsia"/>
          <w:szCs w:val="22"/>
        </w:rPr>
        <w:t>GBV</w:t>
      </w:r>
      <w:r w:rsidRPr="00386C3F">
        <w:rPr>
          <w:rFonts w:eastAsiaTheme="minorEastAsia"/>
          <w:szCs w:val="22"/>
        </w:rPr>
        <w:t xml:space="preserve"> in student accommodation is extremely limited</w:t>
      </w:r>
      <w:r w:rsidR="3A34375B" w:rsidRPr="00386C3F">
        <w:rPr>
          <w:rFonts w:eastAsiaTheme="minorEastAsia"/>
          <w:szCs w:val="22"/>
        </w:rPr>
        <w:t xml:space="preserve"> with no uniform data collection system.</w:t>
      </w:r>
    </w:p>
    <w:p w14:paraId="6747EFA0" w14:textId="2F192266" w:rsidR="00415D01" w:rsidRPr="00386C3F" w:rsidRDefault="1533D702" w:rsidP="35459D9A">
      <w:pPr>
        <w:rPr>
          <w:rFonts w:eastAsiaTheme="minorEastAsia"/>
          <w:szCs w:val="22"/>
        </w:rPr>
      </w:pPr>
      <w:r w:rsidRPr="00386C3F">
        <w:rPr>
          <w:rFonts w:eastAsiaTheme="minorEastAsia"/>
          <w:szCs w:val="22"/>
        </w:rPr>
        <w:t>Regular surveys of</w:t>
      </w:r>
      <w:r w:rsidR="004B212C">
        <w:rPr>
          <w:rFonts w:eastAsiaTheme="minorEastAsia"/>
          <w:szCs w:val="22"/>
        </w:rPr>
        <w:t xml:space="preserve"> </w:t>
      </w:r>
      <w:r w:rsidRPr="00386C3F">
        <w:rPr>
          <w:rFonts w:eastAsiaTheme="minorEastAsia"/>
          <w:szCs w:val="22"/>
        </w:rPr>
        <w:t xml:space="preserve">students and staff are essential to track the prevalence of </w:t>
      </w:r>
      <w:r w:rsidR="00B7771B" w:rsidRPr="00386C3F">
        <w:rPr>
          <w:rFonts w:eastAsiaTheme="minorEastAsia"/>
          <w:szCs w:val="22"/>
        </w:rPr>
        <w:t>GBV</w:t>
      </w:r>
      <w:r w:rsidRPr="00386C3F">
        <w:rPr>
          <w:rFonts w:eastAsiaTheme="minorEastAsia"/>
          <w:szCs w:val="22"/>
        </w:rPr>
        <w:t xml:space="preserve">, to understand institutional responses, and to better understand the experiences of victim-survivors. The last survey of university students was conducted in </w:t>
      </w:r>
      <w:r w:rsidR="00411107" w:rsidRPr="00386C3F">
        <w:rPr>
          <w:rFonts w:eastAsiaTheme="minorEastAsia"/>
          <w:szCs w:val="22"/>
        </w:rPr>
        <w:t>2021,</w:t>
      </w:r>
      <w:r w:rsidR="408B6643" w:rsidRPr="00386C3F">
        <w:rPr>
          <w:rFonts w:eastAsiaTheme="minorEastAsia"/>
          <w:szCs w:val="22"/>
        </w:rPr>
        <w:t xml:space="preserve"> and</w:t>
      </w:r>
      <w:r w:rsidRPr="00386C3F">
        <w:rPr>
          <w:rFonts w:eastAsiaTheme="minorEastAsia"/>
          <w:szCs w:val="22"/>
        </w:rPr>
        <w:t xml:space="preserve"> Universities Australia has committed to undertake another survey. Qualitative data on the experiences of victim-survivors is as critical as prevalence data. Their views on how institutions respond to disclosures, as well as their experiences of formal reporting and disciplinary processes, will enable providers to pivot where necessary and improve performance.</w:t>
      </w:r>
    </w:p>
    <w:p w14:paraId="08F13DA0" w14:textId="058F8E1F" w:rsidR="00D84A34" w:rsidRPr="00386C3F" w:rsidRDefault="1533D702" w:rsidP="00415D01">
      <w:pPr>
        <w:rPr>
          <w:rFonts w:eastAsiaTheme="minorEastAsia"/>
          <w:szCs w:val="22"/>
        </w:rPr>
      </w:pPr>
      <w:r w:rsidRPr="00386C3F">
        <w:rPr>
          <w:rFonts w:eastAsiaTheme="minorEastAsia"/>
          <w:szCs w:val="22"/>
        </w:rPr>
        <w:t>Institutional level data also needs to be regularly published by all providers to ensure accountability – with clear sector-wide indicators and consistent standards. Without this, providers have operated without consistent standards or accountability. It is also unclear how providers are using existing data to inform prevention and response activities – robust monitoring and evaluation frameworks are essential to build the evidence base and to ensure activities are appropriate and effective.</w:t>
      </w:r>
    </w:p>
    <w:p w14:paraId="3C4A218B" w14:textId="0F718AA3" w:rsidR="001B6B98" w:rsidRDefault="00B93D61" w:rsidP="001B6B98">
      <w:pPr>
        <w:pStyle w:val="Heading2"/>
      </w:pPr>
      <w:bookmarkStart w:id="51" w:name="_Toc204699849"/>
      <w:bookmarkStart w:id="52" w:name="_Toc210050223"/>
      <w:r>
        <w:t xml:space="preserve">Problem 6: </w:t>
      </w:r>
      <w:r w:rsidR="009044B5">
        <w:t>The current regulatory framework is limited, posing an ongoing risk to student and staff safety</w:t>
      </w:r>
      <w:bookmarkEnd w:id="51"/>
      <w:bookmarkEnd w:id="52"/>
      <w:r w:rsidR="009044B5">
        <w:t xml:space="preserve"> </w:t>
      </w:r>
    </w:p>
    <w:p w14:paraId="31112EE0" w14:textId="58B7DBEC" w:rsidR="00585CF5" w:rsidRDefault="00585CF5" w:rsidP="00585CF5">
      <w:pPr>
        <w:pStyle w:val="BodyText"/>
        <w:spacing w:after="120"/>
        <w:jc w:val="both"/>
        <w:rPr>
          <w:rFonts w:ascii="Aptos" w:eastAsia="Aptos" w:hAnsi="Aptos" w:cs="Aptos"/>
        </w:rPr>
      </w:pPr>
      <w:r w:rsidRPr="007C5B32">
        <w:rPr>
          <w:rFonts w:ascii="Aptos" w:hAnsi="Aptos"/>
        </w:rPr>
        <w:t xml:space="preserve">Higher education providers have existing obligations to provide safe learning and work environments. </w:t>
      </w:r>
      <w:r w:rsidRPr="47C48E7F">
        <w:rPr>
          <w:rFonts w:ascii="Aptos" w:eastAsia="Aptos" w:hAnsi="Aptos" w:cs="Aptos"/>
        </w:rPr>
        <w:t xml:space="preserve">The </w:t>
      </w:r>
      <w:r w:rsidRPr="008A4BB7">
        <w:rPr>
          <w:rFonts w:ascii="Aptos" w:eastAsia="Aptos" w:hAnsi="Aptos" w:cs="Aptos"/>
          <w:i/>
        </w:rPr>
        <w:t xml:space="preserve">Higher Education </w:t>
      </w:r>
      <w:r w:rsidR="005F657B" w:rsidRPr="008A4BB7">
        <w:rPr>
          <w:rFonts w:ascii="Aptos" w:eastAsia="Aptos" w:hAnsi="Aptos" w:cs="Aptos"/>
          <w:i/>
          <w:iCs/>
        </w:rPr>
        <w:t>Standards Framework</w:t>
      </w:r>
      <w:r w:rsidRPr="47C48E7F">
        <w:rPr>
          <w:rFonts w:ascii="Aptos" w:eastAsia="Aptos" w:hAnsi="Aptos" w:cs="Aptos"/>
        </w:rPr>
        <w:t xml:space="preserve"> </w:t>
      </w:r>
      <w:r w:rsidR="005F657B">
        <w:rPr>
          <w:rFonts w:ascii="Aptos" w:eastAsia="Aptos" w:hAnsi="Aptos" w:cs="Aptos"/>
        </w:rPr>
        <w:t>(</w:t>
      </w:r>
      <w:r w:rsidRPr="47C48E7F">
        <w:rPr>
          <w:rFonts w:ascii="Aptos" w:eastAsia="Aptos" w:hAnsi="Aptos" w:cs="Aptos"/>
        </w:rPr>
        <w:t>Threshold Standards</w:t>
      </w:r>
      <w:r w:rsidR="005F657B">
        <w:rPr>
          <w:rFonts w:ascii="Aptos" w:eastAsia="Aptos" w:hAnsi="Aptos" w:cs="Aptos"/>
        </w:rPr>
        <w:t>)</w:t>
      </w:r>
      <w:r w:rsidRPr="47C48E7F">
        <w:rPr>
          <w:rFonts w:ascii="Aptos" w:eastAsia="Aptos" w:hAnsi="Aptos" w:cs="Aptos"/>
        </w:rPr>
        <w:t xml:space="preserve"> represent the minimum acceptable requirements for the provision of higher education in or from Australia. </w:t>
      </w:r>
      <w:r>
        <w:rPr>
          <w:rFonts w:ascii="Aptos" w:eastAsia="Aptos" w:hAnsi="Aptos" w:cs="Aptos"/>
        </w:rPr>
        <w:t xml:space="preserve">Compliance with the Threshold Standards is monitored by </w:t>
      </w:r>
      <w:r w:rsidRPr="47C48E7F">
        <w:rPr>
          <w:rFonts w:ascii="Aptos" w:eastAsia="Aptos" w:hAnsi="Aptos" w:cs="Aptos"/>
        </w:rPr>
        <w:t>TEQSA</w:t>
      </w:r>
      <w:r>
        <w:rPr>
          <w:rFonts w:ascii="Aptos" w:eastAsia="Aptos" w:hAnsi="Aptos" w:cs="Aptos"/>
        </w:rPr>
        <w:t xml:space="preserve">. </w:t>
      </w:r>
    </w:p>
    <w:p w14:paraId="7B400663" w14:textId="05FAA7BB" w:rsidR="00585CF5" w:rsidRDefault="00585CF5" w:rsidP="00585CF5">
      <w:pPr>
        <w:pStyle w:val="BodyText"/>
        <w:spacing w:after="120"/>
        <w:jc w:val="both"/>
        <w:rPr>
          <w:rFonts w:ascii="Aptos" w:eastAsia="Aptos" w:hAnsi="Aptos" w:cs="Aptos"/>
        </w:rPr>
      </w:pPr>
      <w:r>
        <w:rPr>
          <w:rFonts w:ascii="Aptos" w:eastAsia="Aptos" w:hAnsi="Aptos" w:cs="Aptos"/>
        </w:rPr>
        <w:t>Under the Threshold Standards, higher education providers’ obligations in relation to gender-based violence fall under Standard 2.3 (Wellbeing and Safety) and 2.4 (Student Grievances and Complaints</w:t>
      </w:r>
      <w:r w:rsidR="009E7F2F">
        <w:rPr>
          <w:rFonts w:ascii="Aptos" w:eastAsia="Aptos" w:hAnsi="Aptos" w:cs="Aptos"/>
        </w:rPr>
        <w:t>)</w:t>
      </w:r>
      <w:r>
        <w:rPr>
          <w:rFonts w:ascii="Aptos" w:eastAsia="Aptos" w:hAnsi="Aptos" w:cs="Aptos"/>
        </w:rPr>
        <w:t xml:space="preserve">. </w:t>
      </w:r>
      <w:r w:rsidR="00C21BAC">
        <w:rPr>
          <w:rFonts w:ascii="Aptos" w:eastAsia="Aptos" w:hAnsi="Aptos" w:cs="Aptos"/>
        </w:rPr>
        <w:t xml:space="preserve">These standards </w:t>
      </w:r>
      <w:r>
        <w:rPr>
          <w:rFonts w:ascii="Aptos" w:eastAsia="Aptos" w:hAnsi="Aptos" w:cs="Aptos"/>
        </w:rPr>
        <w:t>include</w:t>
      </w:r>
      <w:r w:rsidR="00C21BAC">
        <w:rPr>
          <w:rFonts w:ascii="Aptos" w:eastAsia="Aptos" w:hAnsi="Aptos" w:cs="Aptos"/>
        </w:rPr>
        <w:t xml:space="preserve"> </w:t>
      </w:r>
      <w:r>
        <w:rPr>
          <w:rFonts w:ascii="Aptos" w:eastAsia="Aptos" w:hAnsi="Aptos" w:cs="Aptos"/>
        </w:rPr>
        <w:t>requirements to:</w:t>
      </w:r>
    </w:p>
    <w:p w14:paraId="1FAF7B63" w14:textId="1E9A8026" w:rsidR="00680F03" w:rsidRPr="00386C3F" w:rsidRDefault="00680F03" w:rsidP="00D045D3">
      <w:pPr>
        <w:numPr>
          <w:ilvl w:val="0"/>
          <w:numId w:val="4"/>
        </w:numPr>
        <w:spacing w:after="0"/>
        <w:rPr>
          <w:szCs w:val="22"/>
        </w:rPr>
      </w:pPr>
      <w:r w:rsidRPr="00386C3F">
        <w:rPr>
          <w:szCs w:val="22"/>
        </w:rPr>
        <w:t xml:space="preserve">Provide avenues and contacts for supports for students if </w:t>
      </w:r>
      <w:r w:rsidR="00A86513" w:rsidRPr="00386C3F">
        <w:rPr>
          <w:szCs w:val="22"/>
        </w:rPr>
        <w:t>needed.</w:t>
      </w:r>
    </w:p>
    <w:p w14:paraId="2A1D591C" w14:textId="222ECBC1" w:rsidR="00680F03" w:rsidRPr="00386C3F" w:rsidRDefault="00680F03" w:rsidP="00D045D3">
      <w:pPr>
        <w:numPr>
          <w:ilvl w:val="0"/>
          <w:numId w:val="4"/>
        </w:numPr>
        <w:spacing w:after="0"/>
        <w:rPr>
          <w:szCs w:val="22"/>
        </w:rPr>
      </w:pPr>
      <w:r w:rsidRPr="00386C3F">
        <w:rPr>
          <w:szCs w:val="22"/>
        </w:rPr>
        <w:t xml:space="preserve">Ensure the availability of specific types of personal support </w:t>
      </w:r>
      <w:r w:rsidR="00A86513" w:rsidRPr="00386C3F">
        <w:rPr>
          <w:szCs w:val="22"/>
        </w:rPr>
        <w:t>services.</w:t>
      </w:r>
    </w:p>
    <w:p w14:paraId="42F06056" w14:textId="6D8D6606" w:rsidR="00680F03" w:rsidRPr="00386C3F" w:rsidRDefault="00680F03" w:rsidP="00D045D3">
      <w:pPr>
        <w:numPr>
          <w:ilvl w:val="0"/>
          <w:numId w:val="4"/>
        </w:numPr>
        <w:spacing w:after="0"/>
        <w:rPr>
          <w:szCs w:val="22"/>
        </w:rPr>
      </w:pPr>
      <w:r w:rsidRPr="00386C3F">
        <w:rPr>
          <w:szCs w:val="22"/>
        </w:rPr>
        <w:t xml:space="preserve">Ensure that support services offered reflect the needs of student </w:t>
      </w:r>
      <w:r w:rsidR="00A86513" w:rsidRPr="00386C3F">
        <w:rPr>
          <w:szCs w:val="22"/>
        </w:rPr>
        <w:t>cohorts.</w:t>
      </w:r>
    </w:p>
    <w:p w14:paraId="1AACA2EE" w14:textId="5D4E7480" w:rsidR="00680F03" w:rsidRPr="00386C3F" w:rsidRDefault="00680F03" w:rsidP="00D045D3">
      <w:pPr>
        <w:numPr>
          <w:ilvl w:val="0"/>
          <w:numId w:val="4"/>
        </w:numPr>
        <w:spacing w:after="0"/>
        <w:rPr>
          <w:szCs w:val="22"/>
        </w:rPr>
      </w:pPr>
      <w:r w:rsidRPr="00386C3F">
        <w:rPr>
          <w:szCs w:val="22"/>
        </w:rPr>
        <w:t xml:space="preserve">Promote a safe </w:t>
      </w:r>
      <w:r w:rsidR="00A86513" w:rsidRPr="00386C3F">
        <w:rPr>
          <w:szCs w:val="22"/>
        </w:rPr>
        <w:t>environment.</w:t>
      </w:r>
    </w:p>
    <w:p w14:paraId="6BF33636" w14:textId="25D8327C" w:rsidR="00680F03" w:rsidRPr="00386C3F" w:rsidRDefault="00680F03" w:rsidP="00D045D3">
      <w:pPr>
        <w:numPr>
          <w:ilvl w:val="0"/>
          <w:numId w:val="4"/>
        </w:numPr>
        <w:spacing w:after="0"/>
        <w:rPr>
          <w:szCs w:val="22"/>
        </w:rPr>
      </w:pPr>
      <w:r w:rsidRPr="00386C3F">
        <w:rPr>
          <w:szCs w:val="22"/>
        </w:rPr>
        <w:t>Appropriately manage critical incidents</w:t>
      </w:r>
      <w:r w:rsidR="00A86513">
        <w:rPr>
          <w:szCs w:val="22"/>
        </w:rPr>
        <w:t>.</w:t>
      </w:r>
    </w:p>
    <w:p w14:paraId="4175320C" w14:textId="76286E01" w:rsidR="00124FB0" w:rsidRDefault="00680F03" w:rsidP="00124FB0">
      <w:pPr>
        <w:numPr>
          <w:ilvl w:val="0"/>
          <w:numId w:val="4"/>
        </w:numPr>
        <w:spacing w:line="276" w:lineRule="auto"/>
        <w:rPr>
          <w:szCs w:val="22"/>
        </w:rPr>
      </w:pPr>
      <w:r w:rsidRPr="00386C3F">
        <w:rPr>
          <w:szCs w:val="22"/>
        </w:rPr>
        <w:t>Implement grievance mechanisms, policies and processes to resolve complaints</w:t>
      </w:r>
      <w:r w:rsidR="00A86513">
        <w:rPr>
          <w:szCs w:val="22"/>
        </w:rPr>
        <w:t xml:space="preserve"> </w:t>
      </w:r>
      <w:r w:rsidRPr="00386C3F">
        <w:rPr>
          <w:szCs w:val="22"/>
        </w:rPr>
        <w:t>promptly, fairly and confidently – including advocacy, professional advice and other support.</w:t>
      </w:r>
    </w:p>
    <w:p w14:paraId="2BD424E7" w14:textId="0D57D4A7" w:rsidR="00680F03" w:rsidRPr="00124FB0" w:rsidRDefault="00680F03" w:rsidP="00124FB0">
      <w:pPr>
        <w:spacing w:after="0" w:line="276" w:lineRule="auto"/>
        <w:rPr>
          <w:szCs w:val="22"/>
        </w:rPr>
      </w:pPr>
      <w:r w:rsidRPr="00124FB0">
        <w:rPr>
          <w:szCs w:val="22"/>
        </w:rPr>
        <w:t xml:space="preserve">The Threshold Standards present several challenges to regulating responses to </w:t>
      </w:r>
      <w:r w:rsidR="00B7771B" w:rsidRPr="00124FB0">
        <w:rPr>
          <w:szCs w:val="22"/>
        </w:rPr>
        <w:t>GBV</w:t>
      </w:r>
      <w:r w:rsidRPr="00124FB0">
        <w:rPr>
          <w:szCs w:val="22"/>
        </w:rPr>
        <w:t xml:space="preserve">. While the safety and wellbeing of students is covered broadly, the Threshold Standards do not provide the specificity required to effectively improve or </w:t>
      </w:r>
      <w:r w:rsidR="006C62AF" w:rsidRPr="00124FB0">
        <w:rPr>
          <w:szCs w:val="22"/>
        </w:rPr>
        <w:t>monitor</w:t>
      </w:r>
      <w:r w:rsidR="006778E8">
        <w:rPr>
          <w:szCs w:val="22"/>
        </w:rPr>
        <w:t xml:space="preserve"> GBV prevention </w:t>
      </w:r>
      <w:r w:rsidR="00B5316E">
        <w:rPr>
          <w:szCs w:val="22"/>
        </w:rPr>
        <w:t>and response</w:t>
      </w:r>
      <w:r w:rsidRPr="00124FB0">
        <w:rPr>
          <w:szCs w:val="22"/>
        </w:rPr>
        <w:t>. For example, the Threshold Standards express a need to promote a safe environment but do not specify what this entails or how to implement</w:t>
      </w:r>
      <w:r w:rsidR="003E489D" w:rsidRPr="00124FB0">
        <w:rPr>
          <w:szCs w:val="22"/>
        </w:rPr>
        <w:t xml:space="preserve"> it</w:t>
      </w:r>
      <w:r w:rsidRPr="00124FB0">
        <w:rPr>
          <w:szCs w:val="22"/>
        </w:rPr>
        <w:t xml:space="preserve">. They set </w:t>
      </w:r>
      <w:r w:rsidRPr="00124FB0">
        <w:rPr>
          <w:szCs w:val="22"/>
        </w:rPr>
        <w:lastRenderedPageBreak/>
        <w:t xml:space="preserve">requirements – such as the provision of information, timely advice, support services and a critical incident policy – but do not specify what safety issues and incidents these requirements relate to, or what is considered timely. Further requirements set expectations for higher education providers to have adequate grievance mechanisms, policies and processes, but do not detail specific requirements for safety and wellbeing matters. There is also no requirement for higher education providers to report publicly, regularly, or consistently on </w:t>
      </w:r>
      <w:r w:rsidR="00B7771B" w:rsidRPr="00124FB0">
        <w:rPr>
          <w:szCs w:val="22"/>
        </w:rPr>
        <w:t>GBV</w:t>
      </w:r>
      <w:r w:rsidRPr="00124FB0">
        <w:rPr>
          <w:szCs w:val="22"/>
        </w:rPr>
        <w:t xml:space="preserve"> incidents and responses to these incidents. Overall, the nature of the Threshold Standards means they are an unsuitable legislative tool for detailing the specific requirements that effective prevention and response to </w:t>
      </w:r>
      <w:r w:rsidR="00B7771B" w:rsidRPr="00124FB0">
        <w:rPr>
          <w:szCs w:val="22"/>
        </w:rPr>
        <w:t>GBV</w:t>
      </w:r>
      <w:r w:rsidRPr="00124FB0">
        <w:rPr>
          <w:szCs w:val="22"/>
        </w:rPr>
        <w:t xml:space="preserve"> requires. </w:t>
      </w:r>
    </w:p>
    <w:p w14:paraId="50B3FA91" w14:textId="27A67446" w:rsidR="00EB0B18" w:rsidRPr="00386C3F" w:rsidRDefault="00680F03" w:rsidP="00680F03">
      <w:pPr>
        <w:rPr>
          <w:szCs w:val="22"/>
        </w:rPr>
      </w:pPr>
      <w:r w:rsidRPr="00386C3F">
        <w:rPr>
          <w:szCs w:val="22"/>
        </w:rPr>
        <w:t xml:space="preserve">Higher education providers are also required to demonstrate </w:t>
      </w:r>
      <w:r w:rsidR="00D74BA0">
        <w:rPr>
          <w:szCs w:val="22"/>
        </w:rPr>
        <w:t xml:space="preserve">that </w:t>
      </w:r>
      <w:r w:rsidRPr="00386C3F">
        <w:rPr>
          <w:szCs w:val="22"/>
        </w:rPr>
        <w:t xml:space="preserve">appropriate safety and support measures are in effect for students to meet the </w:t>
      </w:r>
      <w:r w:rsidRPr="00386C3F">
        <w:rPr>
          <w:i/>
          <w:iCs/>
          <w:szCs w:val="22"/>
        </w:rPr>
        <w:t xml:space="preserve">Education Services for Overseas Students </w:t>
      </w:r>
      <w:r w:rsidR="008743F1" w:rsidRPr="00386C3F">
        <w:rPr>
          <w:i/>
          <w:iCs/>
          <w:szCs w:val="22"/>
        </w:rPr>
        <w:t>National Code</w:t>
      </w:r>
      <w:r w:rsidRPr="00386C3F">
        <w:rPr>
          <w:i/>
          <w:iCs/>
          <w:szCs w:val="22"/>
        </w:rPr>
        <w:t xml:space="preserve"> 2018 </w:t>
      </w:r>
      <w:r w:rsidRPr="00386C3F">
        <w:rPr>
          <w:szCs w:val="22"/>
        </w:rPr>
        <w:t xml:space="preserve">(ESOS </w:t>
      </w:r>
      <w:r w:rsidR="008743F1" w:rsidRPr="00386C3F">
        <w:rPr>
          <w:szCs w:val="22"/>
        </w:rPr>
        <w:t>National Code</w:t>
      </w:r>
      <w:r w:rsidRPr="00386C3F">
        <w:rPr>
          <w:szCs w:val="22"/>
        </w:rPr>
        <w:t xml:space="preserve">) and the </w:t>
      </w:r>
      <w:r w:rsidRPr="008A4BB7">
        <w:rPr>
          <w:i/>
          <w:szCs w:val="22"/>
        </w:rPr>
        <w:t>Support for Students Policy</w:t>
      </w:r>
      <w:r w:rsidRPr="00386C3F">
        <w:rPr>
          <w:szCs w:val="22"/>
        </w:rPr>
        <w:t xml:space="preserve"> in the </w:t>
      </w:r>
      <w:r w:rsidR="00DC400B" w:rsidRPr="008A4BB7">
        <w:rPr>
          <w:i/>
          <w:iCs/>
          <w:szCs w:val="22"/>
        </w:rPr>
        <w:t xml:space="preserve">Higher Education </w:t>
      </w:r>
      <w:r w:rsidR="00F569AD" w:rsidRPr="008A4BB7">
        <w:rPr>
          <w:i/>
          <w:iCs/>
          <w:szCs w:val="22"/>
        </w:rPr>
        <w:t>Support Act</w:t>
      </w:r>
      <w:r w:rsidR="00F569AD">
        <w:rPr>
          <w:szCs w:val="22"/>
        </w:rPr>
        <w:t xml:space="preserve"> </w:t>
      </w:r>
      <w:r w:rsidR="00F569AD" w:rsidRPr="008A4BB7">
        <w:rPr>
          <w:i/>
          <w:iCs/>
          <w:szCs w:val="22"/>
        </w:rPr>
        <w:t>2003</w:t>
      </w:r>
      <w:r w:rsidR="00F569AD">
        <w:rPr>
          <w:szCs w:val="22"/>
        </w:rPr>
        <w:t xml:space="preserve"> (</w:t>
      </w:r>
      <w:r>
        <w:rPr>
          <w:szCs w:val="22"/>
        </w:rPr>
        <w:t>HESA</w:t>
      </w:r>
      <w:r w:rsidR="00F569AD">
        <w:rPr>
          <w:szCs w:val="22"/>
        </w:rPr>
        <w:t>)</w:t>
      </w:r>
      <w:r w:rsidRPr="00386C3F">
        <w:rPr>
          <w:szCs w:val="22"/>
        </w:rPr>
        <w:t xml:space="preserve">. Higher education providers must also provide a safe working environment for staff (under various work health and safety laws) and prevent sexual discrimination and harassment (positive duty obligations, </w:t>
      </w:r>
      <w:r w:rsidRPr="00386C3F">
        <w:rPr>
          <w:i/>
          <w:szCs w:val="22"/>
        </w:rPr>
        <w:t>Sex Discrimination Act 1984</w:t>
      </w:r>
      <w:r w:rsidRPr="00386C3F">
        <w:rPr>
          <w:szCs w:val="22"/>
        </w:rPr>
        <w:t xml:space="preserve">). Despite these legislative and regulatory requirements, there are no explicit requirements in relation to protecting students from gender-based or sexual violence. These requirements do not constitute the comprehensive and targeted approach that is needed to drive substantial change in higher education settings and do not provide the Government with clear visibility of provider performance. The limitations of the current regulatory framework to address the prevalence of </w:t>
      </w:r>
      <w:r w:rsidR="00100DD6" w:rsidRPr="00386C3F">
        <w:rPr>
          <w:szCs w:val="22"/>
        </w:rPr>
        <w:t>gender-based violence</w:t>
      </w:r>
      <w:r w:rsidRPr="00386C3F">
        <w:rPr>
          <w:szCs w:val="22"/>
        </w:rPr>
        <w:t xml:space="preserve"> are explored in more detail in </w:t>
      </w:r>
      <w:r w:rsidRPr="00386C3F">
        <w:rPr>
          <w:b/>
          <w:bCs/>
          <w:szCs w:val="22"/>
        </w:rPr>
        <w:t xml:space="preserve">Table 2 </w:t>
      </w:r>
      <w:r w:rsidRPr="00386C3F">
        <w:rPr>
          <w:szCs w:val="22"/>
        </w:rPr>
        <w:t>below.</w:t>
      </w:r>
    </w:p>
    <w:p w14:paraId="111731C7" w14:textId="27ECDD5D" w:rsidR="00EB0B18" w:rsidRPr="00386C3F" w:rsidRDefault="00680F03" w:rsidP="00680F03">
      <w:pPr>
        <w:rPr>
          <w:szCs w:val="22"/>
        </w:rPr>
      </w:pPr>
      <w:r w:rsidRPr="00386C3F">
        <w:rPr>
          <w:b/>
          <w:bCs/>
          <w:szCs w:val="22"/>
        </w:rPr>
        <w:t>Table 2</w:t>
      </w:r>
      <w:r w:rsidRPr="00386C3F">
        <w:rPr>
          <w:szCs w:val="22"/>
        </w:rPr>
        <w:t xml:space="preserve">: Current regulatory scope and limitations to regulating </w:t>
      </w:r>
      <w:r w:rsidR="00B7771B" w:rsidRPr="00386C3F">
        <w:rPr>
          <w:szCs w:val="22"/>
        </w:rPr>
        <w:t>GBV</w:t>
      </w:r>
      <w:r w:rsidR="00A86513">
        <w:rPr>
          <w:szCs w:val="22"/>
        </w:rPr>
        <w:t>.</w:t>
      </w:r>
      <w:r w:rsidRPr="00386C3F">
        <w:rPr>
          <w:szCs w:val="22"/>
        </w:rPr>
        <w:t xml:space="preserve"> </w:t>
      </w:r>
    </w:p>
    <w:tbl>
      <w:tblPr>
        <w:tblStyle w:val="GridTable4-Accent1"/>
        <w:tblW w:w="9498" w:type="dxa"/>
        <w:tblLook w:val="04A0" w:firstRow="1" w:lastRow="0" w:firstColumn="1" w:lastColumn="0" w:noHBand="0" w:noVBand="1"/>
      </w:tblPr>
      <w:tblGrid>
        <w:gridCol w:w="2405"/>
        <w:gridCol w:w="7093"/>
      </w:tblGrid>
      <w:tr w:rsidR="00C410B8" w:rsidRPr="00386C3F" w14:paraId="3BC56523" w14:textId="77777777" w:rsidTr="002F4F9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hideMark/>
          </w:tcPr>
          <w:p w14:paraId="501DB570" w14:textId="77777777" w:rsidR="00680F03" w:rsidRPr="00386C3F" w:rsidRDefault="00680F03" w:rsidP="00680F03">
            <w:pPr>
              <w:spacing w:after="160" w:line="278" w:lineRule="auto"/>
            </w:pPr>
            <w:r w:rsidRPr="00386C3F">
              <w:t>Regulation </w:t>
            </w:r>
          </w:p>
        </w:tc>
        <w:tc>
          <w:tcPr>
            <w:tcW w:w="7093" w:type="dxa"/>
            <w:hideMark/>
          </w:tcPr>
          <w:p w14:paraId="1EC662B4" w14:textId="77777777" w:rsidR="00680F03" w:rsidRPr="00386C3F" w:rsidRDefault="00680F03" w:rsidP="00680F03">
            <w:pPr>
              <w:spacing w:after="160" w:line="278" w:lineRule="auto"/>
              <w:cnfStyle w:val="100000000000" w:firstRow="1" w:lastRow="0" w:firstColumn="0" w:lastColumn="0" w:oddVBand="0" w:evenVBand="0" w:oddHBand="0" w:evenHBand="0" w:firstRowFirstColumn="0" w:firstRowLastColumn="0" w:lastRowFirstColumn="0" w:lastRowLastColumn="0"/>
            </w:pPr>
            <w:r w:rsidRPr="00386C3F">
              <w:t xml:space="preserve">Current regulatory scope </w:t>
            </w:r>
          </w:p>
        </w:tc>
      </w:tr>
      <w:tr w:rsidR="00C410B8" w:rsidRPr="00386C3F" w14:paraId="5D4F2EBB" w14:textId="77777777" w:rsidTr="003B43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1EC5D013" w14:textId="77777777" w:rsidR="00680F03" w:rsidRPr="00DD4830" w:rsidRDefault="00680F03" w:rsidP="00EC27F4">
            <w:pPr>
              <w:spacing w:line="278" w:lineRule="auto"/>
              <w:rPr>
                <w:sz w:val="20"/>
                <w:szCs w:val="20"/>
              </w:rPr>
            </w:pPr>
            <w:r w:rsidRPr="00DD4830">
              <w:rPr>
                <w:i/>
                <w:sz w:val="20"/>
                <w:szCs w:val="20"/>
              </w:rPr>
              <w:t>Higher Education Standards Framework</w:t>
            </w:r>
            <w:r w:rsidRPr="00DD4830">
              <w:rPr>
                <w:sz w:val="20"/>
                <w:szCs w:val="20"/>
              </w:rPr>
              <w:t xml:space="preserve"> (Threshold Standards) 2021 </w:t>
            </w:r>
          </w:p>
        </w:tc>
        <w:tc>
          <w:tcPr>
            <w:tcW w:w="7093" w:type="dxa"/>
            <w:hideMark/>
          </w:tcPr>
          <w:p w14:paraId="25CC3302" w14:textId="375F4A44" w:rsidR="00680F03" w:rsidRPr="00B8000B" w:rsidRDefault="00680F03" w:rsidP="00EC27F4">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rPr>
                <w:sz w:val="20"/>
                <w:szCs w:val="20"/>
              </w:rPr>
            </w:pPr>
            <w:r w:rsidRPr="00B8000B">
              <w:rPr>
                <w:sz w:val="20"/>
                <w:szCs w:val="20"/>
              </w:rPr>
              <w:t xml:space="preserve">The Threshold Standards cover safety and wellbeing for students, but do not provide specific compliance requirements for preventing and responding to </w:t>
            </w:r>
            <w:r w:rsidR="00B7771B" w:rsidRPr="00B8000B">
              <w:rPr>
                <w:sz w:val="20"/>
                <w:szCs w:val="20"/>
              </w:rPr>
              <w:t>GBV</w:t>
            </w:r>
            <w:r w:rsidRPr="00B8000B">
              <w:rPr>
                <w:sz w:val="20"/>
                <w:szCs w:val="20"/>
              </w:rPr>
              <w:t>, including specifics on the nature and extent of support services.   </w:t>
            </w:r>
          </w:p>
          <w:p w14:paraId="25CD9FDB" w14:textId="77777777" w:rsidR="00680F03" w:rsidRPr="00B8000B" w:rsidRDefault="00680F03" w:rsidP="00EC27F4">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rPr>
                <w:sz w:val="20"/>
                <w:szCs w:val="20"/>
              </w:rPr>
            </w:pPr>
            <w:r w:rsidRPr="00B8000B">
              <w:rPr>
                <w:sz w:val="20"/>
                <w:szCs w:val="20"/>
              </w:rPr>
              <w:t>Student accommodation providers are not subject to the Threshold Standards. </w:t>
            </w:r>
          </w:p>
          <w:p w14:paraId="5C7A5D03" w14:textId="640E2918" w:rsidR="00680F03" w:rsidRPr="00B8000B" w:rsidRDefault="00680F03" w:rsidP="00EC27F4">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rPr>
                <w:sz w:val="20"/>
                <w:szCs w:val="20"/>
              </w:rPr>
            </w:pPr>
            <w:r w:rsidRPr="00B8000B">
              <w:rPr>
                <w:sz w:val="20"/>
                <w:szCs w:val="20"/>
              </w:rPr>
              <w:t xml:space="preserve">There is no requirement for higher education providers to report publicly, regularly, consistently on </w:t>
            </w:r>
            <w:r w:rsidR="00B7771B" w:rsidRPr="00B8000B">
              <w:rPr>
                <w:sz w:val="20"/>
                <w:szCs w:val="20"/>
              </w:rPr>
              <w:t>GBV</w:t>
            </w:r>
            <w:r w:rsidRPr="00B8000B">
              <w:rPr>
                <w:sz w:val="20"/>
                <w:szCs w:val="20"/>
              </w:rPr>
              <w:t xml:space="preserve"> incidents and responses to these incidents. </w:t>
            </w:r>
          </w:p>
        </w:tc>
      </w:tr>
      <w:tr w:rsidR="00D20703" w:rsidRPr="00386C3F" w14:paraId="70B04C5D" w14:textId="77777777" w:rsidTr="003123A1">
        <w:trPr>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41C09253" w14:textId="77777777" w:rsidR="00680F03" w:rsidRPr="00DD4830" w:rsidRDefault="00680F03" w:rsidP="00EC27F4">
            <w:pPr>
              <w:spacing w:line="278" w:lineRule="auto"/>
              <w:rPr>
                <w:sz w:val="20"/>
                <w:szCs w:val="20"/>
              </w:rPr>
            </w:pPr>
            <w:r w:rsidRPr="00DD4830">
              <w:rPr>
                <w:i/>
                <w:sz w:val="20"/>
                <w:szCs w:val="20"/>
              </w:rPr>
              <w:t>Higher Education Support Act 2003</w:t>
            </w:r>
            <w:r w:rsidRPr="00DD4830">
              <w:rPr>
                <w:sz w:val="20"/>
                <w:szCs w:val="20"/>
              </w:rPr>
              <w:t>, Higher Education Provider Guidelines 2023 </w:t>
            </w:r>
          </w:p>
        </w:tc>
        <w:tc>
          <w:tcPr>
            <w:tcW w:w="7093" w:type="dxa"/>
            <w:hideMark/>
          </w:tcPr>
          <w:p w14:paraId="13BA648E" w14:textId="7D452547" w:rsidR="00680F03" w:rsidRPr="00B8000B" w:rsidRDefault="00680F03" w:rsidP="00EC27F4">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rPr>
                <w:sz w:val="20"/>
                <w:szCs w:val="20"/>
              </w:rPr>
            </w:pPr>
            <w:r w:rsidRPr="00B8000B">
              <w:rPr>
                <w:sz w:val="20"/>
                <w:szCs w:val="20"/>
              </w:rPr>
              <w:t xml:space="preserve">The Act and Guidelines require higher education providers to have grievance and review procedures in place for student complaints on academic and non-academic matters. However, they do not require specific information on the nature of grievance and review procedures in relation to </w:t>
            </w:r>
            <w:r w:rsidR="00B7771B" w:rsidRPr="00B8000B">
              <w:rPr>
                <w:sz w:val="20"/>
                <w:szCs w:val="20"/>
              </w:rPr>
              <w:t>GBV</w:t>
            </w:r>
            <w:r w:rsidRPr="00B8000B">
              <w:rPr>
                <w:sz w:val="20"/>
                <w:szCs w:val="20"/>
              </w:rPr>
              <w:t xml:space="preserve"> nor require those procedures to be victim-centred and trauma-informed to reduce the likelihood of further harm. </w:t>
            </w:r>
          </w:p>
        </w:tc>
      </w:tr>
      <w:tr w:rsidR="00C410B8" w:rsidRPr="00386C3F" w14:paraId="6802D541" w14:textId="77777777" w:rsidTr="003B43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366E6F24" w14:textId="77777777" w:rsidR="00680F03" w:rsidRPr="00DD4830" w:rsidRDefault="00680F03" w:rsidP="00EC27F4">
            <w:pPr>
              <w:spacing w:line="278" w:lineRule="auto"/>
              <w:rPr>
                <w:sz w:val="20"/>
                <w:szCs w:val="20"/>
              </w:rPr>
            </w:pPr>
            <w:r w:rsidRPr="00DD4830">
              <w:rPr>
                <w:i/>
                <w:sz w:val="20"/>
                <w:szCs w:val="20"/>
              </w:rPr>
              <w:t>Support for Students Policy</w:t>
            </w:r>
            <w:r w:rsidRPr="00DD4830">
              <w:rPr>
                <w:sz w:val="20"/>
                <w:szCs w:val="20"/>
              </w:rPr>
              <w:t xml:space="preserve"> (HESA 2003, s19-43) </w:t>
            </w:r>
          </w:p>
        </w:tc>
        <w:tc>
          <w:tcPr>
            <w:tcW w:w="7093" w:type="dxa"/>
            <w:hideMark/>
          </w:tcPr>
          <w:p w14:paraId="45AA8C86" w14:textId="77777777" w:rsidR="00680F03" w:rsidRPr="00B8000B" w:rsidRDefault="00680F03" w:rsidP="00EC27F4">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rPr>
                <w:sz w:val="20"/>
                <w:szCs w:val="20"/>
              </w:rPr>
            </w:pPr>
            <w:r w:rsidRPr="00B8000B">
              <w:rPr>
                <w:sz w:val="20"/>
                <w:szCs w:val="20"/>
              </w:rPr>
              <w:t>The Support for Students Policy requires higher education providers to have, comply with and report on a policy that supports students to successfully complete units of study in which they are enrolled. However, these requirements only apply to HESA-approved providers – not all TEQSA approved higher education providers.</w:t>
            </w:r>
          </w:p>
          <w:p w14:paraId="3ADDBF5B" w14:textId="791A5AFF" w:rsidR="00680F03" w:rsidRPr="00B8000B" w:rsidRDefault="00680F03" w:rsidP="00EC27F4">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rPr>
                <w:sz w:val="20"/>
                <w:szCs w:val="20"/>
              </w:rPr>
            </w:pPr>
            <w:r w:rsidRPr="00B8000B">
              <w:rPr>
                <w:sz w:val="20"/>
                <w:szCs w:val="20"/>
              </w:rPr>
              <w:t xml:space="preserve">The guidelines recognise students may experience family and domestic violence, harassment, sexual harm but do not specifically include other forms of </w:t>
            </w:r>
            <w:r w:rsidR="00B7771B" w:rsidRPr="00B8000B">
              <w:rPr>
                <w:sz w:val="20"/>
                <w:szCs w:val="20"/>
              </w:rPr>
              <w:t>GBV</w:t>
            </w:r>
            <w:r w:rsidRPr="00B8000B">
              <w:rPr>
                <w:sz w:val="20"/>
                <w:szCs w:val="20"/>
              </w:rPr>
              <w:t>.   </w:t>
            </w:r>
          </w:p>
        </w:tc>
      </w:tr>
      <w:tr w:rsidR="00D20703" w:rsidRPr="00386C3F" w14:paraId="1B64CE4D" w14:textId="77777777" w:rsidTr="003123A1">
        <w:trPr>
          <w:trHeight w:val="1210"/>
        </w:trPr>
        <w:tc>
          <w:tcPr>
            <w:cnfStyle w:val="001000000000" w:firstRow="0" w:lastRow="0" w:firstColumn="1" w:lastColumn="0" w:oddVBand="0" w:evenVBand="0" w:oddHBand="0" w:evenHBand="0" w:firstRowFirstColumn="0" w:firstRowLastColumn="0" w:lastRowFirstColumn="0" w:lastRowLastColumn="0"/>
            <w:tcW w:w="2405" w:type="dxa"/>
            <w:hideMark/>
          </w:tcPr>
          <w:p w14:paraId="4FBC1E97" w14:textId="77777777" w:rsidR="00680F03" w:rsidRPr="00DD4830" w:rsidRDefault="00680F03" w:rsidP="00EC27F4">
            <w:pPr>
              <w:spacing w:line="278" w:lineRule="auto"/>
              <w:rPr>
                <w:i/>
                <w:sz w:val="20"/>
                <w:szCs w:val="20"/>
              </w:rPr>
            </w:pPr>
            <w:r w:rsidRPr="00DD4830">
              <w:rPr>
                <w:i/>
                <w:sz w:val="20"/>
                <w:szCs w:val="20"/>
              </w:rPr>
              <w:lastRenderedPageBreak/>
              <w:t xml:space="preserve">Higher Education Support (Student Services, Amenities, Representation and Advocacy) Guidelines </w:t>
            </w:r>
            <w:r w:rsidRPr="00DD4830">
              <w:rPr>
                <w:iCs/>
                <w:sz w:val="20"/>
                <w:szCs w:val="20"/>
              </w:rPr>
              <w:t>2022 </w:t>
            </w:r>
          </w:p>
        </w:tc>
        <w:tc>
          <w:tcPr>
            <w:tcW w:w="7093" w:type="dxa"/>
            <w:hideMark/>
          </w:tcPr>
          <w:p w14:paraId="7EEE69FB" w14:textId="4610FBE3" w:rsidR="00680F03" w:rsidRPr="00B8000B" w:rsidRDefault="00680F03" w:rsidP="00EC27F4">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rPr>
                <w:sz w:val="20"/>
                <w:szCs w:val="20"/>
              </w:rPr>
            </w:pPr>
            <w:r w:rsidRPr="00B8000B">
              <w:rPr>
                <w:sz w:val="20"/>
                <w:szCs w:val="20"/>
              </w:rPr>
              <w:t xml:space="preserve">These Guidelines require higher education providers who charge a student services and amenities fee (SSAF) to publicly report on how allocations are spent. SSAF revenue can only be spent on a range of non-academic support services. However, it does not prescribe support the kinds of support required for victims of </w:t>
            </w:r>
            <w:r w:rsidR="00B7771B" w:rsidRPr="00B8000B">
              <w:rPr>
                <w:sz w:val="20"/>
                <w:szCs w:val="20"/>
              </w:rPr>
              <w:t>GBV</w:t>
            </w:r>
            <w:r w:rsidRPr="00B8000B">
              <w:rPr>
                <w:sz w:val="20"/>
                <w:szCs w:val="20"/>
              </w:rPr>
              <w:t>. </w:t>
            </w:r>
          </w:p>
        </w:tc>
      </w:tr>
      <w:tr w:rsidR="00C410B8" w:rsidRPr="00386C3F" w14:paraId="5B8E038E" w14:textId="77777777" w:rsidTr="003B43C3">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405" w:type="dxa"/>
            <w:hideMark/>
          </w:tcPr>
          <w:p w14:paraId="054B2D3A" w14:textId="72495EC5" w:rsidR="00680F03" w:rsidRPr="00DD4830" w:rsidRDefault="008743F1" w:rsidP="00EC27F4">
            <w:pPr>
              <w:spacing w:line="278" w:lineRule="auto"/>
              <w:rPr>
                <w:i/>
                <w:sz w:val="20"/>
                <w:szCs w:val="20"/>
              </w:rPr>
            </w:pPr>
            <w:r w:rsidRPr="00DD4830">
              <w:rPr>
                <w:i/>
                <w:sz w:val="20"/>
                <w:szCs w:val="20"/>
              </w:rPr>
              <w:t>National Code</w:t>
            </w:r>
            <w:r w:rsidR="00680F03" w:rsidRPr="00DD4830">
              <w:rPr>
                <w:i/>
                <w:sz w:val="20"/>
                <w:szCs w:val="20"/>
              </w:rPr>
              <w:t xml:space="preserve"> of Practice for Providers of Education and Training to Overseas Students 2018  </w:t>
            </w:r>
          </w:p>
        </w:tc>
        <w:tc>
          <w:tcPr>
            <w:tcW w:w="7093" w:type="dxa"/>
            <w:hideMark/>
          </w:tcPr>
          <w:p w14:paraId="3012C7F6" w14:textId="49DC0BE3" w:rsidR="00680F03" w:rsidRPr="00B8000B" w:rsidRDefault="00680F03" w:rsidP="00EC27F4">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rPr>
                <w:sz w:val="20"/>
                <w:szCs w:val="20"/>
              </w:rPr>
            </w:pPr>
            <w:r w:rsidRPr="00B8000B">
              <w:rPr>
                <w:sz w:val="20"/>
                <w:szCs w:val="20"/>
              </w:rPr>
              <w:t xml:space="preserve">This </w:t>
            </w:r>
            <w:r w:rsidR="008743F1" w:rsidRPr="00B8000B">
              <w:rPr>
                <w:sz w:val="20"/>
                <w:szCs w:val="20"/>
              </w:rPr>
              <w:t>National Code</w:t>
            </w:r>
            <w:r w:rsidRPr="00B8000B">
              <w:rPr>
                <w:sz w:val="20"/>
                <w:szCs w:val="20"/>
              </w:rPr>
              <w:t xml:space="preserve"> focuses solely on the delivery of education to overseas students. </w:t>
            </w:r>
            <w:r w:rsidR="09B24611" w:rsidRPr="00B8000B">
              <w:rPr>
                <w:sz w:val="20"/>
                <w:szCs w:val="20"/>
              </w:rPr>
              <w:t>Like</w:t>
            </w:r>
            <w:r w:rsidRPr="00B8000B">
              <w:rPr>
                <w:sz w:val="20"/>
                <w:szCs w:val="20"/>
              </w:rPr>
              <w:t xml:space="preserve"> the Threshold Standards, it outlines minimum standards for higher education providers to ensure safe environments for students.</w:t>
            </w:r>
          </w:p>
        </w:tc>
      </w:tr>
      <w:tr w:rsidR="00D20703" w:rsidRPr="00386C3F" w14:paraId="5299738E" w14:textId="77777777" w:rsidTr="003123A1">
        <w:trPr>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722B3A98" w14:textId="77777777" w:rsidR="00680F03" w:rsidRPr="00DD4830" w:rsidRDefault="00680F03" w:rsidP="00EC27F4">
            <w:pPr>
              <w:spacing w:line="278" w:lineRule="auto"/>
              <w:rPr>
                <w:i/>
                <w:sz w:val="20"/>
                <w:szCs w:val="20"/>
              </w:rPr>
            </w:pPr>
            <w:r w:rsidRPr="00DD4830">
              <w:rPr>
                <w:i/>
                <w:sz w:val="20"/>
                <w:szCs w:val="20"/>
              </w:rPr>
              <w:t>Sex Discrimination Act 1984 - Positive duty requirements / Fair Work Act 2009 </w:t>
            </w:r>
          </w:p>
        </w:tc>
        <w:tc>
          <w:tcPr>
            <w:tcW w:w="7093" w:type="dxa"/>
            <w:hideMark/>
          </w:tcPr>
          <w:p w14:paraId="7F73DB84" w14:textId="274B071D" w:rsidR="00680F03" w:rsidRPr="00B8000B" w:rsidRDefault="00680F03" w:rsidP="00EC27F4">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rPr>
                <w:sz w:val="20"/>
                <w:szCs w:val="20"/>
              </w:rPr>
            </w:pPr>
            <w:r w:rsidRPr="00B8000B">
              <w:rPr>
                <w:sz w:val="20"/>
                <w:szCs w:val="20"/>
              </w:rPr>
              <w:t xml:space="preserve">Requires employers to take ‘reasonable and proportionate measures’ to eliminate and </w:t>
            </w:r>
            <w:r w:rsidR="003F30E2" w:rsidRPr="00B8000B">
              <w:rPr>
                <w:sz w:val="20"/>
                <w:szCs w:val="20"/>
              </w:rPr>
              <w:t>prevent</w:t>
            </w:r>
            <w:r w:rsidRPr="00B8000B">
              <w:rPr>
                <w:sz w:val="20"/>
                <w:szCs w:val="20"/>
              </w:rPr>
              <w:t xml:space="preserve"> discrimination on the grounds of sex in a work context; sexual harassment in connection with work; sex-based harassment in connection with work; conduct creating a workplace environment that is hostile on the grounds of sex; related acts of victimisation.  </w:t>
            </w:r>
          </w:p>
          <w:p w14:paraId="1AB9525D" w14:textId="16CED2D1" w:rsidR="002F4F96" w:rsidRPr="002F4F96" w:rsidRDefault="00680F03" w:rsidP="002F4F96">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rPr>
                <w:sz w:val="20"/>
                <w:szCs w:val="20"/>
              </w:rPr>
            </w:pPr>
            <w:r w:rsidRPr="00B8000B">
              <w:rPr>
                <w:sz w:val="20"/>
                <w:szCs w:val="20"/>
              </w:rPr>
              <w:t>Applies to employees/staff but does not apply to students. </w:t>
            </w:r>
          </w:p>
        </w:tc>
      </w:tr>
      <w:tr w:rsidR="00C410B8" w:rsidRPr="00386C3F" w14:paraId="09332265" w14:textId="77777777" w:rsidTr="003B43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63F2EA25" w14:textId="77777777" w:rsidR="00680F03" w:rsidRPr="00DD4830" w:rsidRDefault="00680F03" w:rsidP="00EC27F4">
            <w:pPr>
              <w:spacing w:line="278" w:lineRule="auto"/>
              <w:rPr>
                <w:sz w:val="20"/>
                <w:szCs w:val="20"/>
              </w:rPr>
            </w:pPr>
            <w:r w:rsidRPr="00DD4830">
              <w:rPr>
                <w:sz w:val="20"/>
                <w:szCs w:val="20"/>
              </w:rPr>
              <w:t>Work health and safety laws </w:t>
            </w:r>
          </w:p>
        </w:tc>
        <w:tc>
          <w:tcPr>
            <w:tcW w:w="7093" w:type="dxa"/>
            <w:hideMark/>
          </w:tcPr>
          <w:p w14:paraId="790D8C4B" w14:textId="77777777" w:rsidR="00680F03" w:rsidRPr="00B8000B" w:rsidRDefault="00680F03" w:rsidP="00EC27F4">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rPr>
                <w:sz w:val="20"/>
                <w:szCs w:val="20"/>
              </w:rPr>
            </w:pPr>
            <w:r w:rsidRPr="00B8000B">
              <w:rPr>
                <w:sz w:val="20"/>
                <w:szCs w:val="20"/>
              </w:rPr>
              <w:t>Higher education providers have a primary duty to monitor workers’ health and conditions and manage health and safety risks. This includes eliminating or minimising psychosocial hazards at work, which include sexual harassment, violence and aggression.</w:t>
            </w:r>
          </w:p>
          <w:p w14:paraId="17CC06F2" w14:textId="77777777" w:rsidR="00680F03" w:rsidRPr="00B8000B" w:rsidRDefault="00680F03" w:rsidP="00EC27F4">
            <w:pPr>
              <w:numPr>
                <w:ilvl w:val="0"/>
                <w:numId w:val="19"/>
              </w:numPr>
              <w:spacing w:line="278" w:lineRule="auto"/>
              <w:cnfStyle w:val="000000100000" w:firstRow="0" w:lastRow="0" w:firstColumn="0" w:lastColumn="0" w:oddVBand="0" w:evenVBand="0" w:oddHBand="1" w:evenHBand="0" w:firstRowFirstColumn="0" w:firstRowLastColumn="0" w:lastRowFirstColumn="0" w:lastRowLastColumn="0"/>
              <w:rPr>
                <w:sz w:val="20"/>
                <w:szCs w:val="20"/>
              </w:rPr>
            </w:pPr>
            <w:r w:rsidRPr="00B8000B">
              <w:rPr>
                <w:sz w:val="20"/>
                <w:szCs w:val="20"/>
              </w:rPr>
              <w:t>Guidelines do not always provide specific guidance on how to achieve compliance with the WHS Duty.  </w:t>
            </w:r>
          </w:p>
        </w:tc>
      </w:tr>
      <w:tr w:rsidR="00D20703" w:rsidRPr="00386C3F" w14:paraId="01EBC8C8" w14:textId="77777777" w:rsidTr="003123A1">
        <w:trPr>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09BB442D" w14:textId="77777777" w:rsidR="00680F03" w:rsidRPr="00DD4830" w:rsidRDefault="00680F03" w:rsidP="00EC27F4">
            <w:pPr>
              <w:spacing w:line="278" w:lineRule="auto"/>
              <w:rPr>
                <w:sz w:val="20"/>
                <w:szCs w:val="20"/>
              </w:rPr>
            </w:pPr>
            <w:r w:rsidRPr="00DD4830">
              <w:rPr>
                <w:sz w:val="20"/>
                <w:szCs w:val="20"/>
              </w:rPr>
              <w:t>Workplace Gender Equality Agency reporting requirements </w:t>
            </w:r>
          </w:p>
        </w:tc>
        <w:tc>
          <w:tcPr>
            <w:tcW w:w="7093" w:type="dxa"/>
            <w:hideMark/>
          </w:tcPr>
          <w:p w14:paraId="703330C3" w14:textId="03C5A2DB" w:rsidR="00680F03" w:rsidRPr="00B8000B" w:rsidRDefault="00680F03" w:rsidP="00EC27F4">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rPr>
                <w:sz w:val="20"/>
                <w:szCs w:val="20"/>
              </w:rPr>
            </w:pPr>
            <w:r w:rsidRPr="00B8000B">
              <w:rPr>
                <w:sz w:val="20"/>
                <w:szCs w:val="20"/>
              </w:rPr>
              <w:t>Requires higher education providers to register for the Gender Equality Program if they are standalone organisations with 100 or more employees, or a corporate structure with 100 or more employees across all entities.</w:t>
            </w:r>
          </w:p>
          <w:p w14:paraId="76E28E71" w14:textId="77777777" w:rsidR="00680F03" w:rsidRPr="00B8000B" w:rsidRDefault="00680F03" w:rsidP="00EC27F4">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rPr>
                <w:sz w:val="20"/>
                <w:szCs w:val="20"/>
              </w:rPr>
            </w:pPr>
            <w:r w:rsidRPr="00B8000B">
              <w:rPr>
                <w:sz w:val="20"/>
                <w:szCs w:val="20"/>
              </w:rPr>
              <w:t>Reporting is focused on gender equality and equity (which can include harassment and discrimination). </w:t>
            </w:r>
          </w:p>
          <w:p w14:paraId="6C7F6A94" w14:textId="3F8C8AF9" w:rsidR="00680F03" w:rsidRPr="00B8000B" w:rsidRDefault="00680F03" w:rsidP="00EC27F4">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rPr>
                <w:sz w:val="20"/>
                <w:szCs w:val="20"/>
              </w:rPr>
            </w:pPr>
            <w:r w:rsidRPr="00B8000B">
              <w:rPr>
                <w:sz w:val="20"/>
                <w:szCs w:val="20"/>
              </w:rPr>
              <w:t xml:space="preserve">Reporting does not relate to students, student complaints, disclosures of </w:t>
            </w:r>
            <w:r w:rsidR="00B7771B" w:rsidRPr="00B8000B">
              <w:rPr>
                <w:sz w:val="20"/>
                <w:szCs w:val="20"/>
              </w:rPr>
              <w:t>GBV</w:t>
            </w:r>
            <w:r w:rsidRPr="00B8000B">
              <w:rPr>
                <w:sz w:val="20"/>
                <w:szCs w:val="20"/>
              </w:rPr>
              <w:t xml:space="preserve"> or related incident rates. </w:t>
            </w:r>
          </w:p>
          <w:p w14:paraId="6F288E66" w14:textId="08F28AF0" w:rsidR="00680F03" w:rsidRPr="00B8000B" w:rsidRDefault="00680F03" w:rsidP="00EC27F4">
            <w:pPr>
              <w:numPr>
                <w:ilvl w:val="0"/>
                <w:numId w:val="19"/>
              </w:numPr>
              <w:spacing w:line="278" w:lineRule="auto"/>
              <w:cnfStyle w:val="000000000000" w:firstRow="0" w:lastRow="0" w:firstColumn="0" w:lastColumn="0" w:oddVBand="0" w:evenVBand="0" w:oddHBand="0" w:evenHBand="0" w:firstRowFirstColumn="0" w:firstRowLastColumn="0" w:lastRowFirstColumn="0" w:lastRowLastColumn="0"/>
              <w:rPr>
                <w:sz w:val="20"/>
                <w:szCs w:val="20"/>
              </w:rPr>
            </w:pPr>
            <w:r w:rsidRPr="00B8000B">
              <w:rPr>
                <w:sz w:val="20"/>
                <w:szCs w:val="20"/>
              </w:rPr>
              <w:t>Does not apply to all registered higher education providers.  </w:t>
            </w:r>
          </w:p>
        </w:tc>
      </w:tr>
    </w:tbl>
    <w:p w14:paraId="1D975A5F" w14:textId="310DB017" w:rsidR="002C7B6D" w:rsidRPr="006B296A" w:rsidRDefault="00680F03" w:rsidP="00EB0B18">
      <w:pPr>
        <w:spacing w:before="240"/>
      </w:pPr>
      <w:r w:rsidRPr="00B8000B">
        <w:rPr>
          <w:szCs w:val="22"/>
        </w:rPr>
        <w:t xml:space="preserve">There is guidance available to the sector to support leading practice such as TEQSA’s </w:t>
      </w:r>
      <w:r w:rsidRPr="00B8000B">
        <w:rPr>
          <w:i/>
          <w:szCs w:val="22"/>
        </w:rPr>
        <w:t>Guidance Note</w:t>
      </w:r>
      <w:r w:rsidR="366C5FD2" w:rsidRPr="00B8000B">
        <w:rPr>
          <w:i/>
          <w:szCs w:val="22"/>
        </w:rPr>
        <w:t xml:space="preserve">: </w:t>
      </w:r>
      <w:r w:rsidRPr="00B8000B">
        <w:rPr>
          <w:i/>
          <w:szCs w:val="22"/>
        </w:rPr>
        <w:t>Wellbeing and Safety</w:t>
      </w:r>
      <w:r w:rsidRPr="00B8000B">
        <w:rPr>
          <w:szCs w:val="22"/>
        </w:rPr>
        <w:t>, Universities Australia’s</w:t>
      </w:r>
      <w:r w:rsidRPr="00B8000B">
        <w:rPr>
          <w:i/>
          <w:szCs w:val="22"/>
        </w:rPr>
        <w:t xml:space="preserve"> Sexual Harm Response Guidelines</w:t>
      </w:r>
      <w:r w:rsidRPr="00B8000B">
        <w:rPr>
          <w:szCs w:val="22"/>
        </w:rPr>
        <w:t xml:space="preserve"> and the AHRC’s </w:t>
      </w:r>
      <w:r w:rsidRPr="00B8000B">
        <w:rPr>
          <w:i/>
          <w:szCs w:val="22"/>
        </w:rPr>
        <w:t>Guidelines for Complying with the Positive Duty</w:t>
      </w:r>
      <w:r w:rsidRPr="00B8000B">
        <w:rPr>
          <w:szCs w:val="22"/>
        </w:rPr>
        <w:t>. Collectively</w:t>
      </w:r>
      <w:r w:rsidR="00933E08" w:rsidRPr="00B8000B">
        <w:rPr>
          <w:szCs w:val="22"/>
        </w:rPr>
        <w:t>,</w:t>
      </w:r>
      <w:r w:rsidRPr="00B8000B">
        <w:rPr>
          <w:szCs w:val="22"/>
        </w:rPr>
        <w:t xml:space="preserve"> these materials provide more specific guidance for higher education providers in addressing </w:t>
      </w:r>
      <w:r w:rsidR="00B7771B" w:rsidRPr="00B8000B">
        <w:rPr>
          <w:szCs w:val="22"/>
        </w:rPr>
        <w:t>GBV</w:t>
      </w:r>
      <w:r w:rsidRPr="00B8000B">
        <w:rPr>
          <w:szCs w:val="22"/>
        </w:rPr>
        <w:t xml:space="preserve">, but they do not constitute the comprehensive approach that is needed to drive systemic change across the sector. </w:t>
      </w:r>
    </w:p>
    <w:p w14:paraId="2017168B" w14:textId="51CA1300" w:rsidR="00194588" w:rsidRDefault="00194588" w:rsidP="002C7B6D">
      <w:pPr>
        <w:pStyle w:val="Heading3"/>
      </w:pPr>
      <w:bookmarkStart w:id="53" w:name="_Toc204763298"/>
      <w:bookmarkStart w:id="54" w:name="_Toc204764866"/>
      <w:bookmarkStart w:id="55" w:name="_Toc205216878"/>
      <w:r>
        <w:t>Student accommodation regulatory framework</w:t>
      </w:r>
      <w:bookmarkEnd w:id="53"/>
      <w:bookmarkEnd w:id="54"/>
      <w:bookmarkEnd w:id="55"/>
      <w:r>
        <w:t xml:space="preserve"> </w:t>
      </w:r>
    </w:p>
    <w:p w14:paraId="5272ABF4" w14:textId="4267638E" w:rsidR="00680F03" w:rsidRPr="00386C3F" w:rsidRDefault="00680F03" w:rsidP="00680F03">
      <w:pPr>
        <w:rPr>
          <w:szCs w:val="22"/>
        </w:rPr>
      </w:pPr>
      <w:r w:rsidRPr="00386C3F">
        <w:rPr>
          <w:szCs w:val="22"/>
        </w:rPr>
        <w:t>The lack of a specific approach to address</w:t>
      </w:r>
      <w:r w:rsidR="7E60372B" w:rsidRPr="00386C3F">
        <w:rPr>
          <w:szCs w:val="22"/>
        </w:rPr>
        <w:t>ing</w:t>
      </w:r>
      <w:r w:rsidRPr="00386C3F">
        <w:rPr>
          <w:szCs w:val="22"/>
        </w:rPr>
        <w:t xml:space="preserve"> </w:t>
      </w:r>
      <w:r w:rsidR="00B7771B" w:rsidRPr="00386C3F">
        <w:rPr>
          <w:szCs w:val="22"/>
        </w:rPr>
        <w:t>GBV</w:t>
      </w:r>
      <w:r w:rsidRPr="00386C3F">
        <w:rPr>
          <w:szCs w:val="22"/>
        </w:rPr>
        <w:t xml:space="preserve"> is also a significant risk within student accommodation settings. There are a range of student accommodation types and legal structures, including university owned/operated, residential colleges, homestays and purpose-built student accommodation (PBSAs). As a result, there is a mixed regulatory framework which includes private contracts and Residential Tenancy Acts (RTAs). While some student accommodation providers provide pastoral care and are addressing this </w:t>
      </w:r>
      <w:r w:rsidRPr="00386C3F">
        <w:rPr>
          <w:szCs w:val="22"/>
        </w:rPr>
        <w:lastRenderedPageBreak/>
        <w:t xml:space="preserve">violence in their residences, there are no national regulations, requirements or consistent standards for providers. </w:t>
      </w:r>
    </w:p>
    <w:p w14:paraId="143B8762" w14:textId="5AE96810" w:rsidR="00680F03" w:rsidRPr="00386C3F" w:rsidRDefault="00680F03" w:rsidP="00680F03">
      <w:pPr>
        <w:rPr>
          <w:szCs w:val="22"/>
        </w:rPr>
      </w:pPr>
      <w:r w:rsidRPr="00386C3F">
        <w:rPr>
          <w:szCs w:val="22"/>
        </w:rPr>
        <w:t xml:space="preserve">At the national level, there is currently no legislative authority or regulatory powers to hold accommodation providers accountable regarding work to prevent, address and respond to </w:t>
      </w:r>
      <w:r w:rsidR="00B7771B" w:rsidRPr="00386C3F">
        <w:rPr>
          <w:szCs w:val="22"/>
        </w:rPr>
        <w:t>GBV</w:t>
      </w:r>
      <w:r w:rsidRPr="00386C3F">
        <w:rPr>
          <w:szCs w:val="22"/>
        </w:rPr>
        <w:t xml:space="preserve">. While sexual assault and sexual harassment is prohibited under State and Territory anti-discrimination, equal opportunity and criminal laws, the utilisation of these statutes is reliant on individual complaints and offers limited opportunities for systemic attention or improvements. Many student accommodation services seek to work with their relevant higher education provider, but there are cases where a lack of collaboration has negatively affected victim-survivors resulting in a lack of support or poor investigation processes. </w:t>
      </w:r>
    </w:p>
    <w:p w14:paraId="6B1F5812" w14:textId="7AA59A4F" w:rsidR="009B0D59" w:rsidRPr="00386C3F" w:rsidRDefault="00680F03" w:rsidP="00680F03">
      <w:pPr>
        <w:rPr>
          <w:szCs w:val="22"/>
        </w:rPr>
      </w:pPr>
      <w:r w:rsidRPr="00386C3F">
        <w:rPr>
          <w:szCs w:val="22"/>
        </w:rPr>
        <w:t xml:space="preserve">The current rates of </w:t>
      </w:r>
      <w:r w:rsidR="00B7771B" w:rsidRPr="00386C3F">
        <w:rPr>
          <w:szCs w:val="22"/>
        </w:rPr>
        <w:t>GBV</w:t>
      </w:r>
      <w:r w:rsidRPr="00386C3F">
        <w:rPr>
          <w:szCs w:val="22"/>
        </w:rPr>
        <w:t xml:space="preserve"> in higher education and student accommodation settings pose an unacceptable risk to student and staff safety. Policy intervention is therefore required to drive the cultural shift needed to address the systemic and long-term</w:t>
      </w:r>
      <w:r w:rsidR="00890718" w:rsidRPr="00386C3F">
        <w:rPr>
          <w:szCs w:val="22"/>
        </w:rPr>
        <w:t xml:space="preserve"> </w:t>
      </w:r>
      <w:r w:rsidR="00B7771B" w:rsidRPr="00386C3F">
        <w:rPr>
          <w:szCs w:val="22"/>
        </w:rPr>
        <w:t>GBV</w:t>
      </w:r>
      <w:r w:rsidR="00890718" w:rsidRPr="00386C3F">
        <w:rPr>
          <w:szCs w:val="22"/>
        </w:rPr>
        <w:t xml:space="preserve"> in the higher education sector and student accommodation settings. </w:t>
      </w:r>
    </w:p>
    <w:p w14:paraId="0716C4B2" w14:textId="1DF7C8B6" w:rsidR="009B0D59" w:rsidRPr="00386C3F" w:rsidRDefault="003E5641" w:rsidP="00680F03">
      <w:pPr>
        <w:rPr>
          <w:szCs w:val="22"/>
        </w:rPr>
      </w:pPr>
      <w:r>
        <w:rPr>
          <w:szCs w:val="22"/>
        </w:rPr>
        <w:br w:type="page"/>
      </w:r>
    </w:p>
    <w:p w14:paraId="5C8445D8" w14:textId="276EFAE4" w:rsidR="00D1438C" w:rsidRPr="00386C3F" w:rsidRDefault="00EE409C" w:rsidP="000054B1">
      <w:pPr>
        <w:pStyle w:val="Heading1"/>
        <w:rPr>
          <w:b/>
          <w:bCs/>
        </w:rPr>
      </w:pPr>
      <w:bookmarkStart w:id="56" w:name="_Toc204699850"/>
      <w:bookmarkStart w:id="57" w:name="_Toc210050224"/>
      <w:r>
        <w:rPr>
          <w:b/>
          <w:bCs/>
        </w:rPr>
        <w:lastRenderedPageBreak/>
        <w:t xml:space="preserve">Chapter 2: </w:t>
      </w:r>
      <w:r w:rsidR="00C811CD" w:rsidRPr="00386C3F">
        <w:rPr>
          <w:b/>
          <w:bCs/>
        </w:rPr>
        <w:t>What are the objectives, why is government intervention needed to achieve them, and how will success be measured?</w:t>
      </w:r>
      <w:bookmarkEnd w:id="56"/>
      <w:bookmarkEnd w:id="57"/>
      <w:r w:rsidR="00D045D3" w:rsidRPr="00386C3F">
        <w:rPr>
          <w:b/>
          <w:bCs/>
        </w:rPr>
        <w:t xml:space="preserve"> </w:t>
      </w:r>
    </w:p>
    <w:p w14:paraId="06F7641A" w14:textId="703C146A" w:rsidR="006F5D3A" w:rsidRDefault="00CF5982" w:rsidP="004B484F">
      <w:pPr>
        <w:pStyle w:val="Heading2"/>
      </w:pPr>
      <w:bookmarkStart w:id="58" w:name="_Toc204699852"/>
      <w:bookmarkStart w:id="59" w:name="_Toc210050225"/>
      <w:r>
        <w:t xml:space="preserve">Voluntary </w:t>
      </w:r>
      <w:r w:rsidR="006F5D3A">
        <w:t xml:space="preserve">measures are not enough to address </w:t>
      </w:r>
      <w:r w:rsidR="00B7771B">
        <w:t>GBV</w:t>
      </w:r>
      <w:r w:rsidR="006F5D3A">
        <w:t xml:space="preserve"> in higher education</w:t>
      </w:r>
      <w:bookmarkEnd w:id="58"/>
      <w:bookmarkEnd w:id="59"/>
    </w:p>
    <w:p w14:paraId="33E11132" w14:textId="3C1C434A" w:rsidR="00545B6D" w:rsidRPr="00386C3F" w:rsidRDefault="00C515C7" w:rsidP="00DD4830">
      <w:pPr>
        <w:rPr>
          <w:rFonts w:cs="Calibri"/>
          <w:szCs w:val="22"/>
        </w:rPr>
      </w:pPr>
      <w:r w:rsidRPr="00386C3F">
        <w:rPr>
          <w:rFonts w:cs="Calibri"/>
          <w:szCs w:val="22"/>
        </w:rPr>
        <w:t>Despite more than a decade of research, recommendations, and sector-wide commitments, voluntary action by higher education providers has not delivered the systemic change required to prevent gender-based violence or ensure consistent and effective institutional responses. As outlined in Chapter 1</w:t>
      </w:r>
      <w:r w:rsidR="00515930" w:rsidRPr="00386C3F">
        <w:rPr>
          <w:rFonts w:cs="Calibri"/>
          <w:szCs w:val="22"/>
        </w:rPr>
        <w:t xml:space="preserve">, </w:t>
      </w:r>
      <w:r w:rsidR="00D25956" w:rsidRPr="00386C3F">
        <w:rPr>
          <w:rFonts w:cs="Calibri"/>
          <w:szCs w:val="22"/>
        </w:rPr>
        <w:t xml:space="preserve">rates of </w:t>
      </w:r>
      <w:r w:rsidR="00515930" w:rsidRPr="00386C3F">
        <w:rPr>
          <w:rFonts w:cs="Calibri"/>
          <w:szCs w:val="22"/>
        </w:rPr>
        <w:t xml:space="preserve">gender-based </w:t>
      </w:r>
      <w:r w:rsidR="00D25956" w:rsidRPr="00386C3F">
        <w:rPr>
          <w:rFonts w:cs="Calibri"/>
          <w:szCs w:val="22"/>
        </w:rPr>
        <w:t>violence remain</w:t>
      </w:r>
      <w:r w:rsidRPr="00386C3F">
        <w:rPr>
          <w:rFonts w:cs="Calibri"/>
          <w:szCs w:val="22"/>
        </w:rPr>
        <w:t xml:space="preserve"> unacceptably high across the sector. Progress has been slow, uneven, and difficult to measure</w:t>
      </w:r>
      <w:r w:rsidR="00545B6D" w:rsidRPr="00386C3F">
        <w:rPr>
          <w:rFonts w:cs="Calibri"/>
          <w:szCs w:val="22"/>
        </w:rPr>
        <w:t xml:space="preserve">. </w:t>
      </w:r>
    </w:p>
    <w:p w14:paraId="7E78C696" w14:textId="1F07587B" w:rsidR="00C515C7" w:rsidRPr="00386C3F" w:rsidRDefault="00C515C7" w:rsidP="00DD4830">
      <w:pPr>
        <w:rPr>
          <w:rFonts w:cs="Calibri"/>
          <w:szCs w:val="22"/>
        </w:rPr>
      </w:pPr>
      <w:r w:rsidRPr="00386C3F">
        <w:rPr>
          <w:rFonts w:cs="Calibri"/>
          <w:szCs w:val="22"/>
        </w:rPr>
        <w:t xml:space="preserve">While some </w:t>
      </w:r>
      <w:r w:rsidR="00545B6D" w:rsidRPr="00386C3F">
        <w:rPr>
          <w:rFonts w:cs="Calibri"/>
          <w:szCs w:val="22"/>
        </w:rPr>
        <w:t>providers</w:t>
      </w:r>
      <w:r w:rsidRPr="00386C3F">
        <w:rPr>
          <w:rFonts w:cs="Calibri"/>
          <w:szCs w:val="22"/>
        </w:rPr>
        <w:t xml:space="preserve"> have demonstrated</w:t>
      </w:r>
      <w:r w:rsidR="003B0BF9" w:rsidRPr="00386C3F">
        <w:rPr>
          <w:rFonts w:cs="Calibri"/>
          <w:szCs w:val="22"/>
        </w:rPr>
        <w:t xml:space="preserve"> initiative to address gender-based violence</w:t>
      </w:r>
      <w:r w:rsidRPr="00386C3F">
        <w:rPr>
          <w:rFonts w:cs="Calibri"/>
          <w:szCs w:val="22"/>
        </w:rPr>
        <w:t>, the overall response has been fragmented and reactive. Voluntary measures</w:t>
      </w:r>
      <w:r w:rsidR="00433BBA" w:rsidRPr="00386C3F">
        <w:rPr>
          <w:rFonts w:cs="Calibri"/>
          <w:szCs w:val="22"/>
        </w:rPr>
        <w:t>, s</w:t>
      </w:r>
      <w:r w:rsidRPr="00386C3F">
        <w:rPr>
          <w:rFonts w:cs="Calibri"/>
          <w:szCs w:val="22"/>
        </w:rPr>
        <w:t>uch as sector-led charters, guidance notes, and individual initiatives</w:t>
      </w:r>
      <w:r w:rsidR="00433BBA" w:rsidRPr="00386C3F">
        <w:rPr>
          <w:rFonts w:cs="Calibri"/>
          <w:szCs w:val="22"/>
        </w:rPr>
        <w:t xml:space="preserve">, </w:t>
      </w:r>
      <w:r w:rsidRPr="00386C3F">
        <w:rPr>
          <w:rFonts w:cs="Calibri"/>
          <w:szCs w:val="22"/>
        </w:rPr>
        <w:t xml:space="preserve">have lacked enforceability, consistency, and accountability. In many cases, efforts have been siloed across HR, legal, student services, and wellbeing teams, with no overarching strategy or sustained investment. Funding is often directed toward short-term </w:t>
      </w:r>
      <w:r w:rsidR="00374E2E" w:rsidRPr="00386C3F">
        <w:rPr>
          <w:rFonts w:cs="Calibri"/>
          <w:szCs w:val="22"/>
        </w:rPr>
        <w:t>initiatives</w:t>
      </w:r>
      <w:r w:rsidRPr="00386C3F">
        <w:rPr>
          <w:rFonts w:cs="Calibri"/>
          <w:szCs w:val="22"/>
        </w:rPr>
        <w:t xml:space="preserve"> or pilot programs that, while promising, fail to scale or embed lasting change.</w:t>
      </w:r>
    </w:p>
    <w:p w14:paraId="628F27E8" w14:textId="57A6F6EA" w:rsidR="00CF5982" w:rsidRPr="00386C3F" w:rsidRDefault="00F230B7" w:rsidP="00DD4830">
      <w:pPr>
        <w:rPr>
          <w:rFonts w:cs="Calibri"/>
          <w:szCs w:val="22"/>
        </w:rPr>
      </w:pPr>
      <w:r>
        <w:rPr>
          <w:rFonts w:cs="Calibri"/>
          <w:szCs w:val="22"/>
        </w:rPr>
        <w:t>I</w:t>
      </w:r>
      <w:r w:rsidR="00CF5982">
        <w:rPr>
          <w:rFonts w:cs="Calibri"/>
          <w:szCs w:val="22"/>
        </w:rPr>
        <w:t xml:space="preserve">t is </w:t>
      </w:r>
      <w:r w:rsidR="00564EFC">
        <w:rPr>
          <w:rFonts w:cs="Calibri"/>
          <w:szCs w:val="22"/>
        </w:rPr>
        <w:t>important to recognise the</w:t>
      </w:r>
      <w:r w:rsidR="00CF5982">
        <w:rPr>
          <w:rFonts w:cs="Calibri"/>
          <w:szCs w:val="22"/>
        </w:rPr>
        <w:t xml:space="preserve"> work that individual </w:t>
      </w:r>
      <w:r w:rsidR="004028D3">
        <w:rPr>
          <w:rFonts w:cs="Calibri"/>
          <w:szCs w:val="22"/>
        </w:rPr>
        <w:t>HEPs</w:t>
      </w:r>
      <w:r w:rsidR="00CF5982">
        <w:rPr>
          <w:rFonts w:cs="Calibri"/>
          <w:szCs w:val="22"/>
        </w:rPr>
        <w:t xml:space="preserve"> have undertaken in preventing and responding to </w:t>
      </w:r>
      <w:r w:rsidR="004028D3">
        <w:rPr>
          <w:rFonts w:cs="Calibri"/>
          <w:szCs w:val="22"/>
        </w:rPr>
        <w:t>GBV</w:t>
      </w:r>
      <w:r w:rsidR="00CF5982">
        <w:rPr>
          <w:rFonts w:cs="Calibri"/>
          <w:szCs w:val="22"/>
        </w:rPr>
        <w:t xml:space="preserve">. </w:t>
      </w:r>
      <w:r w:rsidR="004028D3">
        <w:rPr>
          <w:rFonts w:cs="Calibri"/>
          <w:szCs w:val="22"/>
        </w:rPr>
        <w:t xml:space="preserve">Some </w:t>
      </w:r>
      <w:r w:rsidR="00CF5982">
        <w:rPr>
          <w:rFonts w:cs="Calibri"/>
          <w:szCs w:val="22"/>
        </w:rPr>
        <w:t xml:space="preserve">HEPs have demonstrated strong leadership by developing tailored initiatives that reflect their context, student demographics and broader community needs. </w:t>
      </w:r>
      <w:r w:rsidR="00ED3740">
        <w:rPr>
          <w:rFonts w:cs="Calibri"/>
          <w:szCs w:val="22"/>
        </w:rPr>
        <w:t>Individual</w:t>
      </w:r>
      <w:r w:rsidR="00CF5982">
        <w:rPr>
          <w:rFonts w:cs="Calibri"/>
          <w:szCs w:val="22"/>
        </w:rPr>
        <w:t xml:space="preserve"> actions can be powerful as they are often more agile and responsive tha</w:t>
      </w:r>
      <w:r w:rsidR="006E1B1C">
        <w:rPr>
          <w:rFonts w:cs="Calibri"/>
          <w:szCs w:val="22"/>
        </w:rPr>
        <w:t>n</w:t>
      </w:r>
      <w:r>
        <w:rPr>
          <w:rFonts w:cs="Calibri"/>
          <w:szCs w:val="22"/>
        </w:rPr>
        <w:t xml:space="preserve"> </w:t>
      </w:r>
      <w:r w:rsidR="00CF5982">
        <w:rPr>
          <w:rFonts w:cs="Calibri"/>
          <w:szCs w:val="22"/>
        </w:rPr>
        <w:t xml:space="preserve">government intervention, allowing institutions to pilot innovative approaches and react quickly to emerging issues. More importantly, they demonstrate genuine commitment to student and staff wellbeing. </w:t>
      </w:r>
    </w:p>
    <w:p w14:paraId="69064A6A" w14:textId="5654110E" w:rsidR="00C515C7" w:rsidRPr="00386C3F" w:rsidRDefault="006020AF" w:rsidP="00DD4830">
      <w:pPr>
        <w:rPr>
          <w:rFonts w:cs="Calibri"/>
          <w:szCs w:val="22"/>
        </w:rPr>
      </w:pPr>
      <w:r>
        <w:rPr>
          <w:rFonts w:cs="Calibri"/>
          <w:szCs w:val="22"/>
        </w:rPr>
        <w:t>Despite pockets of good practice, in</w:t>
      </w:r>
      <w:r w:rsidR="00CF5982">
        <w:rPr>
          <w:rFonts w:cs="Calibri"/>
          <w:szCs w:val="22"/>
        </w:rPr>
        <w:t xml:space="preserve"> t</w:t>
      </w:r>
      <w:r w:rsidR="00C515C7" w:rsidRPr="00386C3F">
        <w:rPr>
          <w:rFonts w:cs="Calibri"/>
          <w:szCs w:val="22"/>
        </w:rPr>
        <w:t>he absence of a unified, independent, and accountable framework</w:t>
      </w:r>
      <w:r w:rsidR="00F85100">
        <w:rPr>
          <w:rFonts w:cs="Calibri"/>
          <w:szCs w:val="22"/>
        </w:rPr>
        <w:t>,</w:t>
      </w:r>
      <w:r w:rsidR="00C515C7" w:rsidRPr="00386C3F">
        <w:rPr>
          <w:rFonts w:cs="Calibri"/>
          <w:szCs w:val="22"/>
        </w:rPr>
        <w:t xml:space="preserve"> </w:t>
      </w:r>
      <w:r w:rsidR="0018607D">
        <w:rPr>
          <w:rFonts w:cs="Calibri"/>
          <w:szCs w:val="22"/>
        </w:rPr>
        <w:t>there will always be</w:t>
      </w:r>
      <w:r w:rsidR="00C515C7" w:rsidRPr="00386C3F">
        <w:rPr>
          <w:rFonts w:cs="Calibri"/>
          <w:szCs w:val="22"/>
        </w:rPr>
        <w:t xml:space="preserve"> persistent gaps in prevention, response, and recovery. There is currently no national mechanism to monitor institutional performance, ensure compliance with leading practice, or support continuous improvement. As a result, students and staff continue to face </w:t>
      </w:r>
      <w:r w:rsidR="00374E2E" w:rsidRPr="00386C3F">
        <w:rPr>
          <w:rFonts w:cs="Calibri"/>
          <w:szCs w:val="22"/>
        </w:rPr>
        <w:t xml:space="preserve">inconsistent responses. </w:t>
      </w:r>
    </w:p>
    <w:p w14:paraId="0E8ACE61" w14:textId="0F2B233F" w:rsidR="00C515C7" w:rsidRDefault="00C515C7" w:rsidP="00DD4830">
      <w:pPr>
        <w:rPr>
          <w:rFonts w:cs="Calibri"/>
          <w:szCs w:val="22"/>
        </w:rPr>
      </w:pPr>
      <w:r w:rsidRPr="00386C3F">
        <w:rPr>
          <w:rFonts w:cs="Calibri"/>
          <w:szCs w:val="22"/>
        </w:rPr>
        <w:t xml:space="preserve">This approach stands in contrast to the expectations set out in the </w:t>
      </w:r>
      <w:r w:rsidRPr="00386C3F">
        <w:rPr>
          <w:rFonts w:cs="Calibri"/>
          <w:i/>
          <w:iCs/>
          <w:szCs w:val="22"/>
        </w:rPr>
        <w:t>National Plan to End Violence Against Women and Children 2022–2032</w:t>
      </w:r>
      <w:r w:rsidRPr="00386C3F">
        <w:rPr>
          <w:rFonts w:cs="Calibri"/>
          <w:szCs w:val="22"/>
        </w:rPr>
        <w:t>, which calls for structural reform, national leadership, and system-wide accountability</w:t>
      </w:r>
      <w:r w:rsidR="004145D1">
        <w:rPr>
          <w:rFonts w:cs="Calibri"/>
          <w:szCs w:val="22"/>
        </w:rPr>
        <w:t>.</w:t>
      </w:r>
      <w:r w:rsidR="00374E2E" w:rsidRPr="00386C3F">
        <w:rPr>
          <w:rStyle w:val="FootnoteReference"/>
          <w:rFonts w:cs="Calibri"/>
          <w:szCs w:val="22"/>
        </w:rPr>
        <w:footnoteReference w:id="115"/>
      </w:r>
      <w:r w:rsidRPr="00386C3F">
        <w:rPr>
          <w:rFonts w:cs="Calibri"/>
          <w:szCs w:val="22"/>
        </w:rPr>
        <w:t xml:space="preserve"> The </w:t>
      </w:r>
      <w:r w:rsidR="00DE4D4D">
        <w:rPr>
          <w:rFonts w:cs="Calibri"/>
          <w:szCs w:val="22"/>
        </w:rPr>
        <w:t xml:space="preserve">National </w:t>
      </w:r>
      <w:r w:rsidRPr="00386C3F">
        <w:rPr>
          <w:rFonts w:cs="Calibri"/>
          <w:szCs w:val="22"/>
        </w:rPr>
        <w:t>Plan emphasises the need for coordinated evidence-based action and comprehensive data collection. Without disaggregated data on prevalence, experience, and institutional response, efforts will remain incomplete, reactive, and poorly targeted.</w:t>
      </w:r>
    </w:p>
    <w:p w14:paraId="16CFFF1A" w14:textId="6E30EEC1" w:rsidR="00C515C7" w:rsidRPr="00386C3F" w:rsidRDefault="00A02691" w:rsidP="00297487">
      <w:pPr>
        <w:rPr>
          <w:rFonts w:cs="Calibri"/>
          <w:szCs w:val="22"/>
        </w:rPr>
      </w:pPr>
      <w:r>
        <w:rPr>
          <w:rFonts w:cs="Calibri"/>
          <w:szCs w:val="22"/>
        </w:rPr>
        <w:t xml:space="preserve">Higher education </w:t>
      </w:r>
      <w:r w:rsidR="00297487">
        <w:rPr>
          <w:rFonts w:cs="Calibri"/>
          <w:szCs w:val="22"/>
        </w:rPr>
        <w:t>settings</w:t>
      </w:r>
      <w:r>
        <w:rPr>
          <w:rFonts w:cs="Calibri"/>
          <w:szCs w:val="22"/>
        </w:rPr>
        <w:t xml:space="preserve">, like all workplaces, have a responsibility to foster safe environments. However, they operate within a unique context that can </w:t>
      </w:r>
      <w:r w:rsidR="00297487">
        <w:rPr>
          <w:rFonts w:cs="Calibri"/>
          <w:szCs w:val="22"/>
        </w:rPr>
        <w:t xml:space="preserve">present a different set </w:t>
      </w:r>
      <w:r w:rsidR="00297487">
        <w:rPr>
          <w:rFonts w:cs="Calibri"/>
          <w:szCs w:val="22"/>
        </w:rPr>
        <w:lastRenderedPageBreak/>
        <w:t>of challenges for embedding sustained cultural change. H</w:t>
      </w:r>
      <w:r w:rsidR="005640D8" w:rsidRPr="00386C3F">
        <w:rPr>
          <w:rFonts w:cs="Calibri"/>
          <w:szCs w:val="22"/>
        </w:rPr>
        <w:t xml:space="preserve">igher education settings </w:t>
      </w:r>
      <w:r w:rsidR="00C515C7" w:rsidRPr="00386C3F">
        <w:rPr>
          <w:rFonts w:cs="Calibri"/>
          <w:szCs w:val="22"/>
        </w:rPr>
        <w:t xml:space="preserve">experience high student turnover, </w:t>
      </w:r>
      <w:r w:rsidR="005640D8" w:rsidRPr="00386C3F">
        <w:rPr>
          <w:rFonts w:cs="Calibri"/>
          <w:szCs w:val="22"/>
        </w:rPr>
        <w:t xml:space="preserve">with a new student cohort every few years, </w:t>
      </w:r>
      <w:r w:rsidR="00C515C7" w:rsidRPr="00386C3F">
        <w:rPr>
          <w:rFonts w:cs="Calibri"/>
          <w:szCs w:val="22"/>
        </w:rPr>
        <w:t>making sustained cultural change more difficult to embed. This cyclical nature c</w:t>
      </w:r>
      <w:r w:rsidR="00FE3A35">
        <w:rPr>
          <w:rFonts w:cs="Calibri"/>
          <w:szCs w:val="22"/>
        </w:rPr>
        <w:t>ould</w:t>
      </w:r>
      <w:r w:rsidR="00C515C7" w:rsidRPr="00386C3F">
        <w:rPr>
          <w:rFonts w:cs="Calibri"/>
          <w:szCs w:val="22"/>
        </w:rPr>
        <w:t xml:space="preserve"> lead to short-term, compliance-driven responses</w:t>
      </w:r>
      <w:r w:rsidR="00FE3A35">
        <w:rPr>
          <w:rFonts w:cs="Calibri"/>
          <w:szCs w:val="22"/>
        </w:rPr>
        <w:t>,</w:t>
      </w:r>
      <w:r w:rsidR="00C515C7" w:rsidRPr="00386C3F">
        <w:rPr>
          <w:rFonts w:cs="Calibri"/>
          <w:szCs w:val="22"/>
        </w:rPr>
        <w:t xml:space="preserve"> rather than long-term, preventative strategies.</w:t>
      </w:r>
    </w:p>
    <w:p w14:paraId="230B7F5F" w14:textId="3BABFE12" w:rsidR="00C515C7" w:rsidRPr="00386C3F" w:rsidRDefault="00C515C7" w:rsidP="00DD4830">
      <w:pPr>
        <w:rPr>
          <w:rFonts w:cs="Calibri"/>
          <w:szCs w:val="22"/>
        </w:rPr>
      </w:pPr>
      <w:r w:rsidRPr="00386C3F">
        <w:rPr>
          <w:rFonts w:cs="Calibri"/>
          <w:szCs w:val="22"/>
        </w:rPr>
        <w:t>In the absence of sector-wide benchmarks and quality indicators, even well-intentioned institutional actions risk being inconsistent and ineffective. While some providers may model best practice, there is no mechanism to ensure these approaches are shared, replicated, or scaled across the sector. Standardisation is essential</w:t>
      </w:r>
      <w:r w:rsidR="005640D8" w:rsidRPr="00386C3F">
        <w:rPr>
          <w:rFonts w:cs="Calibri"/>
          <w:szCs w:val="22"/>
        </w:rPr>
        <w:t xml:space="preserve"> - </w:t>
      </w:r>
      <w:r w:rsidRPr="00386C3F">
        <w:rPr>
          <w:rFonts w:cs="Calibri"/>
          <w:szCs w:val="22"/>
        </w:rPr>
        <w:t>not only to reinforce existing measures, but to strengthen transparency, accountability, and trust.</w:t>
      </w:r>
    </w:p>
    <w:p w14:paraId="366FF7E0" w14:textId="442E73B9" w:rsidR="00C515C7" w:rsidRPr="00386C3F" w:rsidRDefault="00C515C7" w:rsidP="00DD4830">
      <w:pPr>
        <w:rPr>
          <w:rFonts w:cs="Calibri"/>
          <w:szCs w:val="22"/>
        </w:rPr>
      </w:pPr>
      <w:r w:rsidRPr="00386C3F">
        <w:rPr>
          <w:rFonts w:cs="Calibri"/>
          <w:szCs w:val="22"/>
        </w:rPr>
        <w:t>Universities are not only places of learning</w:t>
      </w:r>
      <w:r w:rsidR="00374E2E" w:rsidRPr="00386C3F">
        <w:rPr>
          <w:rFonts w:cs="Calibri"/>
          <w:szCs w:val="22"/>
        </w:rPr>
        <w:t xml:space="preserve"> - </w:t>
      </w:r>
      <w:r w:rsidR="00C46CE8" w:rsidRPr="00386C3F">
        <w:rPr>
          <w:rFonts w:cs="Calibri"/>
          <w:szCs w:val="22"/>
        </w:rPr>
        <w:t>but they are also</w:t>
      </w:r>
      <w:r w:rsidRPr="00386C3F">
        <w:rPr>
          <w:rFonts w:cs="Calibri"/>
          <w:szCs w:val="22"/>
        </w:rPr>
        <w:t xml:space="preserve"> workplaces, communities, and formative environments for future leaders. As highlighted in Recommendation 11 of the Respect@Work</w:t>
      </w:r>
      <w:r w:rsidR="006D5BD5">
        <w:rPr>
          <w:rFonts w:cs="Calibri"/>
          <w:szCs w:val="22"/>
        </w:rPr>
        <w:t xml:space="preserve"> </w:t>
      </w:r>
      <w:r w:rsidRPr="00386C3F">
        <w:rPr>
          <w:rFonts w:cs="Calibri"/>
          <w:szCs w:val="22"/>
        </w:rPr>
        <w:t>inquiry, tertiary institutions have a critical role in delivering evidence-based education and training that addresses the drivers of GBV and promotes workplace rights</w:t>
      </w:r>
      <w:r w:rsidR="00004503">
        <w:rPr>
          <w:rFonts w:cs="Calibri"/>
          <w:szCs w:val="22"/>
        </w:rPr>
        <w:t>.</w:t>
      </w:r>
      <w:r w:rsidR="00272514" w:rsidRPr="00386C3F">
        <w:rPr>
          <w:rStyle w:val="FootnoteReference"/>
          <w:rFonts w:cs="Calibri"/>
          <w:szCs w:val="22"/>
        </w:rPr>
        <w:footnoteReference w:id="116"/>
      </w:r>
      <w:r w:rsidRPr="00386C3F">
        <w:rPr>
          <w:rFonts w:cs="Calibri"/>
          <w:szCs w:val="22"/>
        </w:rPr>
        <w:t xml:space="preserve"> With large workforces and significant infrastructure, higher education providers are well-positioned to lead cultural change</w:t>
      </w:r>
      <w:r w:rsidR="00374E2E" w:rsidRPr="00386C3F">
        <w:rPr>
          <w:rFonts w:cs="Calibri"/>
          <w:szCs w:val="22"/>
        </w:rPr>
        <w:t xml:space="preserve"> - </w:t>
      </w:r>
      <w:r w:rsidRPr="00386C3F">
        <w:rPr>
          <w:rFonts w:cs="Calibri"/>
          <w:szCs w:val="22"/>
        </w:rPr>
        <w:t>but only if supported by a coordinated, enforceable framework.</w:t>
      </w:r>
    </w:p>
    <w:p w14:paraId="07BB7D89" w14:textId="77777777" w:rsidR="00AD0083" w:rsidRDefault="00C515C7" w:rsidP="00FC0CEF">
      <w:r w:rsidRPr="00386C3F">
        <w:rPr>
          <w:rFonts w:cs="Calibri"/>
          <w:szCs w:val="22"/>
        </w:rPr>
        <w:t xml:space="preserve">Voluntary measures have laid important groundwork, but they are no longer sufficient. The scale and complexity of GBV demands a shift from good intentions to binding obligations. A national, mandatory approach is needed to ensure that all providers meet consistent standards in prevention, response, and </w:t>
      </w:r>
      <w:bookmarkStart w:id="60" w:name="_Toc204699853"/>
      <w:r w:rsidR="00D326BE" w:rsidRPr="00386C3F">
        <w:rPr>
          <w:rFonts w:cs="Calibri"/>
          <w:szCs w:val="22"/>
        </w:rPr>
        <w:t>reporting</w:t>
      </w:r>
      <w:r w:rsidR="00D326BE">
        <w:rPr>
          <w:rFonts w:cs="Calibri"/>
          <w:szCs w:val="22"/>
        </w:rPr>
        <w:t>.</w:t>
      </w:r>
      <w:r w:rsidR="00D326BE">
        <w:t xml:space="preserve"> </w:t>
      </w:r>
    </w:p>
    <w:p w14:paraId="3E873548" w14:textId="5C42BF8D" w:rsidR="00657720" w:rsidRDefault="00D326BE" w:rsidP="00AD0083">
      <w:pPr>
        <w:pStyle w:val="Heading2"/>
      </w:pPr>
      <w:bookmarkStart w:id="61" w:name="_Toc210050226"/>
      <w:r>
        <w:t>The</w:t>
      </w:r>
      <w:r w:rsidR="00657720">
        <w:t xml:space="preserve"> government has an obligation to intervene</w:t>
      </w:r>
      <w:bookmarkEnd w:id="60"/>
      <w:bookmarkEnd w:id="61"/>
      <w:r w:rsidR="00657720">
        <w:t xml:space="preserve"> </w:t>
      </w:r>
    </w:p>
    <w:p w14:paraId="0C98C267" w14:textId="1F3E2F66" w:rsidR="0000182B" w:rsidRPr="00386C3F" w:rsidRDefault="0000182B" w:rsidP="006B296A">
      <w:pPr>
        <w:spacing w:before="120" w:after="120" w:line="276" w:lineRule="auto"/>
        <w:rPr>
          <w:rFonts w:ascii="Aptos" w:eastAsia="Aptos" w:hAnsi="Aptos" w:cs="Calibri"/>
          <w:szCs w:val="22"/>
        </w:rPr>
      </w:pPr>
      <w:r w:rsidRPr="00386C3F">
        <w:rPr>
          <w:rFonts w:ascii="Aptos" w:eastAsia="Aptos" w:hAnsi="Aptos" w:cs="Calibri"/>
          <w:szCs w:val="22"/>
        </w:rPr>
        <w:t xml:space="preserve">The Australian Government is the primary public funder and regulator of the higher education sector. Through mechanisms such as the Commonwealth Grant Scheme (CGS) and national research grants, the Government provides significant financial support to universities and other higher education providers. Under the </w:t>
      </w:r>
      <w:r w:rsidRPr="00386C3F">
        <w:rPr>
          <w:rFonts w:ascii="Aptos" w:eastAsia="Aptos" w:hAnsi="Aptos" w:cs="Calibri"/>
          <w:i/>
          <w:szCs w:val="22"/>
        </w:rPr>
        <w:t>Higher Education Support Act 20</w:t>
      </w:r>
      <w:r w:rsidR="00F2725D">
        <w:rPr>
          <w:rFonts w:ascii="Aptos" w:eastAsia="Aptos" w:hAnsi="Aptos" w:cs="Calibri"/>
          <w:i/>
          <w:szCs w:val="22"/>
        </w:rPr>
        <w:t>0</w:t>
      </w:r>
      <w:r w:rsidRPr="00386C3F">
        <w:rPr>
          <w:rFonts w:ascii="Aptos" w:eastAsia="Aptos" w:hAnsi="Aptos" w:cs="Calibri"/>
          <w:i/>
          <w:szCs w:val="22"/>
        </w:rPr>
        <w:t xml:space="preserve">3 </w:t>
      </w:r>
      <w:r w:rsidRPr="00763CB4">
        <w:rPr>
          <w:rFonts w:ascii="Aptos" w:eastAsia="Aptos" w:hAnsi="Aptos" w:cs="Calibri"/>
          <w:iCs/>
          <w:szCs w:val="22"/>
        </w:rPr>
        <w:t>(HESA),</w:t>
      </w:r>
      <w:r w:rsidRPr="00386C3F">
        <w:rPr>
          <w:rFonts w:ascii="Aptos" w:eastAsia="Aptos" w:hAnsi="Aptos" w:cs="Calibri"/>
          <w:szCs w:val="22"/>
        </w:rPr>
        <w:t xml:space="preserve"> providers that receive CGS funding enter into funding agreements with the Commonwealth, which carry an expectation that publicly funded institutions will operate </w:t>
      </w:r>
      <w:r w:rsidR="00282B55">
        <w:rPr>
          <w:rFonts w:ascii="Aptos" w:eastAsia="Aptos" w:hAnsi="Aptos" w:cs="Calibri"/>
          <w:szCs w:val="22"/>
        </w:rPr>
        <w:t xml:space="preserve">as safe and equitable environments for students. </w:t>
      </w:r>
    </w:p>
    <w:p w14:paraId="5B669D58" w14:textId="405B9882" w:rsidR="0000182B" w:rsidRPr="00386C3F" w:rsidRDefault="0000182B" w:rsidP="006B296A">
      <w:pPr>
        <w:spacing w:before="120" w:after="120" w:line="276" w:lineRule="auto"/>
        <w:rPr>
          <w:rFonts w:ascii="Aptos" w:eastAsia="Aptos" w:hAnsi="Aptos" w:cs="Calibri"/>
          <w:szCs w:val="22"/>
        </w:rPr>
      </w:pPr>
      <w:r w:rsidRPr="00386C3F">
        <w:rPr>
          <w:rFonts w:ascii="Aptos" w:eastAsia="Aptos" w:hAnsi="Aptos" w:cs="Calibri"/>
          <w:szCs w:val="22"/>
        </w:rPr>
        <w:t>Most students in Australia study in Commonwealth Supported Places (CSPs) and access government loans through</w:t>
      </w:r>
      <w:r w:rsidR="008864EF">
        <w:rPr>
          <w:rFonts w:ascii="Aptos" w:eastAsia="Aptos" w:hAnsi="Aptos" w:cs="Calibri"/>
          <w:szCs w:val="22"/>
        </w:rPr>
        <w:t xml:space="preserve"> the Higher Education Loan </w:t>
      </w:r>
      <w:r w:rsidR="001B0D94">
        <w:rPr>
          <w:rFonts w:ascii="Aptos" w:eastAsia="Aptos" w:hAnsi="Aptos" w:cs="Calibri"/>
          <w:szCs w:val="22"/>
        </w:rPr>
        <w:t>Program (</w:t>
      </w:r>
      <w:r w:rsidRPr="00386C3F">
        <w:rPr>
          <w:rFonts w:ascii="Aptos" w:eastAsia="Aptos" w:hAnsi="Aptos" w:cs="Calibri"/>
          <w:szCs w:val="22"/>
        </w:rPr>
        <w:t>HELP</w:t>
      </w:r>
      <w:r w:rsidR="00C1357F">
        <w:rPr>
          <w:rFonts w:ascii="Aptos" w:eastAsia="Aptos" w:hAnsi="Aptos" w:cs="Calibri"/>
          <w:szCs w:val="22"/>
        </w:rPr>
        <w:t>)</w:t>
      </w:r>
      <w:r w:rsidR="002D382A">
        <w:rPr>
          <w:rFonts w:ascii="Aptos" w:eastAsia="Aptos" w:hAnsi="Aptos" w:cs="Calibri"/>
          <w:szCs w:val="22"/>
        </w:rPr>
        <w:t>.</w:t>
      </w:r>
      <w:r w:rsidR="00C1357F">
        <w:rPr>
          <w:rStyle w:val="FootnoteReference"/>
          <w:rFonts w:ascii="Aptos" w:eastAsia="Aptos" w:hAnsi="Aptos" w:cs="Calibri"/>
          <w:szCs w:val="22"/>
        </w:rPr>
        <w:footnoteReference w:id="117"/>
      </w:r>
      <w:r w:rsidRPr="00386C3F">
        <w:rPr>
          <w:rFonts w:ascii="Aptos" w:eastAsia="Aptos" w:hAnsi="Aptos" w:cs="Calibri"/>
          <w:szCs w:val="22"/>
        </w:rPr>
        <w:t xml:space="preserve"> These arrangements reflect a substantial public investment in education and a reciprocal obligation </w:t>
      </w:r>
      <w:r w:rsidR="003F2EE7">
        <w:rPr>
          <w:rFonts w:ascii="Aptos" w:eastAsia="Aptos" w:hAnsi="Aptos" w:cs="Calibri"/>
          <w:szCs w:val="22"/>
        </w:rPr>
        <w:t>for</w:t>
      </w:r>
      <w:r w:rsidR="003F2EE7" w:rsidRPr="00386C3F">
        <w:rPr>
          <w:rFonts w:ascii="Aptos" w:eastAsia="Aptos" w:hAnsi="Aptos" w:cs="Calibri"/>
          <w:szCs w:val="22"/>
        </w:rPr>
        <w:t xml:space="preserve"> </w:t>
      </w:r>
      <w:r w:rsidRPr="00386C3F">
        <w:rPr>
          <w:rFonts w:ascii="Aptos" w:eastAsia="Aptos" w:hAnsi="Aptos" w:cs="Calibri"/>
          <w:szCs w:val="22"/>
        </w:rPr>
        <w:t>institutions to uphold student safety and wellbeing as a condition of that investment.</w:t>
      </w:r>
    </w:p>
    <w:p w14:paraId="0AAF1998" w14:textId="77777777" w:rsidR="0000182B" w:rsidRPr="00386C3F" w:rsidRDefault="0000182B" w:rsidP="006B296A">
      <w:pPr>
        <w:spacing w:before="120" w:after="120" w:line="276" w:lineRule="auto"/>
        <w:rPr>
          <w:rFonts w:ascii="Aptos" w:eastAsia="Aptos" w:hAnsi="Aptos" w:cs="Calibri"/>
          <w:szCs w:val="22"/>
        </w:rPr>
      </w:pPr>
      <w:r w:rsidRPr="00386C3F">
        <w:rPr>
          <w:rFonts w:ascii="Aptos" w:eastAsia="Aptos" w:hAnsi="Aptos" w:cs="Calibri"/>
          <w:szCs w:val="22"/>
        </w:rPr>
        <w:t xml:space="preserve">As the primary funder, the Government is also the primary regulator of the sector. The Department of Education administers student safety responsibilities under the </w:t>
      </w:r>
      <w:r w:rsidRPr="00386C3F">
        <w:rPr>
          <w:rFonts w:ascii="Aptos" w:eastAsia="Aptos" w:hAnsi="Aptos" w:cs="Calibri"/>
          <w:i/>
          <w:szCs w:val="22"/>
        </w:rPr>
        <w:t xml:space="preserve">Tertiary Education Quality and Standards Agency </w:t>
      </w:r>
      <w:r w:rsidRPr="00512DC4">
        <w:rPr>
          <w:rFonts w:ascii="Aptos" w:eastAsia="Aptos" w:hAnsi="Aptos" w:cs="Calibri"/>
          <w:iCs/>
          <w:szCs w:val="22"/>
        </w:rPr>
        <w:t>(TEQSA)</w:t>
      </w:r>
      <w:r w:rsidRPr="00386C3F">
        <w:rPr>
          <w:rFonts w:ascii="Aptos" w:eastAsia="Aptos" w:hAnsi="Aptos" w:cs="Calibri"/>
          <w:i/>
          <w:szCs w:val="22"/>
        </w:rPr>
        <w:t xml:space="preserve"> Act</w:t>
      </w:r>
      <w:r w:rsidRPr="00386C3F">
        <w:rPr>
          <w:rFonts w:ascii="Aptos" w:eastAsia="Aptos" w:hAnsi="Aptos" w:cs="Calibri"/>
          <w:szCs w:val="22"/>
        </w:rPr>
        <w:t xml:space="preserve">, the </w:t>
      </w:r>
      <w:r w:rsidRPr="00386C3F">
        <w:rPr>
          <w:rFonts w:ascii="Aptos" w:eastAsia="Aptos" w:hAnsi="Aptos" w:cs="Calibri"/>
          <w:i/>
          <w:szCs w:val="22"/>
        </w:rPr>
        <w:t>Higher Education Support Act 2003</w:t>
      </w:r>
      <w:r w:rsidRPr="00386C3F">
        <w:rPr>
          <w:rFonts w:ascii="Aptos" w:eastAsia="Aptos" w:hAnsi="Aptos" w:cs="Calibri"/>
          <w:szCs w:val="22"/>
        </w:rPr>
        <w:t xml:space="preserve">, and the </w:t>
      </w:r>
      <w:r w:rsidRPr="00386C3F">
        <w:rPr>
          <w:rFonts w:ascii="Aptos" w:eastAsia="Aptos" w:hAnsi="Aptos" w:cs="Calibri"/>
          <w:i/>
          <w:szCs w:val="22"/>
        </w:rPr>
        <w:t xml:space="preserve">Education Services for Overseas Students Act 2000 </w:t>
      </w:r>
      <w:r w:rsidRPr="00DD4830">
        <w:rPr>
          <w:rFonts w:ascii="Aptos" w:eastAsia="Aptos" w:hAnsi="Aptos" w:cs="Calibri"/>
          <w:iCs/>
          <w:szCs w:val="22"/>
        </w:rPr>
        <w:t>(ESOS Act)</w:t>
      </w:r>
      <w:r w:rsidRPr="00DE4D4D">
        <w:rPr>
          <w:rFonts w:ascii="Aptos" w:eastAsia="Aptos" w:hAnsi="Aptos" w:cs="Calibri"/>
          <w:iCs/>
          <w:szCs w:val="22"/>
        </w:rPr>
        <w:t xml:space="preserve">. </w:t>
      </w:r>
      <w:r w:rsidRPr="00386C3F">
        <w:rPr>
          <w:rFonts w:ascii="Aptos" w:eastAsia="Aptos" w:hAnsi="Aptos" w:cs="Calibri"/>
          <w:szCs w:val="22"/>
        </w:rPr>
        <w:t>These frameworks underpin the Government’s role in safeguarding the integrity and safety of the sector.</w:t>
      </w:r>
    </w:p>
    <w:p w14:paraId="2907090D" w14:textId="77DBDE38" w:rsidR="00F373DC" w:rsidRPr="00F373DC" w:rsidRDefault="00F373DC" w:rsidP="006B296A">
      <w:pPr>
        <w:spacing w:before="120" w:after="120" w:line="276" w:lineRule="auto"/>
        <w:rPr>
          <w:rFonts w:ascii="Aptos" w:eastAsia="Aptos" w:hAnsi="Aptos" w:cs="Calibri"/>
          <w:szCs w:val="22"/>
        </w:rPr>
      </w:pPr>
      <w:r w:rsidRPr="00F373DC">
        <w:rPr>
          <w:rFonts w:ascii="Aptos" w:eastAsia="Aptos" w:hAnsi="Aptos" w:cs="Calibri"/>
          <w:szCs w:val="22"/>
        </w:rPr>
        <w:lastRenderedPageBreak/>
        <w:t xml:space="preserve">As discussed in </w:t>
      </w:r>
      <w:r w:rsidR="00E60E57">
        <w:rPr>
          <w:rFonts w:ascii="Aptos" w:eastAsia="Aptos" w:hAnsi="Aptos" w:cs="Calibri"/>
          <w:szCs w:val="22"/>
        </w:rPr>
        <w:t>Chapter 1</w:t>
      </w:r>
      <w:r w:rsidRPr="00F373DC">
        <w:rPr>
          <w:rFonts w:ascii="Aptos" w:eastAsia="Aptos" w:hAnsi="Aptos" w:cs="Calibri"/>
          <w:szCs w:val="22"/>
        </w:rPr>
        <w:t>, the effects of gender-based violence on victim-survivors’ mental</w:t>
      </w:r>
      <w:r w:rsidR="003E4AD6">
        <w:rPr>
          <w:rFonts w:ascii="Aptos" w:eastAsia="Aptos" w:hAnsi="Aptos" w:cs="Calibri"/>
          <w:szCs w:val="22"/>
        </w:rPr>
        <w:t xml:space="preserve"> and </w:t>
      </w:r>
      <w:r w:rsidRPr="00F373DC">
        <w:rPr>
          <w:rFonts w:ascii="Aptos" w:eastAsia="Aptos" w:hAnsi="Aptos" w:cs="Calibri"/>
          <w:szCs w:val="22"/>
        </w:rPr>
        <w:t>physical health, and wellbeing can negatively impact students’ educational outcomes. Students may be less able to attend or participate in classes, and in some cases, will withdraw from their study. This directly challenges the core mission of universities and the rights of students to an education. For staff, the effects of gender-based violence can result in reduced performance, absenteeism, and turnover.</w:t>
      </w:r>
      <w:r w:rsidRPr="00F373DC">
        <w:rPr>
          <w:rFonts w:ascii="Aptos" w:eastAsia="Aptos" w:hAnsi="Aptos" w:cs="Calibri"/>
          <w:szCs w:val="22"/>
          <w:vertAlign w:val="superscript"/>
        </w:rPr>
        <w:footnoteReference w:id="118"/>
      </w:r>
      <w:r w:rsidRPr="00F373DC">
        <w:rPr>
          <w:rFonts w:ascii="Aptos" w:eastAsia="Aptos" w:hAnsi="Aptos" w:cs="Calibri"/>
          <w:szCs w:val="22"/>
        </w:rPr>
        <w:t xml:space="preserve"> The Government has an obligation to safeguard the rights of students, to work with providers to improve prevention and response to gender-based violence, and to hold providers to account.</w:t>
      </w:r>
    </w:p>
    <w:p w14:paraId="6E1BC5D5" w14:textId="77EC7F1B" w:rsidR="009F695F" w:rsidRPr="00386C3F" w:rsidRDefault="0000182B" w:rsidP="009F695F">
      <w:pPr>
        <w:spacing w:before="120" w:after="120" w:line="276" w:lineRule="auto"/>
        <w:rPr>
          <w:rFonts w:ascii="Aptos" w:eastAsia="Aptos" w:hAnsi="Aptos" w:cs="Calibri"/>
          <w:szCs w:val="22"/>
        </w:rPr>
      </w:pPr>
      <w:r w:rsidRPr="00386C3F">
        <w:rPr>
          <w:rFonts w:ascii="Aptos" w:eastAsia="Aptos" w:hAnsi="Aptos" w:cs="Calibri"/>
          <w:szCs w:val="22"/>
        </w:rPr>
        <w:t>Australia also has legal obligations under international human rights instruments</w:t>
      </w:r>
      <w:r w:rsidR="00904EFB">
        <w:rPr>
          <w:rFonts w:ascii="Aptos" w:eastAsia="Aptos" w:hAnsi="Aptos" w:cs="Calibri"/>
          <w:szCs w:val="22"/>
        </w:rPr>
        <w:t>. These</w:t>
      </w:r>
      <w:r w:rsidRPr="00386C3F">
        <w:rPr>
          <w:rFonts w:ascii="Aptos" w:eastAsia="Aptos" w:hAnsi="Aptos" w:cs="Calibri"/>
          <w:szCs w:val="22"/>
        </w:rPr>
        <w:t xml:space="preserve"> includ</w:t>
      </w:r>
      <w:r w:rsidR="00904EFB">
        <w:rPr>
          <w:rFonts w:ascii="Aptos" w:eastAsia="Aptos" w:hAnsi="Aptos" w:cs="Calibri"/>
          <w:szCs w:val="22"/>
        </w:rPr>
        <w:t>e</w:t>
      </w:r>
      <w:r w:rsidRPr="00386C3F">
        <w:rPr>
          <w:rFonts w:ascii="Aptos" w:eastAsia="Aptos" w:hAnsi="Aptos" w:cs="Calibri"/>
          <w:szCs w:val="22"/>
        </w:rPr>
        <w:t xml:space="preserve"> the </w:t>
      </w:r>
      <w:r w:rsidRPr="00386C3F">
        <w:rPr>
          <w:rFonts w:ascii="Aptos" w:eastAsia="Aptos" w:hAnsi="Aptos" w:cs="Calibri"/>
          <w:i/>
          <w:szCs w:val="22"/>
        </w:rPr>
        <w:t xml:space="preserve">Convention on the Elimination of All Forms of Discrimination Against </w:t>
      </w:r>
      <w:r w:rsidR="00D326BE" w:rsidRPr="00386C3F">
        <w:rPr>
          <w:rFonts w:ascii="Aptos" w:eastAsia="Aptos" w:hAnsi="Aptos" w:cs="Calibri"/>
          <w:i/>
          <w:szCs w:val="22"/>
        </w:rPr>
        <w:t>Women and</w:t>
      </w:r>
      <w:r w:rsidRPr="00386C3F">
        <w:rPr>
          <w:rFonts w:ascii="Aptos" w:eastAsia="Aptos" w:hAnsi="Aptos" w:cs="Calibri"/>
          <w:szCs w:val="22"/>
        </w:rPr>
        <w:t xml:space="preserve"> the </w:t>
      </w:r>
      <w:r w:rsidRPr="00386C3F">
        <w:rPr>
          <w:rFonts w:ascii="Aptos" w:eastAsia="Aptos" w:hAnsi="Aptos" w:cs="Calibri"/>
          <w:i/>
          <w:szCs w:val="22"/>
        </w:rPr>
        <w:t xml:space="preserve">International Covenant on Economic, Social and Cultural Rights </w:t>
      </w:r>
      <w:r w:rsidRPr="00DD4830">
        <w:rPr>
          <w:rFonts w:ascii="Aptos" w:eastAsia="Aptos" w:hAnsi="Aptos" w:cs="Calibri"/>
          <w:iCs/>
          <w:szCs w:val="22"/>
        </w:rPr>
        <w:t>(ICESCR)</w:t>
      </w:r>
      <w:r w:rsidR="00904EFB">
        <w:rPr>
          <w:rFonts w:ascii="Aptos" w:eastAsia="Aptos" w:hAnsi="Aptos" w:cs="Calibri"/>
          <w:szCs w:val="22"/>
        </w:rPr>
        <w:t>, that</w:t>
      </w:r>
      <w:r w:rsidRPr="00386C3F">
        <w:rPr>
          <w:rFonts w:ascii="Aptos" w:eastAsia="Aptos" w:hAnsi="Aptos" w:cs="Calibri"/>
          <w:szCs w:val="22"/>
        </w:rPr>
        <w:t xml:space="preserve"> protect</w:t>
      </w:r>
      <w:r w:rsidR="00904EFB">
        <w:rPr>
          <w:rFonts w:ascii="Aptos" w:eastAsia="Aptos" w:hAnsi="Aptos" w:cs="Calibri"/>
          <w:szCs w:val="22"/>
        </w:rPr>
        <w:t>s</w:t>
      </w:r>
      <w:r w:rsidRPr="00386C3F">
        <w:rPr>
          <w:rFonts w:ascii="Aptos" w:eastAsia="Aptos" w:hAnsi="Aptos" w:cs="Calibri"/>
          <w:szCs w:val="22"/>
        </w:rPr>
        <w:t xml:space="preserve"> individuals from violence</w:t>
      </w:r>
      <w:r w:rsidR="006B6569">
        <w:rPr>
          <w:rFonts w:ascii="Aptos" w:eastAsia="Aptos" w:hAnsi="Aptos" w:cs="Calibri"/>
          <w:szCs w:val="22"/>
        </w:rPr>
        <w:t>, their right to physical and mental health,</w:t>
      </w:r>
      <w:r w:rsidRPr="00386C3F">
        <w:rPr>
          <w:rFonts w:ascii="Aptos" w:eastAsia="Aptos" w:hAnsi="Aptos" w:cs="Calibri"/>
          <w:szCs w:val="22"/>
        </w:rPr>
        <w:t xml:space="preserve"> and ensure</w:t>
      </w:r>
      <w:r w:rsidR="006B6569">
        <w:rPr>
          <w:rFonts w:ascii="Aptos" w:eastAsia="Aptos" w:hAnsi="Aptos" w:cs="Calibri"/>
          <w:szCs w:val="22"/>
        </w:rPr>
        <w:t>s</w:t>
      </w:r>
      <w:r w:rsidRPr="00386C3F">
        <w:rPr>
          <w:rFonts w:ascii="Aptos" w:eastAsia="Aptos" w:hAnsi="Aptos" w:cs="Calibri"/>
          <w:szCs w:val="22"/>
        </w:rPr>
        <w:t xml:space="preserve"> equal access to education.</w:t>
      </w:r>
      <w:r w:rsidR="00A40D86">
        <w:rPr>
          <w:rFonts w:ascii="Aptos" w:eastAsia="Aptos" w:hAnsi="Aptos" w:cs="Calibri"/>
          <w:szCs w:val="22"/>
        </w:rPr>
        <w:t xml:space="preserve"> </w:t>
      </w:r>
      <w:r w:rsidR="006B6569">
        <w:rPr>
          <w:rFonts w:ascii="Aptos" w:eastAsia="Aptos" w:hAnsi="Aptos" w:cs="Calibri"/>
          <w:szCs w:val="22"/>
        </w:rPr>
        <w:t>T</w:t>
      </w:r>
      <w:r w:rsidR="009F695F">
        <w:rPr>
          <w:rFonts w:ascii="Aptos" w:eastAsia="Aptos" w:hAnsi="Aptos" w:cs="Calibri"/>
          <w:szCs w:val="22"/>
        </w:rPr>
        <w:t xml:space="preserve">he </w:t>
      </w:r>
      <w:r w:rsidR="009F695F" w:rsidRPr="00DB24E7">
        <w:rPr>
          <w:rFonts w:ascii="Aptos" w:eastAsia="Aptos" w:hAnsi="Aptos" w:cs="Calibri"/>
          <w:i/>
          <w:iCs/>
          <w:szCs w:val="22"/>
        </w:rPr>
        <w:t>International Covenant on Civil and Political Rights</w:t>
      </w:r>
      <w:r w:rsidR="009F695F">
        <w:rPr>
          <w:rFonts w:ascii="Aptos" w:eastAsia="Aptos" w:hAnsi="Aptos" w:cs="Calibri"/>
          <w:szCs w:val="22"/>
        </w:rPr>
        <w:t xml:space="preserve"> protects the rights to equality and non-discrimination, privacy, reputation, the right to remedy</w:t>
      </w:r>
      <w:r w:rsidR="001E3E38">
        <w:rPr>
          <w:rFonts w:ascii="Aptos" w:eastAsia="Aptos" w:hAnsi="Aptos" w:cs="Calibri"/>
          <w:szCs w:val="22"/>
        </w:rPr>
        <w:t xml:space="preserve">, and the right to protection against exploitation, violence and abuse. When students </w:t>
      </w:r>
      <w:r w:rsidR="004676D4">
        <w:rPr>
          <w:rFonts w:ascii="Aptos" w:eastAsia="Aptos" w:hAnsi="Aptos" w:cs="Calibri"/>
          <w:szCs w:val="22"/>
        </w:rPr>
        <w:t xml:space="preserve">and staff </w:t>
      </w:r>
      <w:r w:rsidR="004810A4">
        <w:rPr>
          <w:rFonts w:ascii="Aptos" w:eastAsia="Aptos" w:hAnsi="Aptos" w:cs="Calibri"/>
          <w:szCs w:val="22"/>
        </w:rPr>
        <w:t>experience</w:t>
      </w:r>
      <w:r w:rsidR="001E3E38">
        <w:rPr>
          <w:rFonts w:ascii="Aptos" w:eastAsia="Aptos" w:hAnsi="Aptos" w:cs="Calibri"/>
          <w:szCs w:val="22"/>
        </w:rPr>
        <w:t xml:space="preserve"> GBV</w:t>
      </w:r>
      <w:r w:rsidR="004810A4">
        <w:rPr>
          <w:rFonts w:ascii="Aptos" w:eastAsia="Aptos" w:hAnsi="Aptos" w:cs="Calibri"/>
          <w:szCs w:val="22"/>
        </w:rPr>
        <w:t xml:space="preserve"> </w:t>
      </w:r>
      <w:r w:rsidR="003B6E87">
        <w:rPr>
          <w:rFonts w:ascii="Aptos" w:eastAsia="Aptos" w:hAnsi="Aptos" w:cs="Calibri"/>
          <w:szCs w:val="22"/>
        </w:rPr>
        <w:t xml:space="preserve">these </w:t>
      </w:r>
      <w:r w:rsidR="004810A4">
        <w:rPr>
          <w:rFonts w:ascii="Aptos" w:eastAsia="Aptos" w:hAnsi="Aptos" w:cs="Calibri"/>
          <w:szCs w:val="22"/>
        </w:rPr>
        <w:t>rights</w:t>
      </w:r>
      <w:r w:rsidR="003B6E87">
        <w:rPr>
          <w:rFonts w:ascii="Aptos" w:eastAsia="Aptos" w:hAnsi="Aptos" w:cs="Calibri"/>
          <w:szCs w:val="22"/>
        </w:rPr>
        <w:t xml:space="preserve"> are compromised. </w:t>
      </w:r>
      <w:r w:rsidR="004810A4">
        <w:rPr>
          <w:rFonts w:ascii="Aptos" w:eastAsia="Aptos" w:hAnsi="Aptos" w:cs="Calibri"/>
          <w:szCs w:val="22"/>
        </w:rPr>
        <w:t xml:space="preserve"> </w:t>
      </w:r>
    </w:p>
    <w:p w14:paraId="096CCD5C" w14:textId="77777777" w:rsidR="0000182B" w:rsidRPr="00386C3F" w:rsidRDefault="0000182B" w:rsidP="006B296A">
      <w:pPr>
        <w:spacing w:before="120" w:after="120" w:line="276" w:lineRule="auto"/>
        <w:rPr>
          <w:rFonts w:ascii="Aptos" w:eastAsia="Aptos" w:hAnsi="Aptos" w:cs="Calibri"/>
          <w:szCs w:val="22"/>
        </w:rPr>
      </w:pPr>
      <w:r w:rsidRPr="00386C3F">
        <w:rPr>
          <w:rFonts w:ascii="Aptos" w:eastAsia="Aptos" w:hAnsi="Aptos" w:cs="Calibri"/>
          <w:szCs w:val="22"/>
        </w:rPr>
        <w:t>Tertiary institutions cannot fulfil their core mission if students and staff are not safe. As educators of future leaders and stewards of research and innovation, higher education providers have a distinct responsibility to foster safe, respectful, and inclusive learning, living, and working environments. The Australian Government has a clear mandate to act. It must work in partnership with the sector to strengthen prevention and response measures, ensure consistent practice, and hold providers accountable for delivering on their duty of care.</w:t>
      </w:r>
    </w:p>
    <w:p w14:paraId="305F19F9" w14:textId="55BBC0B9" w:rsidR="001B3F23" w:rsidRDefault="001B3F23" w:rsidP="004B484F">
      <w:pPr>
        <w:pStyle w:val="Heading2"/>
      </w:pPr>
      <w:bookmarkStart w:id="62" w:name="_Toc204699854"/>
      <w:bookmarkStart w:id="63" w:name="_Toc210050227"/>
      <w:r>
        <w:t xml:space="preserve">Government </w:t>
      </w:r>
      <w:r w:rsidR="0069387A">
        <w:t xml:space="preserve">intervention </w:t>
      </w:r>
      <w:r>
        <w:t xml:space="preserve">has effectively addressed </w:t>
      </w:r>
      <w:r w:rsidR="0069387A">
        <w:t xml:space="preserve">gender-based </w:t>
      </w:r>
      <w:r w:rsidR="00986CFD">
        <w:t>violence in</w:t>
      </w:r>
      <w:r>
        <w:t xml:space="preserve"> other sectors</w:t>
      </w:r>
      <w:bookmarkEnd w:id="62"/>
      <w:bookmarkEnd w:id="63"/>
      <w:r>
        <w:t xml:space="preserve"> </w:t>
      </w:r>
    </w:p>
    <w:p w14:paraId="4D3A1C72" w14:textId="5C48E13C" w:rsidR="00F4283F" w:rsidRPr="006B296A" w:rsidRDefault="00F4283F" w:rsidP="006B296A">
      <w:pPr>
        <w:spacing w:before="120" w:after="120" w:line="276" w:lineRule="auto"/>
        <w:rPr>
          <w:rFonts w:ascii="Aptos" w:eastAsia="Aptos" w:hAnsi="Aptos" w:cs="Calibri"/>
          <w:szCs w:val="22"/>
          <w:highlight w:val="yellow"/>
        </w:rPr>
      </w:pPr>
      <w:r w:rsidRPr="006B296A">
        <w:rPr>
          <w:rFonts w:ascii="Aptos" w:eastAsia="Aptos" w:hAnsi="Aptos" w:cs="Calibri"/>
          <w:szCs w:val="22"/>
        </w:rPr>
        <w:t xml:space="preserve">The Australian Government has successfully intervened in various sectors, demonstrating the effectiveness of legislation and regulatory measures in driving systemic change. </w:t>
      </w:r>
      <w:r w:rsidR="23965A76" w:rsidRPr="006B296A">
        <w:rPr>
          <w:rFonts w:ascii="Aptos" w:eastAsia="Aptos" w:hAnsi="Aptos" w:cs="Calibri"/>
          <w:szCs w:val="22"/>
        </w:rPr>
        <w:t>While</w:t>
      </w:r>
      <w:r w:rsidRPr="006B296A">
        <w:rPr>
          <w:rFonts w:ascii="Aptos" w:eastAsia="Aptos" w:hAnsi="Aptos" w:cs="Calibri"/>
          <w:szCs w:val="22"/>
        </w:rPr>
        <w:t xml:space="preserve"> many of the interventions are still in their early stages</w:t>
      </w:r>
      <w:r w:rsidR="38B41F72" w:rsidRPr="006B296A">
        <w:rPr>
          <w:rFonts w:ascii="Aptos" w:eastAsia="Aptos" w:hAnsi="Aptos" w:cs="Calibri"/>
          <w:szCs w:val="22"/>
        </w:rPr>
        <w:t>, evaluations have indicated</w:t>
      </w:r>
      <w:r w:rsidRPr="006B296A">
        <w:rPr>
          <w:rFonts w:ascii="Aptos" w:eastAsia="Aptos" w:hAnsi="Aptos" w:cs="Calibri"/>
          <w:szCs w:val="22"/>
        </w:rPr>
        <w:t xml:space="preserve"> early effectiveness. </w:t>
      </w:r>
    </w:p>
    <w:p w14:paraId="49621D20" w14:textId="6FDD0346"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 xml:space="preserve">Most recently, </w:t>
      </w:r>
      <w:r w:rsidR="4D464464" w:rsidRPr="006B296A">
        <w:rPr>
          <w:rFonts w:ascii="Aptos" w:eastAsia="Aptos" w:hAnsi="Aptos" w:cs="Calibri"/>
          <w:szCs w:val="22"/>
        </w:rPr>
        <w:t>t</w:t>
      </w:r>
      <w:r w:rsidRPr="006B296A">
        <w:rPr>
          <w:rFonts w:ascii="Aptos" w:eastAsia="Aptos" w:hAnsi="Aptos" w:cs="Calibri"/>
          <w:szCs w:val="22"/>
        </w:rPr>
        <w:t xml:space="preserve">he </w:t>
      </w:r>
      <w:r w:rsidRPr="006B296A">
        <w:rPr>
          <w:rFonts w:ascii="Aptos" w:eastAsia="Aptos" w:hAnsi="Aptos" w:cs="Calibri"/>
          <w:i/>
          <w:iCs/>
          <w:szCs w:val="22"/>
        </w:rPr>
        <w:t xml:space="preserve">Anti-Discrimination and Human Rights Legislation Amendment (Respect@Work) Act 2022 </w:t>
      </w:r>
      <w:r w:rsidRPr="006B296A">
        <w:rPr>
          <w:rFonts w:ascii="Aptos" w:eastAsia="Aptos" w:hAnsi="Aptos" w:cs="Calibri"/>
          <w:szCs w:val="22"/>
        </w:rPr>
        <w:t xml:space="preserve">(Respect@Work Act) implemented key recommendations from the Australian Human Rights Commission’s </w:t>
      </w:r>
      <w:r w:rsidRPr="006B296A">
        <w:rPr>
          <w:rFonts w:ascii="Aptos" w:eastAsia="Aptos" w:hAnsi="Aptos" w:cs="Calibri"/>
          <w:i/>
          <w:szCs w:val="22"/>
        </w:rPr>
        <w:t xml:space="preserve">Respect@Work National Inquiry Report </w:t>
      </w:r>
      <w:r w:rsidRPr="006B296A">
        <w:rPr>
          <w:rFonts w:ascii="Aptos" w:eastAsia="Aptos" w:hAnsi="Aptos" w:cs="Calibri"/>
          <w:szCs w:val="22"/>
        </w:rPr>
        <w:t xml:space="preserve">(2020). That report identified the pervasive nature of workplace sexual harassment and found that existing legal and regulatory frameworks were no longer adequate. In response, the Australian Government committed to fully implementing all 55 recommendations, with the </w:t>
      </w:r>
      <w:r w:rsidRPr="006B296A">
        <w:rPr>
          <w:rFonts w:ascii="Aptos" w:eastAsia="Aptos" w:hAnsi="Aptos" w:cs="Calibri"/>
          <w:i/>
          <w:szCs w:val="22"/>
        </w:rPr>
        <w:t>Respect@Work Act</w:t>
      </w:r>
      <w:r w:rsidRPr="006B296A">
        <w:rPr>
          <w:rFonts w:ascii="Aptos" w:eastAsia="Aptos" w:hAnsi="Aptos" w:cs="Calibri"/>
          <w:szCs w:val="22"/>
        </w:rPr>
        <w:t xml:space="preserve"> forming a central part of this reform.</w:t>
      </w:r>
    </w:p>
    <w:p w14:paraId="54043B0D" w14:textId="77777777"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 xml:space="preserve">The </w:t>
      </w:r>
      <w:r w:rsidRPr="006B296A">
        <w:rPr>
          <w:rFonts w:ascii="Aptos" w:eastAsia="Aptos" w:hAnsi="Aptos" w:cs="Calibri"/>
          <w:i/>
          <w:szCs w:val="22"/>
        </w:rPr>
        <w:t>Respect@Work Act</w:t>
      </w:r>
      <w:r w:rsidRPr="006B296A">
        <w:rPr>
          <w:rFonts w:ascii="Aptos" w:eastAsia="Aptos" w:hAnsi="Aptos" w:cs="Calibri"/>
          <w:szCs w:val="22"/>
        </w:rPr>
        <w:t xml:space="preserve"> established a positive duty for employers to take proactive and preventative steps to eliminate workplace sexual harassment, sex-based harassment, hostile work environments, and victimisation. It also expanded the enforcement and investigation powers of the Australian Human Rights Commission and introduced consistent national expectations for organisation through the Respect@Work Guidelines. These are </w:t>
      </w:r>
      <w:r w:rsidRPr="006B296A">
        <w:rPr>
          <w:rFonts w:ascii="Aptos" w:eastAsia="Aptos" w:hAnsi="Aptos" w:cs="Calibri"/>
          <w:szCs w:val="22"/>
        </w:rPr>
        <w:lastRenderedPageBreak/>
        <w:t xml:space="preserve">structure around seven key standards: leadership, culture, knowledge, risk management, support, reporting and response, and monitoring and evaluation. </w:t>
      </w:r>
    </w:p>
    <w:p w14:paraId="415A472D" w14:textId="21B4E83C"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The Respect@Work reforms have been evaluated to determine their effectiveness in addressing workplace sexual harassment. A 2023 evaluation by Australia’s National Research Organisation for Women’s Safety (ANROWS) highlighted that the establishment of the Respect@Work Council improved coordination and consistency across legal and regulatory frameworks, enhancing prevention and response strategies for workplace culture</w:t>
      </w:r>
      <w:r w:rsidR="009B6F25">
        <w:rPr>
          <w:rFonts w:ascii="Aptos" w:eastAsia="Aptos" w:hAnsi="Aptos" w:cs="Calibri"/>
          <w:szCs w:val="22"/>
        </w:rPr>
        <w:t>.</w:t>
      </w:r>
      <w:r w:rsidRPr="006B296A">
        <w:rPr>
          <w:rStyle w:val="FootnoteReference"/>
          <w:rFonts w:ascii="Aptos" w:eastAsia="Aptos" w:hAnsi="Aptos" w:cs="Calibri"/>
          <w:szCs w:val="22"/>
        </w:rPr>
        <w:footnoteReference w:id="119"/>
      </w:r>
      <w:r w:rsidRPr="006B296A">
        <w:rPr>
          <w:rFonts w:ascii="Aptos" w:eastAsia="Aptos" w:hAnsi="Aptos" w:cs="Calibri"/>
          <w:szCs w:val="22"/>
        </w:rPr>
        <w:t xml:space="preserve"> </w:t>
      </w:r>
    </w:p>
    <w:p w14:paraId="3F6960F0" w14:textId="336718E3"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 xml:space="preserve">Similarly, the Victoria’s </w:t>
      </w:r>
      <w:r w:rsidRPr="006B296A">
        <w:rPr>
          <w:rFonts w:ascii="Aptos" w:eastAsia="Aptos" w:hAnsi="Aptos" w:cs="Calibri"/>
          <w:i/>
          <w:iCs/>
          <w:szCs w:val="22"/>
        </w:rPr>
        <w:t>Gender Equality Act 2020</w:t>
      </w:r>
      <w:r w:rsidRPr="006B296A">
        <w:rPr>
          <w:rFonts w:ascii="Aptos" w:eastAsia="Aptos" w:hAnsi="Aptos" w:cs="Calibri"/>
          <w:szCs w:val="22"/>
        </w:rPr>
        <w:t xml:space="preserve"> provides a model for how regulatory intervention can address system gender inequality and its relationship to </w:t>
      </w:r>
      <w:r w:rsidR="00B7771B" w:rsidRPr="006B296A">
        <w:rPr>
          <w:rFonts w:ascii="Aptos" w:eastAsia="Aptos" w:hAnsi="Aptos" w:cs="Calibri"/>
          <w:szCs w:val="22"/>
        </w:rPr>
        <w:t>GBV</w:t>
      </w:r>
      <w:r w:rsidRPr="006B296A">
        <w:rPr>
          <w:rFonts w:ascii="Aptos" w:eastAsia="Aptos" w:hAnsi="Aptos" w:cs="Calibri"/>
          <w:szCs w:val="22"/>
        </w:rPr>
        <w:t xml:space="preserve">. The Act applies to public sector organisations, including universities and local counsel, and sets clear obligations to advance gender equality through workplace reform public policy, and service delivery.  </w:t>
      </w:r>
    </w:p>
    <w:p w14:paraId="48B8BDFD" w14:textId="77777777"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The Gender Equality Act requires organisations to:</w:t>
      </w:r>
    </w:p>
    <w:p w14:paraId="5E47CDC1" w14:textId="77777777" w:rsidR="00EB5093" w:rsidRPr="006B296A" w:rsidRDefault="00EB5093" w:rsidP="006B296A">
      <w:pPr>
        <w:pStyle w:val="ListParagraph"/>
        <w:numPr>
          <w:ilvl w:val="0"/>
          <w:numId w:val="4"/>
        </w:numPr>
        <w:spacing w:line="276" w:lineRule="auto"/>
        <w:rPr>
          <w:rFonts w:ascii="Aptos" w:eastAsia="Aptos" w:hAnsi="Aptos" w:cs="Aptos"/>
          <w:szCs w:val="22"/>
        </w:rPr>
      </w:pPr>
      <w:r w:rsidRPr="006B296A">
        <w:rPr>
          <w:rFonts w:ascii="Aptos" w:eastAsia="Aptos" w:hAnsi="Aptos" w:cs="Aptos"/>
          <w:szCs w:val="22"/>
        </w:rPr>
        <w:t>develop, publish and implement a Gender Equality Action Plan (GEAP) every four years based on the results of a workplace gender audit</w:t>
      </w:r>
    </w:p>
    <w:p w14:paraId="03AD4ED7" w14:textId="77777777" w:rsidR="00EB5093" w:rsidRPr="006B296A" w:rsidRDefault="00EB5093" w:rsidP="006B296A">
      <w:pPr>
        <w:pStyle w:val="ListParagraph"/>
        <w:numPr>
          <w:ilvl w:val="0"/>
          <w:numId w:val="4"/>
        </w:numPr>
        <w:spacing w:line="276" w:lineRule="auto"/>
        <w:rPr>
          <w:rFonts w:ascii="Aptos" w:eastAsia="Aptos" w:hAnsi="Aptos" w:cs="Aptos"/>
          <w:szCs w:val="22"/>
        </w:rPr>
      </w:pPr>
      <w:r w:rsidRPr="006B296A">
        <w:rPr>
          <w:rFonts w:ascii="Aptos" w:eastAsia="Aptos" w:hAnsi="Aptos" w:cs="Aptos"/>
          <w:szCs w:val="22"/>
        </w:rPr>
        <w:t>make reasonable and material progress in relation to the Act’s workplace gender equality indicators, and publicly report on this progress every two years</w:t>
      </w:r>
    </w:p>
    <w:p w14:paraId="2AB64CE6" w14:textId="77777777" w:rsidR="00EB5093" w:rsidRPr="006B296A" w:rsidRDefault="00EB5093" w:rsidP="006B296A">
      <w:pPr>
        <w:pStyle w:val="ListParagraph"/>
        <w:numPr>
          <w:ilvl w:val="0"/>
          <w:numId w:val="4"/>
        </w:numPr>
        <w:spacing w:line="276" w:lineRule="auto"/>
        <w:rPr>
          <w:rFonts w:ascii="Aptos" w:eastAsia="Aptos" w:hAnsi="Aptos" w:cs="Aptos"/>
          <w:szCs w:val="22"/>
        </w:rPr>
      </w:pPr>
      <w:r w:rsidRPr="006B296A">
        <w:rPr>
          <w:rFonts w:ascii="Aptos" w:eastAsia="Aptos" w:hAnsi="Aptos" w:cs="Aptos"/>
          <w:szCs w:val="22"/>
        </w:rPr>
        <w:t>undertake gender impact assessments on all new policies, programs and services that impact the public and publicly report this activity every two years</w:t>
      </w:r>
    </w:p>
    <w:p w14:paraId="2EB0CF46" w14:textId="6F14DD8B" w:rsidR="00EB5093" w:rsidRPr="006B296A" w:rsidRDefault="00EB5093" w:rsidP="006B296A">
      <w:pPr>
        <w:pStyle w:val="ListParagraph"/>
        <w:numPr>
          <w:ilvl w:val="0"/>
          <w:numId w:val="4"/>
        </w:numPr>
        <w:spacing w:line="276" w:lineRule="auto"/>
        <w:rPr>
          <w:rFonts w:ascii="Aptos" w:eastAsia="Aptos" w:hAnsi="Aptos" w:cs="Aptos"/>
          <w:szCs w:val="22"/>
        </w:rPr>
      </w:pPr>
      <w:r w:rsidRPr="006B296A">
        <w:rPr>
          <w:rFonts w:ascii="Aptos" w:eastAsia="Aptos" w:hAnsi="Aptos" w:cs="Aptos"/>
          <w:szCs w:val="22"/>
        </w:rPr>
        <w:t xml:space="preserve">take into account that gender inequality may be compounded by other forms of disadvantage or </w:t>
      </w:r>
      <w:r w:rsidR="002D4366" w:rsidRPr="006B296A">
        <w:rPr>
          <w:rFonts w:ascii="Aptos" w:eastAsia="Aptos" w:hAnsi="Aptos" w:cs="Aptos"/>
          <w:szCs w:val="22"/>
        </w:rPr>
        <w:t>discrimination and</w:t>
      </w:r>
      <w:r w:rsidRPr="006B296A">
        <w:rPr>
          <w:rFonts w:ascii="Aptos" w:eastAsia="Aptos" w:hAnsi="Aptos" w:cs="Aptos"/>
          <w:szCs w:val="22"/>
        </w:rPr>
        <w:t xml:space="preserve"> have regard to this when developing strategies for improvement</w:t>
      </w:r>
      <w:r w:rsidR="003863D4">
        <w:rPr>
          <w:rFonts w:ascii="Aptos" w:eastAsia="Aptos" w:hAnsi="Aptos" w:cs="Aptos"/>
          <w:szCs w:val="22"/>
        </w:rPr>
        <w:t>.</w:t>
      </w:r>
    </w:p>
    <w:p w14:paraId="15F37D0F" w14:textId="0F5A2437"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The Act is administered by the Commission for Gender Equality in the Public Sector, which provides oversight, guidance and capacity-building support to nearly 3000 public institutions.</w:t>
      </w:r>
      <w:r w:rsidR="00230F22">
        <w:rPr>
          <w:rFonts w:ascii="Aptos" w:eastAsia="Aptos" w:hAnsi="Aptos" w:cs="Calibri"/>
          <w:szCs w:val="22"/>
        </w:rPr>
        <w:t xml:space="preserve"> </w:t>
      </w:r>
      <w:r w:rsidRPr="006B296A">
        <w:rPr>
          <w:rFonts w:ascii="Aptos" w:eastAsia="Aptos" w:hAnsi="Aptos" w:cs="Calibri"/>
          <w:szCs w:val="22"/>
        </w:rPr>
        <w:t>An evaluation of the initial workplace gender audits conducted in December 2021 revealed that many organi</w:t>
      </w:r>
      <w:r w:rsidR="00752785">
        <w:rPr>
          <w:rFonts w:ascii="Aptos" w:eastAsia="Aptos" w:hAnsi="Aptos" w:cs="Calibri"/>
          <w:szCs w:val="22"/>
        </w:rPr>
        <w:t>s</w:t>
      </w:r>
      <w:r w:rsidRPr="006B296A">
        <w:rPr>
          <w:rFonts w:ascii="Aptos" w:eastAsia="Aptos" w:hAnsi="Aptos" w:cs="Calibri"/>
          <w:szCs w:val="22"/>
        </w:rPr>
        <w:t xml:space="preserve">ations were engaging in this type of data collection and reporting for first time. While the </w:t>
      </w:r>
      <w:r w:rsidR="006B296A" w:rsidRPr="006B296A">
        <w:rPr>
          <w:rFonts w:ascii="Aptos" w:eastAsia="Aptos" w:hAnsi="Aptos" w:cs="Calibri"/>
          <w:szCs w:val="22"/>
        </w:rPr>
        <w:t>evaluation emphasised</w:t>
      </w:r>
      <w:r w:rsidRPr="006B296A">
        <w:rPr>
          <w:rFonts w:ascii="Aptos" w:eastAsia="Aptos" w:hAnsi="Aptos" w:cs="Calibri"/>
          <w:szCs w:val="22"/>
        </w:rPr>
        <w:t xml:space="preserve"> the need for further work, such as ongoing support and capacity building to meet the requirements effectively, the collection of data raised organisational awareness, provided a snapshot of progress, and enabled targeted education and engagement to advance gender equality</w:t>
      </w:r>
      <w:r w:rsidR="00E55D8F">
        <w:rPr>
          <w:rFonts w:ascii="Aptos" w:eastAsia="Aptos" w:hAnsi="Aptos" w:cs="Calibri"/>
          <w:szCs w:val="22"/>
        </w:rPr>
        <w:t>.</w:t>
      </w:r>
      <w:r w:rsidRPr="006B296A">
        <w:rPr>
          <w:rStyle w:val="FootnoteReference"/>
          <w:rFonts w:ascii="Aptos" w:eastAsia="Aptos" w:hAnsi="Aptos" w:cs="Calibri"/>
          <w:szCs w:val="22"/>
        </w:rPr>
        <w:footnoteReference w:id="120"/>
      </w:r>
      <w:r w:rsidRPr="006B296A">
        <w:rPr>
          <w:rFonts w:ascii="Aptos" w:eastAsia="Aptos" w:hAnsi="Aptos" w:cs="Calibri"/>
          <w:szCs w:val="22"/>
        </w:rPr>
        <w:t xml:space="preserve"> </w:t>
      </w:r>
    </w:p>
    <w:p w14:paraId="3911666A" w14:textId="77777777"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 xml:space="preserve">The Work Health and Safety (WHS) framework introduced in 2022, implemented across jurisdictions, recognises psychosocial hazards – including sexual harassment and violence – as workplace risk. Amendments to WHS regulations in several states now explicitly require employers to manage these risks as part of their duty of care, reinforcing the legal obligation to provide a physically and psychologically safe workplace. </w:t>
      </w:r>
    </w:p>
    <w:p w14:paraId="6B92D2A9" w14:textId="24312597"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 xml:space="preserve">In December 2023, Safe Work Australia released the first Model </w:t>
      </w:r>
      <w:r w:rsidR="008743F1" w:rsidRPr="006B296A">
        <w:rPr>
          <w:rFonts w:ascii="Aptos" w:eastAsia="Aptos" w:hAnsi="Aptos" w:cs="Calibri"/>
          <w:szCs w:val="22"/>
        </w:rPr>
        <w:t>National Code</w:t>
      </w:r>
      <w:r w:rsidRPr="006B296A">
        <w:rPr>
          <w:rFonts w:ascii="Aptos" w:eastAsia="Aptos" w:hAnsi="Aptos" w:cs="Calibri"/>
          <w:szCs w:val="22"/>
        </w:rPr>
        <w:t xml:space="preserve"> of Practice recogni</w:t>
      </w:r>
      <w:r w:rsidR="00743EF1">
        <w:rPr>
          <w:rFonts w:ascii="Aptos" w:eastAsia="Aptos" w:hAnsi="Aptos" w:cs="Calibri"/>
          <w:szCs w:val="22"/>
        </w:rPr>
        <w:t>s</w:t>
      </w:r>
      <w:r w:rsidRPr="006B296A">
        <w:rPr>
          <w:rFonts w:ascii="Aptos" w:eastAsia="Aptos" w:hAnsi="Aptos" w:cs="Calibri"/>
          <w:szCs w:val="22"/>
        </w:rPr>
        <w:t xml:space="preserve">ing sexual and gender-based harassment as a distinct category of workplace hazard. The </w:t>
      </w:r>
      <w:r w:rsidR="008743F1" w:rsidRPr="006B296A">
        <w:rPr>
          <w:rFonts w:ascii="Aptos" w:eastAsia="Aptos" w:hAnsi="Aptos" w:cs="Calibri"/>
          <w:szCs w:val="22"/>
        </w:rPr>
        <w:t>National Code</w:t>
      </w:r>
      <w:r w:rsidRPr="006B296A">
        <w:rPr>
          <w:rFonts w:ascii="Aptos" w:eastAsia="Aptos" w:hAnsi="Aptos" w:cs="Calibri"/>
          <w:szCs w:val="22"/>
        </w:rPr>
        <w:t xml:space="preserve"> mandates that Persons Conducting a Business or Undertaking (PCBUs) proactively prevent such harassment, integrating it in existing WHS risk management processes. While formal evaluations of the </w:t>
      </w:r>
      <w:r w:rsidR="008743F1" w:rsidRPr="006B296A">
        <w:rPr>
          <w:rFonts w:ascii="Aptos" w:eastAsia="Aptos" w:hAnsi="Aptos" w:cs="Calibri"/>
          <w:szCs w:val="22"/>
        </w:rPr>
        <w:t>National Code</w:t>
      </w:r>
      <w:r w:rsidRPr="006B296A">
        <w:rPr>
          <w:rFonts w:ascii="Aptos" w:eastAsia="Aptos" w:hAnsi="Aptos" w:cs="Calibri"/>
          <w:szCs w:val="22"/>
        </w:rPr>
        <w:t xml:space="preserve">’s impact are </w:t>
      </w:r>
      <w:r w:rsidRPr="006B296A">
        <w:rPr>
          <w:rFonts w:ascii="Aptos" w:eastAsia="Aptos" w:hAnsi="Aptos" w:cs="Calibri"/>
          <w:szCs w:val="22"/>
        </w:rPr>
        <w:lastRenderedPageBreak/>
        <w:t xml:space="preserve">pending, its adoption by jurisdictions such as NSW and NT signify a national commitment to address sexual harassment through </w:t>
      </w:r>
      <w:r w:rsidR="25437FD5" w:rsidRPr="006B296A">
        <w:rPr>
          <w:rFonts w:ascii="Aptos" w:eastAsia="Aptos" w:hAnsi="Aptos" w:cs="Calibri"/>
          <w:szCs w:val="22"/>
        </w:rPr>
        <w:t xml:space="preserve">the </w:t>
      </w:r>
      <w:r w:rsidRPr="006B296A">
        <w:rPr>
          <w:rFonts w:ascii="Aptos" w:eastAsia="Aptos" w:hAnsi="Aptos" w:cs="Calibri"/>
          <w:szCs w:val="22"/>
        </w:rPr>
        <w:t xml:space="preserve">WHS mechanism. </w:t>
      </w:r>
    </w:p>
    <w:p w14:paraId="7AA89BA5" w14:textId="6B4F3057"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The Commonwealth Public Sector Enterprise Agreements have also increasingly included clauses that commit agencies to prevent workplace harassment and discrimination, support flexible work, and promote safe, respectful culture. This mirrors a broader trend across jurisdictions, including SafeWork NSW, WorkSafe Victoria and WorkSafe WA, which has all released guidance to support employers in identifying and responding to workplace sexual harassment.</w:t>
      </w:r>
      <w:r w:rsidRPr="006B296A">
        <w:rPr>
          <w:rStyle w:val="FootnoteReference"/>
          <w:rFonts w:ascii="Aptos" w:eastAsia="Aptos" w:hAnsi="Aptos" w:cs="Calibri"/>
          <w:szCs w:val="22"/>
        </w:rPr>
        <w:footnoteReference w:id="121"/>
      </w:r>
    </w:p>
    <w:p w14:paraId="31680BB1" w14:textId="29760AE2"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In the university sector, the Fair Work Commission has also recognised the impact of workplace sexual harassment on staff</w:t>
      </w:r>
      <w:r w:rsidR="79844FB2" w:rsidRPr="006B296A">
        <w:rPr>
          <w:rFonts w:ascii="Aptos" w:eastAsia="Aptos" w:hAnsi="Aptos" w:cs="Calibri"/>
          <w:szCs w:val="22"/>
        </w:rPr>
        <w:t xml:space="preserve"> through </w:t>
      </w:r>
      <w:r w:rsidRPr="006B296A">
        <w:rPr>
          <w:rFonts w:ascii="Aptos" w:eastAsia="Aptos" w:hAnsi="Aptos" w:cs="Calibri"/>
          <w:szCs w:val="22"/>
        </w:rPr>
        <w:t>ruling</w:t>
      </w:r>
      <w:r w:rsidR="4B160510" w:rsidRPr="006B296A">
        <w:rPr>
          <w:rFonts w:ascii="Aptos" w:eastAsia="Aptos" w:hAnsi="Aptos" w:cs="Calibri"/>
          <w:szCs w:val="22"/>
        </w:rPr>
        <w:t>s</w:t>
      </w:r>
      <w:r w:rsidRPr="006B296A">
        <w:rPr>
          <w:rFonts w:ascii="Aptos" w:eastAsia="Aptos" w:hAnsi="Aptos" w:cs="Calibri"/>
          <w:szCs w:val="22"/>
        </w:rPr>
        <w:t xml:space="preserve"> that support the right to a safe working environment and remedies for unlawful conduct. However, without a sector-specific, coordinated framework, responses remain inconsistent and reactive. </w:t>
      </w:r>
    </w:p>
    <w:p w14:paraId="5683D278" w14:textId="51F931C8" w:rsidR="00F4283F" w:rsidRPr="006B296A" w:rsidRDefault="00F4283F" w:rsidP="006B296A">
      <w:pPr>
        <w:spacing w:before="120" w:after="120" w:line="276" w:lineRule="auto"/>
        <w:rPr>
          <w:rFonts w:ascii="Aptos" w:eastAsia="Aptos" w:hAnsi="Aptos" w:cs="Calibri"/>
          <w:szCs w:val="22"/>
        </w:rPr>
      </w:pPr>
      <w:r w:rsidRPr="006B296A">
        <w:rPr>
          <w:rFonts w:ascii="Aptos" w:eastAsia="Aptos" w:hAnsi="Aptos" w:cs="Calibri"/>
          <w:szCs w:val="22"/>
        </w:rPr>
        <w:t xml:space="preserve">These frameworks demonstrate that positive government interventions – grounded in legislation, standards and oversight – can significantly strengthen prevention, accountability and systemic change. Just as these reforms have been critical in the workplace and public service sectors, government intervention in higher education is necessary to ensure students and staff are equally protected from </w:t>
      </w:r>
      <w:r w:rsidR="00B7771B" w:rsidRPr="006B296A">
        <w:rPr>
          <w:rFonts w:ascii="Aptos" w:eastAsia="Aptos" w:hAnsi="Aptos" w:cs="Calibri"/>
          <w:szCs w:val="22"/>
        </w:rPr>
        <w:t>GBV</w:t>
      </w:r>
      <w:r w:rsidRPr="006B296A">
        <w:rPr>
          <w:rFonts w:ascii="Aptos" w:eastAsia="Aptos" w:hAnsi="Aptos" w:cs="Calibri"/>
          <w:szCs w:val="22"/>
        </w:rPr>
        <w:t xml:space="preserve">. </w:t>
      </w:r>
    </w:p>
    <w:p w14:paraId="28649933" w14:textId="2BA80EA3" w:rsidR="00F4283F" w:rsidRDefault="00F4283F" w:rsidP="004B484F">
      <w:pPr>
        <w:pStyle w:val="Heading2"/>
      </w:pPr>
      <w:bookmarkStart w:id="64" w:name="_Toc204699855"/>
      <w:bookmarkStart w:id="65" w:name="_Toc210050228"/>
      <w:r>
        <w:t xml:space="preserve">International </w:t>
      </w:r>
      <w:r w:rsidR="0BC9E76A">
        <w:t>c</w:t>
      </w:r>
      <w:r>
        <w:t xml:space="preserve">omparators </w:t>
      </w:r>
      <w:r w:rsidR="00FF0360">
        <w:t xml:space="preserve">in </w:t>
      </w:r>
      <w:r w:rsidR="00E4757E">
        <w:t>higher education</w:t>
      </w:r>
      <w:bookmarkEnd w:id="64"/>
      <w:bookmarkEnd w:id="65"/>
      <w:r w:rsidR="00E4757E">
        <w:t xml:space="preserve"> </w:t>
      </w:r>
    </w:p>
    <w:p w14:paraId="0E452953" w14:textId="280A41CC" w:rsidR="0029176C" w:rsidRPr="006B296A" w:rsidRDefault="0029176C" w:rsidP="006B296A">
      <w:pPr>
        <w:spacing w:before="120" w:after="120" w:line="276" w:lineRule="auto"/>
        <w:rPr>
          <w:rFonts w:ascii="Aptos" w:eastAsia="Aptos" w:hAnsi="Aptos" w:cs="Calibri"/>
          <w:szCs w:val="22"/>
        </w:rPr>
      </w:pPr>
      <w:r w:rsidRPr="006B296A">
        <w:rPr>
          <w:rFonts w:ascii="Aptos" w:eastAsia="Aptos" w:hAnsi="Aptos" w:cs="Calibri"/>
          <w:szCs w:val="22"/>
        </w:rPr>
        <w:t xml:space="preserve">Internationally, </w:t>
      </w:r>
      <w:r w:rsidR="00E61130">
        <w:rPr>
          <w:rFonts w:ascii="Aptos" w:eastAsia="Aptos" w:hAnsi="Aptos" w:cs="Calibri"/>
          <w:szCs w:val="22"/>
        </w:rPr>
        <w:t xml:space="preserve">several </w:t>
      </w:r>
      <w:r w:rsidRPr="006B296A">
        <w:rPr>
          <w:rFonts w:ascii="Aptos" w:eastAsia="Aptos" w:hAnsi="Aptos" w:cs="Calibri"/>
          <w:szCs w:val="22"/>
        </w:rPr>
        <w:t xml:space="preserve">governments have taken </w:t>
      </w:r>
      <w:r w:rsidR="00E61130">
        <w:rPr>
          <w:rFonts w:ascii="Aptos" w:eastAsia="Aptos" w:hAnsi="Aptos" w:cs="Calibri"/>
          <w:szCs w:val="22"/>
        </w:rPr>
        <w:t xml:space="preserve">varying degrees of </w:t>
      </w:r>
      <w:r w:rsidRPr="006B296A">
        <w:rPr>
          <w:rFonts w:ascii="Aptos" w:eastAsia="Aptos" w:hAnsi="Aptos" w:cs="Calibri"/>
          <w:szCs w:val="22"/>
        </w:rPr>
        <w:t xml:space="preserve">regulatory action to address </w:t>
      </w:r>
      <w:r w:rsidR="00B7771B" w:rsidRPr="006B296A">
        <w:rPr>
          <w:rFonts w:ascii="Aptos" w:eastAsia="Aptos" w:hAnsi="Aptos" w:cs="Calibri"/>
          <w:szCs w:val="22"/>
        </w:rPr>
        <w:t>GBV</w:t>
      </w:r>
      <w:r w:rsidRPr="006B296A">
        <w:rPr>
          <w:rFonts w:ascii="Aptos" w:eastAsia="Aptos" w:hAnsi="Aptos" w:cs="Calibri"/>
          <w:szCs w:val="22"/>
        </w:rPr>
        <w:t xml:space="preserve"> in higher education and other institutions. </w:t>
      </w:r>
    </w:p>
    <w:p w14:paraId="0E4F1C43" w14:textId="47530781" w:rsidR="0029176C" w:rsidRPr="006B296A" w:rsidRDefault="0029176C" w:rsidP="006B296A">
      <w:pPr>
        <w:spacing w:before="120" w:after="120" w:line="276" w:lineRule="auto"/>
        <w:rPr>
          <w:rFonts w:ascii="Aptos" w:eastAsia="Aptos" w:hAnsi="Aptos" w:cs="Calibri"/>
          <w:szCs w:val="22"/>
        </w:rPr>
      </w:pPr>
      <w:r w:rsidRPr="006B296A">
        <w:rPr>
          <w:rFonts w:ascii="Aptos" w:eastAsia="Aptos" w:hAnsi="Aptos" w:cs="Calibri"/>
          <w:szCs w:val="22"/>
        </w:rPr>
        <w:t>In Ireland, the Higher Education Authority introduced a National Framework for Consent in Higher Education Institutions (2020), which mandates institutions to embed consent education, develop actions plans, and report annually on progress</w:t>
      </w:r>
      <w:r w:rsidR="00DA0643">
        <w:rPr>
          <w:rFonts w:ascii="Aptos" w:eastAsia="Aptos" w:hAnsi="Aptos" w:cs="Calibri"/>
          <w:szCs w:val="22"/>
        </w:rPr>
        <w:t>.</w:t>
      </w:r>
      <w:r w:rsidRPr="006B296A">
        <w:rPr>
          <w:rStyle w:val="FootnoteReference"/>
          <w:rFonts w:ascii="Aptos" w:eastAsia="Aptos" w:hAnsi="Aptos" w:cs="Calibri"/>
          <w:szCs w:val="22"/>
        </w:rPr>
        <w:footnoteReference w:id="122"/>
      </w:r>
      <w:r w:rsidRPr="006B296A">
        <w:rPr>
          <w:rFonts w:ascii="Aptos" w:eastAsia="Aptos" w:hAnsi="Aptos" w:cs="Calibri"/>
          <w:szCs w:val="22"/>
        </w:rPr>
        <w:t xml:space="preserve"> The frameworks include standards for leadership, accountability, staff training</w:t>
      </w:r>
      <w:r w:rsidR="0C0DC7B6" w:rsidRPr="006B296A">
        <w:rPr>
          <w:rFonts w:ascii="Aptos" w:eastAsia="Aptos" w:hAnsi="Aptos" w:cs="Calibri"/>
          <w:szCs w:val="22"/>
        </w:rPr>
        <w:t>,</w:t>
      </w:r>
      <w:r w:rsidRPr="006B296A">
        <w:rPr>
          <w:rFonts w:ascii="Aptos" w:eastAsia="Aptos" w:hAnsi="Aptos" w:cs="Calibri"/>
          <w:szCs w:val="22"/>
        </w:rPr>
        <w:t xml:space="preserve"> student engagement and cultural change, supported by national oversight and funding. Since its implementation, higher education institutions have submitted annual progress reports to the Higher Education Authority (HEA). These reports have facilitated the monitoring and institutional efforts and the identification of areas requiring further attention contributing to a more coordinated national approach to consent education and </w:t>
      </w:r>
      <w:r w:rsidR="008223FC" w:rsidRPr="006B296A">
        <w:rPr>
          <w:rFonts w:ascii="Aptos" w:eastAsia="Aptos" w:hAnsi="Aptos" w:cs="Calibri"/>
          <w:szCs w:val="22"/>
        </w:rPr>
        <w:t>GBV</w:t>
      </w:r>
      <w:r w:rsidRPr="006B296A">
        <w:rPr>
          <w:rFonts w:ascii="Aptos" w:eastAsia="Aptos" w:hAnsi="Aptos" w:cs="Calibri"/>
          <w:szCs w:val="22"/>
        </w:rPr>
        <w:t xml:space="preserve"> prevention. </w:t>
      </w:r>
    </w:p>
    <w:p w14:paraId="0BFBF848" w14:textId="02290A49" w:rsidR="0029176C" w:rsidRPr="006B296A" w:rsidRDefault="0029176C" w:rsidP="006B296A">
      <w:pPr>
        <w:spacing w:before="120" w:after="120" w:line="276" w:lineRule="auto"/>
        <w:rPr>
          <w:rFonts w:ascii="Aptos" w:eastAsia="Aptos" w:hAnsi="Aptos" w:cs="Calibri"/>
          <w:szCs w:val="22"/>
        </w:rPr>
      </w:pPr>
      <w:r w:rsidRPr="006B296A">
        <w:rPr>
          <w:rFonts w:ascii="Aptos" w:eastAsia="Aptos" w:hAnsi="Aptos" w:cs="Calibri"/>
          <w:szCs w:val="22"/>
        </w:rPr>
        <w:t>In the United Kingdom, the Office for Students (OfS) has issue</w:t>
      </w:r>
      <w:r w:rsidR="008C0935">
        <w:rPr>
          <w:rFonts w:ascii="Aptos" w:eastAsia="Aptos" w:hAnsi="Aptos" w:cs="Calibri"/>
          <w:szCs w:val="22"/>
        </w:rPr>
        <w:t>d</w:t>
      </w:r>
      <w:r w:rsidRPr="006B296A">
        <w:rPr>
          <w:rFonts w:ascii="Aptos" w:eastAsia="Aptos" w:hAnsi="Aptos" w:cs="Calibri"/>
          <w:szCs w:val="22"/>
        </w:rPr>
        <w:t xml:space="preserve"> formal Expectations for Preventing and Addressing Harassment and Sexual Misconduct</w:t>
      </w:r>
      <w:r w:rsidR="00DA0643">
        <w:rPr>
          <w:rFonts w:ascii="Aptos" w:eastAsia="Aptos" w:hAnsi="Aptos" w:cs="Calibri"/>
          <w:szCs w:val="22"/>
        </w:rPr>
        <w:t>.</w:t>
      </w:r>
      <w:r w:rsidRPr="006B296A">
        <w:rPr>
          <w:rStyle w:val="FootnoteReference"/>
          <w:rFonts w:ascii="Aptos" w:eastAsia="Aptos" w:hAnsi="Aptos" w:cs="Calibri"/>
          <w:szCs w:val="22"/>
        </w:rPr>
        <w:footnoteReference w:id="123"/>
      </w:r>
      <w:r w:rsidRPr="006B296A">
        <w:rPr>
          <w:rFonts w:ascii="Aptos" w:eastAsia="Aptos" w:hAnsi="Aptos" w:cs="Calibri"/>
          <w:szCs w:val="22"/>
        </w:rPr>
        <w:t xml:space="preserve"> These set expectations for institutions to implement robust policies, improve reporting processes, and demonstrate </w:t>
      </w:r>
      <w:r w:rsidRPr="006B296A">
        <w:rPr>
          <w:rFonts w:ascii="Aptos" w:eastAsia="Aptos" w:hAnsi="Aptos" w:cs="Calibri"/>
          <w:szCs w:val="22"/>
        </w:rPr>
        <w:lastRenderedPageBreak/>
        <w:t xml:space="preserve">measurable outcomes. The OfS also monitors compliance and can intervene where providers fail to meet regulatory expectations. A subsequent </w:t>
      </w:r>
      <w:r w:rsidR="003F30E2" w:rsidRPr="006B296A">
        <w:rPr>
          <w:rFonts w:ascii="Aptos" w:eastAsia="Aptos" w:hAnsi="Aptos" w:cs="Calibri"/>
          <w:szCs w:val="22"/>
        </w:rPr>
        <w:t>evaluation found</w:t>
      </w:r>
      <w:r w:rsidRPr="006B296A">
        <w:rPr>
          <w:rFonts w:ascii="Aptos" w:eastAsia="Aptos" w:hAnsi="Aptos" w:cs="Calibri"/>
          <w:szCs w:val="22"/>
        </w:rPr>
        <w:t xml:space="preserve"> that while some progress had been made</w:t>
      </w:r>
      <w:r w:rsidR="4E3D23F5" w:rsidRPr="006B296A">
        <w:rPr>
          <w:rFonts w:ascii="Aptos" w:eastAsia="Aptos" w:hAnsi="Aptos" w:cs="Calibri"/>
          <w:szCs w:val="22"/>
        </w:rPr>
        <w:t>,</w:t>
      </w:r>
      <w:r w:rsidRPr="006B296A">
        <w:rPr>
          <w:rFonts w:ascii="Aptos" w:eastAsia="Aptos" w:hAnsi="Aptos" w:cs="Calibri"/>
          <w:szCs w:val="22"/>
        </w:rPr>
        <w:t xml:space="preserve"> the implementation of the expectations was high</w:t>
      </w:r>
      <w:r w:rsidR="72B7BEF5" w:rsidRPr="006B296A">
        <w:rPr>
          <w:rFonts w:ascii="Aptos" w:eastAsia="Aptos" w:hAnsi="Aptos" w:cs="Calibri"/>
          <w:szCs w:val="22"/>
        </w:rPr>
        <w:t>ly</w:t>
      </w:r>
      <w:r w:rsidRPr="006B296A">
        <w:rPr>
          <w:rFonts w:ascii="Aptos" w:eastAsia="Aptos" w:hAnsi="Aptos" w:cs="Calibri"/>
          <w:szCs w:val="22"/>
        </w:rPr>
        <w:t xml:space="preserve"> variable across institutions. The evaluation recommended stronger regulatory intervention to drive sector</w:t>
      </w:r>
      <w:r w:rsidR="008D09CF">
        <w:rPr>
          <w:rFonts w:ascii="Aptos" w:eastAsia="Aptos" w:hAnsi="Aptos" w:cs="Calibri"/>
          <w:szCs w:val="22"/>
        </w:rPr>
        <w:t>-</w:t>
      </w:r>
      <w:r w:rsidRPr="006B296A">
        <w:rPr>
          <w:rFonts w:ascii="Aptos" w:eastAsia="Aptos" w:hAnsi="Aptos" w:cs="Calibri"/>
          <w:szCs w:val="22"/>
        </w:rPr>
        <w:t xml:space="preserve">wide improvement. </w:t>
      </w:r>
      <w:r w:rsidR="00667293">
        <w:rPr>
          <w:rFonts w:ascii="Aptos" w:eastAsia="Aptos" w:hAnsi="Aptos" w:cs="Calibri"/>
          <w:szCs w:val="22"/>
        </w:rPr>
        <w:t>Following the evaluation</w:t>
      </w:r>
      <w:r w:rsidRPr="006B296A">
        <w:rPr>
          <w:rFonts w:ascii="Aptos" w:eastAsia="Aptos" w:hAnsi="Aptos" w:cs="Calibri"/>
          <w:szCs w:val="22"/>
        </w:rPr>
        <w:t xml:space="preserve">, OfS has published new conditions of registration on Higher Education Providers to protect students from harassment and sexual misconduct. </w:t>
      </w:r>
    </w:p>
    <w:p w14:paraId="5C708FA3" w14:textId="5C22E6E7" w:rsidR="0029176C" w:rsidRPr="006B296A" w:rsidRDefault="0029176C" w:rsidP="006B296A">
      <w:pPr>
        <w:spacing w:before="120" w:after="120" w:line="276" w:lineRule="auto"/>
        <w:rPr>
          <w:rFonts w:ascii="Aptos" w:eastAsia="Aptos" w:hAnsi="Aptos" w:cs="Calibri"/>
          <w:szCs w:val="22"/>
        </w:rPr>
      </w:pPr>
      <w:r w:rsidRPr="006B296A">
        <w:rPr>
          <w:rFonts w:ascii="Aptos" w:eastAsia="Aptos" w:hAnsi="Aptos" w:cs="Calibri"/>
          <w:szCs w:val="22"/>
        </w:rPr>
        <w:t>In Canada, several provinces, including Ontario and British Columbia – have introduced legislation requiring universities and colleges to develop sexual violence policies, report on data and complain</w:t>
      </w:r>
      <w:r w:rsidR="6BB27DD9" w:rsidRPr="006B296A">
        <w:rPr>
          <w:rFonts w:ascii="Aptos" w:eastAsia="Aptos" w:hAnsi="Aptos" w:cs="Calibri"/>
          <w:szCs w:val="22"/>
        </w:rPr>
        <w:t>t</w:t>
      </w:r>
      <w:r w:rsidRPr="006B296A">
        <w:rPr>
          <w:rFonts w:ascii="Aptos" w:eastAsia="Aptos" w:hAnsi="Aptos" w:cs="Calibri"/>
          <w:szCs w:val="22"/>
        </w:rPr>
        <w:t>s</w:t>
      </w:r>
      <w:r w:rsidR="4E4F2E36" w:rsidRPr="006B296A">
        <w:rPr>
          <w:rFonts w:ascii="Aptos" w:eastAsia="Aptos" w:hAnsi="Aptos" w:cs="Calibri"/>
          <w:szCs w:val="22"/>
        </w:rPr>
        <w:t>,</w:t>
      </w:r>
      <w:r w:rsidRPr="006B296A">
        <w:rPr>
          <w:rFonts w:ascii="Aptos" w:eastAsia="Aptos" w:hAnsi="Aptos" w:cs="Calibri"/>
          <w:szCs w:val="22"/>
        </w:rPr>
        <w:t xml:space="preserve"> and provide trauma-informed supports services. These frameworks often include student input mandates, complaint handling standards, and period policy reviews to ensure accountability and relevance. </w:t>
      </w:r>
      <w:r w:rsidR="00433B52">
        <w:rPr>
          <w:rFonts w:ascii="Aptos" w:eastAsia="Aptos" w:hAnsi="Aptos" w:cs="Calibri"/>
          <w:szCs w:val="22"/>
        </w:rPr>
        <w:t xml:space="preserve">However, </w:t>
      </w:r>
      <w:r w:rsidR="00611728">
        <w:rPr>
          <w:rFonts w:ascii="Aptos" w:eastAsia="Aptos" w:hAnsi="Aptos" w:cs="Calibri"/>
          <w:szCs w:val="22"/>
        </w:rPr>
        <w:t xml:space="preserve">recent media </w:t>
      </w:r>
      <w:r w:rsidR="00F1757F">
        <w:rPr>
          <w:rFonts w:ascii="Aptos" w:eastAsia="Aptos" w:hAnsi="Aptos" w:cs="Calibri"/>
          <w:szCs w:val="22"/>
        </w:rPr>
        <w:t>discussion</w:t>
      </w:r>
      <w:r w:rsidR="006A470B">
        <w:rPr>
          <w:rFonts w:ascii="Aptos" w:eastAsia="Aptos" w:hAnsi="Aptos" w:cs="Calibri"/>
          <w:szCs w:val="22"/>
        </w:rPr>
        <w:t>s</w:t>
      </w:r>
      <w:r w:rsidR="00F1757F">
        <w:rPr>
          <w:rFonts w:ascii="Aptos" w:eastAsia="Aptos" w:hAnsi="Aptos" w:cs="Calibri"/>
          <w:szCs w:val="22"/>
        </w:rPr>
        <w:t xml:space="preserve"> of</w:t>
      </w:r>
      <w:r w:rsidR="00611728">
        <w:rPr>
          <w:rFonts w:ascii="Aptos" w:eastAsia="Aptos" w:hAnsi="Aptos" w:cs="Calibri"/>
          <w:szCs w:val="22"/>
        </w:rPr>
        <w:t xml:space="preserve"> Canada’s approach to </w:t>
      </w:r>
      <w:r w:rsidR="00762068">
        <w:rPr>
          <w:rFonts w:ascii="Aptos" w:eastAsia="Aptos" w:hAnsi="Aptos" w:cs="Calibri"/>
          <w:szCs w:val="22"/>
        </w:rPr>
        <w:t xml:space="preserve">GBV guidance and policy in the higher education sector has </w:t>
      </w:r>
      <w:r w:rsidR="004B3E91">
        <w:rPr>
          <w:rFonts w:ascii="Aptos" w:eastAsia="Aptos" w:hAnsi="Aptos" w:cs="Calibri"/>
          <w:szCs w:val="22"/>
        </w:rPr>
        <w:t xml:space="preserve">been </w:t>
      </w:r>
      <w:r w:rsidR="00762068">
        <w:rPr>
          <w:rFonts w:ascii="Aptos" w:eastAsia="Aptos" w:hAnsi="Aptos" w:cs="Calibri"/>
          <w:szCs w:val="22"/>
        </w:rPr>
        <w:t>critici</w:t>
      </w:r>
      <w:r w:rsidR="003B5302">
        <w:rPr>
          <w:rFonts w:ascii="Aptos" w:eastAsia="Aptos" w:hAnsi="Aptos" w:cs="Calibri"/>
          <w:szCs w:val="22"/>
        </w:rPr>
        <w:t>s</w:t>
      </w:r>
      <w:r w:rsidR="00762068">
        <w:rPr>
          <w:rFonts w:ascii="Aptos" w:eastAsia="Aptos" w:hAnsi="Aptos" w:cs="Calibri"/>
          <w:szCs w:val="22"/>
        </w:rPr>
        <w:t>e</w:t>
      </w:r>
      <w:r w:rsidR="003B5302">
        <w:rPr>
          <w:rFonts w:ascii="Aptos" w:eastAsia="Aptos" w:hAnsi="Aptos" w:cs="Calibri"/>
          <w:szCs w:val="22"/>
        </w:rPr>
        <w:t>d</w:t>
      </w:r>
      <w:r w:rsidR="004B3E91">
        <w:rPr>
          <w:rFonts w:ascii="Aptos" w:eastAsia="Aptos" w:hAnsi="Aptos" w:cs="Calibri"/>
          <w:szCs w:val="22"/>
        </w:rPr>
        <w:t>.</w:t>
      </w:r>
      <w:r w:rsidR="00757EEE">
        <w:rPr>
          <w:rStyle w:val="FootnoteReference"/>
          <w:rFonts w:ascii="Aptos" w:eastAsia="Aptos" w:hAnsi="Aptos" w:cs="Calibri"/>
          <w:szCs w:val="22"/>
        </w:rPr>
        <w:footnoteReference w:id="124"/>
      </w:r>
      <w:r w:rsidR="004B3E91">
        <w:rPr>
          <w:rFonts w:ascii="Aptos" w:eastAsia="Aptos" w:hAnsi="Aptos" w:cs="Calibri"/>
          <w:szCs w:val="22"/>
        </w:rPr>
        <w:t xml:space="preserve"> These include differing degrees of specificity guiding institutional policy creation and implementation for GBV</w:t>
      </w:r>
      <w:r w:rsidR="00C5367F">
        <w:rPr>
          <w:rFonts w:ascii="Aptos" w:eastAsia="Aptos" w:hAnsi="Aptos" w:cs="Calibri"/>
          <w:szCs w:val="22"/>
        </w:rPr>
        <w:t>,</w:t>
      </w:r>
      <w:r w:rsidR="004B3E91">
        <w:rPr>
          <w:rFonts w:ascii="Aptos" w:eastAsia="Aptos" w:hAnsi="Aptos" w:cs="Calibri"/>
          <w:szCs w:val="22"/>
        </w:rPr>
        <w:t xml:space="preserve"> and </w:t>
      </w:r>
      <w:r w:rsidR="00757EEE">
        <w:rPr>
          <w:rFonts w:ascii="Aptos" w:eastAsia="Aptos" w:hAnsi="Aptos" w:cs="Calibri"/>
          <w:szCs w:val="22"/>
        </w:rPr>
        <w:t>inconsistent</w:t>
      </w:r>
      <w:r w:rsidR="004B3E91">
        <w:rPr>
          <w:rFonts w:ascii="Aptos" w:eastAsia="Aptos" w:hAnsi="Aptos" w:cs="Calibri"/>
          <w:szCs w:val="22"/>
        </w:rPr>
        <w:t xml:space="preserve"> </w:t>
      </w:r>
      <w:r w:rsidR="00FB5633">
        <w:rPr>
          <w:rFonts w:ascii="Aptos" w:eastAsia="Aptos" w:hAnsi="Aptos" w:cs="Calibri"/>
          <w:szCs w:val="22"/>
        </w:rPr>
        <w:t xml:space="preserve">provincial responses to </w:t>
      </w:r>
      <w:r w:rsidR="00EF3FA5">
        <w:rPr>
          <w:rFonts w:ascii="Aptos" w:eastAsia="Aptos" w:hAnsi="Aptos" w:cs="Calibri"/>
          <w:szCs w:val="22"/>
        </w:rPr>
        <w:t>GBV</w:t>
      </w:r>
      <w:r w:rsidR="009B0D2F">
        <w:rPr>
          <w:rFonts w:ascii="Aptos" w:eastAsia="Aptos" w:hAnsi="Aptos" w:cs="Calibri"/>
          <w:szCs w:val="22"/>
        </w:rPr>
        <w:t>.</w:t>
      </w:r>
      <w:r w:rsidR="009B0D2F">
        <w:rPr>
          <w:rStyle w:val="FootnoteReference"/>
          <w:rFonts w:ascii="Aptos" w:eastAsia="Aptos" w:hAnsi="Aptos" w:cs="Calibri"/>
          <w:szCs w:val="22"/>
        </w:rPr>
        <w:footnoteReference w:id="125"/>
      </w:r>
    </w:p>
    <w:p w14:paraId="6A1B8FE5" w14:textId="2321C445" w:rsidR="0029176C" w:rsidRPr="006B296A" w:rsidRDefault="00EA545C" w:rsidP="006B296A">
      <w:pPr>
        <w:spacing w:line="276" w:lineRule="auto"/>
        <w:rPr>
          <w:rFonts w:ascii="Aptos" w:eastAsia="Aptos" w:hAnsi="Aptos" w:cs="Calibri"/>
          <w:szCs w:val="22"/>
        </w:rPr>
      </w:pPr>
      <w:r>
        <w:rPr>
          <w:rFonts w:ascii="Aptos" w:eastAsia="Aptos" w:hAnsi="Aptos" w:cs="Calibri"/>
          <w:szCs w:val="22"/>
        </w:rPr>
        <w:t xml:space="preserve">While consideration was given to </w:t>
      </w:r>
      <w:r w:rsidR="00B16337">
        <w:rPr>
          <w:rFonts w:ascii="Aptos" w:eastAsia="Aptos" w:hAnsi="Aptos" w:cs="Calibri"/>
          <w:szCs w:val="22"/>
        </w:rPr>
        <w:t xml:space="preserve">the engagement rates of the above overseas schemes, </w:t>
      </w:r>
      <w:r w:rsidR="00F241D5">
        <w:rPr>
          <w:rFonts w:ascii="Aptos" w:eastAsia="Aptos" w:hAnsi="Aptos" w:cs="Calibri"/>
          <w:szCs w:val="22"/>
        </w:rPr>
        <w:t xml:space="preserve">they differ substantially from the proposed </w:t>
      </w:r>
      <w:r w:rsidR="00001E45">
        <w:rPr>
          <w:rFonts w:ascii="Aptos" w:eastAsia="Aptos" w:hAnsi="Aptos" w:cs="Calibri"/>
          <w:szCs w:val="22"/>
        </w:rPr>
        <w:t xml:space="preserve">National </w:t>
      </w:r>
      <w:r w:rsidR="0006552C">
        <w:rPr>
          <w:rFonts w:ascii="Aptos" w:eastAsia="Aptos" w:hAnsi="Aptos" w:cs="Calibri"/>
          <w:szCs w:val="22"/>
        </w:rPr>
        <w:t xml:space="preserve">Code </w:t>
      </w:r>
      <w:r w:rsidR="00001E45">
        <w:rPr>
          <w:rFonts w:ascii="Aptos" w:eastAsia="Aptos" w:hAnsi="Aptos" w:cs="Calibri"/>
          <w:szCs w:val="22"/>
        </w:rPr>
        <w:t>due to</w:t>
      </w:r>
      <w:r w:rsidR="0006552C">
        <w:rPr>
          <w:rFonts w:ascii="Aptos" w:eastAsia="Aptos" w:hAnsi="Aptos" w:cs="Calibri"/>
          <w:szCs w:val="22"/>
        </w:rPr>
        <w:t xml:space="preserve"> variab</w:t>
      </w:r>
      <w:r w:rsidR="00001E45">
        <w:rPr>
          <w:rFonts w:ascii="Aptos" w:eastAsia="Aptos" w:hAnsi="Aptos" w:cs="Calibri"/>
          <w:szCs w:val="22"/>
        </w:rPr>
        <w:t>ility</w:t>
      </w:r>
      <w:r w:rsidR="0006552C">
        <w:rPr>
          <w:rFonts w:ascii="Aptos" w:eastAsia="Aptos" w:hAnsi="Aptos" w:cs="Calibri"/>
          <w:szCs w:val="22"/>
        </w:rPr>
        <w:t xml:space="preserve"> between institutions and jurisdictions. </w:t>
      </w:r>
      <w:r w:rsidR="0043059E">
        <w:rPr>
          <w:rFonts w:ascii="Aptos" w:eastAsia="Aptos" w:hAnsi="Aptos" w:cs="Calibri"/>
          <w:szCs w:val="22"/>
        </w:rPr>
        <w:t xml:space="preserve">Overall, </w:t>
      </w:r>
      <w:r w:rsidR="0029176C" w:rsidRPr="006B296A">
        <w:rPr>
          <w:rFonts w:ascii="Aptos" w:eastAsia="Aptos" w:hAnsi="Aptos" w:cs="Calibri"/>
          <w:szCs w:val="22"/>
        </w:rPr>
        <w:t xml:space="preserve">international </w:t>
      </w:r>
      <w:r w:rsidR="00D1171E">
        <w:rPr>
          <w:rFonts w:ascii="Aptos" w:eastAsia="Aptos" w:hAnsi="Aptos" w:cs="Calibri"/>
          <w:szCs w:val="22"/>
        </w:rPr>
        <w:t xml:space="preserve">initiatives </w:t>
      </w:r>
      <w:r w:rsidR="009326C6">
        <w:rPr>
          <w:rFonts w:ascii="Aptos" w:eastAsia="Aptos" w:hAnsi="Aptos" w:cs="Calibri"/>
          <w:szCs w:val="22"/>
        </w:rPr>
        <w:t xml:space="preserve">for preventing and responding to </w:t>
      </w:r>
      <w:r w:rsidR="007315AF">
        <w:rPr>
          <w:rFonts w:ascii="Aptos" w:eastAsia="Aptos" w:hAnsi="Aptos" w:cs="Calibri"/>
          <w:szCs w:val="22"/>
        </w:rPr>
        <w:t>GBV</w:t>
      </w:r>
      <w:r w:rsidR="009326C6">
        <w:rPr>
          <w:rFonts w:ascii="Aptos" w:eastAsia="Aptos" w:hAnsi="Aptos" w:cs="Calibri"/>
          <w:szCs w:val="22"/>
        </w:rPr>
        <w:t xml:space="preserve"> in higher education </w:t>
      </w:r>
      <w:r w:rsidR="007315AF">
        <w:rPr>
          <w:rFonts w:ascii="Aptos" w:eastAsia="Aptos" w:hAnsi="Aptos" w:cs="Calibri"/>
          <w:szCs w:val="22"/>
        </w:rPr>
        <w:t>are an indication that GBV is a widespread issue across the higher education sector</w:t>
      </w:r>
      <w:r w:rsidR="000814A0">
        <w:rPr>
          <w:rFonts w:ascii="Aptos" w:eastAsia="Aptos" w:hAnsi="Aptos" w:cs="Calibri"/>
          <w:szCs w:val="22"/>
        </w:rPr>
        <w:t xml:space="preserve"> that requires government engagement</w:t>
      </w:r>
      <w:r w:rsidR="007315AF">
        <w:rPr>
          <w:rFonts w:ascii="Aptos" w:eastAsia="Aptos" w:hAnsi="Aptos" w:cs="Calibri"/>
          <w:szCs w:val="22"/>
        </w:rPr>
        <w:t xml:space="preserve">. </w:t>
      </w:r>
      <w:r w:rsidR="00B96DF1">
        <w:rPr>
          <w:rFonts w:ascii="Aptos" w:eastAsia="Aptos" w:hAnsi="Aptos" w:cs="Calibri"/>
          <w:szCs w:val="22"/>
        </w:rPr>
        <w:t>T</w:t>
      </w:r>
      <w:r w:rsidR="000814A0">
        <w:rPr>
          <w:rFonts w:ascii="Aptos" w:eastAsia="Aptos" w:hAnsi="Aptos" w:cs="Calibri"/>
          <w:szCs w:val="22"/>
        </w:rPr>
        <w:t xml:space="preserve">he variability in </w:t>
      </w:r>
      <w:r w:rsidR="00B92290">
        <w:rPr>
          <w:rFonts w:ascii="Aptos" w:eastAsia="Aptos" w:hAnsi="Aptos" w:cs="Calibri"/>
          <w:szCs w:val="22"/>
        </w:rPr>
        <w:t>the</w:t>
      </w:r>
      <w:r w:rsidR="000814A0">
        <w:rPr>
          <w:rFonts w:ascii="Aptos" w:eastAsia="Aptos" w:hAnsi="Aptos" w:cs="Calibri"/>
          <w:szCs w:val="22"/>
        </w:rPr>
        <w:t xml:space="preserve"> implementation of these </w:t>
      </w:r>
      <w:r w:rsidR="00D1171E">
        <w:rPr>
          <w:rFonts w:ascii="Aptos" w:eastAsia="Aptos" w:hAnsi="Aptos" w:cs="Calibri"/>
          <w:szCs w:val="22"/>
        </w:rPr>
        <w:t>initiatives</w:t>
      </w:r>
      <w:r w:rsidR="00B92290">
        <w:rPr>
          <w:rFonts w:ascii="Aptos" w:eastAsia="Aptos" w:hAnsi="Aptos" w:cs="Calibri"/>
          <w:szCs w:val="22"/>
        </w:rPr>
        <w:t>, and the criticism they have received for their effectiveness,</w:t>
      </w:r>
      <w:r w:rsidR="009326C6">
        <w:rPr>
          <w:rFonts w:ascii="Aptos" w:eastAsia="Aptos" w:hAnsi="Aptos" w:cs="Calibri"/>
          <w:szCs w:val="22"/>
        </w:rPr>
        <w:t xml:space="preserve"> </w:t>
      </w:r>
      <w:r w:rsidR="0029176C" w:rsidRPr="006B296A">
        <w:rPr>
          <w:rFonts w:ascii="Aptos" w:eastAsia="Aptos" w:hAnsi="Aptos" w:cs="Calibri"/>
          <w:szCs w:val="22"/>
        </w:rPr>
        <w:t>highlight a growing consensus that voluntary commitments are insufficient</w:t>
      </w:r>
      <w:r w:rsidR="00056E5E">
        <w:rPr>
          <w:rFonts w:ascii="Aptos" w:eastAsia="Aptos" w:hAnsi="Aptos" w:cs="Calibri"/>
          <w:szCs w:val="22"/>
        </w:rPr>
        <w:t>. They highlight that</w:t>
      </w:r>
      <w:r w:rsidR="0029176C" w:rsidRPr="006B296A">
        <w:rPr>
          <w:rFonts w:ascii="Aptos" w:eastAsia="Aptos" w:hAnsi="Aptos" w:cs="Calibri"/>
          <w:szCs w:val="22"/>
        </w:rPr>
        <w:t xml:space="preserve"> regulatory levers</w:t>
      </w:r>
      <w:r w:rsidR="00056E5E">
        <w:rPr>
          <w:rFonts w:ascii="Aptos" w:eastAsia="Aptos" w:hAnsi="Aptos" w:cs="Calibri"/>
          <w:szCs w:val="22"/>
        </w:rPr>
        <w:t xml:space="preserve"> </w:t>
      </w:r>
      <w:r w:rsidR="0029176C" w:rsidRPr="006B296A">
        <w:rPr>
          <w:rFonts w:ascii="Aptos" w:eastAsia="Aptos" w:hAnsi="Aptos" w:cs="Calibri"/>
          <w:szCs w:val="22"/>
        </w:rPr>
        <w:t>backed by enforcement powers and consistent standards</w:t>
      </w:r>
      <w:r w:rsidR="00381A4B">
        <w:rPr>
          <w:rFonts w:ascii="Aptos" w:eastAsia="Aptos" w:hAnsi="Aptos" w:cs="Calibri"/>
          <w:szCs w:val="22"/>
        </w:rPr>
        <w:t>,</w:t>
      </w:r>
      <w:r w:rsidR="0029176C" w:rsidRPr="006B296A">
        <w:rPr>
          <w:rFonts w:ascii="Aptos" w:eastAsia="Aptos" w:hAnsi="Aptos" w:cs="Calibri"/>
          <w:szCs w:val="22"/>
        </w:rPr>
        <w:t xml:space="preserve"> are essential to safeguard students and staff</w:t>
      </w:r>
      <w:r w:rsidR="00056E5E">
        <w:rPr>
          <w:rFonts w:ascii="Aptos" w:eastAsia="Aptos" w:hAnsi="Aptos" w:cs="Calibri"/>
          <w:szCs w:val="22"/>
        </w:rPr>
        <w:t>,</w:t>
      </w:r>
      <w:r w:rsidR="0029176C" w:rsidRPr="006B296A">
        <w:rPr>
          <w:rFonts w:ascii="Aptos" w:eastAsia="Aptos" w:hAnsi="Aptos" w:cs="Calibri"/>
          <w:szCs w:val="22"/>
        </w:rPr>
        <w:t xml:space="preserve"> and </w:t>
      </w:r>
      <w:r w:rsidR="00056E5E">
        <w:rPr>
          <w:rFonts w:ascii="Aptos" w:eastAsia="Aptos" w:hAnsi="Aptos" w:cs="Calibri"/>
          <w:szCs w:val="22"/>
        </w:rPr>
        <w:t xml:space="preserve">to </w:t>
      </w:r>
      <w:r w:rsidR="0029176C" w:rsidRPr="006B296A">
        <w:rPr>
          <w:rFonts w:ascii="Aptos" w:eastAsia="Aptos" w:hAnsi="Aptos" w:cs="Calibri"/>
          <w:szCs w:val="22"/>
        </w:rPr>
        <w:t>build institution</w:t>
      </w:r>
      <w:r w:rsidR="70FFC717" w:rsidRPr="006B296A">
        <w:rPr>
          <w:rFonts w:ascii="Aptos" w:eastAsia="Aptos" w:hAnsi="Aptos" w:cs="Calibri"/>
          <w:szCs w:val="22"/>
        </w:rPr>
        <w:t>al</w:t>
      </w:r>
      <w:r w:rsidR="0029176C" w:rsidRPr="006B296A">
        <w:rPr>
          <w:rFonts w:ascii="Aptos" w:eastAsia="Aptos" w:hAnsi="Aptos" w:cs="Calibri"/>
          <w:szCs w:val="22"/>
        </w:rPr>
        <w:t xml:space="preserve"> cultures of safety and respect. </w:t>
      </w:r>
    </w:p>
    <w:p w14:paraId="33D7D14A" w14:textId="370A149D" w:rsidR="004B484F" w:rsidRPr="0029176C" w:rsidRDefault="2C2687D6" w:rsidP="0029176C">
      <w:pPr>
        <w:pStyle w:val="Heading2"/>
      </w:pPr>
      <w:bookmarkStart w:id="66" w:name="_Toc204699856"/>
      <w:bookmarkStart w:id="67" w:name="_Toc210050229"/>
      <w:r>
        <w:t xml:space="preserve">Ending </w:t>
      </w:r>
      <w:r w:rsidR="00912FA9">
        <w:t>gender-based violence</w:t>
      </w:r>
      <w:r>
        <w:t xml:space="preserve"> is a</w:t>
      </w:r>
      <w:r w:rsidR="004B484F">
        <w:t xml:space="preserve"> national</w:t>
      </w:r>
      <w:bookmarkEnd w:id="66"/>
      <w:r w:rsidR="004B484F">
        <w:t xml:space="preserve"> </w:t>
      </w:r>
      <w:r w:rsidR="00386C3F">
        <w:t>priority</w:t>
      </w:r>
      <w:bookmarkEnd w:id="67"/>
      <w:r w:rsidR="00386C3F">
        <w:t xml:space="preserve"> </w:t>
      </w:r>
    </w:p>
    <w:p w14:paraId="40A6BA20" w14:textId="4520C421" w:rsidR="008A4B45" w:rsidRPr="00EF7D4E" w:rsidRDefault="008A4B45" w:rsidP="006B296A">
      <w:pPr>
        <w:spacing w:before="120" w:after="120" w:line="276" w:lineRule="auto"/>
        <w:rPr>
          <w:rFonts w:ascii="Aptos" w:eastAsia="Aptos" w:hAnsi="Aptos" w:cs="Calibri"/>
          <w:szCs w:val="22"/>
        </w:rPr>
      </w:pPr>
      <w:r w:rsidRPr="00EF7D4E">
        <w:rPr>
          <w:rFonts w:ascii="Aptos" w:eastAsia="Aptos" w:hAnsi="Aptos" w:cs="Calibri"/>
          <w:szCs w:val="22"/>
        </w:rPr>
        <w:t xml:space="preserve">Ending </w:t>
      </w:r>
      <w:r w:rsidR="008223FC" w:rsidRPr="00EF7D4E">
        <w:rPr>
          <w:rFonts w:ascii="Aptos" w:eastAsia="Aptos" w:hAnsi="Aptos" w:cs="Calibri"/>
          <w:szCs w:val="22"/>
        </w:rPr>
        <w:t>GBV</w:t>
      </w:r>
      <w:r w:rsidRPr="00EF7D4E">
        <w:rPr>
          <w:rFonts w:ascii="Aptos" w:eastAsia="Aptos" w:hAnsi="Aptos" w:cs="Calibri"/>
          <w:szCs w:val="22"/>
        </w:rPr>
        <w:t xml:space="preserve"> is a national priority for the Australian Government</w:t>
      </w:r>
      <w:r w:rsidR="7777B489" w:rsidRPr="00EF7D4E">
        <w:rPr>
          <w:rFonts w:ascii="Aptos" w:eastAsia="Aptos" w:hAnsi="Aptos" w:cs="Calibri"/>
          <w:szCs w:val="22"/>
        </w:rPr>
        <w:t>.</w:t>
      </w:r>
      <w:r w:rsidRPr="00EF7D4E">
        <w:rPr>
          <w:rFonts w:ascii="Aptos" w:eastAsia="Aptos" w:hAnsi="Aptos" w:cs="Calibri"/>
          <w:szCs w:val="22"/>
        </w:rPr>
        <w:t xml:space="preserve"> </w:t>
      </w:r>
      <w:r w:rsidR="2F348488" w:rsidRPr="00EF7D4E">
        <w:rPr>
          <w:rFonts w:ascii="Aptos" w:eastAsia="Aptos" w:hAnsi="Aptos" w:cs="Calibri"/>
          <w:szCs w:val="22"/>
        </w:rPr>
        <w:t>The</w:t>
      </w:r>
      <w:r w:rsidRPr="00EF7D4E">
        <w:rPr>
          <w:rFonts w:ascii="Aptos" w:eastAsia="Aptos" w:hAnsi="Aptos" w:cs="Calibri"/>
          <w:szCs w:val="22"/>
        </w:rPr>
        <w:t xml:space="preserve"> scale, severity and impacts of </w:t>
      </w:r>
      <w:r w:rsidR="008223FC" w:rsidRPr="00EF7D4E">
        <w:rPr>
          <w:rFonts w:ascii="Aptos" w:eastAsia="Aptos" w:hAnsi="Aptos" w:cs="Calibri"/>
          <w:szCs w:val="22"/>
        </w:rPr>
        <w:t>GBV</w:t>
      </w:r>
      <w:r w:rsidRPr="00EF7D4E">
        <w:rPr>
          <w:rFonts w:ascii="Aptos" w:eastAsia="Aptos" w:hAnsi="Aptos" w:cs="Calibri"/>
          <w:szCs w:val="22"/>
        </w:rPr>
        <w:t xml:space="preserve"> are unacceptable, and have led to sustain</w:t>
      </w:r>
      <w:r w:rsidR="604F3241" w:rsidRPr="00EF7D4E">
        <w:rPr>
          <w:rFonts w:ascii="Aptos" w:eastAsia="Aptos" w:hAnsi="Aptos" w:cs="Calibri"/>
          <w:szCs w:val="22"/>
        </w:rPr>
        <w:t>ed</w:t>
      </w:r>
      <w:r w:rsidRPr="00EF7D4E">
        <w:rPr>
          <w:rFonts w:ascii="Aptos" w:eastAsia="Aptos" w:hAnsi="Aptos" w:cs="Calibri"/>
          <w:szCs w:val="22"/>
        </w:rPr>
        <w:t xml:space="preserve"> community concern and calls for stronger action by governments and institutions. It is a crisis that demands urgent, sustainable, and systemic action. The </w:t>
      </w:r>
      <w:r w:rsidRPr="00EF7D4E">
        <w:rPr>
          <w:rFonts w:ascii="Aptos" w:eastAsia="Aptos" w:hAnsi="Aptos" w:cs="Calibri"/>
          <w:i/>
          <w:iCs/>
          <w:szCs w:val="22"/>
        </w:rPr>
        <w:t xml:space="preserve">National Plan to </w:t>
      </w:r>
      <w:r w:rsidR="00E1308D">
        <w:rPr>
          <w:rFonts w:ascii="Aptos" w:eastAsia="Aptos" w:hAnsi="Aptos" w:cs="Calibri"/>
          <w:i/>
          <w:iCs/>
          <w:szCs w:val="22"/>
        </w:rPr>
        <w:t>E</w:t>
      </w:r>
      <w:r w:rsidRPr="00EF7D4E">
        <w:rPr>
          <w:rFonts w:ascii="Aptos" w:eastAsia="Aptos" w:hAnsi="Aptos" w:cs="Calibri"/>
          <w:i/>
          <w:iCs/>
          <w:szCs w:val="22"/>
        </w:rPr>
        <w:t>nd Violence against Women and Children 2022-2032</w:t>
      </w:r>
      <w:r w:rsidRPr="00EF7D4E">
        <w:rPr>
          <w:rFonts w:ascii="Aptos" w:eastAsia="Aptos" w:hAnsi="Aptos" w:cs="Calibri"/>
          <w:szCs w:val="22"/>
        </w:rPr>
        <w:t xml:space="preserve"> (the National Plan) sets a shared vision: that all people in Australia can live free from violence in safe, respectful, and equal relationships and communities.</w:t>
      </w:r>
    </w:p>
    <w:p w14:paraId="573F4241" w14:textId="77777777" w:rsidR="008A4B45" w:rsidRPr="00EF7D4E" w:rsidRDefault="008A4B45" w:rsidP="006B296A">
      <w:pPr>
        <w:spacing w:before="120" w:after="120" w:line="276" w:lineRule="auto"/>
        <w:rPr>
          <w:rFonts w:ascii="Aptos" w:eastAsia="Aptos" w:hAnsi="Aptos" w:cs="Calibri"/>
          <w:szCs w:val="22"/>
        </w:rPr>
      </w:pPr>
      <w:r w:rsidRPr="00EF7D4E">
        <w:rPr>
          <w:rFonts w:ascii="Aptos" w:eastAsia="Aptos" w:hAnsi="Aptos" w:cs="Calibri"/>
          <w:szCs w:val="22"/>
        </w:rPr>
        <w:t>Endorsed by all Australian State and Territory governments, the</w:t>
      </w:r>
      <w:r w:rsidRPr="00EF7D4E">
        <w:rPr>
          <w:rFonts w:ascii="Aptos" w:eastAsia="Aptos" w:hAnsi="Aptos" w:cs="Calibri"/>
          <w:i/>
          <w:szCs w:val="22"/>
        </w:rPr>
        <w:t xml:space="preserve"> National Plan</w:t>
      </w:r>
      <w:r w:rsidRPr="00EF7D4E">
        <w:rPr>
          <w:rFonts w:ascii="Aptos" w:eastAsia="Aptos" w:hAnsi="Aptos" w:cs="Calibri"/>
          <w:szCs w:val="22"/>
        </w:rPr>
        <w:t xml:space="preserve"> outlines a comprehensive, whole-of-society approach that prioritises prevention, early intervention, response, and recovery. It recognises that achieving lasting change requires coordinated action across all levels of government, as well as meaningful partnership with communities, organisations, and institutions. </w:t>
      </w:r>
    </w:p>
    <w:p w14:paraId="30DD8F48" w14:textId="08C920E4" w:rsidR="008A4B45" w:rsidRPr="00EF7D4E" w:rsidRDefault="5AE60320" w:rsidP="006B296A">
      <w:pPr>
        <w:spacing w:before="120" w:after="120" w:line="276" w:lineRule="auto"/>
        <w:rPr>
          <w:rFonts w:ascii="Aptos" w:eastAsia="Aptos" w:hAnsi="Aptos" w:cs="Calibri"/>
          <w:szCs w:val="22"/>
        </w:rPr>
      </w:pPr>
      <w:r w:rsidRPr="00EF7D4E">
        <w:rPr>
          <w:rFonts w:ascii="Aptos" w:eastAsia="Aptos" w:hAnsi="Aptos" w:cs="Calibri"/>
          <w:szCs w:val="22"/>
        </w:rPr>
        <w:t xml:space="preserve">The </w:t>
      </w:r>
      <w:r w:rsidR="008A4B45" w:rsidRPr="00EF7D4E">
        <w:rPr>
          <w:rFonts w:ascii="Aptos" w:eastAsia="Aptos" w:hAnsi="Aptos" w:cs="Calibri"/>
          <w:i/>
          <w:szCs w:val="22"/>
        </w:rPr>
        <w:t>National Plan</w:t>
      </w:r>
      <w:r w:rsidR="008A4B45" w:rsidRPr="00EF7D4E">
        <w:rPr>
          <w:rFonts w:ascii="Aptos" w:eastAsia="Aptos" w:hAnsi="Aptos" w:cs="Calibri"/>
          <w:szCs w:val="22"/>
        </w:rPr>
        <w:t xml:space="preserve"> sets out clear objectives to end violence against women in children through a coordinated, whole-of-society response. At a high level, those objectives are:</w:t>
      </w:r>
    </w:p>
    <w:p w14:paraId="3ECE8490" w14:textId="28D99495" w:rsidR="008A4B45" w:rsidRPr="00EF7D4E" w:rsidRDefault="008A4B45" w:rsidP="006B296A">
      <w:pPr>
        <w:pStyle w:val="ListParagraph"/>
        <w:numPr>
          <w:ilvl w:val="0"/>
          <w:numId w:val="23"/>
        </w:numPr>
        <w:spacing w:before="120" w:after="120" w:line="276" w:lineRule="auto"/>
        <w:rPr>
          <w:rFonts w:ascii="Aptos" w:eastAsia="Aptos" w:hAnsi="Aptos" w:cs="Calibri"/>
          <w:szCs w:val="22"/>
        </w:rPr>
      </w:pPr>
      <w:r w:rsidRPr="00EF7D4E">
        <w:rPr>
          <w:rFonts w:ascii="Aptos" w:eastAsia="Aptos" w:hAnsi="Aptos" w:cs="Calibri"/>
          <w:b/>
          <w:bCs/>
          <w:szCs w:val="22"/>
        </w:rPr>
        <w:t>Prevention</w:t>
      </w:r>
      <w:r w:rsidRPr="00EF7D4E">
        <w:rPr>
          <w:rFonts w:ascii="Aptos" w:eastAsia="Aptos" w:hAnsi="Aptos" w:cs="Calibri"/>
          <w:szCs w:val="22"/>
        </w:rPr>
        <w:t>: Stop violence before it starts by addressing its underlying drivers</w:t>
      </w:r>
      <w:r w:rsidR="003863D4">
        <w:rPr>
          <w:rFonts w:ascii="Aptos" w:eastAsia="Aptos" w:hAnsi="Aptos" w:cs="Calibri"/>
          <w:szCs w:val="22"/>
        </w:rPr>
        <w:t>.</w:t>
      </w:r>
    </w:p>
    <w:p w14:paraId="13C06620" w14:textId="001E6371" w:rsidR="008A4B45" w:rsidRPr="00EF7D4E" w:rsidRDefault="008A4B45" w:rsidP="006B296A">
      <w:pPr>
        <w:pStyle w:val="ListParagraph"/>
        <w:numPr>
          <w:ilvl w:val="0"/>
          <w:numId w:val="23"/>
        </w:numPr>
        <w:spacing w:before="120" w:after="120" w:line="276" w:lineRule="auto"/>
        <w:rPr>
          <w:rFonts w:ascii="Aptos" w:eastAsia="Aptos" w:hAnsi="Aptos" w:cs="Calibri"/>
          <w:szCs w:val="22"/>
        </w:rPr>
      </w:pPr>
      <w:r w:rsidRPr="00EF7D4E">
        <w:rPr>
          <w:rFonts w:ascii="Aptos" w:eastAsia="Aptos" w:hAnsi="Aptos" w:cs="Calibri"/>
          <w:b/>
          <w:bCs/>
          <w:szCs w:val="22"/>
        </w:rPr>
        <w:lastRenderedPageBreak/>
        <w:t>Early intervention:</w:t>
      </w:r>
      <w:r w:rsidRPr="00EF7D4E">
        <w:rPr>
          <w:rFonts w:ascii="Aptos" w:eastAsia="Aptos" w:hAnsi="Aptos" w:cs="Calibri"/>
          <w:szCs w:val="22"/>
        </w:rPr>
        <w:t xml:space="preserve"> identify and support individuals and families at risk to stop violence from escalating</w:t>
      </w:r>
      <w:r w:rsidR="003863D4">
        <w:rPr>
          <w:rFonts w:ascii="Aptos" w:eastAsia="Aptos" w:hAnsi="Aptos" w:cs="Calibri"/>
          <w:szCs w:val="22"/>
        </w:rPr>
        <w:t>.</w:t>
      </w:r>
    </w:p>
    <w:p w14:paraId="571A9CFC" w14:textId="50163C91" w:rsidR="008A4B45" w:rsidRPr="00EF7D4E" w:rsidRDefault="008A4B45" w:rsidP="006B296A">
      <w:pPr>
        <w:pStyle w:val="ListParagraph"/>
        <w:numPr>
          <w:ilvl w:val="0"/>
          <w:numId w:val="23"/>
        </w:numPr>
        <w:spacing w:before="120" w:after="120" w:line="276" w:lineRule="auto"/>
        <w:rPr>
          <w:rFonts w:ascii="Aptos" w:eastAsia="Aptos" w:hAnsi="Aptos" w:cs="Calibri"/>
          <w:szCs w:val="22"/>
        </w:rPr>
      </w:pPr>
      <w:r w:rsidRPr="00EF7D4E">
        <w:rPr>
          <w:rFonts w:ascii="Aptos" w:eastAsia="Aptos" w:hAnsi="Aptos" w:cs="Calibri"/>
          <w:b/>
          <w:bCs/>
          <w:szCs w:val="22"/>
        </w:rPr>
        <w:t>Response:</w:t>
      </w:r>
      <w:r w:rsidRPr="00EF7D4E">
        <w:rPr>
          <w:rFonts w:ascii="Aptos" w:eastAsia="Aptos" w:hAnsi="Aptos" w:cs="Calibri"/>
          <w:szCs w:val="22"/>
        </w:rPr>
        <w:t xml:space="preserve"> provide effective, trauma-informed support to victim-survivors and hold perpetrators accountable</w:t>
      </w:r>
      <w:r w:rsidR="003863D4">
        <w:rPr>
          <w:rFonts w:ascii="Aptos" w:eastAsia="Aptos" w:hAnsi="Aptos" w:cs="Calibri"/>
          <w:szCs w:val="22"/>
        </w:rPr>
        <w:t>.</w:t>
      </w:r>
    </w:p>
    <w:p w14:paraId="330554B4" w14:textId="18A36995" w:rsidR="008A4B45" w:rsidRPr="00EF7D4E" w:rsidRDefault="008A4B45" w:rsidP="006B296A">
      <w:pPr>
        <w:pStyle w:val="ListParagraph"/>
        <w:numPr>
          <w:ilvl w:val="0"/>
          <w:numId w:val="23"/>
        </w:numPr>
        <w:spacing w:before="120" w:after="120" w:line="276" w:lineRule="auto"/>
        <w:rPr>
          <w:rFonts w:ascii="Aptos" w:eastAsia="Aptos" w:hAnsi="Aptos" w:cs="Calibri"/>
          <w:szCs w:val="22"/>
        </w:rPr>
      </w:pPr>
      <w:r w:rsidRPr="00EF7D4E">
        <w:rPr>
          <w:rFonts w:ascii="Aptos" w:eastAsia="Aptos" w:hAnsi="Aptos" w:cs="Calibri"/>
          <w:b/>
          <w:bCs/>
          <w:szCs w:val="22"/>
        </w:rPr>
        <w:t>Recovery and healing</w:t>
      </w:r>
      <w:r w:rsidRPr="00EF7D4E">
        <w:rPr>
          <w:rFonts w:ascii="Aptos" w:eastAsia="Aptos" w:hAnsi="Aptos" w:cs="Calibri"/>
          <w:szCs w:val="22"/>
        </w:rPr>
        <w:t>: support victim-survivors in long-term recovery and healing</w:t>
      </w:r>
      <w:r w:rsidR="003863D4">
        <w:rPr>
          <w:rFonts w:ascii="Aptos" w:eastAsia="Aptos" w:hAnsi="Aptos" w:cs="Calibri"/>
          <w:szCs w:val="22"/>
        </w:rPr>
        <w:t>.</w:t>
      </w:r>
    </w:p>
    <w:p w14:paraId="6E8F391B" w14:textId="5DE9BD07" w:rsidR="008A4B45" w:rsidRPr="00EF7D4E" w:rsidRDefault="008A4B45" w:rsidP="006B296A">
      <w:pPr>
        <w:spacing w:before="120" w:after="120" w:line="276" w:lineRule="auto"/>
        <w:rPr>
          <w:rFonts w:ascii="Aptos" w:eastAsia="Aptos" w:hAnsi="Aptos" w:cs="Calibri"/>
          <w:szCs w:val="22"/>
        </w:rPr>
      </w:pPr>
      <w:r w:rsidRPr="00EF7D4E">
        <w:rPr>
          <w:rFonts w:ascii="Aptos" w:eastAsia="Aptos" w:hAnsi="Aptos" w:cs="Calibri"/>
          <w:szCs w:val="22"/>
        </w:rPr>
        <w:t xml:space="preserve">Under the </w:t>
      </w:r>
      <w:r w:rsidRPr="00EF7D4E">
        <w:rPr>
          <w:rFonts w:ascii="Aptos" w:eastAsia="Aptos" w:hAnsi="Aptos" w:cs="Calibri"/>
          <w:i/>
          <w:szCs w:val="22"/>
        </w:rPr>
        <w:t>National Plan</w:t>
      </w:r>
      <w:r w:rsidRPr="00EF7D4E">
        <w:rPr>
          <w:rFonts w:ascii="Aptos" w:eastAsia="Aptos" w:hAnsi="Aptos" w:cs="Calibri"/>
          <w:szCs w:val="22"/>
        </w:rPr>
        <w:t xml:space="preserve">, the Australian Government has committed $4.7 billion over </w:t>
      </w:r>
      <w:r w:rsidR="00AC5721" w:rsidRPr="00EF7D4E">
        <w:rPr>
          <w:rFonts w:ascii="Aptos" w:eastAsia="Aptos" w:hAnsi="Aptos" w:cs="Calibri"/>
          <w:szCs w:val="22"/>
        </w:rPr>
        <w:t xml:space="preserve">5 years to </w:t>
      </w:r>
      <w:r w:rsidRPr="00EF7D4E">
        <w:rPr>
          <w:rFonts w:ascii="Aptos" w:eastAsia="Aptos" w:hAnsi="Aptos" w:cs="Calibri"/>
          <w:szCs w:val="22"/>
        </w:rPr>
        <w:t>strengthen prevention and early intervention, improve access to frontline and crisis services, expand legal assistance, enhance institutional response capabilities, and foster cross-sector</w:t>
      </w:r>
      <w:r w:rsidR="0266829C" w:rsidRPr="00EF7D4E">
        <w:rPr>
          <w:rFonts w:ascii="Aptos" w:eastAsia="Aptos" w:hAnsi="Aptos" w:cs="Calibri"/>
          <w:szCs w:val="22"/>
        </w:rPr>
        <w:t>al</w:t>
      </w:r>
      <w:r w:rsidRPr="00EF7D4E">
        <w:rPr>
          <w:rFonts w:ascii="Aptos" w:eastAsia="Aptos" w:hAnsi="Aptos" w:cs="Calibri"/>
          <w:szCs w:val="22"/>
        </w:rPr>
        <w:t xml:space="preserve"> collaboration and innovation. The investment represents one of the largest and most coordinated national efforts to eliminate </w:t>
      </w:r>
      <w:r w:rsidR="008223FC" w:rsidRPr="00EF7D4E">
        <w:rPr>
          <w:rFonts w:ascii="Aptos" w:eastAsia="Aptos" w:hAnsi="Aptos" w:cs="Calibri"/>
          <w:szCs w:val="22"/>
        </w:rPr>
        <w:t>GBV</w:t>
      </w:r>
      <w:r w:rsidRPr="00EF7D4E">
        <w:rPr>
          <w:rFonts w:ascii="Aptos" w:eastAsia="Aptos" w:hAnsi="Aptos" w:cs="Calibri"/>
          <w:szCs w:val="22"/>
        </w:rPr>
        <w:t xml:space="preserve"> internationally and reflects the Australian </w:t>
      </w:r>
      <w:r w:rsidR="1F3935EB" w:rsidRPr="00EF7D4E">
        <w:rPr>
          <w:rFonts w:ascii="Aptos" w:eastAsia="Aptos" w:hAnsi="Aptos" w:cs="Calibri"/>
          <w:szCs w:val="22"/>
        </w:rPr>
        <w:t>G</w:t>
      </w:r>
      <w:r w:rsidR="0F3E22BA" w:rsidRPr="00EF7D4E">
        <w:rPr>
          <w:rFonts w:ascii="Aptos" w:eastAsia="Aptos" w:hAnsi="Aptos" w:cs="Calibri"/>
          <w:szCs w:val="22"/>
        </w:rPr>
        <w:t>overnment</w:t>
      </w:r>
      <w:r w:rsidR="589C58AD" w:rsidRPr="00EF7D4E">
        <w:rPr>
          <w:rFonts w:ascii="Aptos" w:eastAsia="Aptos" w:hAnsi="Aptos" w:cs="Calibri"/>
          <w:szCs w:val="22"/>
        </w:rPr>
        <w:t>’</w:t>
      </w:r>
      <w:r w:rsidR="0F3E22BA" w:rsidRPr="00EF7D4E">
        <w:rPr>
          <w:rFonts w:ascii="Aptos" w:eastAsia="Aptos" w:hAnsi="Aptos" w:cs="Calibri"/>
          <w:szCs w:val="22"/>
        </w:rPr>
        <w:t>s</w:t>
      </w:r>
      <w:r w:rsidRPr="00EF7D4E">
        <w:rPr>
          <w:rFonts w:ascii="Aptos" w:eastAsia="Aptos" w:hAnsi="Aptos" w:cs="Calibri"/>
          <w:szCs w:val="22"/>
        </w:rPr>
        <w:t xml:space="preserve"> recognition th</w:t>
      </w:r>
      <w:r w:rsidR="001B4376">
        <w:rPr>
          <w:rFonts w:ascii="Aptos" w:eastAsia="Aptos" w:hAnsi="Aptos" w:cs="Calibri"/>
          <w:szCs w:val="22"/>
        </w:rPr>
        <w:t>at</w:t>
      </w:r>
      <w:r w:rsidRPr="00EF7D4E">
        <w:rPr>
          <w:rFonts w:ascii="Aptos" w:eastAsia="Aptos" w:hAnsi="Aptos" w:cs="Calibri"/>
          <w:szCs w:val="22"/>
        </w:rPr>
        <w:t xml:space="preserve"> </w:t>
      </w:r>
      <w:r w:rsidR="008223FC" w:rsidRPr="00EF7D4E">
        <w:rPr>
          <w:rFonts w:ascii="Aptos" w:eastAsia="Aptos" w:hAnsi="Aptos" w:cs="Calibri"/>
          <w:szCs w:val="22"/>
        </w:rPr>
        <w:t>GBV</w:t>
      </w:r>
      <w:r w:rsidRPr="00EF7D4E">
        <w:rPr>
          <w:rFonts w:ascii="Aptos" w:eastAsia="Aptos" w:hAnsi="Aptos" w:cs="Calibri"/>
          <w:szCs w:val="22"/>
        </w:rPr>
        <w:t xml:space="preserve"> is not inevitable – it is preventable.</w:t>
      </w:r>
    </w:p>
    <w:p w14:paraId="5389F20C" w14:textId="796B90B2" w:rsidR="008A4B45" w:rsidRPr="00EF7D4E" w:rsidRDefault="008A4B45" w:rsidP="006B296A">
      <w:pPr>
        <w:spacing w:before="120" w:after="120" w:line="276" w:lineRule="auto"/>
        <w:rPr>
          <w:rFonts w:ascii="Aptos" w:eastAsia="Aptos" w:hAnsi="Aptos" w:cs="Calibri"/>
          <w:szCs w:val="22"/>
        </w:rPr>
      </w:pPr>
      <w:r w:rsidRPr="00EF7D4E">
        <w:rPr>
          <w:rFonts w:ascii="Aptos" w:eastAsia="Aptos" w:hAnsi="Aptos" w:cs="Calibri"/>
          <w:szCs w:val="22"/>
        </w:rPr>
        <w:t xml:space="preserve">In September 2024, the National Cabinet met in Canberra and reaffirmed the importance of this work. First Ministers agreed on a series of practical steps to accelerate implementation of the </w:t>
      </w:r>
      <w:r w:rsidRPr="00EF7D4E">
        <w:rPr>
          <w:rFonts w:ascii="Aptos" w:eastAsia="Aptos" w:hAnsi="Aptos" w:cs="Calibri"/>
          <w:i/>
          <w:szCs w:val="22"/>
        </w:rPr>
        <w:t xml:space="preserve">National Plan </w:t>
      </w:r>
      <w:r w:rsidRPr="00EF7D4E">
        <w:rPr>
          <w:rFonts w:ascii="Aptos" w:eastAsia="Aptos" w:hAnsi="Aptos" w:cs="Calibri"/>
          <w:szCs w:val="22"/>
        </w:rPr>
        <w:t xml:space="preserve">and committed to maintaining </w:t>
      </w:r>
      <w:r w:rsidR="008223FC" w:rsidRPr="00EF7D4E">
        <w:rPr>
          <w:rFonts w:ascii="Aptos" w:eastAsia="Aptos" w:hAnsi="Aptos" w:cs="Calibri"/>
          <w:szCs w:val="22"/>
        </w:rPr>
        <w:t>GBV</w:t>
      </w:r>
      <w:r w:rsidRPr="00EF7D4E">
        <w:rPr>
          <w:rFonts w:ascii="Aptos" w:eastAsia="Aptos" w:hAnsi="Aptos" w:cs="Calibri"/>
          <w:szCs w:val="22"/>
        </w:rPr>
        <w:t xml:space="preserve"> as a priority. Acknowledging the scale and urgency of the issue, they emphasised the national consistency and cross jurisdictional collaboration are essential to drive meaningful and lasting change.</w:t>
      </w:r>
    </w:p>
    <w:p w14:paraId="2EB24E2D" w14:textId="409D2627" w:rsidR="008A4B45" w:rsidRDefault="003A4C29" w:rsidP="008A4B45">
      <w:pPr>
        <w:pStyle w:val="Heading2"/>
      </w:pPr>
      <w:bookmarkStart w:id="68" w:name="_Toc204699857"/>
      <w:bookmarkStart w:id="69" w:name="_Toc210050230"/>
      <w:r>
        <w:t xml:space="preserve">Higher Education </w:t>
      </w:r>
      <w:r w:rsidR="003104DA">
        <w:t>as a key lever in national efforts</w:t>
      </w:r>
      <w:bookmarkEnd w:id="68"/>
      <w:bookmarkEnd w:id="69"/>
    </w:p>
    <w:p w14:paraId="745D4A4F" w14:textId="48D8D3DC" w:rsidR="00CE6705" w:rsidRPr="00EF7D4E" w:rsidRDefault="00CE6705" w:rsidP="006B296A">
      <w:pPr>
        <w:spacing w:before="120" w:after="120" w:line="276" w:lineRule="auto"/>
        <w:rPr>
          <w:rFonts w:ascii="Aptos" w:eastAsia="Aptos" w:hAnsi="Aptos" w:cs="Calibri"/>
          <w:szCs w:val="22"/>
        </w:rPr>
      </w:pPr>
      <w:r w:rsidRPr="00EF7D4E">
        <w:rPr>
          <w:rFonts w:ascii="Aptos" w:eastAsia="Aptos" w:hAnsi="Aptos" w:cs="Calibri"/>
          <w:szCs w:val="22"/>
        </w:rPr>
        <w:t xml:space="preserve">Higher education institutions represent a distinct and high-impact place-based setting for addressing </w:t>
      </w:r>
      <w:r w:rsidR="008223FC" w:rsidRPr="00EF7D4E">
        <w:rPr>
          <w:rFonts w:ascii="Aptos" w:eastAsia="Aptos" w:hAnsi="Aptos" w:cs="Calibri"/>
          <w:szCs w:val="22"/>
        </w:rPr>
        <w:t>GBV</w:t>
      </w:r>
      <w:r w:rsidRPr="00EF7D4E">
        <w:rPr>
          <w:rFonts w:ascii="Aptos" w:eastAsia="Aptos" w:hAnsi="Aptos" w:cs="Calibri"/>
          <w:szCs w:val="22"/>
        </w:rPr>
        <w:t>. University campuses bring together large, diverse populations of people who live, work, and study in proximity – creating both risk and opportunity. These environments provide a critical opportunity to embed prevention, strengthen institutional response, and generate data and insights that inform broader national efforts.</w:t>
      </w:r>
    </w:p>
    <w:p w14:paraId="39F8B6F4" w14:textId="0C450678" w:rsidR="00CE6705" w:rsidRPr="00EF7D4E" w:rsidRDefault="00CE6705" w:rsidP="006B296A">
      <w:pPr>
        <w:spacing w:before="120" w:after="120" w:line="276" w:lineRule="auto"/>
        <w:rPr>
          <w:rFonts w:ascii="Aptos" w:eastAsia="Aptos" w:hAnsi="Aptos" w:cs="Calibri"/>
          <w:szCs w:val="22"/>
        </w:rPr>
      </w:pPr>
      <w:r w:rsidRPr="00EF7D4E">
        <w:rPr>
          <w:rFonts w:ascii="Aptos" w:eastAsia="Aptos" w:hAnsi="Aptos" w:cs="Calibri"/>
          <w:szCs w:val="22"/>
        </w:rPr>
        <w:t xml:space="preserve">Higher education providers are also uniquely positioned to influence cultural and social change. As institutions that shape the next generation of leaders, workers, educators, policy makers and professionals, universities have a critical role in shaping social norms, behaviours and attitudes that either reinforce or challenge </w:t>
      </w:r>
      <w:r w:rsidR="008223FC" w:rsidRPr="00EF7D4E">
        <w:rPr>
          <w:rFonts w:ascii="Aptos" w:eastAsia="Aptos" w:hAnsi="Aptos" w:cs="Calibri"/>
          <w:szCs w:val="22"/>
        </w:rPr>
        <w:t>GBV</w:t>
      </w:r>
      <w:r w:rsidRPr="00EF7D4E">
        <w:rPr>
          <w:rFonts w:ascii="Aptos" w:eastAsia="Aptos" w:hAnsi="Aptos" w:cs="Calibri"/>
          <w:szCs w:val="22"/>
        </w:rPr>
        <w:t>. Their influence extends beyond campus boundaries into workplaces, public life, and broader community settings.</w:t>
      </w:r>
    </w:p>
    <w:p w14:paraId="3ED563F5" w14:textId="693C9B8B" w:rsidR="00CE6705" w:rsidRPr="00EF7D4E" w:rsidRDefault="00CE6705" w:rsidP="006B296A">
      <w:pPr>
        <w:spacing w:before="120" w:after="120" w:line="276" w:lineRule="auto"/>
        <w:rPr>
          <w:rFonts w:ascii="Aptos" w:eastAsia="Aptos" w:hAnsi="Aptos" w:cs="Calibri"/>
          <w:szCs w:val="22"/>
        </w:rPr>
      </w:pPr>
      <w:r w:rsidRPr="00EF7D4E">
        <w:rPr>
          <w:rFonts w:ascii="Aptos" w:eastAsia="Aptos" w:hAnsi="Aptos" w:cs="Calibri"/>
          <w:szCs w:val="22"/>
        </w:rPr>
        <w:t>In addition, the higher education sector plays a national role in producing research, informing policy and developing evidence-based practice. This positions universities as not only implementers of reform, but as thought leaders that are capable of driving innovation and impact across the broader Australian community.</w:t>
      </w:r>
    </w:p>
    <w:p w14:paraId="1B6894BC" w14:textId="30410A51" w:rsidR="00CE6705" w:rsidRPr="00EF7D4E" w:rsidRDefault="00CE6705" w:rsidP="006B296A">
      <w:pPr>
        <w:spacing w:before="120" w:after="120" w:line="276" w:lineRule="auto"/>
        <w:rPr>
          <w:rFonts w:ascii="Aptos" w:eastAsia="Aptos" w:hAnsi="Aptos" w:cs="Calibri"/>
          <w:szCs w:val="22"/>
        </w:rPr>
      </w:pPr>
      <w:r w:rsidRPr="00EF7D4E">
        <w:rPr>
          <w:rFonts w:ascii="Aptos" w:eastAsia="Aptos" w:hAnsi="Aptos" w:cs="Calibri"/>
          <w:szCs w:val="22"/>
        </w:rPr>
        <w:t xml:space="preserve">Higher education institutions have a duty of care to ensure safe, respectful, and inclusive environments for students and staff. Addressing </w:t>
      </w:r>
      <w:r w:rsidR="008223FC" w:rsidRPr="00EF7D4E">
        <w:rPr>
          <w:rFonts w:ascii="Aptos" w:eastAsia="Aptos" w:hAnsi="Aptos" w:cs="Calibri"/>
          <w:szCs w:val="22"/>
        </w:rPr>
        <w:t>GBV</w:t>
      </w:r>
      <w:r w:rsidRPr="00EF7D4E">
        <w:rPr>
          <w:rFonts w:ascii="Aptos" w:eastAsia="Aptos" w:hAnsi="Aptos" w:cs="Calibri"/>
          <w:szCs w:val="22"/>
        </w:rPr>
        <w:t xml:space="preserve"> is fundamental to fulfilling this duty. </w:t>
      </w:r>
      <w:r w:rsidR="00BD756F">
        <w:rPr>
          <w:rFonts w:ascii="Aptos" w:eastAsia="Aptos" w:hAnsi="Aptos" w:cs="Calibri"/>
          <w:szCs w:val="22"/>
        </w:rPr>
        <w:t xml:space="preserve">Ensuring </w:t>
      </w:r>
      <w:r w:rsidR="00511012">
        <w:rPr>
          <w:rFonts w:ascii="Aptos" w:eastAsia="Aptos" w:hAnsi="Aptos" w:cs="Calibri"/>
          <w:szCs w:val="22"/>
        </w:rPr>
        <w:t>safety from GBV is</w:t>
      </w:r>
      <w:r w:rsidRPr="00EF7D4E">
        <w:rPr>
          <w:rFonts w:ascii="Aptos" w:eastAsia="Aptos" w:hAnsi="Aptos" w:cs="Calibri"/>
          <w:szCs w:val="22"/>
        </w:rPr>
        <w:t xml:space="preserve"> also essential for upholding human rights, advancing gender equality, ensuring economic and health security, and safeguarding academic and professional success from being undermined by violence, harassment, and fear.</w:t>
      </w:r>
    </w:p>
    <w:p w14:paraId="51196562" w14:textId="4AD365DF" w:rsidR="003104DA" w:rsidRDefault="00912FA9" w:rsidP="008052F3">
      <w:pPr>
        <w:pStyle w:val="Heading2"/>
      </w:pPr>
      <w:bookmarkStart w:id="70" w:name="_Toc204699858"/>
      <w:bookmarkStart w:id="71" w:name="_Toc210050231"/>
      <w:r>
        <w:t xml:space="preserve">Commonwealth, </w:t>
      </w:r>
      <w:r w:rsidR="00700167">
        <w:t xml:space="preserve">state </w:t>
      </w:r>
      <w:r>
        <w:t xml:space="preserve">and territory </w:t>
      </w:r>
      <w:r w:rsidR="000E66DE">
        <w:t>governments</w:t>
      </w:r>
      <w:r>
        <w:t xml:space="preserve"> have agreed on a w</w:t>
      </w:r>
      <w:r w:rsidR="000E66DE">
        <w:t>ay forward</w:t>
      </w:r>
      <w:bookmarkEnd w:id="70"/>
      <w:bookmarkEnd w:id="71"/>
    </w:p>
    <w:p w14:paraId="78695217" w14:textId="49E37D2E" w:rsidR="006B296A" w:rsidRPr="00EF7D4E" w:rsidRDefault="6AFFB965" w:rsidP="006B296A">
      <w:pPr>
        <w:spacing w:before="120" w:after="120" w:line="276" w:lineRule="auto"/>
        <w:rPr>
          <w:rFonts w:ascii="Aptos" w:eastAsia="Aptos" w:hAnsi="Aptos" w:cs="Calibri"/>
          <w:szCs w:val="22"/>
        </w:rPr>
      </w:pPr>
      <w:r w:rsidRPr="00EF7D4E">
        <w:rPr>
          <w:rFonts w:ascii="Aptos" w:eastAsia="Aptos" w:hAnsi="Aptos" w:cs="Calibri"/>
          <w:szCs w:val="22"/>
        </w:rPr>
        <w:t xml:space="preserve">In </w:t>
      </w:r>
      <w:r w:rsidR="00FA041E" w:rsidRPr="00EF7D4E">
        <w:rPr>
          <w:rFonts w:ascii="Aptos" w:eastAsia="Aptos" w:hAnsi="Aptos" w:cs="Calibri"/>
          <w:szCs w:val="22"/>
        </w:rPr>
        <w:t>2023</w:t>
      </w:r>
      <w:r w:rsidR="216F2A91" w:rsidRPr="00EF7D4E">
        <w:rPr>
          <w:rFonts w:ascii="Aptos" w:eastAsia="Aptos" w:hAnsi="Aptos" w:cs="Calibri"/>
          <w:szCs w:val="22"/>
        </w:rPr>
        <w:t xml:space="preserve">, </w:t>
      </w:r>
      <w:r w:rsidR="10B72250" w:rsidRPr="00EF7D4E">
        <w:rPr>
          <w:rFonts w:ascii="Aptos" w:eastAsia="Aptos" w:hAnsi="Aptos" w:cs="Calibri"/>
          <w:szCs w:val="22"/>
        </w:rPr>
        <w:t>E</w:t>
      </w:r>
      <w:r w:rsidR="216F2A91" w:rsidRPr="00EF7D4E">
        <w:rPr>
          <w:rFonts w:ascii="Aptos" w:eastAsia="Aptos" w:hAnsi="Aptos" w:cs="Calibri"/>
          <w:szCs w:val="22"/>
        </w:rPr>
        <w:t xml:space="preserve">ducation </w:t>
      </w:r>
      <w:r w:rsidR="00EF7D4E" w:rsidRPr="00EF7D4E">
        <w:rPr>
          <w:rFonts w:ascii="Aptos" w:eastAsia="Aptos" w:hAnsi="Aptos" w:cs="Calibri"/>
          <w:szCs w:val="22"/>
        </w:rPr>
        <w:t>Ministers committed</w:t>
      </w:r>
      <w:r w:rsidR="00FA041E" w:rsidRPr="00EF7D4E">
        <w:rPr>
          <w:rFonts w:ascii="Aptos" w:eastAsia="Aptos" w:hAnsi="Aptos" w:cs="Calibri"/>
          <w:szCs w:val="22"/>
        </w:rPr>
        <w:t xml:space="preserve"> to a unified response, recognising the transformative potential of higher education in preventing and responding to </w:t>
      </w:r>
      <w:r w:rsidR="0069387A">
        <w:rPr>
          <w:rFonts w:ascii="Aptos" w:eastAsia="Aptos" w:hAnsi="Aptos" w:cs="Calibri"/>
          <w:szCs w:val="22"/>
        </w:rPr>
        <w:t>gender-based violence</w:t>
      </w:r>
      <w:r w:rsidR="00FA041E" w:rsidRPr="00EF7D4E">
        <w:rPr>
          <w:rFonts w:ascii="Aptos" w:eastAsia="Aptos" w:hAnsi="Aptos" w:cs="Calibri"/>
          <w:szCs w:val="22"/>
        </w:rPr>
        <w:t xml:space="preserve">. In 2024, this commitment was formalised through the endorsement of the </w:t>
      </w:r>
      <w:r w:rsidR="00FA041E" w:rsidRPr="00EF7D4E">
        <w:rPr>
          <w:rFonts w:ascii="Aptos" w:eastAsia="Aptos" w:hAnsi="Aptos" w:cs="Calibri"/>
          <w:i/>
          <w:szCs w:val="22"/>
        </w:rPr>
        <w:t xml:space="preserve">Action Plan to Prevent and Respond to </w:t>
      </w:r>
      <w:r w:rsidR="008223FC" w:rsidRPr="00EF7D4E">
        <w:rPr>
          <w:rFonts w:ascii="Aptos" w:eastAsia="Aptos" w:hAnsi="Aptos" w:cs="Calibri"/>
          <w:i/>
          <w:szCs w:val="22"/>
        </w:rPr>
        <w:t>G</w:t>
      </w:r>
      <w:r w:rsidR="0069387A">
        <w:rPr>
          <w:rFonts w:ascii="Aptos" w:eastAsia="Aptos" w:hAnsi="Aptos" w:cs="Calibri"/>
          <w:i/>
          <w:szCs w:val="22"/>
        </w:rPr>
        <w:t>ender-based Violence</w:t>
      </w:r>
      <w:r w:rsidR="00FA041E" w:rsidRPr="00EF7D4E">
        <w:rPr>
          <w:rFonts w:ascii="Aptos" w:eastAsia="Aptos" w:hAnsi="Aptos" w:cs="Calibri"/>
          <w:i/>
          <w:szCs w:val="22"/>
        </w:rPr>
        <w:t xml:space="preserve"> in Higher Education</w:t>
      </w:r>
      <w:r w:rsidR="00FA041E" w:rsidRPr="00EF7D4E">
        <w:rPr>
          <w:rFonts w:ascii="Aptos" w:eastAsia="Aptos" w:hAnsi="Aptos" w:cs="Calibri"/>
          <w:szCs w:val="22"/>
        </w:rPr>
        <w:t xml:space="preserve">, which sets a clear and </w:t>
      </w:r>
      <w:r w:rsidR="00FA041E" w:rsidRPr="00EF7D4E">
        <w:rPr>
          <w:rFonts w:ascii="Aptos" w:eastAsia="Aptos" w:hAnsi="Aptos" w:cs="Calibri"/>
          <w:szCs w:val="22"/>
        </w:rPr>
        <w:lastRenderedPageBreak/>
        <w:t xml:space="preserve">urgent objective: to create higher education communities that are safe and free from </w:t>
      </w:r>
      <w:r w:rsidR="008223FC" w:rsidRPr="00EF7D4E">
        <w:rPr>
          <w:rFonts w:ascii="Aptos" w:eastAsia="Aptos" w:hAnsi="Aptos" w:cs="Calibri"/>
          <w:szCs w:val="22"/>
        </w:rPr>
        <w:t>GBV</w:t>
      </w:r>
      <w:r w:rsidR="00FA041E" w:rsidRPr="00EF7D4E">
        <w:rPr>
          <w:rFonts w:ascii="Aptos" w:eastAsia="Aptos" w:hAnsi="Aptos" w:cs="Calibri"/>
          <w:szCs w:val="22"/>
        </w:rPr>
        <w:t xml:space="preserve">. The </w:t>
      </w:r>
      <w:r w:rsidR="00FA041E" w:rsidRPr="00EF7D4E">
        <w:rPr>
          <w:rFonts w:ascii="Aptos" w:eastAsia="Aptos" w:hAnsi="Aptos" w:cs="Calibri"/>
          <w:i/>
          <w:szCs w:val="22"/>
        </w:rPr>
        <w:t xml:space="preserve">Action Plan </w:t>
      </w:r>
      <w:r w:rsidR="00FA041E" w:rsidRPr="00EF7D4E">
        <w:rPr>
          <w:rFonts w:ascii="Aptos" w:eastAsia="Aptos" w:hAnsi="Aptos" w:cs="Calibri"/>
          <w:szCs w:val="22"/>
        </w:rPr>
        <w:t xml:space="preserve">recognises the unique role that higher education providers can and must play in driving the broader social change needed to address </w:t>
      </w:r>
      <w:r w:rsidR="008223FC" w:rsidRPr="00EF7D4E">
        <w:rPr>
          <w:rFonts w:ascii="Aptos" w:eastAsia="Aptos" w:hAnsi="Aptos" w:cs="Calibri"/>
          <w:szCs w:val="22"/>
        </w:rPr>
        <w:t>GBV</w:t>
      </w:r>
      <w:r w:rsidR="00FA041E" w:rsidRPr="00EF7D4E">
        <w:rPr>
          <w:rFonts w:ascii="Aptos" w:eastAsia="Aptos" w:hAnsi="Aptos" w:cs="Calibri"/>
          <w:szCs w:val="22"/>
        </w:rPr>
        <w:t xml:space="preserve">, as well as the distinct responsibilities they hold in relation to creating safe study, work, social and living environments. The Action Plan is a multi-pronged approach to create higher education communities free from </w:t>
      </w:r>
      <w:r w:rsidR="008223FC" w:rsidRPr="00EF7D4E">
        <w:rPr>
          <w:rFonts w:ascii="Aptos" w:eastAsia="Aptos" w:hAnsi="Aptos" w:cs="Calibri"/>
          <w:szCs w:val="22"/>
        </w:rPr>
        <w:t>GBV</w:t>
      </w:r>
      <w:r w:rsidR="00FA041E" w:rsidRPr="00EF7D4E">
        <w:rPr>
          <w:rFonts w:ascii="Aptos" w:eastAsia="Aptos" w:hAnsi="Aptos" w:cs="Calibri"/>
          <w:szCs w:val="22"/>
        </w:rPr>
        <w:t xml:space="preserve"> through 7 action</w:t>
      </w:r>
      <w:r w:rsidR="006B296A">
        <w:rPr>
          <w:rFonts w:ascii="Aptos" w:eastAsia="Aptos" w:hAnsi="Aptos" w:cs="Calibri"/>
          <w:szCs w:val="22"/>
        </w:rPr>
        <w:t>s</w:t>
      </w:r>
      <w:r w:rsidR="00D72928">
        <w:rPr>
          <w:rFonts w:ascii="Aptos" w:eastAsia="Aptos" w:hAnsi="Aptos" w:cs="Calibri"/>
          <w:szCs w:val="22"/>
        </w:rPr>
        <w:t>:</w:t>
      </w:r>
    </w:p>
    <w:p w14:paraId="204B7BD9" w14:textId="632FF279" w:rsidR="00FA041E" w:rsidRPr="00EF7D4E" w:rsidRDefault="00EF7D4E" w:rsidP="009A555A">
      <w:pPr>
        <w:pStyle w:val="ListParagraph"/>
        <w:numPr>
          <w:ilvl w:val="0"/>
          <w:numId w:val="21"/>
        </w:numPr>
        <w:spacing w:before="120" w:after="120" w:line="240" w:lineRule="auto"/>
        <w:rPr>
          <w:rFonts w:ascii="Aptos" w:eastAsia="Aptos" w:hAnsi="Aptos" w:cs="Calibri"/>
          <w:szCs w:val="22"/>
        </w:rPr>
      </w:pPr>
      <w:r w:rsidRPr="00EF7D4E">
        <w:rPr>
          <w:rFonts w:ascii="Aptos" w:eastAsia="Aptos" w:hAnsi="Aptos" w:cs="Calibri"/>
          <w:szCs w:val="22"/>
        </w:rPr>
        <w:t>E</w:t>
      </w:r>
      <w:r w:rsidR="00FA041E" w:rsidRPr="00EF7D4E">
        <w:rPr>
          <w:rFonts w:ascii="Aptos" w:eastAsia="Aptos" w:hAnsi="Aptos" w:cs="Calibri"/>
          <w:szCs w:val="22"/>
        </w:rPr>
        <w:t>stablish</w:t>
      </w:r>
      <w:r w:rsidRPr="00EF7D4E">
        <w:rPr>
          <w:rFonts w:ascii="Aptos" w:eastAsia="Aptos" w:hAnsi="Aptos" w:cs="Calibri"/>
          <w:szCs w:val="22"/>
        </w:rPr>
        <w:t xml:space="preserve"> </w:t>
      </w:r>
      <w:r w:rsidR="00FA041E" w:rsidRPr="00EF7D4E">
        <w:rPr>
          <w:rFonts w:ascii="Aptos" w:eastAsia="Aptos" w:hAnsi="Aptos" w:cs="Calibri"/>
          <w:szCs w:val="22"/>
        </w:rPr>
        <w:t>a National Student Ombudsman</w:t>
      </w:r>
    </w:p>
    <w:p w14:paraId="0ADAF805" w14:textId="2D785AFA" w:rsidR="00FA041E" w:rsidRPr="00EF7D4E" w:rsidRDefault="00EF7D4E" w:rsidP="009A555A">
      <w:pPr>
        <w:pStyle w:val="ListParagraph"/>
        <w:numPr>
          <w:ilvl w:val="0"/>
          <w:numId w:val="21"/>
        </w:numPr>
        <w:spacing w:before="120" w:after="120" w:line="240" w:lineRule="auto"/>
        <w:rPr>
          <w:rFonts w:ascii="Aptos" w:eastAsia="Aptos" w:hAnsi="Aptos" w:cs="Calibri"/>
          <w:szCs w:val="22"/>
        </w:rPr>
      </w:pPr>
      <w:r w:rsidRPr="00EF7D4E">
        <w:rPr>
          <w:rFonts w:ascii="Aptos" w:eastAsia="Aptos" w:hAnsi="Aptos" w:cs="Calibri"/>
          <w:szCs w:val="22"/>
        </w:rPr>
        <w:t>R</w:t>
      </w:r>
      <w:r w:rsidR="00FA041E" w:rsidRPr="00EF7D4E">
        <w:rPr>
          <w:rFonts w:ascii="Aptos" w:eastAsia="Aptos" w:hAnsi="Aptos" w:cs="Calibri"/>
          <w:szCs w:val="22"/>
        </w:rPr>
        <w:t>equi</w:t>
      </w:r>
      <w:r w:rsidRPr="00EF7D4E">
        <w:rPr>
          <w:rFonts w:ascii="Aptos" w:eastAsia="Aptos" w:hAnsi="Aptos" w:cs="Calibri"/>
          <w:szCs w:val="22"/>
        </w:rPr>
        <w:t>re</w:t>
      </w:r>
      <w:r w:rsidR="00FA041E" w:rsidRPr="00EF7D4E">
        <w:rPr>
          <w:rFonts w:ascii="Aptos" w:eastAsia="Aptos" w:hAnsi="Aptos" w:cs="Calibri"/>
          <w:szCs w:val="22"/>
        </w:rPr>
        <w:t xml:space="preserve"> higher education providers to embed a whole-of-organisation approach to prevent and respond to </w:t>
      </w:r>
      <w:r w:rsidR="00B7771B" w:rsidRPr="00EF7D4E">
        <w:rPr>
          <w:rFonts w:ascii="Aptos" w:eastAsia="Aptos" w:hAnsi="Aptos" w:cs="Calibri"/>
          <w:szCs w:val="22"/>
        </w:rPr>
        <w:t>GBV</w:t>
      </w:r>
    </w:p>
    <w:p w14:paraId="0D699689" w14:textId="6562BEF2" w:rsidR="00FA041E" w:rsidRPr="009234DA" w:rsidRDefault="00EF7D4E" w:rsidP="009A555A">
      <w:pPr>
        <w:pStyle w:val="ListParagraph"/>
        <w:numPr>
          <w:ilvl w:val="0"/>
          <w:numId w:val="21"/>
        </w:numPr>
        <w:spacing w:before="120" w:after="120" w:line="240" w:lineRule="auto"/>
        <w:rPr>
          <w:rFonts w:ascii="Aptos" w:eastAsia="Aptos" w:hAnsi="Aptos" w:cs="Calibri"/>
          <w:szCs w:val="22"/>
        </w:rPr>
      </w:pPr>
      <w:r w:rsidRPr="009234DA">
        <w:rPr>
          <w:rFonts w:ascii="Aptos" w:eastAsia="Aptos" w:hAnsi="Aptos" w:cs="Calibri"/>
          <w:szCs w:val="22"/>
        </w:rPr>
        <w:t>I</w:t>
      </w:r>
      <w:r w:rsidR="00FA041E" w:rsidRPr="009234DA">
        <w:rPr>
          <w:rFonts w:ascii="Aptos" w:eastAsia="Aptos" w:hAnsi="Aptos" w:cs="Calibri"/>
          <w:szCs w:val="22"/>
        </w:rPr>
        <w:t>ntroduc</w:t>
      </w:r>
      <w:r w:rsidRPr="009234DA">
        <w:rPr>
          <w:rFonts w:ascii="Aptos" w:eastAsia="Aptos" w:hAnsi="Aptos" w:cs="Calibri"/>
          <w:szCs w:val="22"/>
        </w:rPr>
        <w:t>e</w:t>
      </w:r>
      <w:r w:rsidR="00FA041E" w:rsidRPr="009234DA">
        <w:rPr>
          <w:rFonts w:ascii="Aptos" w:eastAsia="Aptos" w:hAnsi="Aptos" w:cs="Calibri"/>
          <w:szCs w:val="22"/>
        </w:rPr>
        <w:t xml:space="preserve"> a National Higher Education </w:t>
      </w:r>
      <w:r w:rsidR="008743F1" w:rsidRPr="009234DA">
        <w:rPr>
          <w:rFonts w:ascii="Aptos" w:eastAsia="Aptos" w:hAnsi="Aptos" w:cs="Calibri"/>
          <w:szCs w:val="22"/>
        </w:rPr>
        <w:t>Code</w:t>
      </w:r>
      <w:r w:rsidR="00FA041E" w:rsidRPr="009234DA">
        <w:rPr>
          <w:rFonts w:ascii="Aptos" w:eastAsia="Aptos" w:hAnsi="Aptos" w:cs="Calibri"/>
          <w:szCs w:val="22"/>
        </w:rPr>
        <w:t xml:space="preserve"> to Prevent and Respond to </w:t>
      </w:r>
      <w:r w:rsidR="002C7B6D" w:rsidRPr="009234DA">
        <w:rPr>
          <w:rFonts w:ascii="Aptos" w:eastAsia="Aptos" w:hAnsi="Aptos" w:cs="Calibri"/>
          <w:szCs w:val="22"/>
        </w:rPr>
        <w:t>G</w:t>
      </w:r>
      <w:r w:rsidR="0069387A" w:rsidRPr="009234DA">
        <w:rPr>
          <w:rFonts w:ascii="Aptos" w:eastAsia="Aptos" w:hAnsi="Aptos" w:cs="Calibri"/>
          <w:szCs w:val="22"/>
        </w:rPr>
        <w:t xml:space="preserve">ender-based </w:t>
      </w:r>
      <w:r w:rsidR="002C7B6D" w:rsidRPr="009234DA">
        <w:rPr>
          <w:rFonts w:ascii="Aptos" w:eastAsia="Aptos" w:hAnsi="Aptos" w:cs="Calibri"/>
          <w:szCs w:val="22"/>
        </w:rPr>
        <w:t>Vi</w:t>
      </w:r>
      <w:r w:rsidR="0069387A" w:rsidRPr="009234DA">
        <w:rPr>
          <w:rFonts w:ascii="Aptos" w:eastAsia="Aptos" w:hAnsi="Aptos" w:cs="Calibri"/>
          <w:szCs w:val="22"/>
        </w:rPr>
        <w:t>olence</w:t>
      </w:r>
    </w:p>
    <w:p w14:paraId="26C0BA85" w14:textId="04B4F938" w:rsidR="00FA041E" w:rsidRPr="00EF7D4E" w:rsidRDefault="00EF7D4E" w:rsidP="009A555A">
      <w:pPr>
        <w:pStyle w:val="ListParagraph"/>
        <w:numPr>
          <w:ilvl w:val="0"/>
          <w:numId w:val="21"/>
        </w:numPr>
        <w:spacing w:before="120" w:after="120" w:line="240" w:lineRule="auto"/>
        <w:rPr>
          <w:rFonts w:ascii="Aptos" w:eastAsia="Aptos" w:hAnsi="Aptos" w:cs="Calibri"/>
          <w:szCs w:val="22"/>
        </w:rPr>
      </w:pPr>
      <w:r w:rsidRPr="00EF7D4E">
        <w:rPr>
          <w:rFonts w:ascii="Aptos" w:eastAsia="Aptos" w:hAnsi="Aptos" w:cs="Calibri"/>
          <w:szCs w:val="22"/>
        </w:rPr>
        <w:t>Enhance</w:t>
      </w:r>
      <w:r w:rsidR="00FA041E" w:rsidRPr="00EF7D4E">
        <w:rPr>
          <w:rFonts w:ascii="Aptos" w:eastAsia="Aptos" w:hAnsi="Aptos" w:cs="Calibri"/>
          <w:szCs w:val="22"/>
        </w:rPr>
        <w:t xml:space="preserve"> the oversight and accountability of student accommodation providers</w:t>
      </w:r>
    </w:p>
    <w:p w14:paraId="4AC0555C" w14:textId="2D64A07E" w:rsidR="00FA041E" w:rsidRPr="00EF7D4E" w:rsidRDefault="00EF7D4E" w:rsidP="009A555A">
      <w:pPr>
        <w:pStyle w:val="ListParagraph"/>
        <w:numPr>
          <w:ilvl w:val="0"/>
          <w:numId w:val="21"/>
        </w:numPr>
        <w:spacing w:before="120" w:after="120" w:line="240" w:lineRule="auto"/>
        <w:rPr>
          <w:rFonts w:ascii="Aptos" w:eastAsia="Aptos" w:hAnsi="Aptos" w:cs="Calibri"/>
          <w:szCs w:val="22"/>
        </w:rPr>
      </w:pPr>
      <w:r w:rsidRPr="00EF7D4E">
        <w:rPr>
          <w:rFonts w:ascii="Aptos" w:eastAsia="Aptos" w:hAnsi="Aptos" w:cs="Calibri"/>
          <w:szCs w:val="22"/>
        </w:rPr>
        <w:t>Identify</w:t>
      </w:r>
      <w:r w:rsidR="00FA041E" w:rsidRPr="00EF7D4E">
        <w:rPr>
          <w:rFonts w:ascii="Aptos" w:eastAsia="Aptos" w:hAnsi="Aptos" w:cs="Calibri"/>
          <w:szCs w:val="22"/>
        </w:rPr>
        <w:t xml:space="preserve"> opportunities to ensure legislation, regulation and policies can prioritise victim-survivor safety</w:t>
      </w:r>
    </w:p>
    <w:p w14:paraId="4F978A7B" w14:textId="68076D91" w:rsidR="00FA041E" w:rsidRPr="00EF7D4E" w:rsidRDefault="00EF7D4E" w:rsidP="009A555A">
      <w:pPr>
        <w:pStyle w:val="ListParagraph"/>
        <w:numPr>
          <w:ilvl w:val="0"/>
          <w:numId w:val="21"/>
        </w:numPr>
        <w:spacing w:before="120" w:after="120" w:line="240" w:lineRule="auto"/>
        <w:rPr>
          <w:rFonts w:ascii="Aptos" w:eastAsia="Aptos" w:hAnsi="Aptos" w:cs="Calibri"/>
          <w:szCs w:val="22"/>
        </w:rPr>
      </w:pPr>
      <w:r w:rsidRPr="00EF7D4E">
        <w:rPr>
          <w:rFonts w:ascii="Aptos" w:eastAsia="Aptos" w:hAnsi="Aptos" w:cs="Calibri"/>
          <w:szCs w:val="22"/>
        </w:rPr>
        <w:t>Increase</w:t>
      </w:r>
      <w:r w:rsidR="00FA041E" w:rsidRPr="00EF7D4E">
        <w:rPr>
          <w:rFonts w:ascii="Aptos" w:eastAsia="Aptos" w:hAnsi="Aptos" w:cs="Calibri"/>
          <w:szCs w:val="22"/>
        </w:rPr>
        <w:t xml:space="preserve"> data transparency and scrutiny</w:t>
      </w:r>
    </w:p>
    <w:p w14:paraId="03A86548" w14:textId="59308BA3" w:rsidR="00FA041E" w:rsidRPr="00EF7D4E" w:rsidRDefault="00EF7D4E" w:rsidP="009A555A">
      <w:pPr>
        <w:pStyle w:val="ListParagraph"/>
        <w:numPr>
          <w:ilvl w:val="0"/>
          <w:numId w:val="21"/>
        </w:numPr>
        <w:spacing w:before="120" w:after="120" w:line="240" w:lineRule="auto"/>
        <w:rPr>
          <w:rFonts w:ascii="Aptos" w:eastAsia="Aptos" w:hAnsi="Aptos" w:cs="Calibri"/>
          <w:szCs w:val="22"/>
        </w:rPr>
      </w:pPr>
      <w:r w:rsidRPr="00EF7D4E">
        <w:rPr>
          <w:rFonts w:ascii="Aptos" w:eastAsia="Aptos" w:hAnsi="Aptos" w:cs="Calibri"/>
          <w:szCs w:val="22"/>
        </w:rPr>
        <w:t>Regular</w:t>
      </w:r>
      <w:r w:rsidR="00FA041E" w:rsidRPr="00EF7D4E">
        <w:rPr>
          <w:rFonts w:ascii="Aptos" w:eastAsia="Aptos" w:hAnsi="Aptos" w:cs="Calibri"/>
          <w:szCs w:val="22"/>
        </w:rPr>
        <w:t xml:space="preserve"> review of progress against the Action Plan.</w:t>
      </w:r>
    </w:p>
    <w:p w14:paraId="6E423167" w14:textId="77777777" w:rsidR="00FA041E" w:rsidRPr="00EF7D4E" w:rsidRDefault="00FA041E" w:rsidP="006B296A">
      <w:pPr>
        <w:spacing w:before="120" w:after="120" w:line="276" w:lineRule="auto"/>
        <w:rPr>
          <w:rFonts w:ascii="Aptos" w:hAnsi="Aptos" w:cs="Calibri"/>
          <w:szCs w:val="22"/>
        </w:rPr>
      </w:pPr>
      <w:r w:rsidRPr="00EF7D4E">
        <w:rPr>
          <w:rFonts w:ascii="Aptos" w:hAnsi="Aptos" w:cs="Calibri"/>
          <w:szCs w:val="22"/>
        </w:rPr>
        <w:t xml:space="preserve">Based on the seven actions outlined in the Action Plan, six clear sub-objectives emerge that reflect the core principles of the </w:t>
      </w:r>
      <w:r w:rsidRPr="008A4BB7">
        <w:rPr>
          <w:rFonts w:ascii="Aptos" w:hAnsi="Aptos" w:cs="Calibri"/>
          <w:i/>
          <w:iCs/>
          <w:szCs w:val="22"/>
        </w:rPr>
        <w:t>National Plan</w:t>
      </w:r>
      <w:r w:rsidRPr="00EF7D4E">
        <w:rPr>
          <w:rFonts w:ascii="Aptos" w:hAnsi="Aptos" w:cs="Calibri"/>
          <w:szCs w:val="22"/>
        </w:rPr>
        <w:t xml:space="preserve"> and translate them into priorities for the sector:</w:t>
      </w:r>
    </w:p>
    <w:p w14:paraId="7C6E29BC" w14:textId="7A5311AE" w:rsidR="00FA041E" w:rsidRPr="00EF7D4E" w:rsidRDefault="00FA041E" w:rsidP="006B296A">
      <w:pPr>
        <w:pStyle w:val="ListParagraph"/>
        <w:numPr>
          <w:ilvl w:val="0"/>
          <w:numId w:val="25"/>
        </w:numPr>
        <w:spacing w:before="120" w:after="120" w:line="276" w:lineRule="auto"/>
        <w:rPr>
          <w:rFonts w:ascii="Aptos" w:hAnsi="Aptos" w:cs="Calibri"/>
          <w:szCs w:val="22"/>
        </w:rPr>
      </w:pPr>
      <w:r w:rsidRPr="00EF7D4E">
        <w:rPr>
          <w:rFonts w:ascii="Aptos" w:hAnsi="Aptos" w:cs="Calibri"/>
          <w:b/>
          <w:bCs/>
          <w:szCs w:val="22"/>
        </w:rPr>
        <w:t xml:space="preserve">End </w:t>
      </w:r>
      <w:r w:rsidR="008223FC" w:rsidRPr="00EF7D4E">
        <w:rPr>
          <w:rFonts w:ascii="Aptos" w:hAnsi="Aptos" w:cs="Calibri"/>
          <w:b/>
          <w:bCs/>
          <w:szCs w:val="22"/>
        </w:rPr>
        <w:t>GBV</w:t>
      </w:r>
      <w:r w:rsidRPr="00EF7D4E">
        <w:rPr>
          <w:rFonts w:ascii="Aptos" w:hAnsi="Aptos" w:cs="Calibri"/>
          <w:szCs w:val="22"/>
        </w:rPr>
        <w:t xml:space="preserve">: drive long-term cultural and systemic change to reduce the prevalence of </w:t>
      </w:r>
      <w:r w:rsidR="008223FC" w:rsidRPr="00EF7D4E">
        <w:rPr>
          <w:rFonts w:ascii="Aptos" w:hAnsi="Aptos" w:cs="Calibri"/>
          <w:szCs w:val="22"/>
        </w:rPr>
        <w:t>GBV</w:t>
      </w:r>
      <w:r w:rsidRPr="00EF7D4E">
        <w:rPr>
          <w:rFonts w:ascii="Aptos" w:hAnsi="Aptos" w:cs="Calibri"/>
          <w:szCs w:val="22"/>
        </w:rPr>
        <w:t xml:space="preserve"> </w:t>
      </w:r>
    </w:p>
    <w:p w14:paraId="2944121A" w14:textId="0761A4CD" w:rsidR="00FA041E" w:rsidRPr="00EF7D4E" w:rsidRDefault="00FA041E" w:rsidP="006B296A">
      <w:pPr>
        <w:pStyle w:val="ListParagraph"/>
        <w:numPr>
          <w:ilvl w:val="0"/>
          <w:numId w:val="24"/>
        </w:numPr>
        <w:spacing w:before="120" w:after="120" w:line="276" w:lineRule="auto"/>
        <w:rPr>
          <w:rFonts w:ascii="Aptos" w:hAnsi="Aptos" w:cs="Calibri"/>
          <w:szCs w:val="22"/>
        </w:rPr>
      </w:pPr>
      <w:r w:rsidRPr="00EF7D4E">
        <w:rPr>
          <w:rFonts w:ascii="Aptos" w:hAnsi="Aptos" w:cs="Calibri"/>
          <w:b/>
          <w:bCs/>
          <w:szCs w:val="22"/>
        </w:rPr>
        <w:t>Whole-of-organisation:</w:t>
      </w:r>
      <w:r w:rsidRPr="00EF7D4E">
        <w:rPr>
          <w:rFonts w:ascii="Aptos" w:hAnsi="Aptos" w:cs="Calibri"/>
          <w:szCs w:val="22"/>
        </w:rPr>
        <w:t xml:space="preserve"> Ensure providers implement a coordinated systemic and resourced strategy to prevent and respond to </w:t>
      </w:r>
      <w:r w:rsidR="00B7771B" w:rsidRPr="00EF7D4E">
        <w:rPr>
          <w:rFonts w:ascii="Aptos" w:hAnsi="Aptos" w:cs="Calibri"/>
          <w:szCs w:val="22"/>
        </w:rPr>
        <w:t>GBV</w:t>
      </w:r>
      <w:r w:rsidRPr="00EF7D4E">
        <w:rPr>
          <w:rFonts w:ascii="Aptos" w:hAnsi="Aptos" w:cs="Calibri"/>
          <w:szCs w:val="22"/>
        </w:rPr>
        <w:t>, led by leadership</w:t>
      </w:r>
    </w:p>
    <w:p w14:paraId="33772C37" w14:textId="5064F105" w:rsidR="00FA041E" w:rsidRPr="00EF7D4E" w:rsidRDefault="00FA041E" w:rsidP="006B296A">
      <w:pPr>
        <w:pStyle w:val="ListParagraph"/>
        <w:numPr>
          <w:ilvl w:val="0"/>
          <w:numId w:val="24"/>
        </w:numPr>
        <w:spacing w:before="120" w:after="120" w:line="276" w:lineRule="auto"/>
        <w:rPr>
          <w:rFonts w:ascii="Aptos" w:hAnsi="Aptos" w:cs="Calibri"/>
          <w:szCs w:val="22"/>
        </w:rPr>
      </w:pPr>
      <w:r w:rsidRPr="00EF7D4E">
        <w:rPr>
          <w:rFonts w:ascii="Aptos" w:hAnsi="Aptos" w:cs="Calibri"/>
          <w:b/>
          <w:bCs/>
          <w:szCs w:val="22"/>
        </w:rPr>
        <w:t>Oversight:</w:t>
      </w:r>
      <w:r w:rsidRPr="00EF7D4E">
        <w:rPr>
          <w:rFonts w:ascii="Aptos" w:hAnsi="Aptos" w:cs="Calibri"/>
          <w:szCs w:val="22"/>
        </w:rPr>
        <w:t xml:space="preserve"> strengthen accountability to hold providers accountable for preventing and responding to </w:t>
      </w:r>
      <w:r w:rsidR="008223FC" w:rsidRPr="00EF7D4E">
        <w:rPr>
          <w:rFonts w:ascii="Aptos" w:hAnsi="Aptos" w:cs="Calibri"/>
          <w:szCs w:val="22"/>
        </w:rPr>
        <w:t>GBV</w:t>
      </w:r>
    </w:p>
    <w:p w14:paraId="7DE7F95E" w14:textId="77777777" w:rsidR="00FA041E" w:rsidRPr="00EF7D4E" w:rsidRDefault="00FA041E" w:rsidP="006B296A">
      <w:pPr>
        <w:pStyle w:val="ListParagraph"/>
        <w:numPr>
          <w:ilvl w:val="0"/>
          <w:numId w:val="24"/>
        </w:numPr>
        <w:spacing w:before="120" w:after="120" w:line="276" w:lineRule="auto"/>
        <w:rPr>
          <w:rFonts w:ascii="Aptos" w:hAnsi="Aptos" w:cs="Calibri"/>
          <w:szCs w:val="22"/>
        </w:rPr>
      </w:pPr>
      <w:r w:rsidRPr="00EF7D4E">
        <w:rPr>
          <w:rFonts w:ascii="Aptos" w:hAnsi="Aptos" w:cs="Calibri"/>
          <w:b/>
          <w:bCs/>
          <w:szCs w:val="22"/>
        </w:rPr>
        <w:t>Student accommodation:</w:t>
      </w:r>
      <w:r w:rsidRPr="00EF7D4E">
        <w:rPr>
          <w:rFonts w:ascii="Aptos" w:hAnsi="Aptos" w:cs="Calibri"/>
          <w:szCs w:val="22"/>
        </w:rPr>
        <w:t xml:space="preserve"> enhance safety and accountability for students in standalone student accommodation so that all students are safe where they live </w:t>
      </w:r>
    </w:p>
    <w:p w14:paraId="47567E9D" w14:textId="67A77074" w:rsidR="00FA041E" w:rsidRPr="00EF7D4E" w:rsidRDefault="00FA041E" w:rsidP="006B296A">
      <w:pPr>
        <w:pStyle w:val="ListParagraph"/>
        <w:numPr>
          <w:ilvl w:val="0"/>
          <w:numId w:val="24"/>
        </w:numPr>
        <w:spacing w:before="120" w:after="120" w:line="276" w:lineRule="auto"/>
        <w:rPr>
          <w:rFonts w:ascii="Aptos" w:hAnsi="Aptos" w:cs="Calibri"/>
          <w:szCs w:val="22"/>
        </w:rPr>
      </w:pPr>
      <w:r w:rsidRPr="00EF7D4E">
        <w:rPr>
          <w:rFonts w:ascii="Aptos" w:hAnsi="Aptos" w:cs="Calibri"/>
          <w:b/>
          <w:bCs/>
          <w:szCs w:val="22"/>
        </w:rPr>
        <w:t>Victim-survivors</w:t>
      </w:r>
      <w:r w:rsidRPr="00EF7D4E">
        <w:rPr>
          <w:rFonts w:ascii="Aptos" w:hAnsi="Aptos" w:cs="Calibri"/>
          <w:szCs w:val="22"/>
        </w:rPr>
        <w:t xml:space="preserve">: Ensure that policies, legislation and regulation prioritise the safety of victim-survivors in responding to </w:t>
      </w:r>
      <w:r w:rsidR="008223FC" w:rsidRPr="00EF7D4E">
        <w:rPr>
          <w:rFonts w:ascii="Aptos" w:hAnsi="Aptos" w:cs="Calibri"/>
          <w:szCs w:val="22"/>
        </w:rPr>
        <w:t>GBV</w:t>
      </w:r>
      <w:r w:rsidRPr="00EF7D4E">
        <w:rPr>
          <w:rFonts w:ascii="Aptos" w:hAnsi="Aptos" w:cs="Calibri"/>
          <w:szCs w:val="22"/>
        </w:rPr>
        <w:t xml:space="preserve"> </w:t>
      </w:r>
    </w:p>
    <w:p w14:paraId="5C44236D" w14:textId="3E25EA41" w:rsidR="00FA041E" w:rsidRPr="00EF7D4E" w:rsidRDefault="00FA041E" w:rsidP="006B296A">
      <w:pPr>
        <w:pStyle w:val="ListParagraph"/>
        <w:numPr>
          <w:ilvl w:val="0"/>
          <w:numId w:val="24"/>
        </w:numPr>
        <w:spacing w:before="120" w:after="120" w:line="276" w:lineRule="auto"/>
        <w:rPr>
          <w:rFonts w:ascii="Aptos" w:hAnsi="Aptos" w:cs="Calibri"/>
          <w:szCs w:val="22"/>
        </w:rPr>
      </w:pPr>
      <w:r w:rsidRPr="00EF7D4E">
        <w:rPr>
          <w:rFonts w:ascii="Aptos" w:hAnsi="Aptos" w:cs="Calibri"/>
          <w:b/>
          <w:bCs/>
          <w:szCs w:val="22"/>
        </w:rPr>
        <w:t>Data:</w:t>
      </w:r>
      <w:r w:rsidRPr="00EF7D4E">
        <w:rPr>
          <w:rFonts w:ascii="Aptos" w:hAnsi="Aptos" w:cs="Calibri"/>
          <w:szCs w:val="22"/>
        </w:rPr>
        <w:t xml:space="preserve"> increase data transparency and scrutiny across the higher education sector</w:t>
      </w:r>
      <w:r w:rsidR="003863D4">
        <w:rPr>
          <w:rFonts w:ascii="Aptos" w:hAnsi="Aptos" w:cs="Calibri"/>
          <w:szCs w:val="22"/>
        </w:rPr>
        <w:t>.</w:t>
      </w:r>
    </w:p>
    <w:p w14:paraId="3D0FF6FF" w14:textId="20AB5245" w:rsidR="00FA041E" w:rsidRPr="00EF7D4E" w:rsidRDefault="00FA041E" w:rsidP="006B296A">
      <w:pPr>
        <w:spacing w:before="120" w:after="120" w:line="276" w:lineRule="auto"/>
        <w:rPr>
          <w:rFonts w:ascii="Aptos" w:eastAsia="Aptos" w:hAnsi="Aptos" w:cs="Calibri"/>
          <w:szCs w:val="22"/>
        </w:rPr>
      </w:pPr>
      <w:r w:rsidRPr="00EF7D4E">
        <w:rPr>
          <w:rFonts w:ascii="Aptos" w:eastAsia="Aptos" w:hAnsi="Aptos" w:cs="Calibri"/>
          <w:szCs w:val="22"/>
        </w:rPr>
        <w:t xml:space="preserve">The Government has implemented the first action of the Action Plan, the establishment of </w:t>
      </w:r>
      <w:r w:rsidR="000915BB">
        <w:rPr>
          <w:rFonts w:ascii="Aptos" w:eastAsia="Aptos" w:hAnsi="Aptos" w:cs="Calibri"/>
          <w:szCs w:val="22"/>
        </w:rPr>
        <w:t xml:space="preserve">a </w:t>
      </w:r>
      <w:r w:rsidRPr="00EF7D4E">
        <w:rPr>
          <w:rFonts w:ascii="Aptos" w:eastAsia="Aptos" w:hAnsi="Aptos" w:cs="Calibri"/>
          <w:szCs w:val="22"/>
        </w:rPr>
        <w:t xml:space="preserve">National Student Ombudsman. The National Student Ombudsman is an independent and impartial pathway for higher education students to escalate complaints about their higher education provider. It has been established as a new statutory function of the Commonwealth Ombudsman and is able to handle complaints about a provider’s handling of a broad range of issues, </w:t>
      </w:r>
      <w:r w:rsidR="00B02F90">
        <w:rPr>
          <w:rFonts w:ascii="Aptos" w:eastAsia="Aptos" w:hAnsi="Aptos" w:cs="Calibri"/>
          <w:szCs w:val="22"/>
        </w:rPr>
        <w:t>including</w:t>
      </w:r>
      <w:r w:rsidRPr="00EF7D4E">
        <w:rPr>
          <w:rFonts w:ascii="Aptos" w:eastAsia="Aptos" w:hAnsi="Aptos" w:cs="Calibri"/>
          <w:szCs w:val="22"/>
        </w:rPr>
        <w:t xml:space="preserve"> </w:t>
      </w:r>
      <w:r w:rsidR="00B7771B" w:rsidRPr="00EF7D4E">
        <w:rPr>
          <w:rFonts w:ascii="Aptos" w:eastAsia="Aptos" w:hAnsi="Aptos" w:cs="Calibri"/>
          <w:szCs w:val="22"/>
        </w:rPr>
        <w:t>GBV</w:t>
      </w:r>
      <w:r w:rsidRPr="00EF7D4E">
        <w:rPr>
          <w:rFonts w:ascii="Aptos" w:eastAsia="Aptos" w:hAnsi="Aptos" w:cs="Calibri"/>
          <w:szCs w:val="22"/>
        </w:rPr>
        <w:t xml:space="preserve">, racism, disciplinary processes, course administration, and reasonable adjustments for students with disability or special circumstances. The National Student Ombudsman began taking student complaints on 1 February 2025. </w:t>
      </w:r>
    </w:p>
    <w:p w14:paraId="2F2F5E81" w14:textId="166BA228" w:rsidR="00FA041E" w:rsidRDefault="003A0DDF" w:rsidP="003A0DDF">
      <w:pPr>
        <w:pStyle w:val="Heading2"/>
      </w:pPr>
      <w:bookmarkStart w:id="72" w:name="_Toc204699859"/>
      <w:bookmarkStart w:id="73" w:name="_Toc210050232"/>
      <w:r>
        <w:t>Objectives of government intervention</w:t>
      </w:r>
      <w:bookmarkEnd w:id="72"/>
      <w:bookmarkEnd w:id="73"/>
      <w:r>
        <w:t xml:space="preserve"> </w:t>
      </w:r>
    </w:p>
    <w:p w14:paraId="55833B2E" w14:textId="1947DC6E" w:rsidR="00F378A3" w:rsidRPr="00EF7D4E" w:rsidRDefault="00F378A3" w:rsidP="0051754D">
      <w:pPr>
        <w:rPr>
          <w:rFonts w:ascii="Aptos" w:hAnsi="Aptos"/>
          <w:szCs w:val="22"/>
        </w:rPr>
      </w:pPr>
      <w:r w:rsidRPr="00EF7D4E">
        <w:rPr>
          <w:rFonts w:ascii="Aptos" w:hAnsi="Aptos"/>
          <w:szCs w:val="22"/>
        </w:rPr>
        <w:t xml:space="preserve">The goal of policy intervention, as highlighted by the </w:t>
      </w:r>
      <w:r w:rsidRPr="00EF7D4E">
        <w:rPr>
          <w:rFonts w:ascii="Aptos" w:hAnsi="Aptos"/>
          <w:i/>
          <w:szCs w:val="22"/>
        </w:rPr>
        <w:t>Action Plan</w:t>
      </w:r>
      <w:r w:rsidR="648061BE" w:rsidRPr="00EF7D4E">
        <w:rPr>
          <w:rFonts w:ascii="Aptos" w:hAnsi="Aptos"/>
          <w:szCs w:val="22"/>
        </w:rPr>
        <w:t>,</w:t>
      </w:r>
      <w:r w:rsidRPr="00EF7D4E">
        <w:rPr>
          <w:rFonts w:ascii="Aptos" w:hAnsi="Aptos"/>
          <w:szCs w:val="22"/>
        </w:rPr>
        <w:t xml:space="preserve"> is to create higher education communities free from </w:t>
      </w:r>
      <w:r w:rsidR="00B7771B" w:rsidRPr="00EF7D4E">
        <w:rPr>
          <w:rFonts w:ascii="Aptos" w:hAnsi="Aptos"/>
          <w:szCs w:val="22"/>
        </w:rPr>
        <w:t>GBV</w:t>
      </w:r>
      <w:r w:rsidRPr="00EF7D4E">
        <w:rPr>
          <w:rFonts w:ascii="Aptos" w:hAnsi="Aptos"/>
          <w:szCs w:val="22"/>
        </w:rPr>
        <w:t>.</w:t>
      </w:r>
      <w:r w:rsidR="00317FAA">
        <w:rPr>
          <w:rFonts w:ascii="Aptos" w:hAnsi="Aptos"/>
          <w:szCs w:val="22"/>
        </w:rPr>
        <w:t xml:space="preserve"> </w:t>
      </w:r>
      <w:r w:rsidRPr="00EF7D4E">
        <w:rPr>
          <w:rFonts w:ascii="Aptos" w:hAnsi="Aptos"/>
          <w:szCs w:val="22"/>
        </w:rPr>
        <w:t xml:space="preserve">As outlined in Chapter 1, </w:t>
      </w:r>
      <w:r w:rsidR="008223FC" w:rsidRPr="00EF7D4E">
        <w:rPr>
          <w:rFonts w:ascii="Aptos" w:hAnsi="Aptos"/>
          <w:szCs w:val="22"/>
        </w:rPr>
        <w:t>GBV</w:t>
      </w:r>
      <w:r w:rsidRPr="00EF7D4E">
        <w:rPr>
          <w:rFonts w:ascii="Aptos" w:hAnsi="Aptos"/>
          <w:szCs w:val="22"/>
        </w:rPr>
        <w:t xml:space="preserve"> in higher education is a multifaceted issue with no single cause </w:t>
      </w:r>
      <w:r w:rsidR="0069387A" w:rsidRPr="00EF7D4E">
        <w:rPr>
          <w:rFonts w:ascii="Aptos" w:hAnsi="Aptos"/>
          <w:szCs w:val="22"/>
        </w:rPr>
        <w:t>or solution</w:t>
      </w:r>
      <w:r w:rsidRPr="00EF7D4E">
        <w:rPr>
          <w:rFonts w:ascii="Aptos" w:hAnsi="Aptos"/>
          <w:szCs w:val="22"/>
        </w:rPr>
        <w:t>. Therefore, any effective policy response must be multi-layered, cross-sectoral, and embedded across institutional systems. The objectives below are aligned with the </w:t>
      </w:r>
      <w:r w:rsidRPr="00EF7D4E">
        <w:rPr>
          <w:rFonts w:ascii="Aptos" w:hAnsi="Aptos"/>
          <w:i/>
          <w:iCs/>
          <w:szCs w:val="22"/>
        </w:rPr>
        <w:t>National Plan to End Violence Against Women and Children 2022–2032</w:t>
      </w:r>
      <w:r w:rsidRPr="00EF7D4E">
        <w:rPr>
          <w:rFonts w:ascii="Aptos" w:hAnsi="Aptos"/>
          <w:szCs w:val="22"/>
        </w:rPr>
        <w:t> and respond directly to the core policy problems identified in Chapter 1.</w:t>
      </w:r>
    </w:p>
    <w:p w14:paraId="26189DA6" w14:textId="327C359C" w:rsidR="00B832BF" w:rsidRPr="00EF7D4E" w:rsidRDefault="00F378A3" w:rsidP="00F378A3">
      <w:pPr>
        <w:spacing w:before="120" w:after="120" w:line="240" w:lineRule="auto"/>
        <w:rPr>
          <w:rFonts w:ascii="Aptos" w:hAnsi="Aptos"/>
          <w:szCs w:val="22"/>
        </w:rPr>
      </w:pPr>
      <w:r w:rsidRPr="00EF7D4E">
        <w:rPr>
          <w:rFonts w:ascii="Aptos" w:hAnsi="Aptos"/>
          <w:szCs w:val="22"/>
        </w:rPr>
        <w:lastRenderedPageBreak/>
        <w:t>The below table illustrates key objectives of policy intervention:</w:t>
      </w:r>
    </w:p>
    <w:tbl>
      <w:tblPr>
        <w:tblStyle w:val="GridTable4-Accent1"/>
        <w:tblW w:w="8931" w:type="dxa"/>
        <w:tblInd w:w="-5" w:type="dxa"/>
        <w:tblLook w:val="04A0" w:firstRow="1" w:lastRow="0" w:firstColumn="1" w:lastColumn="0" w:noHBand="0" w:noVBand="1"/>
      </w:tblPr>
      <w:tblGrid>
        <w:gridCol w:w="4536"/>
        <w:gridCol w:w="4395"/>
      </w:tblGrid>
      <w:tr w:rsidR="004D773D" w:rsidRPr="00EF7D4E" w14:paraId="2B514205" w14:textId="1C141109" w:rsidTr="00E33CED">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4536" w:type="dxa"/>
          </w:tcPr>
          <w:p w14:paraId="57BFA50F" w14:textId="77777777" w:rsidR="00E33CED" w:rsidRPr="00EF7D4E" w:rsidRDefault="00E33CED">
            <w:pPr>
              <w:spacing w:before="120" w:after="120"/>
              <w:rPr>
                <w:rFonts w:ascii="Aptos" w:hAnsi="Aptos" w:cs="Calibri"/>
              </w:rPr>
            </w:pPr>
            <w:r w:rsidRPr="00EF7D4E">
              <w:rPr>
                <w:rFonts w:ascii="Aptos" w:hAnsi="Aptos" w:cs="Calibri"/>
              </w:rPr>
              <w:t>Key policy problem</w:t>
            </w:r>
          </w:p>
        </w:tc>
        <w:tc>
          <w:tcPr>
            <w:tcW w:w="4395" w:type="dxa"/>
          </w:tcPr>
          <w:p w14:paraId="6E2C0F3B" w14:textId="77777777" w:rsidR="00E33CED" w:rsidRPr="00EF7D4E" w:rsidRDefault="00E33CED">
            <w:pPr>
              <w:spacing w:before="120" w:after="120"/>
              <w:cnfStyle w:val="100000000000" w:firstRow="1" w:lastRow="0" w:firstColumn="0" w:lastColumn="0" w:oddVBand="0" w:evenVBand="0" w:oddHBand="0" w:evenHBand="0" w:firstRowFirstColumn="0" w:firstRowLastColumn="0" w:lastRowFirstColumn="0" w:lastRowLastColumn="0"/>
              <w:rPr>
                <w:rFonts w:ascii="Aptos" w:hAnsi="Aptos" w:cs="Calibri"/>
                <w:b w:val="0"/>
                <w:bCs w:val="0"/>
              </w:rPr>
            </w:pPr>
            <w:r w:rsidRPr="00EF7D4E">
              <w:rPr>
                <w:rFonts w:ascii="Aptos" w:hAnsi="Aptos" w:cs="Calibri"/>
              </w:rPr>
              <w:t xml:space="preserve">Overarching objectives </w:t>
            </w:r>
          </w:p>
        </w:tc>
      </w:tr>
      <w:tr w:rsidR="004D773D" w:rsidRPr="00EF7D4E" w14:paraId="5E240177" w14:textId="36A9592E" w:rsidTr="00E33CED">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4536" w:type="dxa"/>
          </w:tcPr>
          <w:p w14:paraId="675E8FC2" w14:textId="2F5CBBC7" w:rsidR="00E33CED" w:rsidRPr="00EF7D4E" w:rsidRDefault="00E33CED">
            <w:pPr>
              <w:spacing w:before="120" w:after="120"/>
              <w:rPr>
                <w:rFonts w:ascii="Aptos" w:hAnsi="Aptos" w:cs="Calibri"/>
                <w:b w:val="0"/>
                <w:bCs w:val="0"/>
              </w:rPr>
            </w:pPr>
            <w:r w:rsidRPr="00EF7D4E">
              <w:rPr>
                <w:rFonts w:ascii="Aptos" w:hAnsi="Aptos" w:cs="Calibri"/>
                <w:b w:val="0"/>
                <w:bCs w:val="0"/>
              </w:rPr>
              <w:t>GBV in higher education, including student accommodation, is prevalent and underreported, and inadequately addressed</w:t>
            </w:r>
          </w:p>
        </w:tc>
        <w:tc>
          <w:tcPr>
            <w:tcW w:w="4395" w:type="dxa"/>
          </w:tcPr>
          <w:p w14:paraId="31BDEC6E" w14:textId="1AFE65A8" w:rsidR="00E33CED" w:rsidRPr="00EF7D4E" w:rsidRDefault="00E33CED">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sidRPr="00EF7D4E">
              <w:rPr>
                <w:rFonts w:ascii="Aptos" w:hAnsi="Aptos" w:cs="Calibri"/>
              </w:rPr>
              <w:t>Reduce the incidence of GBV in higher education and strengthen systems to enhance safety for students and staff</w:t>
            </w:r>
          </w:p>
        </w:tc>
      </w:tr>
      <w:tr w:rsidR="00E33CED" w:rsidRPr="00EF7D4E" w14:paraId="53C47066" w14:textId="3E1EB44E" w:rsidTr="006676C8">
        <w:trPr>
          <w:trHeight w:val="934"/>
        </w:trPr>
        <w:tc>
          <w:tcPr>
            <w:cnfStyle w:val="001000000000" w:firstRow="0" w:lastRow="0" w:firstColumn="1" w:lastColumn="0" w:oddVBand="0" w:evenVBand="0" w:oddHBand="0" w:evenHBand="0" w:firstRowFirstColumn="0" w:firstRowLastColumn="0" w:lastRowFirstColumn="0" w:lastRowLastColumn="0"/>
            <w:tcW w:w="4536" w:type="dxa"/>
          </w:tcPr>
          <w:p w14:paraId="26591357" w14:textId="73A7C2F3" w:rsidR="00E33CED" w:rsidRPr="00EF7D4E" w:rsidRDefault="00E33CED">
            <w:pPr>
              <w:spacing w:before="120" w:after="120"/>
              <w:rPr>
                <w:rFonts w:ascii="Aptos" w:hAnsi="Aptos" w:cs="Calibri"/>
                <w:b w:val="0"/>
                <w:bCs w:val="0"/>
              </w:rPr>
            </w:pPr>
            <w:r w:rsidRPr="00EF7D4E">
              <w:rPr>
                <w:rFonts w:ascii="Aptos" w:hAnsi="Aptos" w:cs="Calibri"/>
                <w:b w:val="0"/>
                <w:bCs w:val="0"/>
              </w:rPr>
              <w:t>GBV has detrimental impacts on student and staff health, wellbeing, educational attainment and career progression</w:t>
            </w:r>
          </w:p>
        </w:tc>
        <w:tc>
          <w:tcPr>
            <w:tcW w:w="4395" w:type="dxa"/>
          </w:tcPr>
          <w:p w14:paraId="4247B3AB" w14:textId="1273B4EB" w:rsidR="00E33CED" w:rsidRPr="00EF7D4E" w:rsidRDefault="00E33CED">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sidRPr="00EF7D4E">
              <w:rPr>
                <w:rFonts w:ascii="Aptos" w:hAnsi="Aptos" w:cs="Calibri"/>
              </w:rPr>
              <w:t>Minimise the impact that GBV has on victim-survivors through trauma-informed and person-centred responses</w:t>
            </w:r>
            <w:r>
              <w:rPr>
                <w:rFonts w:ascii="Aptos" w:hAnsi="Aptos" w:cs="Calibri"/>
              </w:rPr>
              <w:t xml:space="preserve"> (see definitions in glossary)</w:t>
            </w:r>
          </w:p>
        </w:tc>
      </w:tr>
      <w:tr w:rsidR="004D773D" w:rsidRPr="00EF7D4E" w14:paraId="77A4B397" w14:textId="6F7A3081" w:rsidTr="00E33CED">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4536" w:type="dxa"/>
          </w:tcPr>
          <w:p w14:paraId="3218EB9F" w14:textId="18538994" w:rsidR="00E33CED" w:rsidRPr="00EF7D4E" w:rsidRDefault="00E33CED">
            <w:pPr>
              <w:spacing w:before="120" w:after="120"/>
              <w:rPr>
                <w:rFonts w:ascii="Aptos" w:hAnsi="Aptos" w:cs="Calibri"/>
                <w:b w:val="0"/>
                <w:bCs w:val="0"/>
              </w:rPr>
            </w:pPr>
            <w:r w:rsidRPr="00EF7D4E">
              <w:rPr>
                <w:rFonts w:ascii="Aptos" w:hAnsi="Aptos" w:cs="Calibri"/>
                <w:b w:val="0"/>
                <w:bCs w:val="0"/>
              </w:rPr>
              <w:t xml:space="preserve">GBV in higher education disproportionately impacts women and girls experiencing intersecting forms of </w:t>
            </w:r>
            <w:r>
              <w:rPr>
                <w:rFonts w:ascii="Aptos" w:hAnsi="Aptos" w:cs="Calibri"/>
                <w:b w:val="0"/>
                <w:bCs w:val="0"/>
              </w:rPr>
              <w:t xml:space="preserve">structural inequalities and discrimination </w:t>
            </w:r>
          </w:p>
        </w:tc>
        <w:tc>
          <w:tcPr>
            <w:tcW w:w="4395" w:type="dxa"/>
          </w:tcPr>
          <w:p w14:paraId="01140231" w14:textId="4A9843A3" w:rsidR="00E33CED" w:rsidRPr="00EF7D4E" w:rsidRDefault="00E33CED">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sidRPr="00EF7D4E">
              <w:rPr>
                <w:rFonts w:ascii="Aptos" w:hAnsi="Aptos" w:cs="Calibri"/>
              </w:rPr>
              <w:t xml:space="preserve">Address the </w:t>
            </w:r>
            <w:r w:rsidRPr="00EF7D4E" w:rsidDel="0CA7D479">
              <w:rPr>
                <w:rFonts w:ascii="Aptos" w:hAnsi="Aptos" w:cs="Calibri"/>
              </w:rPr>
              <w:t>compound</w:t>
            </w:r>
            <w:r>
              <w:rPr>
                <w:rFonts w:ascii="Aptos" w:hAnsi="Aptos" w:cs="Calibri"/>
              </w:rPr>
              <w:t xml:space="preserve">ing </w:t>
            </w:r>
            <w:r w:rsidRPr="00402ED3">
              <w:rPr>
                <w:rFonts w:ascii="Aptos" w:hAnsi="Aptos" w:cs="Calibri"/>
              </w:rPr>
              <w:t xml:space="preserve">structural inequalities and discrimination </w:t>
            </w:r>
            <w:r w:rsidRPr="00EF7D4E">
              <w:rPr>
                <w:rFonts w:ascii="Aptos" w:hAnsi="Aptos" w:cs="Calibri"/>
              </w:rPr>
              <w:t xml:space="preserve">groups to ensure prevention and response is inclusive and culturally safe/appropriate </w:t>
            </w:r>
          </w:p>
        </w:tc>
      </w:tr>
      <w:tr w:rsidR="00E33CED" w:rsidRPr="00EF7D4E" w14:paraId="4B6A4A38" w14:textId="4C99C704" w:rsidTr="006676C8">
        <w:trPr>
          <w:trHeight w:val="1181"/>
        </w:trPr>
        <w:tc>
          <w:tcPr>
            <w:cnfStyle w:val="001000000000" w:firstRow="0" w:lastRow="0" w:firstColumn="1" w:lastColumn="0" w:oddVBand="0" w:evenVBand="0" w:oddHBand="0" w:evenHBand="0" w:firstRowFirstColumn="0" w:firstRowLastColumn="0" w:lastRowFirstColumn="0" w:lastRowLastColumn="0"/>
            <w:tcW w:w="4536" w:type="dxa"/>
          </w:tcPr>
          <w:p w14:paraId="048AA4FE" w14:textId="7F04E1CC" w:rsidR="00E33CED" w:rsidRPr="00EF7D4E" w:rsidRDefault="00E33CED">
            <w:pPr>
              <w:spacing w:before="120" w:after="120"/>
              <w:rPr>
                <w:rFonts w:ascii="Aptos" w:hAnsi="Aptos" w:cs="Calibri"/>
                <w:b w:val="0"/>
                <w:bCs w:val="0"/>
              </w:rPr>
            </w:pPr>
            <w:r w:rsidRPr="00EF7D4E">
              <w:rPr>
                <w:rFonts w:ascii="Aptos" w:hAnsi="Aptos" w:cs="Calibri"/>
                <w:b w:val="0"/>
                <w:bCs w:val="0"/>
              </w:rPr>
              <w:t xml:space="preserve">Previous measures to address GBV in higher education have been inconsistent, fragmented, reactive and under-resourced, failing to drive lasting change </w:t>
            </w:r>
          </w:p>
        </w:tc>
        <w:tc>
          <w:tcPr>
            <w:tcW w:w="4395" w:type="dxa"/>
          </w:tcPr>
          <w:p w14:paraId="55E849F6" w14:textId="17316808" w:rsidR="00E33CED" w:rsidRPr="00EF7D4E" w:rsidRDefault="00E33CED">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sidRPr="00EF7D4E">
              <w:rPr>
                <w:rFonts w:ascii="Aptos" w:hAnsi="Aptos" w:cs="Calibri"/>
              </w:rPr>
              <w:t xml:space="preserve">Ensure providers implement whole-of-organisation approach to ensure response to GBV is coordinated, systemic and resourced. </w:t>
            </w:r>
          </w:p>
        </w:tc>
      </w:tr>
      <w:tr w:rsidR="004D773D" w:rsidRPr="00EF7D4E" w14:paraId="52B7668D" w14:textId="62889662" w:rsidTr="00E33CED">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4536" w:type="dxa"/>
          </w:tcPr>
          <w:p w14:paraId="47AE16BE" w14:textId="47F58ABB" w:rsidR="00E33CED" w:rsidRPr="00EF7D4E" w:rsidRDefault="00E33CED">
            <w:pPr>
              <w:spacing w:before="120" w:after="120"/>
              <w:rPr>
                <w:rFonts w:ascii="Aptos" w:hAnsi="Aptos" w:cs="Calibri"/>
                <w:b w:val="0"/>
                <w:bCs w:val="0"/>
              </w:rPr>
            </w:pPr>
            <w:r w:rsidRPr="00EF7D4E">
              <w:rPr>
                <w:rFonts w:ascii="Aptos" w:hAnsi="Aptos" w:cs="Calibri"/>
                <w:b w:val="0"/>
                <w:bCs w:val="0"/>
              </w:rPr>
              <w:t>Insufficient data availability hinders comprehensive understanding of GBV in higher education and limits the ability to hold service providers accountable</w:t>
            </w:r>
          </w:p>
        </w:tc>
        <w:tc>
          <w:tcPr>
            <w:tcW w:w="4395" w:type="dxa"/>
          </w:tcPr>
          <w:p w14:paraId="7CAB4D0A" w14:textId="77777777" w:rsidR="00E33CED" w:rsidRPr="00EF7D4E" w:rsidRDefault="00E33CED">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sidRPr="00EF7D4E">
              <w:rPr>
                <w:rFonts w:ascii="Aptos" w:hAnsi="Aptos" w:cs="Calibri"/>
              </w:rPr>
              <w:t xml:space="preserve">Strengthen data collection to inform evidence-based responses and ensure accountability </w:t>
            </w:r>
          </w:p>
        </w:tc>
      </w:tr>
      <w:tr w:rsidR="00E33CED" w:rsidRPr="00EF7D4E" w14:paraId="3415C032" w14:textId="147E0868" w:rsidTr="00DB24E7">
        <w:trPr>
          <w:trHeight w:val="1022"/>
        </w:trPr>
        <w:tc>
          <w:tcPr>
            <w:cnfStyle w:val="001000000000" w:firstRow="0" w:lastRow="0" w:firstColumn="1" w:lastColumn="0" w:oddVBand="0" w:evenVBand="0" w:oddHBand="0" w:evenHBand="0" w:firstRowFirstColumn="0" w:firstRowLastColumn="0" w:lastRowFirstColumn="0" w:lastRowLastColumn="0"/>
            <w:tcW w:w="0" w:type="dxa"/>
          </w:tcPr>
          <w:p w14:paraId="60E61B0B" w14:textId="444D972F" w:rsidR="00E33CED" w:rsidRPr="00EF7D4E" w:rsidRDefault="00E33CED">
            <w:pPr>
              <w:spacing w:before="120" w:after="120"/>
              <w:rPr>
                <w:rFonts w:ascii="Aptos" w:hAnsi="Aptos" w:cs="Calibri"/>
                <w:b w:val="0"/>
                <w:bCs w:val="0"/>
              </w:rPr>
            </w:pPr>
            <w:r w:rsidRPr="00EF7D4E">
              <w:rPr>
                <w:rFonts w:ascii="Aptos" w:hAnsi="Aptos" w:cs="Calibri"/>
                <w:b w:val="0"/>
                <w:bCs w:val="0"/>
              </w:rPr>
              <w:t>The current regulatory framework is limited in addressing GBV in higher education, posing an ongoing risk to student and staff safety</w:t>
            </w:r>
          </w:p>
        </w:tc>
        <w:tc>
          <w:tcPr>
            <w:tcW w:w="0" w:type="dxa"/>
          </w:tcPr>
          <w:p w14:paraId="76A85D71" w14:textId="7618B7A7" w:rsidR="00E33CED" w:rsidRPr="00EF7D4E" w:rsidRDefault="00E33CED">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sidRPr="00EF7D4E">
              <w:rPr>
                <w:rFonts w:ascii="Aptos" w:hAnsi="Aptos" w:cs="Calibri"/>
              </w:rPr>
              <w:t xml:space="preserve">Strengthen the regulatory framework to ensure consistent standards for preventing and responding to GBV in the higher education sector. </w:t>
            </w:r>
          </w:p>
        </w:tc>
      </w:tr>
    </w:tbl>
    <w:p w14:paraId="27020105" w14:textId="77777777" w:rsidR="001476A5" w:rsidRDefault="001476A5" w:rsidP="00D96579">
      <w:pPr>
        <w:spacing w:line="256" w:lineRule="auto"/>
        <w:jc w:val="both"/>
        <w:rPr>
          <w:rFonts w:ascii="Aptos" w:eastAsia="Aptos" w:hAnsi="Aptos" w:cs="Aptos"/>
        </w:rPr>
      </w:pPr>
    </w:p>
    <w:p w14:paraId="49343538" w14:textId="5A1A25F9" w:rsidR="001476A5" w:rsidRDefault="001476A5" w:rsidP="001476A5">
      <w:pPr>
        <w:pStyle w:val="Heading3"/>
        <w:rPr>
          <w:rFonts w:eastAsia="Aptos"/>
        </w:rPr>
      </w:pPr>
      <w:bookmarkStart w:id="74" w:name="_Toc204682605"/>
      <w:bookmarkStart w:id="75" w:name="_Toc204699860"/>
      <w:bookmarkStart w:id="76" w:name="_Toc204763308"/>
      <w:bookmarkStart w:id="77" w:name="_Toc204764876"/>
      <w:bookmarkStart w:id="78" w:name="_Toc205216888"/>
      <w:r>
        <w:rPr>
          <w:rFonts w:eastAsia="Aptos"/>
        </w:rPr>
        <w:t>Success measures</w:t>
      </w:r>
      <w:bookmarkEnd w:id="74"/>
      <w:bookmarkEnd w:id="75"/>
      <w:bookmarkEnd w:id="76"/>
      <w:bookmarkEnd w:id="77"/>
      <w:bookmarkEnd w:id="78"/>
    </w:p>
    <w:p w14:paraId="018F8FF6" w14:textId="07CCB556" w:rsidR="00D96579" w:rsidRPr="00541F45" w:rsidRDefault="00D96579" w:rsidP="00A62856">
      <w:pPr>
        <w:spacing w:line="256" w:lineRule="auto"/>
        <w:rPr>
          <w:rFonts w:ascii="Aptos" w:eastAsia="Aptos" w:hAnsi="Aptos" w:cs="Aptos"/>
          <w:spacing w:val="-4"/>
          <w:szCs w:val="22"/>
        </w:rPr>
      </w:pPr>
      <w:r w:rsidRPr="00541F45">
        <w:rPr>
          <w:rFonts w:ascii="Aptos" w:eastAsia="Aptos" w:hAnsi="Aptos" w:cs="Aptos"/>
          <w:spacing w:val="-4"/>
          <w:szCs w:val="22"/>
        </w:rPr>
        <w:t xml:space="preserve">The National Plan recognises that measuring progress in addressing </w:t>
      </w:r>
      <w:r w:rsidR="003F30E2" w:rsidRPr="00541F45">
        <w:rPr>
          <w:rFonts w:ascii="Aptos" w:eastAsia="Aptos" w:hAnsi="Aptos" w:cs="Aptos"/>
          <w:spacing w:val="-4"/>
          <w:szCs w:val="22"/>
        </w:rPr>
        <w:t>GBV requires</w:t>
      </w:r>
      <w:r w:rsidRPr="00541F45">
        <w:rPr>
          <w:rFonts w:ascii="Aptos" w:eastAsia="Aptos" w:hAnsi="Aptos" w:cs="Aptos"/>
          <w:spacing w:val="-4"/>
          <w:szCs w:val="22"/>
        </w:rPr>
        <w:t xml:space="preserve"> more than tracking changes in prevalence.</w:t>
      </w:r>
      <w:r w:rsidR="000A1C67" w:rsidRPr="00541F45">
        <w:rPr>
          <w:rFonts w:ascii="Aptos" w:eastAsia="Aptos" w:hAnsi="Aptos" w:cs="Aptos"/>
          <w:spacing w:val="-4"/>
          <w:szCs w:val="22"/>
        </w:rPr>
        <w:t xml:space="preserve"> </w:t>
      </w:r>
      <w:r w:rsidRPr="00541F45">
        <w:rPr>
          <w:rFonts w:ascii="Aptos" w:eastAsia="Aptos" w:hAnsi="Aptos" w:cs="Aptos"/>
          <w:spacing w:val="-4"/>
          <w:szCs w:val="22"/>
        </w:rPr>
        <w:t xml:space="preserve">Cultural and institutional change is complex, non-linear, and influenced by a range of interdependent factors. </w:t>
      </w:r>
      <w:r w:rsidR="000501C8" w:rsidRPr="00541F45">
        <w:rPr>
          <w:rFonts w:ascii="Aptos" w:eastAsia="Aptos" w:hAnsi="Aptos" w:cs="Aptos"/>
          <w:spacing w:val="-4"/>
          <w:szCs w:val="22"/>
        </w:rPr>
        <w:t>T</w:t>
      </w:r>
      <w:r w:rsidRPr="00541F45">
        <w:rPr>
          <w:rFonts w:ascii="Aptos" w:eastAsia="Aptos" w:hAnsi="Aptos" w:cs="Aptos"/>
          <w:spacing w:val="-4"/>
          <w:szCs w:val="22"/>
        </w:rPr>
        <w:t xml:space="preserve">raditional </w:t>
      </w:r>
      <w:r w:rsidR="00520770" w:rsidRPr="00541F45">
        <w:rPr>
          <w:rFonts w:ascii="Aptos" w:eastAsia="Aptos" w:hAnsi="Aptos" w:cs="Aptos"/>
          <w:spacing w:val="-4"/>
          <w:szCs w:val="22"/>
        </w:rPr>
        <w:t>methods of evaluation</w:t>
      </w:r>
      <w:r w:rsidR="004323F8" w:rsidRPr="00541F45">
        <w:rPr>
          <w:rFonts w:ascii="Aptos" w:eastAsia="Aptos" w:hAnsi="Aptos" w:cs="Aptos"/>
          <w:spacing w:val="-4"/>
          <w:szCs w:val="22"/>
        </w:rPr>
        <w:t xml:space="preserve"> </w:t>
      </w:r>
      <w:r w:rsidR="00726F17" w:rsidRPr="00541F45">
        <w:rPr>
          <w:rFonts w:ascii="Aptos" w:eastAsia="Aptos" w:hAnsi="Aptos" w:cs="Aptos"/>
          <w:spacing w:val="-4"/>
          <w:szCs w:val="22"/>
        </w:rPr>
        <w:t>relying</w:t>
      </w:r>
      <w:r w:rsidRPr="00541F45">
        <w:rPr>
          <w:rFonts w:ascii="Aptos" w:eastAsia="Aptos" w:hAnsi="Aptos" w:cs="Aptos"/>
          <w:spacing w:val="-4"/>
          <w:szCs w:val="22"/>
        </w:rPr>
        <w:t xml:space="preserve"> on attributing specific objectives to specific outcomes are not suited </w:t>
      </w:r>
      <w:r w:rsidR="00726F17" w:rsidRPr="00541F45">
        <w:rPr>
          <w:rFonts w:ascii="Aptos" w:eastAsia="Aptos" w:hAnsi="Aptos" w:cs="Aptos"/>
          <w:spacing w:val="-4"/>
          <w:szCs w:val="22"/>
        </w:rPr>
        <w:t>to</w:t>
      </w:r>
      <w:r w:rsidRPr="00541F45">
        <w:rPr>
          <w:rFonts w:ascii="Aptos" w:eastAsia="Aptos" w:hAnsi="Aptos" w:cs="Aptos"/>
          <w:spacing w:val="-4"/>
          <w:szCs w:val="22"/>
        </w:rPr>
        <w:t xml:space="preserve"> this context. Instead, success </w:t>
      </w:r>
      <w:r w:rsidR="004323F8" w:rsidRPr="00541F45">
        <w:rPr>
          <w:rFonts w:ascii="Aptos" w:eastAsia="Aptos" w:hAnsi="Aptos" w:cs="Aptos"/>
          <w:spacing w:val="-4"/>
          <w:szCs w:val="22"/>
        </w:rPr>
        <w:t>will</w:t>
      </w:r>
      <w:r w:rsidRPr="00541F45">
        <w:rPr>
          <w:rFonts w:ascii="Aptos" w:eastAsia="Aptos" w:hAnsi="Aptos" w:cs="Aptos"/>
          <w:spacing w:val="-4"/>
          <w:szCs w:val="22"/>
        </w:rPr>
        <w:t xml:space="preserve"> be measure</w:t>
      </w:r>
      <w:r w:rsidR="006357F6" w:rsidRPr="00541F45">
        <w:rPr>
          <w:rFonts w:ascii="Aptos" w:eastAsia="Aptos" w:hAnsi="Aptos" w:cs="Aptos"/>
          <w:spacing w:val="-4"/>
          <w:szCs w:val="22"/>
        </w:rPr>
        <w:t>d</w:t>
      </w:r>
      <w:r w:rsidRPr="00541F45">
        <w:rPr>
          <w:rFonts w:ascii="Aptos" w:eastAsia="Aptos" w:hAnsi="Aptos" w:cs="Aptos"/>
          <w:spacing w:val="-4"/>
          <w:szCs w:val="22"/>
        </w:rPr>
        <w:t xml:space="preserve"> through an </w:t>
      </w:r>
      <w:r w:rsidR="008C7973" w:rsidRPr="00541F45">
        <w:rPr>
          <w:rFonts w:ascii="Aptos" w:eastAsia="Aptos" w:hAnsi="Aptos" w:cs="Aptos"/>
          <w:spacing w:val="-4"/>
          <w:szCs w:val="22"/>
        </w:rPr>
        <w:t>ac</w:t>
      </w:r>
      <w:r w:rsidRPr="00541F45">
        <w:rPr>
          <w:rFonts w:ascii="Aptos" w:eastAsia="Aptos" w:hAnsi="Aptos" w:cs="Aptos"/>
          <w:spacing w:val="-4"/>
          <w:szCs w:val="22"/>
        </w:rPr>
        <w:t xml:space="preserve">cumulative impact of actions. As such, outcomes </w:t>
      </w:r>
      <w:r w:rsidR="004323F8" w:rsidRPr="00541F45">
        <w:rPr>
          <w:rFonts w:ascii="Aptos" w:eastAsia="Aptos" w:hAnsi="Aptos" w:cs="Aptos"/>
          <w:spacing w:val="-4"/>
          <w:szCs w:val="22"/>
        </w:rPr>
        <w:t>detailed</w:t>
      </w:r>
      <w:r w:rsidRPr="00541F45">
        <w:rPr>
          <w:rFonts w:ascii="Aptos" w:eastAsia="Aptos" w:hAnsi="Aptos" w:cs="Aptos"/>
          <w:spacing w:val="-4"/>
          <w:szCs w:val="22"/>
        </w:rPr>
        <w:t xml:space="preserve"> below are not mapped directly to individual objectives. To reflect the evolving nature of a policy aimed at driving cultural change, outcomes are framed across short, medium, and long-term </w:t>
      </w:r>
      <w:r w:rsidR="00474839" w:rsidRPr="00541F45">
        <w:rPr>
          <w:rFonts w:ascii="Aptos" w:eastAsia="Aptos" w:hAnsi="Aptos" w:cs="Aptos"/>
          <w:spacing w:val="-4"/>
          <w:szCs w:val="22"/>
        </w:rPr>
        <w:t>horizons</w:t>
      </w:r>
      <w:r w:rsidRPr="00541F45">
        <w:rPr>
          <w:rFonts w:ascii="Aptos" w:eastAsia="Aptos" w:hAnsi="Aptos" w:cs="Aptos"/>
          <w:spacing w:val="-4"/>
          <w:szCs w:val="22"/>
        </w:rPr>
        <w:t>, acknowledging that transformation occurs progressively and requires sustained, coordinated effort.</w:t>
      </w:r>
    </w:p>
    <w:p w14:paraId="7A189560" w14:textId="07E0F401" w:rsidR="00F175DC" w:rsidRPr="00E81F5A" w:rsidRDefault="00D96579" w:rsidP="00B606DF">
      <w:pPr>
        <w:spacing w:line="256" w:lineRule="auto"/>
        <w:rPr>
          <w:rFonts w:ascii="Aptos" w:eastAsia="Aptos" w:hAnsi="Aptos" w:cs="Aptos"/>
          <w:szCs w:val="22"/>
        </w:rPr>
      </w:pPr>
      <w:r w:rsidRPr="0078444C">
        <w:rPr>
          <w:rFonts w:ascii="Aptos" w:eastAsia="Aptos" w:hAnsi="Aptos" w:cs="Aptos"/>
          <w:b/>
          <w:szCs w:val="22"/>
        </w:rPr>
        <w:t>In the short term</w:t>
      </w:r>
      <w:r w:rsidR="00004C04" w:rsidRPr="0078444C">
        <w:rPr>
          <w:rFonts w:ascii="Aptos" w:eastAsia="Aptos" w:hAnsi="Aptos" w:cs="Aptos"/>
          <w:b/>
          <w:szCs w:val="22"/>
        </w:rPr>
        <w:t xml:space="preserve"> (0-</w:t>
      </w:r>
      <w:r w:rsidR="009A491B">
        <w:rPr>
          <w:rFonts w:ascii="Aptos" w:eastAsia="Aptos" w:hAnsi="Aptos" w:cs="Aptos"/>
          <w:b/>
          <w:bCs/>
          <w:szCs w:val="22"/>
        </w:rPr>
        <w:t>3</w:t>
      </w:r>
      <w:r w:rsidR="00004C04" w:rsidRPr="0078444C">
        <w:rPr>
          <w:rFonts w:ascii="Aptos" w:eastAsia="Aptos" w:hAnsi="Aptos" w:cs="Aptos"/>
          <w:b/>
          <w:szCs w:val="22"/>
        </w:rPr>
        <w:t xml:space="preserve"> years)</w:t>
      </w:r>
      <w:r w:rsidRPr="0078444C">
        <w:rPr>
          <w:rFonts w:ascii="Aptos" w:eastAsia="Aptos" w:hAnsi="Aptos" w:cs="Aptos"/>
          <w:b/>
          <w:szCs w:val="22"/>
        </w:rPr>
        <w:t>, the success of government intervention would be evidenced by:</w:t>
      </w:r>
    </w:p>
    <w:p w14:paraId="3C2F85CB" w14:textId="7DFDF92A" w:rsidR="00D96579" w:rsidRPr="00EF7D4E" w:rsidRDefault="00D96579" w:rsidP="00A62856">
      <w:pPr>
        <w:pStyle w:val="ListParagraph"/>
        <w:numPr>
          <w:ilvl w:val="0"/>
          <w:numId w:val="26"/>
        </w:numPr>
        <w:spacing w:line="259" w:lineRule="auto"/>
        <w:rPr>
          <w:rFonts w:ascii="Aptos" w:hAnsi="Aptos"/>
          <w:szCs w:val="22"/>
        </w:rPr>
      </w:pPr>
      <w:r w:rsidRPr="00EF7D4E">
        <w:rPr>
          <w:rFonts w:ascii="Aptos" w:hAnsi="Aptos"/>
          <w:szCs w:val="22"/>
        </w:rPr>
        <w:t xml:space="preserve">Increased awareness among students and staff of </w:t>
      </w:r>
      <w:r w:rsidR="008223FC" w:rsidRPr="00EF7D4E">
        <w:rPr>
          <w:rFonts w:ascii="Aptos" w:hAnsi="Aptos"/>
          <w:szCs w:val="22"/>
        </w:rPr>
        <w:t>GBV</w:t>
      </w:r>
      <w:r w:rsidRPr="00EF7D4E">
        <w:rPr>
          <w:rFonts w:ascii="Aptos" w:hAnsi="Aptos"/>
          <w:szCs w:val="22"/>
        </w:rPr>
        <w:t>, available support services and reporting pathways</w:t>
      </w:r>
    </w:p>
    <w:p w14:paraId="062C8D00" w14:textId="1DF21EEF" w:rsidR="00D96579" w:rsidRPr="00EF7D4E" w:rsidRDefault="00D96579" w:rsidP="00A62856">
      <w:pPr>
        <w:pStyle w:val="ListParagraph"/>
        <w:numPr>
          <w:ilvl w:val="0"/>
          <w:numId w:val="26"/>
        </w:numPr>
        <w:spacing w:line="259" w:lineRule="auto"/>
        <w:rPr>
          <w:rFonts w:ascii="Aptos" w:hAnsi="Aptos"/>
          <w:szCs w:val="22"/>
        </w:rPr>
      </w:pPr>
      <w:r w:rsidRPr="00EF7D4E">
        <w:rPr>
          <w:rFonts w:ascii="Aptos" w:hAnsi="Aptos"/>
          <w:szCs w:val="22"/>
        </w:rPr>
        <w:t xml:space="preserve">Increase in student and staff knowledge of what constitutes </w:t>
      </w:r>
      <w:r w:rsidR="00B7771B" w:rsidRPr="00EF7D4E">
        <w:rPr>
          <w:rFonts w:ascii="Aptos" w:hAnsi="Aptos"/>
          <w:szCs w:val="22"/>
        </w:rPr>
        <w:t>GBV</w:t>
      </w:r>
      <w:r w:rsidRPr="00EF7D4E">
        <w:rPr>
          <w:rFonts w:ascii="Aptos" w:hAnsi="Aptos"/>
          <w:szCs w:val="22"/>
        </w:rPr>
        <w:t xml:space="preserve">, how to do trauma-informed practice </w:t>
      </w:r>
    </w:p>
    <w:p w14:paraId="7629DAB7" w14:textId="77777777" w:rsidR="00D96579" w:rsidRPr="00EF7D4E" w:rsidRDefault="00D96579" w:rsidP="00A62856">
      <w:pPr>
        <w:pStyle w:val="ListParagraph"/>
        <w:numPr>
          <w:ilvl w:val="0"/>
          <w:numId w:val="26"/>
        </w:numPr>
        <w:spacing w:line="259" w:lineRule="auto"/>
        <w:rPr>
          <w:rFonts w:ascii="Aptos" w:hAnsi="Aptos"/>
          <w:szCs w:val="22"/>
        </w:rPr>
      </w:pPr>
      <w:r w:rsidRPr="00EF7D4E">
        <w:rPr>
          <w:rFonts w:ascii="Aptos" w:hAnsi="Aptos"/>
          <w:szCs w:val="22"/>
        </w:rPr>
        <w:t>Improved institutional readiness to respond to disclosures and reports</w:t>
      </w:r>
    </w:p>
    <w:p w14:paraId="3EB894A5" w14:textId="77777777" w:rsidR="00D96579" w:rsidRPr="00EF7D4E" w:rsidRDefault="00D96579" w:rsidP="00A62856">
      <w:pPr>
        <w:pStyle w:val="ListParagraph"/>
        <w:numPr>
          <w:ilvl w:val="0"/>
          <w:numId w:val="26"/>
        </w:numPr>
        <w:spacing w:line="259" w:lineRule="auto"/>
        <w:rPr>
          <w:rFonts w:ascii="Aptos" w:hAnsi="Aptos"/>
          <w:szCs w:val="22"/>
        </w:rPr>
      </w:pPr>
      <w:r w:rsidRPr="00EF7D4E">
        <w:rPr>
          <w:rFonts w:ascii="Aptos" w:hAnsi="Aptos"/>
          <w:szCs w:val="22"/>
        </w:rPr>
        <w:lastRenderedPageBreak/>
        <w:t>Increase in HEPs embedding quality, evidence-based education and training to build capacity and understanding</w:t>
      </w:r>
    </w:p>
    <w:p w14:paraId="4A2B42A6" w14:textId="77777777" w:rsidR="00D96579" w:rsidRPr="00EF7D4E" w:rsidRDefault="00D96579" w:rsidP="00A62856">
      <w:pPr>
        <w:pStyle w:val="ListParagraph"/>
        <w:numPr>
          <w:ilvl w:val="0"/>
          <w:numId w:val="26"/>
        </w:numPr>
        <w:spacing w:line="259" w:lineRule="auto"/>
        <w:rPr>
          <w:rFonts w:ascii="Aptos" w:hAnsi="Aptos"/>
          <w:szCs w:val="22"/>
        </w:rPr>
      </w:pPr>
      <w:r w:rsidRPr="00EF7D4E">
        <w:rPr>
          <w:rFonts w:ascii="Aptos" w:hAnsi="Aptos"/>
          <w:szCs w:val="22"/>
        </w:rPr>
        <w:t>Greater alignment across the sector on prevention and response practice</w:t>
      </w:r>
    </w:p>
    <w:p w14:paraId="78A8C9CB" w14:textId="77777777" w:rsidR="00D96579" w:rsidRPr="00EF7D4E" w:rsidRDefault="00D96579" w:rsidP="00A62856">
      <w:pPr>
        <w:pStyle w:val="ListParagraph"/>
        <w:numPr>
          <w:ilvl w:val="0"/>
          <w:numId w:val="26"/>
        </w:numPr>
        <w:spacing w:line="259" w:lineRule="auto"/>
        <w:rPr>
          <w:rFonts w:ascii="Aptos" w:hAnsi="Aptos"/>
          <w:szCs w:val="22"/>
        </w:rPr>
      </w:pPr>
      <w:r w:rsidRPr="00EF7D4E">
        <w:rPr>
          <w:rFonts w:ascii="Aptos" w:hAnsi="Aptos"/>
          <w:szCs w:val="22"/>
        </w:rPr>
        <w:t xml:space="preserve">Consistent data collection mechanisms established across the sector to inform evaluation and monitoring </w:t>
      </w:r>
    </w:p>
    <w:p w14:paraId="7E527BBC" w14:textId="0A75AC52" w:rsidR="00D96579" w:rsidRPr="00EF7D4E" w:rsidRDefault="00D96579" w:rsidP="00A62856">
      <w:pPr>
        <w:pStyle w:val="ListParagraph"/>
        <w:numPr>
          <w:ilvl w:val="0"/>
          <w:numId w:val="26"/>
        </w:numPr>
        <w:spacing w:line="259" w:lineRule="auto"/>
        <w:rPr>
          <w:rFonts w:ascii="Aptos" w:hAnsi="Aptos"/>
          <w:szCs w:val="22"/>
        </w:rPr>
      </w:pPr>
      <w:r w:rsidRPr="00EF7D4E">
        <w:rPr>
          <w:rFonts w:ascii="Aptos" w:hAnsi="Aptos"/>
          <w:szCs w:val="22"/>
        </w:rPr>
        <w:t>Visible commitment from organisation leadership to drive change</w:t>
      </w:r>
      <w:r w:rsidR="00447BAB">
        <w:rPr>
          <w:rFonts w:ascii="Aptos" w:hAnsi="Aptos"/>
          <w:szCs w:val="22"/>
        </w:rPr>
        <w:t>.</w:t>
      </w:r>
    </w:p>
    <w:p w14:paraId="3D61D967" w14:textId="2215E21C" w:rsidR="00D96579" w:rsidRPr="00EF7D4E" w:rsidRDefault="00D96579" w:rsidP="00A62856">
      <w:pPr>
        <w:rPr>
          <w:rFonts w:ascii="Aptos" w:hAnsi="Aptos"/>
          <w:b/>
          <w:bCs/>
          <w:szCs w:val="22"/>
        </w:rPr>
      </w:pPr>
      <w:r w:rsidRPr="00EF7D4E">
        <w:rPr>
          <w:rFonts w:ascii="Aptos" w:hAnsi="Aptos"/>
          <w:b/>
          <w:bCs/>
          <w:szCs w:val="22"/>
        </w:rPr>
        <w:t xml:space="preserve">Medium-term </w:t>
      </w:r>
      <w:r w:rsidR="009A491B">
        <w:rPr>
          <w:rFonts w:ascii="Aptos" w:hAnsi="Aptos"/>
          <w:b/>
          <w:bCs/>
          <w:szCs w:val="22"/>
        </w:rPr>
        <w:t>(3-</w:t>
      </w:r>
      <w:r w:rsidR="007F1DC7">
        <w:rPr>
          <w:rFonts w:ascii="Aptos" w:hAnsi="Aptos"/>
          <w:b/>
          <w:bCs/>
          <w:szCs w:val="22"/>
        </w:rPr>
        <w:t>8</w:t>
      </w:r>
      <w:r w:rsidR="009A491B">
        <w:rPr>
          <w:rFonts w:ascii="Aptos" w:hAnsi="Aptos"/>
          <w:b/>
          <w:bCs/>
          <w:szCs w:val="22"/>
        </w:rPr>
        <w:t xml:space="preserve"> years), </w:t>
      </w:r>
      <w:r w:rsidRPr="00EF7D4E">
        <w:rPr>
          <w:rFonts w:ascii="Aptos" w:hAnsi="Aptos"/>
          <w:b/>
          <w:bCs/>
          <w:szCs w:val="22"/>
        </w:rPr>
        <w:t xml:space="preserve">success will be evidenced by: </w:t>
      </w:r>
    </w:p>
    <w:p w14:paraId="6DDE12DE" w14:textId="573EDEBC" w:rsidR="00D96579" w:rsidRPr="00EF7D4E" w:rsidRDefault="00D96579" w:rsidP="00A62856">
      <w:pPr>
        <w:pStyle w:val="ListParagraph"/>
        <w:numPr>
          <w:ilvl w:val="0"/>
          <w:numId w:val="27"/>
        </w:numPr>
        <w:spacing w:line="259" w:lineRule="auto"/>
        <w:rPr>
          <w:rFonts w:ascii="Aptos" w:hAnsi="Aptos"/>
          <w:szCs w:val="22"/>
        </w:rPr>
      </w:pPr>
      <w:r w:rsidRPr="00EF7D4E">
        <w:rPr>
          <w:rFonts w:ascii="Aptos" w:hAnsi="Aptos"/>
          <w:szCs w:val="22"/>
        </w:rPr>
        <w:t xml:space="preserve">Increase in student and staff disclosures and reports of </w:t>
      </w:r>
      <w:r w:rsidR="00B7771B" w:rsidRPr="00EF7D4E">
        <w:rPr>
          <w:rFonts w:ascii="Aptos" w:hAnsi="Aptos"/>
          <w:szCs w:val="22"/>
        </w:rPr>
        <w:t>GBV</w:t>
      </w:r>
      <w:r w:rsidRPr="00EF7D4E">
        <w:rPr>
          <w:rFonts w:ascii="Aptos" w:hAnsi="Aptos"/>
          <w:szCs w:val="22"/>
        </w:rPr>
        <w:t>. reflecting improved trust in systems</w:t>
      </w:r>
    </w:p>
    <w:p w14:paraId="7B86AF4D" w14:textId="77777777" w:rsidR="00D96579" w:rsidRPr="00EF7D4E" w:rsidRDefault="00D96579" w:rsidP="00A62856">
      <w:pPr>
        <w:pStyle w:val="ListParagraph"/>
        <w:numPr>
          <w:ilvl w:val="0"/>
          <w:numId w:val="27"/>
        </w:numPr>
        <w:spacing w:line="259" w:lineRule="auto"/>
        <w:rPr>
          <w:rFonts w:ascii="Aptos" w:hAnsi="Aptos"/>
          <w:szCs w:val="22"/>
        </w:rPr>
      </w:pPr>
      <w:r w:rsidRPr="00EF7D4E">
        <w:rPr>
          <w:rFonts w:ascii="Aptos" w:hAnsi="Aptos"/>
          <w:szCs w:val="22"/>
        </w:rPr>
        <w:t>Enhanced satisfaction with support services and complaints processes across students and staff populations</w:t>
      </w:r>
    </w:p>
    <w:p w14:paraId="79002976" w14:textId="689CD05D" w:rsidR="00D96579" w:rsidRPr="00EF7D4E" w:rsidRDefault="00D96579" w:rsidP="00A62856">
      <w:pPr>
        <w:pStyle w:val="ListParagraph"/>
        <w:numPr>
          <w:ilvl w:val="0"/>
          <w:numId w:val="27"/>
        </w:numPr>
        <w:spacing w:line="259" w:lineRule="auto"/>
        <w:rPr>
          <w:rFonts w:ascii="Aptos" w:hAnsi="Aptos"/>
          <w:szCs w:val="22"/>
        </w:rPr>
      </w:pPr>
      <w:r w:rsidRPr="00EF7D4E">
        <w:rPr>
          <w:rFonts w:ascii="Aptos" w:hAnsi="Aptos"/>
          <w:szCs w:val="22"/>
        </w:rPr>
        <w:t>Reduction in attitudes and behaviours that enable violence</w:t>
      </w:r>
    </w:p>
    <w:p w14:paraId="164383E3" w14:textId="77777777" w:rsidR="00D96579" w:rsidRPr="00EF7D4E" w:rsidRDefault="00D96579" w:rsidP="00A62856">
      <w:pPr>
        <w:pStyle w:val="ListParagraph"/>
        <w:numPr>
          <w:ilvl w:val="0"/>
          <w:numId w:val="27"/>
        </w:numPr>
        <w:spacing w:line="259" w:lineRule="auto"/>
        <w:rPr>
          <w:rFonts w:ascii="Aptos" w:hAnsi="Aptos"/>
          <w:szCs w:val="22"/>
        </w:rPr>
      </w:pPr>
      <w:r w:rsidRPr="00EF7D4E">
        <w:rPr>
          <w:rFonts w:ascii="Aptos" w:hAnsi="Aptos"/>
          <w:szCs w:val="22"/>
        </w:rPr>
        <w:t>Comparable data datasets across institutions and jurisdictions</w:t>
      </w:r>
    </w:p>
    <w:p w14:paraId="37276439" w14:textId="5F6085C7" w:rsidR="00D96579" w:rsidRPr="00EF7D4E" w:rsidRDefault="00D96579" w:rsidP="00A62856">
      <w:pPr>
        <w:pStyle w:val="ListParagraph"/>
        <w:numPr>
          <w:ilvl w:val="0"/>
          <w:numId w:val="27"/>
        </w:numPr>
        <w:spacing w:line="259" w:lineRule="auto"/>
        <w:rPr>
          <w:rFonts w:ascii="Aptos" w:hAnsi="Aptos"/>
          <w:szCs w:val="22"/>
        </w:rPr>
      </w:pPr>
      <w:r w:rsidRPr="00EF7D4E">
        <w:rPr>
          <w:rFonts w:ascii="Aptos" w:hAnsi="Aptos"/>
          <w:szCs w:val="22"/>
        </w:rPr>
        <w:t>Increase in providers embedding a whole-of-organisation approach to prevention and response, led by leadership</w:t>
      </w:r>
      <w:r w:rsidR="00447BAB">
        <w:rPr>
          <w:rFonts w:ascii="Aptos" w:hAnsi="Aptos"/>
          <w:szCs w:val="22"/>
        </w:rPr>
        <w:t>.</w:t>
      </w:r>
    </w:p>
    <w:p w14:paraId="19E5EE0C" w14:textId="0C87F4BF" w:rsidR="00D96579" w:rsidRPr="00EF7D4E" w:rsidRDefault="00D96579" w:rsidP="00A62856">
      <w:pPr>
        <w:rPr>
          <w:rFonts w:ascii="Aptos" w:hAnsi="Aptos"/>
          <w:b/>
          <w:bCs/>
          <w:szCs w:val="22"/>
        </w:rPr>
      </w:pPr>
      <w:r w:rsidRPr="00EF7D4E">
        <w:rPr>
          <w:rFonts w:ascii="Aptos" w:hAnsi="Aptos"/>
          <w:b/>
          <w:bCs/>
          <w:szCs w:val="22"/>
        </w:rPr>
        <w:t xml:space="preserve">Long term </w:t>
      </w:r>
      <w:r w:rsidR="009A491B">
        <w:rPr>
          <w:rFonts w:ascii="Aptos" w:hAnsi="Aptos"/>
          <w:b/>
          <w:bCs/>
          <w:szCs w:val="22"/>
        </w:rPr>
        <w:t>(</w:t>
      </w:r>
      <w:r w:rsidR="007F1DC7">
        <w:rPr>
          <w:rFonts w:ascii="Aptos" w:hAnsi="Aptos"/>
          <w:b/>
          <w:bCs/>
          <w:szCs w:val="22"/>
        </w:rPr>
        <w:t>8</w:t>
      </w:r>
      <w:r w:rsidR="004521CE">
        <w:rPr>
          <w:rFonts w:ascii="Aptos" w:hAnsi="Aptos"/>
          <w:b/>
          <w:bCs/>
          <w:szCs w:val="22"/>
        </w:rPr>
        <w:t xml:space="preserve">+) </w:t>
      </w:r>
      <w:r w:rsidRPr="00EF7D4E">
        <w:rPr>
          <w:rFonts w:ascii="Aptos" w:hAnsi="Aptos"/>
          <w:b/>
          <w:bCs/>
          <w:szCs w:val="22"/>
        </w:rPr>
        <w:t xml:space="preserve">success will be evidenced by: </w:t>
      </w:r>
    </w:p>
    <w:p w14:paraId="24EA07F8" w14:textId="1DF13770" w:rsidR="00D96579" w:rsidRPr="00EF7D4E" w:rsidRDefault="00D96579" w:rsidP="00A62856">
      <w:pPr>
        <w:pStyle w:val="ListParagraph"/>
        <w:numPr>
          <w:ilvl w:val="0"/>
          <w:numId w:val="27"/>
        </w:numPr>
        <w:spacing w:line="259" w:lineRule="auto"/>
        <w:rPr>
          <w:rFonts w:ascii="Aptos" w:hAnsi="Aptos"/>
          <w:b/>
          <w:bCs/>
          <w:szCs w:val="22"/>
        </w:rPr>
      </w:pPr>
      <w:r w:rsidRPr="00EF7D4E">
        <w:rPr>
          <w:rFonts w:ascii="Aptos" w:hAnsi="Aptos"/>
          <w:szCs w:val="22"/>
        </w:rPr>
        <w:t>A sustained and measurable</w:t>
      </w:r>
      <w:r w:rsidRPr="00EF7D4E">
        <w:rPr>
          <w:rFonts w:ascii="Aptos" w:hAnsi="Aptos"/>
          <w:b/>
          <w:bCs/>
          <w:szCs w:val="22"/>
        </w:rPr>
        <w:t xml:space="preserve"> </w:t>
      </w:r>
      <w:r w:rsidRPr="00EF7D4E">
        <w:rPr>
          <w:rFonts w:ascii="Aptos" w:hAnsi="Aptos"/>
          <w:szCs w:val="22"/>
        </w:rPr>
        <w:t xml:space="preserve">reduction in the prevalence and harm of </w:t>
      </w:r>
      <w:r w:rsidR="00B7771B" w:rsidRPr="00EF7D4E">
        <w:rPr>
          <w:rFonts w:ascii="Aptos" w:hAnsi="Aptos"/>
          <w:szCs w:val="22"/>
        </w:rPr>
        <w:t>GBV</w:t>
      </w:r>
      <w:r w:rsidRPr="00EF7D4E">
        <w:rPr>
          <w:rFonts w:ascii="Aptos" w:hAnsi="Aptos"/>
          <w:szCs w:val="22"/>
        </w:rPr>
        <w:t xml:space="preserve"> in higher education settings</w:t>
      </w:r>
    </w:p>
    <w:p w14:paraId="4140851E" w14:textId="04A827CA" w:rsidR="00D96579" w:rsidRPr="00EF7D4E" w:rsidRDefault="00D96579" w:rsidP="00A62856">
      <w:pPr>
        <w:pStyle w:val="ListParagraph"/>
        <w:numPr>
          <w:ilvl w:val="0"/>
          <w:numId w:val="27"/>
        </w:numPr>
        <w:spacing w:line="259" w:lineRule="auto"/>
        <w:rPr>
          <w:rFonts w:ascii="Aptos" w:hAnsi="Aptos"/>
          <w:b/>
          <w:bCs/>
          <w:szCs w:val="22"/>
        </w:rPr>
      </w:pPr>
      <w:r w:rsidRPr="00EF7D4E">
        <w:rPr>
          <w:rFonts w:ascii="Aptos" w:hAnsi="Aptos"/>
          <w:szCs w:val="22"/>
        </w:rPr>
        <w:t xml:space="preserve">Consistently high institutional responses to </w:t>
      </w:r>
      <w:r w:rsidR="008223FC" w:rsidRPr="00EF7D4E">
        <w:rPr>
          <w:rFonts w:ascii="Aptos" w:hAnsi="Aptos"/>
          <w:szCs w:val="22"/>
        </w:rPr>
        <w:t>GBV</w:t>
      </w:r>
    </w:p>
    <w:p w14:paraId="633FA970" w14:textId="77777777" w:rsidR="00D96579" w:rsidRPr="00EF7D4E" w:rsidRDefault="00D96579" w:rsidP="00A62856">
      <w:pPr>
        <w:pStyle w:val="ListParagraph"/>
        <w:numPr>
          <w:ilvl w:val="0"/>
          <w:numId w:val="27"/>
        </w:numPr>
        <w:spacing w:line="259" w:lineRule="auto"/>
        <w:rPr>
          <w:rFonts w:ascii="Aptos" w:hAnsi="Aptos"/>
          <w:b/>
          <w:bCs/>
          <w:szCs w:val="22"/>
        </w:rPr>
      </w:pPr>
      <w:r w:rsidRPr="00EF7D4E">
        <w:rPr>
          <w:rFonts w:ascii="Aptos" w:hAnsi="Aptos"/>
          <w:szCs w:val="22"/>
        </w:rPr>
        <w:t>Contribute</w:t>
      </w:r>
      <w:r w:rsidRPr="00EF7D4E">
        <w:rPr>
          <w:rFonts w:ascii="Aptos" w:hAnsi="Aptos"/>
          <w:b/>
          <w:bCs/>
          <w:szCs w:val="22"/>
        </w:rPr>
        <w:t xml:space="preserve"> </w:t>
      </w:r>
      <w:r w:rsidRPr="00EF7D4E">
        <w:rPr>
          <w:rFonts w:ascii="Aptos" w:hAnsi="Aptos"/>
          <w:szCs w:val="22"/>
        </w:rPr>
        <w:t xml:space="preserve">to broader national evidence to end violence against women and children </w:t>
      </w:r>
    </w:p>
    <w:p w14:paraId="5F0AB3B4" w14:textId="14F901C8" w:rsidR="00A108DE" w:rsidRPr="00C6573C" w:rsidRDefault="00D96579" w:rsidP="00A62856">
      <w:pPr>
        <w:pStyle w:val="ListParagraph"/>
        <w:numPr>
          <w:ilvl w:val="0"/>
          <w:numId w:val="27"/>
        </w:numPr>
        <w:spacing w:line="259" w:lineRule="auto"/>
        <w:rPr>
          <w:rFonts w:ascii="Aptos" w:hAnsi="Aptos" w:cs="Calibri"/>
          <w:szCs w:val="22"/>
        </w:rPr>
      </w:pPr>
      <w:r w:rsidRPr="00EF7D4E">
        <w:rPr>
          <w:rFonts w:ascii="Aptos" w:hAnsi="Aptos"/>
          <w:szCs w:val="22"/>
        </w:rPr>
        <w:t>Development of evidence-based prevention and response approaches informed by data</w:t>
      </w:r>
      <w:r w:rsidR="00447BAB">
        <w:rPr>
          <w:rFonts w:ascii="Aptos" w:hAnsi="Aptos"/>
          <w:szCs w:val="22"/>
        </w:rPr>
        <w:t>.</w:t>
      </w:r>
    </w:p>
    <w:p w14:paraId="40349A82" w14:textId="4ECD5BA3" w:rsidR="00A108DE" w:rsidRDefault="00A108DE" w:rsidP="00A62856">
      <w:pPr>
        <w:rPr>
          <w:szCs w:val="22"/>
        </w:rPr>
      </w:pPr>
      <w:r w:rsidRPr="00C91D65">
        <w:rPr>
          <w:rFonts w:ascii="Aptos" w:eastAsia="Aptos" w:hAnsi="Aptos" w:cs="Aptos"/>
          <w:szCs w:val="18"/>
        </w:rPr>
        <w:t xml:space="preserve">A </w:t>
      </w:r>
      <w:r w:rsidRPr="003B20A8">
        <w:rPr>
          <w:szCs w:val="22"/>
        </w:rPr>
        <w:t xml:space="preserve">successful intervention to create higher education communities free from gender-based violence will also contribute to broader efforts to address gender-based violence nationally. </w:t>
      </w:r>
    </w:p>
    <w:p w14:paraId="59C9B872" w14:textId="177397EF" w:rsidR="006B3FB6" w:rsidRPr="00CD3028" w:rsidRDefault="00AE619F" w:rsidP="007766A1">
      <w:pPr>
        <w:pStyle w:val="Heading3"/>
      </w:pPr>
      <w:r>
        <w:t>K</w:t>
      </w:r>
      <w:r w:rsidR="006B3FB6" w:rsidRPr="00CD3028">
        <w:t>ey assumptions</w:t>
      </w:r>
    </w:p>
    <w:p w14:paraId="1E78F72A" w14:textId="15C01C45" w:rsidR="008C62B3" w:rsidRDefault="008C62B3" w:rsidP="00A62856">
      <w:pPr>
        <w:rPr>
          <w:szCs w:val="22"/>
        </w:rPr>
      </w:pPr>
      <w:r w:rsidRPr="008C62B3">
        <w:rPr>
          <w:szCs w:val="22"/>
        </w:rPr>
        <w:t xml:space="preserve">The success of these measures depends on a range of interrelated factors, each underpinned by key assumptions. These assumptions vary in their relative importance and likelihood of being realised across the </w:t>
      </w:r>
      <w:r w:rsidR="00D326BE" w:rsidRPr="008C62B3">
        <w:rPr>
          <w:szCs w:val="22"/>
        </w:rPr>
        <w:t>sector</w:t>
      </w:r>
      <w:r w:rsidR="00D326BE">
        <w:rPr>
          <w:szCs w:val="22"/>
        </w:rPr>
        <w:t xml:space="preserve"> and</w:t>
      </w:r>
      <w:r w:rsidRPr="008C62B3">
        <w:rPr>
          <w:szCs w:val="22"/>
        </w:rPr>
        <w:t xml:space="preserve"> must be actively monitored to ensure the objectives can be achieved.</w:t>
      </w:r>
    </w:p>
    <w:p w14:paraId="06A2323B" w14:textId="77777777" w:rsidR="00700167" w:rsidRDefault="00700167" w:rsidP="00A62856">
      <w:pPr>
        <w:rPr>
          <w:szCs w:val="22"/>
        </w:rPr>
      </w:pPr>
    </w:p>
    <w:p w14:paraId="68998B1B" w14:textId="77777777" w:rsidR="00700167" w:rsidRDefault="00700167" w:rsidP="00A62856">
      <w:pPr>
        <w:rPr>
          <w:szCs w:val="22"/>
        </w:rPr>
      </w:pPr>
    </w:p>
    <w:p w14:paraId="001930C5" w14:textId="05525339" w:rsidR="00CD3028" w:rsidRDefault="00CD3028" w:rsidP="00A62856">
      <w:pPr>
        <w:rPr>
          <w:b/>
          <w:bCs/>
          <w:szCs w:val="22"/>
        </w:rPr>
      </w:pPr>
      <w:r w:rsidRPr="007766A1">
        <w:rPr>
          <w:b/>
          <w:bCs/>
          <w:szCs w:val="22"/>
        </w:rPr>
        <w:t xml:space="preserve">Leadership commitment </w:t>
      </w:r>
    </w:p>
    <w:p w14:paraId="2651C942" w14:textId="34742E6F" w:rsidR="00CE68DF" w:rsidRDefault="00CE68DF" w:rsidP="00A62856">
      <w:pPr>
        <w:rPr>
          <w:szCs w:val="22"/>
        </w:rPr>
      </w:pPr>
      <w:r w:rsidRPr="00CE68DF">
        <w:rPr>
          <w:szCs w:val="22"/>
        </w:rPr>
        <w:t>Leadership commitment is one of the most critical success factors. The intervention assumes that institutional leaders will demonstrate visible and sustained commitment to addressing GBV</w:t>
      </w:r>
      <w:r w:rsidR="00366287">
        <w:rPr>
          <w:szCs w:val="22"/>
        </w:rPr>
        <w:t>,</w:t>
      </w:r>
      <w:r w:rsidR="00715736">
        <w:rPr>
          <w:szCs w:val="22"/>
        </w:rPr>
        <w:t xml:space="preserve"> </w:t>
      </w:r>
      <w:r w:rsidRPr="00CE68DF">
        <w:rPr>
          <w:szCs w:val="22"/>
        </w:rPr>
        <w:t xml:space="preserve">through championing a whole-of-organisation approach, publicly endorsing GBV efforts, collaborating with students and staff, and allocating resources. Without leadership buy-in, cultural change efforts may remain siloed and lack the strategic direction needed to drive systemic reform. </w:t>
      </w:r>
      <w:r w:rsidR="001C0561">
        <w:rPr>
          <w:szCs w:val="22"/>
        </w:rPr>
        <w:t>Leadership commitment is likely given support during consultations</w:t>
      </w:r>
      <w:r w:rsidR="004D501D">
        <w:rPr>
          <w:szCs w:val="22"/>
        </w:rPr>
        <w:t xml:space="preserve"> (see further information in chapter 5)</w:t>
      </w:r>
      <w:r w:rsidR="001C0561">
        <w:rPr>
          <w:szCs w:val="22"/>
        </w:rPr>
        <w:t xml:space="preserve"> and</w:t>
      </w:r>
      <w:r w:rsidR="003B411C">
        <w:rPr>
          <w:szCs w:val="22"/>
        </w:rPr>
        <w:t xml:space="preserve"> </w:t>
      </w:r>
      <w:r w:rsidR="00C122CB">
        <w:rPr>
          <w:szCs w:val="22"/>
        </w:rPr>
        <w:t xml:space="preserve">the financial, reputational and moral incentives </w:t>
      </w:r>
      <w:r w:rsidR="004D501D">
        <w:rPr>
          <w:szCs w:val="22"/>
        </w:rPr>
        <w:t>for HEPs to</w:t>
      </w:r>
      <w:r w:rsidR="00C122CB">
        <w:rPr>
          <w:szCs w:val="22"/>
        </w:rPr>
        <w:t xml:space="preserve"> keep their students and staff safe. </w:t>
      </w:r>
    </w:p>
    <w:p w14:paraId="2F900887" w14:textId="2CC23278" w:rsidR="009B4367" w:rsidRDefault="009B4367" w:rsidP="00A62856">
      <w:pPr>
        <w:rPr>
          <w:b/>
          <w:bCs/>
          <w:szCs w:val="22"/>
        </w:rPr>
      </w:pPr>
      <w:r w:rsidRPr="007766A1">
        <w:rPr>
          <w:b/>
          <w:bCs/>
          <w:szCs w:val="22"/>
        </w:rPr>
        <w:t xml:space="preserve">Meaningful engagement </w:t>
      </w:r>
    </w:p>
    <w:p w14:paraId="44BD407A" w14:textId="08477A3C" w:rsidR="009B4367" w:rsidRDefault="009B4367" w:rsidP="00A62856">
      <w:pPr>
        <w:rPr>
          <w:szCs w:val="22"/>
        </w:rPr>
      </w:pPr>
      <w:r>
        <w:rPr>
          <w:szCs w:val="22"/>
        </w:rPr>
        <w:lastRenderedPageBreak/>
        <w:t xml:space="preserve">The intervention highlights the importance of engaging with groups that are disproportionately affected by </w:t>
      </w:r>
      <w:r w:rsidR="00D326BE">
        <w:rPr>
          <w:szCs w:val="22"/>
        </w:rPr>
        <w:t>GBV and</w:t>
      </w:r>
      <w:r w:rsidR="00BC3A51">
        <w:rPr>
          <w:szCs w:val="22"/>
        </w:rPr>
        <w:t xml:space="preserve"> assumes that HEPs will meaningfully engage to collaborate and co-design inclusive policies and services. </w:t>
      </w:r>
      <w:r w:rsidR="007602EB">
        <w:rPr>
          <w:szCs w:val="22"/>
        </w:rPr>
        <w:t>W</w:t>
      </w:r>
      <w:r w:rsidR="00BC3A51">
        <w:rPr>
          <w:szCs w:val="22"/>
        </w:rPr>
        <w:t xml:space="preserve">ithout this engagement, prevention and response efforts </w:t>
      </w:r>
      <w:r w:rsidR="00B97958">
        <w:rPr>
          <w:szCs w:val="22"/>
        </w:rPr>
        <w:t>may</w:t>
      </w:r>
      <w:r w:rsidR="00BC3A51">
        <w:rPr>
          <w:szCs w:val="22"/>
        </w:rPr>
        <w:t xml:space="preserve"> risk being ineffective or harmful for those experiencing multiple form</w:t>
      </w:r>
      <w:r w:rsidR="007602EB">
        <w:rPr>
          <w:szCs w:val="22"/>
        </w:rPr>
        <w:t>s</w:t>
      </w:r>
      <w:r w:rsidR="00BC3A51">
        <w:rPr>
          <w:szCs w:val="22"/>
        </w:rPr>
        <w:t xml:space="preserve"> of inequalit</w:t>
      </w:r>
      <w:r w:rsidR="007602EB">
        <w:rPr>
          <w:szCs w:val="22"/>
        </w:rPr>
        <w:t>y</w:t>
      </w:r>
      <w:r w:rsidR="00BC3A51">
        <w:rPr>
          <w:szCs w:val="22"/>
        </w:rPr>
        <w:t xml:space="preserve"> and discrimination. This engagement will need to be inclusive, culturally safe and respectful of a diverse range of groups. </w:t>
      </w:r>
      <w:r w:rsidR="00160B3E" w:rsidRPr="00160B3E">
        <w:rPr>
          <w:szCs w:val="22"/>
        </w:rPr>
        <w:t>It</w:t>
      </w:r>
      <w:r w:rsidR="005A763B">
        <w:rPr>
          <w:szCs w:val="22"/>
        </w:rPr>
        <w:t xml:space="preserve"> is</w:t>
      </w:r>
      <w:r w:rsidR="00160B3E" w:rsidRPr="00160B3E">
        <w:rPr>
          <w:szCs w:val="22"/>
        </w:rPr>
        <w:t xml:space="preserve"> importan</w:t>
      </w:r>
      <w:r w:rsidR="005A763B">
        <w:rPr>
          <w:szCs w:val="22"/>
        </w:rPr>
        <w:t xml:space="preserve">t </w:t>
      </w:r>
      <w:r w:rsidR="00160B3E" w:rsidRPr="00160B3E">
        <w:rPr>
          <w:szCs w:val="22"/>
        </w:rPr>
        <w:t>for ensuring equity and effectiveness, but its likelihood depends on institutional capacity, existing relationships, and willingness to prioritise co-design.</w:t>
      </w:r>
      <w:r w:rsidR="00C122CB">
        <w:rPr>
          <w:szCs w:val="22"/>
        </w:rPr>
        <w:t xml:space="preserve"> </w:t>
      </w:r>
    </w:p>
    <w:p w14:paraId="53FD80B8" w14:textId="40162BB5" w:rsidR="007127AA" w:rsidRDefault="007127AA" w:rsidP="00A62856">
      <w:pPr>
        <w:rPr>
          <w:b/>
          <w:bCs/>
          <w:szCs w:val="22"/>
        </w:rPr>
      </w:pPr>
      <w:r w:rsidRPr="007766A1">
        <w:rPr>
          <w:b/>
          <w:bCs/>
          <w:szCs w:val="22"/>
        </w:rPr>
        <w:t xml:space="preserve">Data </w:t>
      </w:r>
    </w:p>
    <w:p w14:paraId="426B978B" w14:textId="795ED3F6" w:rsidR="00B74CD8" w:rsidRDefault="00CC49F4" w:rsidP="00A62856">
      <w:pPr>
        <w:rPr>
          <w:szCs w:val="22"/>
        </w:rPr>
      </w:pPr>
      <w:r w:rsidRPr="00CC49F4">
        <w:rPr>
          <w:szCs w:val="22"/>
        </w:rPr>
        <w:t xml:space="preserve">The ability to assess the success of the intervention depends on </w:t>
      </w:r>
      <w:r w:rsidR="00DB72A2">
        <w:rPr>
          <w:szCs w:val="22"/>
        </w:rPr>
        <w:t>HEPs</w:t>
      </w:r>
      <w:r w:rsidRPr="00CC49F4">
        <w:rPr>
          <w:szCs w:val="22"/>
        </w:rPr>
        <w:t xml:space="preserve"> establishing consistent and reliable data collection mechanisms. This data must be comparable across institutions to enable meaningful evaluation and monitoring. Without a shared approach to definitions, reporting, and analysis, it will be difficult to track progress or identify areas for improvement</w:t>
      </w:r>
      <w:r>
        <w:rPr>
          <w:szCs w:val="22"/>
        </w:rPr>
        <w:t>.</w:t>
      </w:r>
      <w:r w:rsidR="007B4082">
        <w:rPr>
          <w:szCs w:val="22"/>
        </w:rPr>
        <w:t xml:space="preserve"> </w:t>
      </w:r>
    </w:p>
    <w:p w14:paraId="0C61840D" w14:textId="00CE93FB" w:rsidR="00B97958" w:rsidRPr="007766A1" w:rsidRDefault="00B97958" w:rsidP="00A62856">
      <w:pPr>
        <w:rPr>
          <w:b/>
          <w:bCs/>
          <w:szCs w:val="22"/>
        </w:rPr>
      </w:pPr>
      <w:r w:rsidRPr="007766A1">
        <w:rPr>
          <w:b/>
          <w:bCs/>
          <w:szCs w:val="22"/>
        </w:rPr>
        <w:t>Trust in systems and reporting pathways</w:t>
      </w:r>
    </w:p>
    <w:p w14:paraId="1CC0D79D" w14:textId="4E57B799" w:rsidR="00A141B9" w:rsidRDefault="0092536C" w:rsidP="007F69F5">
      <w:r w:rsidRPr="0092536C">
        <w:rPr>
          <w:szCs w:val="22"/>
        </w:rPr>
        <w:t xml:space="preserve">A key assumption is that students and staff will trust institutional systems enough to disclose experiences of GBV. Increased reporting is viewed as a positive indicator of improved system confidence. This assumption is essential for </w:t>
      </w:r>
      <w:r w:rsidR="00AF0CD3">
        <w:rPr>
          <w:szCs w:val="22"/>
        </w:rPr>
        <w:t xml:space="preserve">understanding experiences of GBV and </w:t>
      </w:r>
      <w:r w:rsidRPr="0092536C">
        <w:rPr>
          <w:szCs w:val="22"/>
        </w:rPr>
        <w:t xml:space="preserve">measuring impact and improving responses, but trust must be earned through transparent, survivor-centred processes and consistent follow-through. Given </w:t>
      </w:r>
      <w:r w:rsidR="0068705B">
        <w:rPr>
          <w:szCs w:val="22"/>
        </w:rPr>
        <w:t>historical</w:t>
      </w:r>
      <w:r w:rsidRPr="0092536C">
        <w:rPr>
          <w:szCs w:val="22"/>
        </w:rPr>
        <w:t xml:space="preserve"> underreporting and dissatisfaction with complaints processes</w:t>
      </w:r>
      <w:r w:rsidR="008F5BC8">
        <w:rPr>
          <w:szCs w:val="22"/>
        </w:rPr>
        <w:t xml:space="preserve">, </w:t>
      </w:r>
      <w:r w:rsidRPr="0092536C">
        <w:rPr>
          <w:szCs w:val="22"/>
        </w:rPr>
        <w:t xml:space="preserve">this is </w:t>
      </w:r>
      <w:r w:rsidR="00E662F0">
        <w:rPr>
          <w:szCs w:val="22"/>
        </w:rPr>
        <w:t xml:space="preserve">of </w:t>
      </w:r>
      <w:r w:rsidRPr="0092536C">
        <w:rPr>
          <w:szCs w:val="22"/>
        </w:rPr>
        <w:t>high</w:t>
      </w:r>
      <w:r w:rsidR="008F5BC8">
        <w:rPr>
          <w:szCs w:val="22"/>
        </w:rPr>
        <w:t xml:space="preserve"> </w:t>
      </w:r>
      <w:r w:rsidR="00E662F0" w:rsidRPr="0092536C">
        <w:rPr>
          <w:szCs w:val="22"/>
        </w:rPr>
        <w:t>importance</w:t>
      </w:r>
      <w:r w:rsidR="00E662F0">
        <w:rPr>
          <w:szCs w:val="22"/>
        </w:rPr>
        <w:t xml:space="preserve">, but </w:t>
      </w:r>
      <w:r w:rsidR="00CA5970">
        <w:rPr>
          <w:szCs w:val="22"/>
        </w:rPr>
        <w:t>it may</w:t>
      </w:r>
      <w:r w:rsidR="00E662F0">
        <w:rPr>
          <w:szCs w:val="22"/>
        </w:rPr>
        <w:t xml:space="preserve"> take time</w:t>
      </w:r>
      <w:r w:rsidR="00CA5970">
        <w:rPr>
          <w:szCs w:val="22"/>
        </w:rPr>
        <w:t xml:space="preserve"> as robust processes must be developed, implemented and then trusted over time. </w:t>
      </w:r>
      <w:bookmarkStart w:id="79" w:name="_Toc204699861"/>
      <w:r w:rsidR="00A141B9">
        <w:t>Constraints and Barriers</w:t>
      </w:r>
      <w:bookmarkEnd w:id="79"/>
    </w:p>
    <w:p w14:paraId="2AC333D1" w14:textId="77777777" w:rsidR="00BB04A7" w:rsidRDefault="001B52DE" w:rsidP="00654C44">
      <w:r>
        <w:t xml:space="preserve">Government intervention in addressing GBV in higher education presents a range of constraints and barriers. </w:t>
      </w:r>
      <w:r w:rsidR="00BB04A7" w:rsidRPr="00BB04A7">
        <w:t>While there is clear evidence of the need for action, a range of factors may influence the effectiveness and uptake of proposed measures.</w:t>
      </w:r>
    </w:p>
    <w:p w14:paraId="4E998B8F" w14:textId="4B14E329" w:rsidR="00DE755E" w:rsidRPr="00E35257" w:rsidRDefault="00DE755E" w:rsidP="00654C44">
      <w:pPr>
        <w:rPr>
          <w:b/>
          <w:bCs/>
        </w:rPr>
      </w:pPr>
      <w:r w:rsidRPr="00E35257">
        <w:rPr>
          <w:b/>
          <w:bCs/>
        </w:rPr>
        <w:t xml:space="preserve">Communication </w:t>
      </w:r>
    </w:p>
    <w:p w14:paraId="4B3D70A0" w14:textId="573A1106" w:rsidR="003E1D76" w:rsidRDefault="003E1D76" w:rsidP="00654C44">
      <w:r>
        <w:t>I</w:t>
      </w:r>
      <w:r w:rsidRPr="003E1D76">
        <w:t xml:space="preserve">nterventions may be less effective if their intent and rationale are not clearly communicated. Where messaging lacks clarity, </w:t>
      </w:r>
      <w:r w:rsidR="00D105C1">
        <w:t>HEPs</w:t>
      </w:r>
      <w:r w:rsidRPr="003E1D76">
        <w:t xml:space="preserve"> may be less inclined to engage and may perceive government action as unnecessary or overly burdensome. Early engagement and consistent communication with the sector can help build understanding, foster trust, and increase support for the objectives of the intervention. Leveraging existing sector channels and peak bodies may assist in reinforcing messaging and promoting shared understanding.</w:t>
      </w:r>
    </w:p>
    <w:p w14:paraId="7CBF2996" w14:textId="2BF4E773" w:rsidR="00A47538" w:rsidRPr="00E35257" w:rsidRDefault="00A47538" w:rsidP="00654C44">
      <w:pPr>
        <w:rPr>
          <w:b/>
          <w:bCs/>
        </w:rPr>
      </w:pPr>
      <w:r w:rsidRPr="00E35257">
        <w:rPr>
          <w:b/>
          <w:bCs/>
        </w:rPr>
        <w:t xml:space="preserve">Funding and resourcing </w:t>
      </w:r>
    </w:p>
    <w:p w14:paraId="43958673" w14:textId="4C20EAF5" w:rsidR="00A47538" w:rsidRPr="001B52DE" w:rsidRDefault="00A47538" w:rsidP="00E35257">
      <w:r>
        <w:t xml:space="preserve">HEPs </w:t>
      </w:r>
      <w:r w:rsidR="005E63F8">
        <w:t>m</w:t>
      </w:r>
      <w:r w:rsidR="005E63F8" w:rsidRPr="005E63F8">
        <w:t xml:space="preserve">ay face financial and operational constraints that affect their ability to implement new expectations, particularly where additional staffing, training, or infrastructure is required. Similarly, government agencies may have </w:t>
      </w:r>
      <w:r w:rsidR="00F83158">
        <w:t>constraints on</w:t>
      </w:r>
      <w:r w:rsidR="005E63F8" w:rsidRPr="005E63F8">
        <w:t xml:space="preserve"> capacity to provide support or oversight. Exploring opportunities to align with existing initiatives, encourage resource-sharing, or support phased implementation</w:t>
      </w:r>
      <w:r w:rsidR="00EB7D8B">
        <w:t>,</w:t>
      </w:r>
      <w:r w:rsidR="005E63F8" w:rsidRPr="005E63F8">
        <w:t xml:space="preserve"> may help ease pressure on both </w:t>
      </w:r>
      <w:r w:rsidR="00EB7D8B">
        <w:t>HEPs</w:t>
      </w:r>
      <w:r w:rsidR="005E63F8" w:rsidRPr="005E63F8">
        <w:t xml:space="preserve"> and government.</w:t>
      </w:r>
    </w:p>
    <w:p w14:paraId="1E120EBA" w14:textId="2C6C9955" w:rsidR="007C5E94" w:rsidRPr="00EF7D4E" w:rsidRDefault="007C5E94" w:rsidP="00A62856">
      <w:pPr>
        <w:rPr>
          <w:rStyle w:val="Strong"/>
          <w:szCs w:val="22"/>
        </w:rPr>
      </w:pPr>
      <w:r w:rsidRPr="00EF7D4E">
        <w:rPr>
          <w:rStyle w:val="Strong"/>
          <w:szCs w:val="22"/>
        </w:rPr>
        <w:t>Sector</w:t>
      </w:r>
      <w:r w:rsidR="006333F3">
        <w:rPr>
          <w:rStyle w:val="Strong"/>
          <w:szCs w:val="22"/>
        </w:rPr>
        <w:t xml:space="preserve"> </w:t>
      </w:r>
      <w:r w:rsidR="00E009ED">
        <w:rPr>
          <w:rStyle w:val="Strong"/>
          <w:szCs w:val="22"/>
        </w:rPr>
        <w:t>concerns</w:t>
      </w:r>
      <w:r w:rsidR="00E009ED" w:rsidRPr="00EF7D4E">
        <w:rPr>
          <w:rStyle w:val="Strong"/>
          <w:szCs w:val="22"/>
        </w:rPr>
        <w:t xml:space="preserve"> </w:t>
      </w:r>
    </w:p>
    <w:p w14:paraId="6D416F21" w14:textId="5A1D0225" w:rsidR="0042573A" w:rsidRDefault="006360CB" w:rsidP="00A62856">
      <w:pPr>
        <w:rPr>
          <w:szCs w:val="22"/>
        </w:rPr>
      </w:pPr>
      <w:r>
        <w:rPr>
          <w:szCs w:val="22"/>
        </w:rPr>
        <w:lastRenderedPageBreak/>
        <w:t>HEPs</w:t>
      </w:r>
      <w:r w:rsidR="006333F3" w:rsidRPr="006333F3">
        <w:rPr>
          <w:szCs w:val="22"/>
        </w:rPr>
        <w:t xml:space="preserve"> may perceive government intervention as an unnecessary burden</w:t>
      </w:r>
      <w:r w:rsidR="005164C0">
        <w:rPr>
          <w:szCs w:val="22"/>
        </w:rPr>
        <w:t xml:space="preserve">. </w:t>
      </w:r>
      <w:r w:rsidR="006333F3" w:rsidRPr="006333F3">
        <w:rPr>
          <w:szCs w:val="22"/>
        </w:rPr>
        <w:t xml:space="preserve">Universities may argue the sector is responding adequately to these issues as part of their commitment to the Universities Australia’s </w:t>
      </w:r>
      <w:r w:rsidR="006333F3" w:rsidRPr="006333F3">
        <w:rPr>
          <w:i/>
          <w:szCs w:val="22"/>
        </w:rPr>
        <w:t xml:space="preserve">Charter on </w:t>
      </w:r>
      <w:r w:rsidR="006333F3" w:rsidRPr="006333F3">
        <w:rPr>
          <w:i/>
          <w:iCs/>
          <w:szCs w:val="22"/>
        </w:rPr>
        <w:t>Sexual H</w:t>
      </w:r>
      <w:r w:rsidR="006333F3" w:rsidRPr="006333F3">
        <w:rPr>
          <w:i/>
          <w:szCs w:val="22"/>
        </w:rPr>
        <w:t>arm</w:t>
      </w:r>
      <w:r w:rsidR="006333F3" w:rsidRPr="006333F3">
        <w:rPr>
          <w:szCs w:val="22"/>
        </w:rPr>
        <w:t xml:space="preserve">, which sets nine actions to combat sexual harm in universities. However, as discussed in </w:t>
      </w:r>
      <w:r w:rsidR="002B1CBE">
        <w:rPr>
          <w:szCs w:val="22"/>
        </w:rPr>
        <w:t>C</w:t>
      </w:r>
      <w:r w:rsidR="006333F3" w:rsidRPr="006333F3">
        <w:rPr>
          <w:szCs w:val="22"/>
        </w:rPr>
        <w:t xml:space="preserve">hapter </w:t>
      </w:r>
      <w:r w:rsidR="002B1CBE">
        <w:rPr>
          <w:szCs w:val="22"/>
        </w:rPr>
        <w:t>1</w:t>
      </w:r>
      <w:r w:rsidR="006333F3" w:rsidRPr="006333F3">
        <w:rPr>
          <w:szCs w:val="22"/>
        </w:rPr>
        <w:t xml:space="preserve">, the Charter does not provide the comprehensive regulation required, and further intervention is needed to address the prevalence of </w:t>
      </w:r>
      <w:r w:rsidR="005C7F76">
        <w:rPr>
          <w:szCs w:val="22"/>
        </w:rPr>
        <w:t>GBV</w:t>
      </w:r>
      <w:r w:rsidR="006333F3" w:rsidRPr="006333F3">
        <w:rPr>
          <w:szCs w:val="22"/>
        </w:rPr>
        <w:t xml:space="preserve"> in the sector.</w:t>
      </w:r>
    </w:p>
    <w:p w14:paraId="2F6BA064" w14:textId="3A503FD7" w:rsidR="0042573A" w:rsidRPr="00E35257" w:rsidRDefault="0042573A" w:rsidP="00A62856">
      <w:pPr>
        <w:rPr>
          <w:b/>
          <w:bCs/>
          <w:szCs w:val="22"/>
        </w:rPr>
      </w:pPr>
      <w:r w:rsidRPr="00E35257">
        <w:rPr>
          <w:b/>
          <w:bCs/>
          <w:szCs w:val="22"/>
        </w:rPr>
        <w:t>Sector variation</w:t>
      </w:r>
    </w:p>
    <w:p w14:paraId="448F3675" w14:textId="029A8B87" w:rsidR="00013144" w:rsidRDefault="005C7F76" w:rsidP="00A62856">
      <w:pPr>
        <w:rPr>
          <w:szCs w:val="22"/>
        </w:rPr>
      </w:pPr>
      <w:r>
        <w:rPr>
          <w:szCs w:val="22"/>
        </w:rPr>
        <w:t>The</w:t>
      </w:r>
      <w:r w:rsidR="006333F3" w:rsidRPr="00EF7D4E">
        <w:rPr>
          <w:szCs w:val="22"/>
        </w:rPr>
        <w:t xml:space="preserve"> higher education sector is marked by significant diversity</w:t>
      </w:r>
      <w:r w:rsidR="006333F3">
        <w:rPr>
          <w:szCs w:val="22"/>
        </w:rPr>
        <w:t xml:space="preserve">, </w:t>
      </w:r>
      <w:r w:rsidR="006333F3" w:rsidRPr="00EF7D4E">
        <w:rPr>
          <w:szCs w:val="22"/>
        </w:rPr>
        <w:t>spanning institutional size, geographic location (metropolitan, regional, online), governance models, and leadership structures. This variation extends to the levels of commitment, capability, and expertise in addressing GBV, particularly in implementing trauma-informed approaches. Such disparities pose challenges to achieving consistent, sector-wide progress.</w:t>
      </w:r>
      <w:r w:rsidR="00013144">
        <w:rPr>
          <w:szCs w:val="22"/>
        </w:rPr>
        <w:t xml:space="preserve"> To address these concerns, the department will seek to provide implementation support, such as guidance materials to assist providers of various sizes or levels of maturity.</w:t>
      </w:r>
    </w:p>
    <w:p w14:paraId="089CE375" w14:textId="3DC1D910" w:rsidR="007C5E94" w:rsidRPr="00EF7D4E" w:rsidRDefault="007C5E94" w:rsidP="00A62856">
      <w:pPr>
        <w:rPr>
          <w:rStyle w:val="Strong"/>
          <w:szCs w:val="22"/>
        </w:rPr>
      </w:pPr>
      <w:r w:rsidRPr="00EF7D4E">
        <w:rPr>
          <w:rStyle w:val="Strong"/>
          <w:szCs w:val="22"/>
        </w:rPr>
        <w:t>Data Limitations</w:t>
      </w:r>
    </w:p>
    <w:p w14:paraId="3F99AA10" w14:textId="6DE89910" w:rsidR="007C5E94" w:rsidRPr="00EF7D4E" w:rsidRDefault="007C5E94" w:rsidP="00A62856">
      <w:pPr>
        <w:rPr>
          <w:szCs w:val="22"/>
        </w:rPr>
      </w:pPr>
      <w:r w:rsidRPr="00EF7D4E">
        <w:rPr>
          <w:szCs w:val="22"/>
        </w:rPr>
        <w:t xml:space="preserve">There is currently no consistent approach to collecting, defining, or reporting </w:t>
      </w:r>
      <w:r w:rsidR="008223FC" w:rsidRPr="00EF7D4E">
        <w:rPr>
          <w:szCs w:val="22"/>
        </w:rPr>
        <w:t>GBV</w:t>
      </w:r>
      <w:r w:rsidRPr="00EF7D4E">
        <w:rPr>
          <w:szCs w:val="22"/>
        </w:rPr>
        <w:t xml:space="preserve"> data across the higher education sector. This lack of standardisation impedes the ability to generate reliable, comparable insights and undermines efforts to monitor progress, evaluate interventions, and identify areas for improvement.</w:t>
      </w:r>
      <w:r w:rsidR="00DE0AD3">
        <w:rPr>
          <w:szCs w:val="22"/>
        </w:rPr>
        <w:t xml:space="preserve"> </w:t>
      </w:r>
      <w:r w:rsidRPr="00EF7D4E">
        <w:rPr>
          <w:szCs w:val="22"/>
        </w:rPr>
        <w:t xml:space="preserve">Moreover, the sensitive nature of </w:t>
      </w:r>
      <w:r w:rsidR="008223FC" w:rsidRPr="00EF7D4E">
        <w:rPr>
          <w:szCs w:val="22"/>
        </w:rPr>
        <w:t>GBV</w:t>
      </w:r>
      <w:r w:rsidRPr="00EF7D4E">
        <w:rPr>
          <w:szCs w:val="22"/>
        </w:rPr>
        <w:t xml:space="preserve"> data demands trauma-informed collection practices and strict adherence to privacy laws. These ethical and legal imperatives, while essential, may result in incomplete or fragmented datasets, limiting the scope of analysis and evidence-based decision-making.</w:t>
      </w:r>
      <w:r w:rsidR="009C2999">
        <w:rPr>
          <w:szCs w:val="22"/>
        </w:rPr>
        <w:t xml:space="preserve"> Government can address this by developing data standards and support organisations </w:t>
      </w:r>
      <w:r w:rsidR="0042573A">
        <w:rPr>
          <w:szCs w:val="22"/>
        </w:rPr>
        <w:t>in data collection</w:t>
      </w:r>
      <w:r w:rsidR="00D24ABC">
        <w:rPr>
          <w:szCs w:val="22"/>
        </w:rPr>
        <w:t xml:space="preserve">. </w:t>
      </w:r>
    </w:p>
    <w:p w14:paraId="051DEDE0" w14:textId="237E70D2" w:rsidR="007C5E94" w:rsidRPr="00EF7D4E" w:rsidRDefault="007C5E94" w:rsidP="007C5E94">
      <w:pPr>
        <w:rPr>
          <w:rStyle w:val="Strong"/>
          <w:szCs w:val="22"/>
        </w:rPr>
      </w:pPr>
      <w:r w:rsidRPr="00EF7D4E">
        <w:rPr>
          <w:rStyle w:val="Strong"/>
          <w:szCs w:val="22"/>
        </w:rPr>
        <w:t>Regulatory and Legislative Gaps</w:t>
      </w:r>
    </w:p>
    <w:p w14:paraId="683B577B" w14:textId="68649DE0" w:rsidR="007C5E94" w:rsidRPr="00EF7D4E" w:rsidRDefault="007C5E94" w:rsidP="007C5E94">
      <w:pPr>
        <w:rPr>
          <w:szCs w:val="22"/>
        </w:rPr>
      </w:pPr>
      <w:r w:rsidRPr="00EF7D4E">
        <w:rPr>
          <w:szCs w:val="22"/>
        </w:rPr>
        <w:t xml:space="preserve">As outlined in Chapter 1, existing regulatory frameworks lack enforceable standards specific to </w:t>
      </w:r>
      <w:r w:rsidR="008223FC" w:rsidRPr="00EF7D4E">
        <w:rPr>
          <w:szCs w:val="22"/>
        </w:rPr>
        <w:t>GBV</w:t>
      </w:r>
      <w:r w:rsidRPr="00EF7D4E">
        <w:rPr>
          <w:szCs w:val="22"/>
        </w:rPr>
        <w:t>. In the absence of clear mandates and accountability mechanisms, implementation of sector-wide objectives remains largely discretionary. This risks uneven adoption, with some institutions embracing comprehensive measures while others fall short—undermining consistency and impact.</w:t>
      </w:r>
      <w:r w:rsidR="006D2646">
        <w:rPr>
          <w:szCs w:val="22"/>
        </w:rPr>
        <w:t xml:space="preserve"> </w:t>
      </w:r>
      <w:r w:rsidR="009C2999">
        <w:rPr>
          <w:szCs w:val="22"/>
        </w:rPr>
        <w:t>Government can address this by strengthening the regulatory environment, clarify expectation</w:t>
      </w:r>
      <w:r w:rsidR="00797D80">
        <w:rPr>
          <w:szCs w:val="22"/>
        </w:rPr>
        <w:t>,</w:t>
      </w:r>
      <w:r w:rsidR="009C2999">
        <w:rPr>
          <w:szCs w:val="22"/>
        </w:rPr>
        <w:t xml:space="preserve"> and establish mechanisms for monitoring and accountability. </w:t>
      </w:r>
    </w:p>
    <w:p w14:paraId="2B000655" w14:textId="668A3FA8" w:rsidR="007C5E94" w:rsidRPr="00EF7D4E" w:rsidRDefault="007C5E94" w:rsidP="007C5E94">
      <w:pPr>
        <w:rPr>
          <w:rStyle w:val="Strong"/>
          <w:szCs w:val="22"/>
        </w:rPr>
      </w:pPr>
      <w:r w:rsidRPr="00EF7D4E">
        <w:rPr>
          <w:rStyle w:val="Strong"/>
          <w:szCs w:val="22"/>
        </w:rPr>
        <w:t>Inclusive Engagement and Lived Experience</w:t>
      </w:r>
    </w:p>
    <w:p w14:paraId="323E8569" w14:textId="30D477BB" w:rsidR="007C5E94" w:rsidRPr="00EF7D4E" w:rsidRDefault="00402ED3" w:rsidP="007C5E94">
      <w:pPr>
        <w:rPr>
          <w:szCs w:val="22"/>
        </w:rPr>
      </w:pPr>
      <w:r>
        <w:rPr>
          <w:szCs w:val="22"/>
        </w:rPr>
        <w:t xml:space="preserve">Groups that experience structural inequalities and discrimination </w:t>
      </w:r>
      <w:r w:rsidR="007C5E94" w:rsidRPr="00EF7D4E">
        <w:rPr>
          <w:szCs w:val="22"/>
        </w:rPr>
        <w:t>including First Nations students, students with disability, and international students</w:t>
      </w:r>
      <w:r w:rsidR="00371CD2" w:rsidRPr="00EF7D4E">
        <w:rPr>
          <w:szCs w:val="22"/>
        </w:rPr>
        <w:t xml:space="preserve"> - </w:t>
      </w:r>
      <w:r w:rsidR="007C5E94" w:rsidRPr="00EF7D4E">
        <w:rPr>
          <w:szCs w:val="22"/>
        </w:rPr>
        <w:t xml:space="preserve">are disproportionately affected by </w:t>
      </w:r>
      <w:r w:rsidR="008223FC" w:rsidRPr="00EF7D4E">
        <w:rPr>
          <w:szCs w:val="22"/>
        </w:rPr>
        <w:t>GBV</w:t>
      </w:r>
      <w:r w:rsidR="007C5E94" w:rsidRPr="00EF7D4E">
        <w:rPr>
          <w:szCs w:val="22"/>
        </w:rPr>
        <w:t>. Meaningful engagement with these communities is essential to developing inclusive, targeted prevention and response strategies. However, barriers to access and participation persist, limiting opportunities for genuine co-design.</w:t>
      </w:r>
      <w:r w:rsidR="00DE0AD3">
        <w:rPr>
          <w:szCs w:val="22"/>
        </w:rPr>
        <w:t xml:space="preserve"> </w:t>
      </w:r>
      <w:r w:rsidR="007C5E94" w:rsidRPr="00EF7D4E">
        <w:rPr>
          <w:szCs w:val="22"/>
        </w:rPr>
        <w:t>For example, the NSSS</w:t>
      </w:r>
      <w:r w:rsidR="00E35257">
        <w:rPr>
          <w:szCs w:val="22"/>
        </w:rPr>
        <w:t xml:space="preserve"> r</w:t>
      </w:r>
      <w:r w:rsidR="007C5E94" w:rsidRPr="00EF7D4E">
        <w:rPr>
          <w:szCs w:val="22"/>
        </w:rPr>
        <w:t>ecorded minimal participation from First Nations women, raising concerns about representativeness. Additionally, institutions risk tokenistic engagement if consultation is not adequately resourced or thoughtfully designed.</w:t>
      </w:r>
    </w:p>
    <w:p w14:paraId="2390CA32" w14:textId="72959D09" w:rsidR="0042573A" w:rsidRPr="00EF7D4E" w:rsidRDefault="007C5E94" w:rsidP="007C5E94">
      <w:pPr>
        <w:rPr>
          <w:szCs w:val="22"/>
        </w:rPr>
      </w:pPr>
      <w:r w:rsidRPr="00EF7D4E">
        <w:rPr>
          <w:szCs w:val="22"/>
        </w:rPr>
        <w:t>The National Plan and Action Plan</w:t>
      </w:r>
      <w:r w:rsidR="00007E4A" w:rsidRPr="00EF7D4E">
        <w:rPr>
          <w:szCs w:val="22"/>
        </w:rPr>
        <w:t xml:space="preserve"> </w:t>
      </w:r>
      <w:r w:rsidRPr="00EF7D4E">
        <w:rPr>
          <w:szCs w:val="22"/>
        </w:rPr>
        <w:t xml:space="preserve">emphasise the importance of centring victim-survivor voices. Yet, students and staff with lived experience may be reluctant to engage due to </w:t>
      </w:r>
      <w:r w:rsidRPr="00EF7D4E">
        <w:rPr>
          <w:szCs w:val="22"/>
        </w:rPr>
        <w:lastRenderedPageBreak/>
        <w:t>trauma, privacy concerns, or mistrust. Without careful, trauma-informed approaches, institutions risk further harm or failing to capture critical insights.</w:t>
      </w:r>
      <w:r w:rsidR="009C2999">
        <w:rPr>
          <w:szCs w:val="22"/>
        </w:rPr>
        <w:t xml:space="preserve"> </w:t>
      </w:r>
    </w:p>
    <w:p w14:paraId="79F63C36" w14:textId="184CBC0C" w:rsidR="007C5E94" w:rsidRPr="00EF7D4E" w:rsidRDefault="007C5E94" w:rsidP="007C5E94">
      <w:pPr>
        <w:rPr>
          <w:rStyle w:val="Strong"/>
          <w:szCs w:val="22"/>
        </w:rPr>
      </w:pPr>
      <w:r w:rsidRPr="00EF7D4E">
        <w:rPr>
          <w:rStyle w:val="Strong"/>
          <w:szCs w:val="22"/>
        </w:rPr>
        <w:t>Cultural and Structural Resistance</w:t>
      </w:r>
    </w:p>
    <w:p w14:paraId="61F81705" w14:textId="2162D462" w:rsidR="007C5E94" w:rsidRPr="00EF7D4E" w:rsidRDefault="007C5E94" w:rsidP="007C5E94">
      <w:pPr>
        <w:rPr>
          <w:szCs w:val="22"/>
        </w:rPr>
      </w:pPr>
      <w:r w:rsidRPr="00EF7D4E">
        <w:rPr>
          <w:szCs w:val="22"/>
        </w:rPr>
        <w:t xml:space="preserve">Tackling </w:t>
      </w:r>
      <w:r w:rsidR="008223FC" w:rsidRPr="00EF7D4E">
        <w:rPr>
          <w:szCs w:val="22"/>
        </w:rPr>
        <w:t>GBV</w:t>
      </w:r>
      <w:r w:rsidRPr="00EF7D4E">
        <w:rPr>
          <w:szCs w:val="22"/>
        </w:rPr>
        <w:t xml:space="preserve"> in higher education demands deep cultural and structural transformation. This includes confronting entrenched norms, behaviours, and attitudes that perpetuate violence and discrimination. Such change is inherently complex and may provoke resistance or backlash.</w:t>
      </w:r>
    </w:p>
    <w:p w14:paraId="0530975A" w14:textId="3292EAF6" w:rsidR="00DB4611" w:rsidRPr="00EF7D4E" w:rsidRDefault="007C5E94" w:rsidP="00CB25E0">
      <w:pPr>
        <w:rPr>
          <w:szCs w:val="22"/>
        </w:rPr>
      </w:pPr>
      <w:r w:rsidRPr="00EF7D4E">
        <w:rPr>
          <w:szCs w:val="22"/>
        </w:rPr>
        <w:t xml:space="preserve">The </w:t>
      </w:r>
      <w:r w:rsidR="008743F1" w:rsidRPr="00EF7D4E">
        <w:rPr>
          <w:szCs w:val="22"/>
        </w:rPr>
        <w:t>National Code</w:t>
      </w:r>
      <w:r w:rsidRPr="00EF7D4E">
        <w:rPr>
          <w:szCs w:val="22"/>
        </w:rPr>
        <w:t xml:space="preserve"> advocates for a whole-of-</w:t>
      </w:r>
      <w:r w:rsidR="00351C08" w:rsidRPr="00EF7D4E">
        <w:rPr>
          <w:szCs w:val="22"/>
        </w:rPr>
        <w:t>organisati</w:t>
      </w:r>
      <w:r w:rsidRPr="00EF7D4E">
        <w:rPr>
          <w:szCs w:val="22"/>
        </w:rPr>
        <w:t>on approach</w:t>
      </w:r>
      <w:r w:rsidR="00344FFE">
        <w:rPr>
          <w:szCs w:val="22"/>
        </w:rPr>
        <w:t xml:space="preserve"> – integrating</w:t>
      </w:r>
      <w:r w:rsidR="00371CD2" w:rsidRPr="00EF7D4E">
        <w:rPr>
          <w:szCs w:val="22"/>
        </w:rPr>
        <w:t xml:space="preserve"> </w:t>
      </w:r>
      <w:r w:rsidRPr="00EF7D4E">
        <w:rPr>
          <w:szCs w:val="22"/>
        </w:rPr>
        <w:t xml:space="preserve">prevention, early intervention, response, and recovery across all levels of the organisation. To support this, the </w:t>
      </w:r>
      <w:r w:rsidR="0045480A">
        <w:rPr>
          <w:szCs w:val="22"/>
        </w:rPr>
        <w:t>d</w:t>
      </w:r>
      <w:r w:rsidRPr="00EF7D4E">
        <w:rPr>
          <w:szCs w:val="22"/>
        </w:rPr>
        <w:t>epartment will provide guidance and implementation support. However, sustained commitment and leadership will be essential to overcome inertia and drive meaningful change.</w:t>
      </w:r>
      <w:r w:rsidR="00C62AE1" w:rsidRPr="00EF7D4E">
        <w:rPr>
          <w:szCs w:val="22"/>
        </w:rPr>
        <w:br w:type="page"/>
      </w:r>
    </w:p>
    <w:p w14:paraId="2EFDFFEF" w14:textId="204C00A5" w:rsidR="00A11789" w:rsidRPr="00433E67" w:rsidRDefault="000B4FB1" w:rsidP="00371CD2">
      <w:pPr>
        <w:pStyle w:val="Heading1"/>
        <w:rPr>
          <w:b/>
          <w:bCs/>
        </w:rPr>
      </w:pPr>
      <w:bookmarkStart w:id="80" w:name="_Toc204699862"/>
      <w:bookmarkStart w:id="81" w:name="_Toc210050233"/>
      <w:r>
        <w:rPr>
          <w:b/>
          <w:bCs/>
        </w:rPr>
        <w:lastRenderedPageBreak/>
        <w:t xml:space="preserve">Chapter 3: </w:t>
      </w:r>
      <w:r w:rsidR="00AF5E48" w:rsidRPr="00433E67">
        <w:rPr>
          <w:b/>
          <w:bCs/>
        </w:rPr>
        <w:t>What policy options are you considering?</w:t>
      </w:r>
      <w:bookmarkEnd w:id="80"/>
      <w:bookmarkEnd w:id="81"/>
    </w:p>
    <w:p w14:paraId="41E9B7E9" w14:textId="32857CDE" w:rsidR="009107FC" w:rsidRPr="00EF7D4E" w:rsidRDefault="009107FC" w:rsidP="009107FC">
      <w:pPr>
        <w:rPr>
          <w:rFonts w:cs="Calibri"/>
          <w:szCs w:val="22"/>
        </w:rPr>
      </w:pPr>
      <w:r w:rsidRPr="00EF7D4E">
        <w:rPr>
          <w:rFonts w:cs="Calibri"/>
          <w:szCs w:val="22"/>
        </w:rPr>
        <w:t xml:space="preserve">In line with the Australian Government Guide to Policy Impact Analysis, three policy options have been considered to address the ongoing and systemic nature of </w:t>
      </w:r>
      <w:r w:rsidR="008223FC" w:rsidRPr="00EF7D4E">
        <w:rPr>
          <w:rFonts w:cs="Calibri"/>
          <w:szCs w:val="22"/>
        </w:rPr>
        <w:t>GBV</w:t>
      </w:r>
      <w:r w:rsidRPr="00EF7D4E">
        <w:rPr>
          <w:rFonts w:cs="Calibri"/>
          <w:szCs w:val="22"/>
        </w:rPr>
        <w:t xml:space="preserve"> in Australian Higher education sector. These options reflect a spectrum of intervention and have been assessed based on their ability to deliver measurable, system</w:t>
      </w:r>
      <w:r w:rsidR="00A22959">
        <w:rPr>
          <w:rFonts w:cs="Calibri"/>
          <w:szCs w:val="22"/>
        </w:rPr>
        <w:t>ic</w:t>
      </w:r>
      <w:r w:rsidRPr="00EF7D4E">
        <w:rPr>
          <w:rFonts w:cs="Calibri"/>
          <w:szCs w:val="22"/>
        </w:rPr>
        <w:t xml:space="preserve"> change that aligns with the Government’s commitments under the National Plan and Action Plan. </w:t>
      </w:r>
    </w:p>
    <w:p w14:paraId="1F6B9847" w14:textId="4C4E29D6" w:rsidR="00FF6953" w:rsidRDefault="009107FC" w:rsidP="003B20A8">
      <w:pPr>
        <w:pStyle w:val="ListParagraph"/>
        <w:numPr>
          <w:ilvl w:val="0"/>
          <w:numId w:val="31"/>
        </w:numPr>
        <w:spacing w:before="100" w:beforeAutospacing="1" w:after="100" w:afterAutospacing="1" w:line="259" w:lineRule="auto"/>
        <w:ind w:left="714" w:hanging="357"/>
        <w:contextualSpacing w:val="0"/>
        <w:rPr>
          <w:rFonts w:cs="Calibri"/>
          <w:szCs w:val="22"/>
        </w:rPr>
      </w:pPr>
      <w:r w:rsidRPr="00EF7D4E">
        <w:rPr>
          <w:rFonts w:cs="Calibri"/>
          <w:szCs w:val="22"/>
        </w:rPr>
        <w:t>Option 1</w:t>
      </w:r>
      <w:r w:rsidR="00FF6953">
        <w:rPr>
          <w:rFonts w:cs="Calibri"/>
          <w:szCs w:val="22"/>
        </w:rPr>
        <w:t xml:space="preserve"> – </w:t>
      </w:r>
      <w:r w:rsidR="00A22959">
        <w:rPr>
          <w:rFonts w:cs="Calibri"/>
          <w:szCs w:val="22"/>
        </w:rPr>
        <w:t>M</w:t>
      </w:r>
      <w:r w:rsidR="00FF6953">
        <w:rPr>
          <w:rFonts w:cs="Calibri"/>
          <w:szCs w:val="22"/>
        </w:rPr>
        <w:t>aintain the status quo</w:t>
      </w:r>
      <w:r w:rsidR="00447BAB">
        <w:rPr>
          <w:rFonts w:cs="Calibri"/>
          <w:szCs w:val="22"/>
        </w:rPr>
        <w:t>.</w:t>
      </w:r>
    </w:p>
    <w:p w14:paraId="66A09B90" w14:textId="6DA7CE55" w:rsidR="009107FC" w:rsidRPr="00EF7D4E" w:rsidRDefault="009107FC" w:rsidP="003B20A8">
      <w:pPr>
        <w:pStyle w:val="ListParagraph"/>
        <w:numPr>
          <w:ilvl w:val="0"/>
          <w:numId w:val="31"/>
        </w:numPr>
        <w:spacing w:before="100" w:beforeAutospacing="1" w:after="100" w:afterAutospacing="1" w:line="259" w:lineRule="auto"/>
        <w:ind w:left="714" w:hanging="357"/>
        <w:contextualSpacing w:val="0"/>
        <w:rPr>
          <w:rFonts w:cs="Calibri"/>
          <w:szCs w:val="22"/>
        </w:rPr>
      </w:pPr>
      <w:r w:rsidRPr="00EF7D4E">
        <w:rPr>
          <w:rFonts w:cs="Calibri"/>
          <w:szCs w:val="22"/>
        </w:rPr>
        <w:t>Option 2 –</w:t>
      </w:r>
      <w:r w:rsidR="00FF6953">
        <w:rPr>
          <w:rFonts w:cs="Calibri"/>
          <w:szCs w:val="22"/>
        </w:rPr>
        <w:t xml:space="preserve"> </w:t>
      </w:r>
      <w:r w:rsidRPr="00EF7D4E">
        <w:rPr>
          <w:rFonts w:cs="Calibri"/>
          <w:szCs w:val="22"/>
        </w:rPr>
        <w:t>Voluntary Self-</w:t>
      </w:r>
      <w:r w:rsidR="00945AAE">
        <w:rPr>
          <w:rFonts w:cs="Calibri"/>
          <w:szCs w:val="22"/>
        </w:rPr>
        <w:t>r</w:t>
      </w:r>
      <w:r w:rsidRPr="00EF7D4E">
        <w:rPr>
          <w:rFonts w:cs="Calibri"/>
          <w:szCs w:val="22"/>
        </w:rPr>
        <w:t xml:space="preserve">egulation through an optional </w:t>
      </w:r>
      <w:r w:rsidR="008743F1" w:rsidRPr="00EF7D4E">
        <w:rPr>
          <w:rFonts w:cs="Calibri"/>
          <w:szCs w:val="22"/>
        </w:rPr>
        <w:t>National Code</w:t>
      </w:r>
      <w:r w:rsidR="00447BAB">
        <w:rPr>
          <w:rFonts w:cs="Calibri"/>
          <w:szCs w:val="22"/>
        </w:rPr>
        <w:t>.</w:t>
      </w:r>
    </w:p>
    <w:p w14:paraId="3A7CDC53" w14:textId="59A379AE" w:rsidR="009107FC" w:rsidRPr="00EF7D4E" w:rsidRDefault="009107FC" w:rsidP="003B20A8">
      <w:pPr>
        <w:pStyle w:val="ListParagraph"/>
        <w:numPr>
          <w:ilvl w:val="0"/>
          <w:numId w:val="31"/>
        </w:numPr>
        <w:spacing w:before="100" w:beforeAutospacing="1" w:after="100" w:afterAutospacing="1" w:line="259" w:lineRule="auto"/>
        <w:ind w:left="714" w:hanging="357"/>
        <w:contextualSpacing w:val="0"/>
        <w:rPr>
          <w:rFonts w:cs="Calibri"/>
          <w:szCs w:val="22"/>
        </w:rPr>
      </w:pPr>
      <w:r w:rsidRPr="00EF7D4E">
        <w:rPr>
          <w:rFonts w:cs="Calibri"/>
          <w:szCs w:val="22"/>
        </w:rPr>
        <w:t>Option 3</w:t>
      </w:r>
      <w:r w:rsidR="00FF6953">
        <w:rPr>
          <w:rFonts w:cs="Calibri"/>
          <w:szCs w:val="22"/>
        </w:rPr>
        <w:t xml:space="preserve"> – </w:t>
      </w:r>
      <w:r w:rsidR="0051754D">
        <w:rPr>
          <w:rFonts w:cs="Calibri"/>
          <w:szCs w:val="22"/>
        </w:rPr>
        <w:t>Introduce</w:t>
      </w:r>
      <w:r w:rsidR="00FF6953">
        <w:rPr>
          <w:rFonts w:cs="Calibri"/>
          <w:szCs w:val="22"/>
        </w:rPr>
        <w:t xml:space="preserve"> </w:t>
      </w:r>
      <w:r w:rsidRPr="00EF7D4E">
        <w:rPr>
          <w:rFonts w:cs="Calibri"/>
          <w:szCs w:val="22"/>
        </w:rPr>
        <w:t xml:space="preserve">a Mandatory </w:t>
      </w:r>
      <w:r w:rsidR="008743F1" w:rsidRPr="00EF7D4E">
        <w:rPr>
          <w:rFonts w:cs="Calibri"/>
          <w:szCs w:val="22"/>
        </w:rPr>
        <w:t>National Code</w:t>
      </w:r>
      <w:r w:rsidRPr="00EF7D4E">
        <w:rPr>
          <w:rFonts w:cs="Calibri"/>
          <w:szCs w:val="22"/>
        </w:rPr>
        <w:t xml:space="preserve"> through legislation</w:t>
      </w:r>
      <w:r w:rsidR="00447BAB">
        <w:rPr>
          <w:rFonts w:cs="Calibri"/>
          <w:szCs w:val="22"/>
        </w:rPr>
        <w:t>.</w:t>
      </w:r>
    </w:p>
    <w:p w14:paraId="01E9F7F4" w14:textId="59914AAF" w:rsidR="009107FC" w:rsidRDefault="00530894" w:rsidP="00530894">
      <w:pPr>
        <w:pStyle w:val="Heading2"/>
      </w:pPr>
      <w:bookmarkStart w:id="82" w:name="_Toc204699863"/>
      <w:bookmarkStart w:id="83" w:name="_Toc210050234"/>
      <w:r>
        <w:t>Context for policy options</w:t>
      </w:r>
      <w:bookmarkEnd w:id="82"/>
      <w:bookmarkEnd w:id="83"/>
    </w:p>
    <w:p w14:paraId="7B9394CC" w14:textId="1DEECFC5" w:rsidR="00055EDA" w:rsidRPr="00EF7D4E" w:rsidRDefault="00055EDA" w:rsidP="00A3232F">
      <w:r w:rsidRPr="00EF7D4E">
        <w:t xml:space="preserve">The context for all options considered has been a range of whole-of-government commitments and calls to actions under the </w:t>
      </w:r>
      <w:r w:rsidR="003A069B" w:rsidRPr="00C91D65">
        <w:rPr>
          <w:szCs w:val="22"/>
        </w:rPr>
        <w:t xml:space="preserve">National Plan to End Violence against Women and Children </w:t>
      </w:r>
      <w:r w:rsidR="00424A2A">
        <w:rPr>
          <w:szCs w:val="22"/>
        </w:rPr>
        <w:t xml:space="preserve">   </w:t>
      </w:r>
      <w:r w:rsidR="003A069B" w:rsidRPr="00C91D65">
        <w:rPr>
          <w:szCs w:val="22"/>
        </w:rPr>
        <w:t>2022</w:t>
      </w:r>
      <w:r w:rsidR="00251C43" w:rsidRPr="003B20A8">
        <w:rPr>
          <w:rFonts w:cs="Open Sans"/>
          <w:b/>
          <w:bCs/>
          <w:color w:val="060F11"/>
          <w:szCs w:val="22"/>
          <w:shd w:val="clear" w:color="auto" w:fill="FFFFFF"/>
        </w:rPr>
        <w:t xml:space="preserve"> </w:t>
      </w:r>
      <w:r w:rsidR="00251C43" w:rsidRPr="003B20A8">
        <w:rPr>
          <w:rFonts w:cs="Arial"/>
          <w:color w:val="1F1F1F"/>
          <w:szCs w:val="22"/>
          <w:shd w:val="clear" w:color="auto" w:fill="FFFFFF"/>
        </w:rPr>
        <w:t>–</w:t>
      </w:r>
      <w:r w:rsidR="003A069B" w:rsidRPr="00C91D65">
        <w:rPr>
          <w:szCs w:val="22"/>
        </w:rPr>
        <w:t>2032</w:t>
      </w:r>
      <w:r w:rsidR="003A069B">
        <w:t>.</w:t>
      </w:r>
      <w:r w:rsidRPr="00EF7D4E">
        <w:t xml:space="preserve"> As discussed in </w:t>
      </w:r>
      <w:r w:rsidR="004424F4">
        <w:t>C</w:t>
      </w:r>
      <w:r w:rsidRPr="00EF7D4E">
        <w:t xml:space="preserve">hapter 2, all education ministers committed to the </w:t>
      </w:r>
      <w:r w:rsidR="005D56B4" w:rsidRPr="005D56B4">
        <w:t>Action Plan Addressing Gender-based Violence in Higher Education</w:t>
      </w:r>
      <w:r w:rsidR="00F96CB4">
        <w:t xml:space="preserve"> (The Plan)</w:t>
      </w:r>
      <w:r w:rsidRPr="00EF7D4E">
        <w:t>, a 10-year blueprint that sets out work needed to be undertaken to achieve this vision. This impact analysis directly corresponds to Action 3 of the Plan:</w:t>
      </w:r>
    </w:p>
    <w:p w14:paraId="67C03F28" w14:textId="22B81C4E" w:rsidR="00055EDA" w:rsidRPr="003B20A8" w:rsidRDefault="00055EDA" w:rsidP="003B20A8">
      <w:pPr>
        <w:pStyle w:val="Quote"/>
        <w:rPr>
          <w:color w:val="auto"/>
          <w:szCs w:val="22"/>
        </w:rPr>
      </w:pPr>
      <w:r w:rsidRPr="003B20A8">
        <w:rPr>
          <w:color w:val="auto"/>
          <w:szCs w:val="22"/>
        </w:rPr>
        <w:t xml:space="preserve">“The Australian Government will urgently strengthen provider accountability for systemic issues relating to </w:t>
      </w:r>
      <w:r w:rsidR="00B7771B" w:rsidRPr="003B20A8">
        <w:rPr>
          <w:color w:val="auto"/>
          <w:szCs w:val="22"/>
        </w:rPr>
        <w:t>GBV</w:t>
      </w:r>
      <w:r w:rsidRPr="003B20A8">
        <w:rPr>
          <w:color w:val="auto"/>
          <w:szCs w:val="22"/>
        </w:rPr>
        <w:t xml:space="preserve"> by introducing a new Higher Education </w:t>
      </w:r>
      <w:r w:rsidR="008743F1" w:rsidRPr="003B20A8">
        <w:rPr>
          <w:color w:val="auto"/>
          <w:szCs w:val="22"/>
        </w:rPr>
        <w:t>National Code</w:t>
      </w:r>
      <w:r w:rsidRPr="003B20A8">
        <w:rPr>
          <w:color w:val="auto"/>
          <w:szCs w:val="22"/>
        </w:rPr>
        <w:t xml:space="preserve"> to Prevent and Respond to </w:t>
      </w:r>
      <w:r w:rsidR="00B7771B" w:rsidRPr="003B20A8">
        <w:rPr>
          <w:color w:val="auto"/>
          <w:szCs w:val="22"/>
        </w:rPr>
        <w:t>GBV</w:t>
      </w:r>
      <w:r w:rsidRPr="003B20A8">
        <w:rPr>
          <w:color w:val="auto"/>
          <w:szCs w:val="22"/>
        </w:rPr>
        <w:t>”.</w:t>
      </w:r>
      <w:r w:rsidR="00910A34" w:rsidRPr="003B20A8">
        <w:rPr>
          <w:rStyle w:val="FootnoteReference"/>
          <w:rFonts w:cs="Calibri"/>
          <w:i w:val="0"/>
          <w:color w:val="auto"/>
          <w:szCs w:val="22"/>
        </w:rPr>
        <w:footnoteReference w:id="126"/>
      </w:r>
    </w:p>
    <w:p w14:paraId="257538E5" w14:textId="4684FFEC" w:rsidR="004701A0" w:rsidRPr="00EF7D4E" w:rsidRDefault="00055EDA" w:rsidP="00055EDA">
      <w:pPr>
        <w:rPr>
          <w:rFonts w:cs="Calibri"/>
          <w:szCs w:val="22"/>
        </w:rPr>
      </w:pPr>
      <w:r w:rsidRPr="00EF7D4E">
        <w:rPr>
          <w:rFonts w:cs="Calibri"/>
          <w:szCs w:val="22"/>
        </w:rPr>
        <w:t xml:space="preserve">The Plan outlines reform through some high-level rules and principles, such as whole-of-organisation approach, evidence-based prevention, respectful relationships education, trauma-informed and culturally support services and clear procedures for managing disclosures and investigations. </w:t>
      </w:r>
    </w:p>
    <w:p w14:paraId="26495137" w14:textId="32D366C8" w:rsidR="00055EDA" w:rsidRPr="00EF7D4E" w:rsidRDefault="00055EDA" w:rsidP="00055EDA">
      <w:pPr>
        <w:rPr>
          <w:rFonts w:cs="Calibri"/>
          <w:szCs w:val="22"/>
        </w:rPr>
      </w:pPr>
      <w:r w:rsidRPr="00EF7D4E">
        <w:rPr>
          <w:rFonts w:cs="Calibri"/>
          <w:b/>
          <w:bCs/>
          <w:szCs w:val="22"/>
        </w:rPr>
        <w:t>Option 1 – Maintain the Status Quo</w:t>
      </w:r>
      <w:r w:rsidRPr="00EF7D4E">
        <w:rPr>
          <w:rFonts w:cs="Calibri"/>
          <w:szCs w:val="22"/>
        </w:rPr>
        <w:br/>
        <w:t>This option was included in accordance with the Office of Impact Analysis (OIA) requirements, which mandate that the status quo be considered as a baseline for comparison. It provides a benchmark against which the costs, benefits, and effectiveness of alternative policy options can be assessed.</w:t>
      </w:r>
    </w:p>
    <w:p w14:paraId="65BD704A" w14:textId="05B19474" w:rsidR="00055EDA" w:rsidRPr="00EF7D4E" w:rsidRDefault="00055EDA" w:rsidP="00055EDA">
      <w:pPr>
        <w:rPr>
          <w:rFonts w:cs="Calibri"/>
          <w:szCs w:val="22"/>
        </w:rPr>
      </w:pPr>
      <w:r w:rsidRPr="00EF7D4E">
        <w:rPr>
          <w:rFonts w:cs="Calibri"/>
          <w:b/>
          <w:bCs/>
          <w:szCs w:val="22"/>
        </w:rPr>
        <w:t xml:space="preserve">Option 2 – Voluntary Self-Regulation via an Optional </w:t>
      </w:r>
      <w:r w:rsidR="008743F1" w:rsidRPr="00EF7D4E">
        <w:rPr>
          <w:rFonts w:cs="Calibri"/>
          <w:b/>
          <w:bCs/>
          <w:szCs w:val="22"/>
        </w:rPr>
        <w:t>National Code</w:t>
      </w:r>
      <w:r w:rsidRPr="00EF7D4E">
        <w:rPr>
          <w:rFonts w:cs="Calibri"/>
          <w:szCs w:val="22"/>
        </w:rPr>
        <w:br/>
        <w:t>This option reflects the recommendations outlined in the Action Plan and aims to minimise regulatory burden on the sector. It aligns with OIA guidance to include at least one non-regulatory alternative, offering a flexible approach that encourages industry-led change while preserving autonomy.</w:t>
      </w:r>
    </w:p>
    <w:p w14:paraId="4E0189B7" w14:textId="6C14AC83" w:rsidR="00055EDA" w:rsidRPr="00EF7D4E" w:rsidRDefault="00055EDA" w:rsidP="00055EDA">
      <w:pPr>
        <w:rPr>
          <w:rFonts w:cs="Calibri"/>
          <w:szCs w:val="22"/>
        </w:rPr>
      </w:pPr>
      <w:r w:rsidRPr="00EF7D4E">
        <w:rPr>
          <w:rFonts w:cs="Calibri"/>
          <w:b/>
          <w:bCs/>
          <w:szCs w:val="22"/>
        </w:rPr>
        <w:t xml:space="preserve">Option 3 – Mandatory </w:t>
      </w:r>
      <w:r w:rsidR="008743F1" w:rsidRPr="00EF7D4E">
        <w:rPr>
          <w:rFonts w:cs="Calibri"/>
          <w:b/>
          <w:bCs/>
          <w:szCs w:val="22"/>
        </w:rPr>
        <w:t>National Code</w:t>
      </w:r>
      <w:r w:rsidRPr="00EF7D4E">
        <w:rPr>
          <w:rFonts w:cs="Calibri"/>
          <w:b/>
          <w:bCs/>
          <w:szCs w:val="22"/>
        </w:rPr>
        <w:t xml:space="preserve"> via Legislation</w:t>
      </w:r>
      <w:r w:rsidRPr="00EF7D4E">
        <w:rPr>
          <w:rFonts w:cs="Calibri"/>
          <w:szCs w:val="22"/>
        </w:rPr>
        <w:br/>
        <w:t xml:space="preserve">This option directly responds to the Action Plan’s recommendations and represents a more robust regulatory intervention. It seeks to balance the potential regulatory impact with the </w:t>
      </w:r>
      <w:r w:rsidRPr="00EF7D4E">
        <w:rPr>
          <w:rFonts w:cs="Calibri"/>
          <w:szCs w:val="22"/>
        </w:rPr>
        <w:lastRenderedPageBreak/>
        <w:t xml:space="preserve">anticipated benefits of reducing </w:t>
      </w:r>
      <w:r w:rsidR="00100DD6" w:rsidRPr="00EF7D4E">
        <w:rPr>
          <w:rFonts w:cs="Calibri"/>
          <w:szCs w:val="22"/>
        </w:rPr>
        <w:t>gender-based violence</w:t>
      </w:r>
      <w:r w:rsidRPr="00EF7D4E">
        <w:rPr>
          <w:rFonts w:cs="Calibri"/>
          <w:szCs w:val="22"/>
        </w:rPr>
        <w:t>. These options represent an extensive range of feasible interventions available to government, including non-legislative and legislative pathways.</w:t>
      </w:r>
    </w:p>
    <w:p w14:paraId="0F98355C" w14:textId="6FF14112" w:rsidR="00055EDA" w:rsidRDefault="00055EDA" w:rsidP="00055EDA">
      <w:pPr>
        <w:pStyle w:val="Heading2"/>
      </w:pPr>
      <w:bookmarkStart w:id="84" w:name="_Toc204699864"/>
      <w:bookmarkStart w:id="85" w:name="_Toc210050235"/>
      <w:r>
        <w:t>Summary of each policy option against policy problems</w:t>
      </w:r>
      <w:bookmarkEnd w:id="84"/>
      <w:bookmarkEnd w:id="85"/>
      <w:r>
        <w:t xml:space="preserve"> </w:t>
      </w:r>
    </w:p>
    <w:p w14:paraId="1AD86061" w14:textId="79BD86A8" w:rsidR="00DB6DD7" w:rsidRPr="00EF7D4E" w:rsidRDefault="0038566D" w:rsidP="003B20A8">
      <w:pPr>
        <w:spacing w:after="240"/>
        <w:rPr>
          <w:szCs w:val="22"/>
        </w:rPr>
      </w:pPr>
      <w:r w:rsidRPr="00EF7D4E">
        <w:rPr>
          <w:szCs w:val="22"/>
        </w:rPr>
        <w:t xml:space="preserve">This impact analysis will consider each policy option against each element of the policy problem </w:t>
      </w:r>
      <w:r w:rsidR="00DB6DD7" w:rsidRPr="00EF7D4E">
        <w:rPr>
          <w:szCs w:val="22"/>
        </w:rPr>
        <w:t xml:space="preserve">outlined in </w:t>
      </w:r>
      <w:r w:rsidR="004424F4">
        <w:rPr>
          <w:szCs w:val="22"/>
        </w:rPr>
        <w:t>C</w:t>
      </w:r>
      <w:r w:rsidR="00DB6DD7" w:rsidRPr="00EF7D4E">
        <w:rPr>
          <w:szCs w:val="22"/>
        </w:rPr>
        <w:t xml:space="preserve">hapter 1. Below is a high-level comparative assessment summary. </w:t>
      </w:r>
    </w:p>
    <w:tbl>
      <w:tblPr>
        <w:tblStyle w:val="GridTable4-Accent1"/>
        <w:tblW w:w="8926" w:type="dxa"/>
        <w:tblLook w:val="04A0" w:firstRow="1" w:lastRow="0" w:firstColumn="1" w:lastColumn="0" w:noHBand="0" w:noVBand="1"/>
      </w:tblPr>
      <w:tblGrid>
        <w:gridCol w:w="1972"/>
        <w:gridCol w:w="1257"/>
        <w:gridCol w:w="2536"/>
        <w:gridCol w:w="3161"/>
      </w:tblGrid>
      <w:tr w:rsidR="00792EEC" w14:paraId="71FA29C2" w14:textId="77777777" w:rsidTr="002F4F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086B9005" w14:textId="77777777" w:rsidR="00DB6DD7" w:rsidRPr="00C96503" w:rsidRDefault="00DB6DD7" w:rsidP="00206331">
            <w:pPr>
              <w:rPr>
                <w:rFonts w:ascii="Aptos" w:hAnsi="Aptos" w:cs="Calibri"/>
                <w:sz w:val="20"/>
                <w:szCs w:val="20"/>
              </w:rPr>
            </w:pPr>
            <w:r>
              <w:rPr>
                <w:rFonts w:ascii="Aptos" w:hAnsi="Aptos" w:cs="Calibri"/>
                <w:sz w:val="20"/>
                <w:szCs w:val="20"/>
              </w:rPr>
              <w:t>Policy Problem</w:t>
            </w:r>
          </w:p>
        </w:tc>
        <w:tc>
          <w:tcPr>
            <w:tcW w:w="1265" w:type="dxa"/>
            <w:vAlign w:val="center"/>
          </w:tcPr>
          <w:p w14:paraId="2180CB50" w14:textId="5CE1AE08" w:rsidR="00DB6DD7" w:rsidRPr="00C96503" w:rsidRDefault="00DB6DD7" w:rsidP="00206331">
            <w:pPr>
              <w:cnfStyle w:val="100000000000" w:firstRow="1"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cs="Calibri"/>
                <w:sz w:val="20"/>
                <w:szCs w:val="20"/>
              </w:rPr>
              <w:t>1: Maintain status quo</w:t>
            </w:r>
          </w:p>
        </w:tc>
        <w:tc>
          <w:tcPr>
            <w:tcW w:w="2615" w:type="dxa"/>
            <w:vAlign w:val="center"/>
          </w:tcPr>
          <w:p w14:paraId="65047814" w14:textId="77777777" w:rsidR="00DB6DD7" w:rsidRPr="00C96503" w:rsidRDefault="00DB6DD7" w:rsidP="00206331">
            <w:pPr>
              <w:cnfStyle w:val="100000000000" w:firstRow="1"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cs="Calibri"/>
                <w:sz w:val="20"/>
                <w:szCs w:val="20"/>
              </w:rPr>
              <w:t xml:space="preserve">2: </w:t>
            </w:r>
            <w:r>
              <w:rPr>
                <w:rFonts w:ascii="Aptos" w:hAnsi="Aptos" w:cs="Calibri"/>
                <w:sz w:val="20"/>
                <w:szCs w:val="20"/>
              </w:rPr>
              <w:t>V</w:t>
            </w:r>
            <w:r w:rsidRPr="00C96503">
              <w:rPr>
                <w:rFonts w:ascii="Aptos" w:hAnsi="Aptos" w:cs="Calibri"/>
                <w:sz w:val="20"/>
                <w:szCs w:val="20"/>
              </w:rPr>
              <w:t xml:space="preserve">oluntary self-regulation </w:t>
            </w:r>
          </w:p>
        </w:tc>
        <w:tc>
          <w:tcPr>
            <w:tcW w:w="3261" w:type="dxa"/>
            <w:vAlign w:val="center"/>
          </w:tcPr>
          <w:p w14:paraId="777F840F" w14:textId="77777777" w:rsidR="00DB6DD7" w:rsidRPr="00C96503" w:rsidRDefault="00DB6DD7" w:rsidP="00206331">
            <w:pPr>
              <w:cnfStyle w:val="100000000000" w:firstRow="1"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cs="Calibri"/>
                <w:sz w:val="20"/>
                <w:szCs w:val="20"/>
              </w:rPr>
              <w:t xml:space="preserve">3: </w:t>
            </w:r>
            <w:r>
              <w:rPr>
                <w:rFonts w:ascii="Aptos" w:hAnsi="Aptos" w:cs="Calibri"/>
                <w:sz w:val="20"/>
                <w:szCs w:val="20"/>
              </w:rPr>
              <w:t>M</w:t>
            </w:r>
            <w:r w:rsidRPr="00C96503">
              <w:rPr>
                <w:rFonts w:ascii="Aptos" w:hAnsi="Aptos" w:cs="Calibri"/>
                <w:sz w:val="20"/>
                <w:szCs w:val="20"/>
              </w:rPr>
              <w:t xml:space="preserve">andatory </w:t>
            </w:r>
            <w:r w:rsidR="008743F1">
              <w:rPr>
                <w:rFonts w:ascii="Aptos" w:hAnsi="Aptos" w:cs="Calibri"/>
                <w:sz w:val="20"/>
                <w:szCs w:val="20"/>
              </w:rPr>
              <w:t>National Code</w:t>
            </w:r>
          </w:p>
        </w:tc>
      </w:tr>
      <w:tr w:rsidR="00792EEC" w14:paraId="57A6D246" w14:textId="77777777" w:rsidTr="00192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2520F07D" w14:textId="345BBD20" w:rsidR="00DB6DD7" w:rsidRPr="00C96503" w:rsidRDefault="008223FC" w:rsidP="00A62976">
            <w:pPr>
              <w:rPr>
                <w:rFonts w:ascii="Aptos Display" w:hAnsi="Aptos Display" w:cs="Calibri"/>
                <w:b w:val="0"/>
                <w:bCs w:val="0"/>
                <w:sz w:val="20"/>
                <w:szCs w:val="20"/>
              </w:rPr>
            </w:pPr>
            <w:r>
              <w:rPr>
                <w:rFonts w:ascii="Aptos Display" w:hAnsi="Aptos Display" w:cs="Calibri"/>
                <w:sz w:val="20"/>
                <w:szCs w:val="20"/>
              </w:rPr>
              <w:t>GBV</w:t>
            </w:r>
            <w:r w:rsidR="00DB6DD7">
              <w:rPr>
                <w:rFonts w:ascii="Aptos Display" w:hAnsi="Aptos Display" w:cs="Calibri"/>
                <w:sz w:val="20"/>
                <w:szCs w:val="20"/>
              </w:rPr>
              <w:t xml:space="preserve"> is prevalent, underreported, and inadequately addressed </w:t>
            </w:r>
          </w:p>
        </w:tc>
        <w:tc>
          <w:tcPr>
            <w:tcW w:w="1265" w:type="dxa"/>
            <w:vAlign w:val="center"/>
          </w:tcPr>
          <w:p w14:paraId="7BB6AC5F" w14:textId="15190639" w:rsidR="00DB6DD7" w:rsidRPr="00C96503" w:rsidRDefault="00DB6DD7" w:rsidP="00A62976">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Pr>
                <w:rFonts w:ascii="Aptos" w:hAnsi="Aptos" w:cs="Calibri"/>
                <w:sz w:val="20"/>
                <w:szCs w:val="20"/>
              </w:rPr>
              <w:t>Not a</w:t>
            </w:r>
            <w:r w:rsidR="00FF6953">
              <w:rPr>
                <w:rFonts w:ascii="Aptos" w:hAnsi="Aptos" w:cs="Calibri"/>
                <w:sz w:val="20"/>
                <w:szCs w:val="20"/>
              </w:rPr>
              <w:t>d</w:t>
            </w:r>
            <w:r>
              <w:rPr>
                <w:rFonts w:ascii="Aptos" w:hAnsi="Aptos" w:cs="Calibri"/>
                <w:sz w:val="20"/>
                <w:szCs w:val="20"/>
              </w:rPr>
              <w:t xml:space="preserve">dressed </w:t>
            </w:r>
          </w:p>
        </w:tc>
        <w:tc>
          <w:tcPr>
            <w:tcW w:w="2615" w:type="dxa"/>
            <w:vAlign w:val="center"/>
          </w:tcPr>
          <w:p w14:paraId="29FFA4DC" w14:textId="6AB283D9" w:rsidR="00DB6DD7" w:rsidRPr="00C96503" w:rsidRDefault="00DB6DD7" w:rsidP="00A62976">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Pr>
                <w:rFonts w:ascii="Aptos" w:hAnsi="Aptos" w:cs="Calibri"/>
                <w:sz w:val="20"/>
                <w:szCs w:val="20"/>
              </w:rPr>
              <w:t>Encourages provider</w:t>
            </w:r>
            <w:r w:rsidR="002F3919">
              <w:rPr>
                <w:rFonts w:ascii="Aptos" w:hAnsi="Aptos" w:cs="Calibri"/>
                <w:sz w:val="20"/>
                <w:szCs w:val="20"/>
              </w:rPr>
              <w:t>s</w:t>
            </w:r>
            <w:r>
              <w:rPr>
                <w:rFonts w:ascii="Aptos" w:hAnsi="Aptos" w:cs="Calibri"/>
                <w:sz w:val="20"/>
                <w:szCs w:val="20"/>
              </w:rPr>
              <w:t xml:space="preserve"> to adopt leading practices for prevention and response. </w:t>
            </w:r>
            <w:r w:rsidR="00D50A9F">
              <w:rPr>
                <w:rFonts w:ascii="Aptos" w:hAnsi="Aptos" w:cs="Calibri"/>
                <w:sz w:val="20"/>
                <w:szCs w:val="20"/>
              </w:rPr>
              <w:t>P</w:t>
            </w:r>
            <w:r>
              <w:rPr>
                <w:rFonts w:ascii="Aptos" w:hAnsi="Aptos" w:cs="Calibri"/>
                <w:sz w:val="20"/>
                <w:szCs w:val="20"/>
              </w:rPr>
              <w:t>romotes safer environments and improved systems</w:t>
            </w:r>
            <w:r w:rsidR="00D50A9F">
              <w:rPr>
                <w:rFonts w:ascii="Aptos" w:hAnsi="Aptos" w:cs="Calibri"/>
                <w:sz w:val="20"/>
                <w:szCs w:val="20"/>
              </w:rPr>
              <w:t>.</w:t>
            </w:r>
            <w:r>
              <w:rPr>
                <w:rFonts w:ascii="Aptos" w:hAnsi="Aptos" w:cs="Calibri"/>
                <w:sz w:val="20"/>
                <w:szCs w:val="20"/>
              </w:rPr>
              <w:t xml:space="preserve"> </w:t>
            </w:r>
          </w:p>
        </w:tc>
        <w:tc>
          <w:tcPr>
            <w:tcW w:w="3261" w:type="dxa"/>
            <w:vAlign w:val="center"/>
          </w:tcPr>
          <w:p w14:paraId="4F645893" w14:textId="77777777" w:rsidR="00DB6DD7" w:rsidRPr="00C96503" w:rsidRDefault="00DB6DD7" w:rsidP="00A62976">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Pr>
                <w:rFonts w:ascii="Aptos" w:hAnsi="Aptos" w:cs="Calibri"/>
                <w:sz w:val="20"/>
                <w:szCs w:val="20"/>
              </w:rPr>
              <w:t>Mandates comprehensive prevention and response across all HEPs and enforceable, to ensure it is adequately addressed and positioned to drive cultural change</w:t>
            </w:r>
            <w:r w:rsidRPr="00C96503">
              <w:rPr>
                <w:rFonts w:ascii="Aptos" w:hAnsi="Aptos" w:cs="Calibri"/>
                <w:sz w:val="20"/>
                <w:szCs w:val="20"/>
              </w:rPr>
              <w:t xml:space="preserve">  </w:t>
            </w:r>
          </w:p>
        </w:tc>
      </w:tr>
      <w:tr w:rsidR="00DB6DD7" w14:paraId="235A4D1B" w14:textId="77777777" w:rsidTr="0019294F">
        <w:tc>
          <w:tcPr>
            <w:cnfStyle w:val="001000000000" w:firstRow="0" w:lastRow="0" w:firstColumn="1" w:lastColumn="0" w:oddVBand="0" w:evenVBand="0" w:oddHBand="0" w:evenHBand="0" w:firstRowFirstColumn="0" w:firstRowLastColumn="0" w:lastRowFirstColumn="0" w:lastRowLastColumn="0"/>
            <w:tcW w:w="1785" w:type="dxa"/>
            <w:vAlign w:val="center"/>
          </w:tcPr>
          <w:p w14:paraId="35DD9D39" w14:textId="699B9122" w:rsidR="00DB6DD7" w:rsidRPr="00C96503" w:rsidRDefault="008223FC" w:rsidP="00A62976">
            <w:pPr>
              <w:rPr>
                <w:rFonts w:ascii="Aptos Display" w:hAnsi="Aptos Display" w:cs="Calibri"/>
                <w:b w:val="0"/>
                <w:bCs w:val="0"/>
                <w:sz w:val="20"/>
                <w:szCs w:val="20"/>
              </w:rPr>
            </w:pPr>
            <w:r>
              <w:rPr>
                <w:rFonts w:ascii="Aptos Display" w:hAnsi="Aptos Display" w:cs="Calibri"/>
                <w:sz w:val="20"/>
                <w:szCs w:val="20"/>
              </w:rPr>
              <w:t>GBV</w:t>
            </w:r>
            <w:r w:rsidR="00DB6DD7">
              <w:rPr>
                <w:rFonts w:ascii="Aptos Display" w:hAnsi="Aptos Display" w:cs="Calibri"/>
                <w:sz w:val="20"/>
                <w:szCs w:val="20"/>
              </w:rPr>
              <w:t xml:space="preserve"> impacts health, wellbeing, education and career outcomes</w:t>
            </w:r>
          </w:p>
        </w:tc>
        <w:tc>
          <w:tcPr>
            <w:tcW w:w="1265" w:type="dxa"/>
            <w:vAlign w:val="center"/>
          </w:tcPr>
          <w:p w14:paraId="11E56CBA" w14:textId="44D8E2DF" w:rsidR="00DB6DD7" w:rsidRPr="00C96503" w:rsidRDefault="00DB6DD7" w:rsidP="00A62976">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Pr>
                <w:rFonts w:ascii="Aptos" w:hAnsi="Aptos" w:cs="Calibri"/>
                <w:sz w:val="20"/>
                <w:szCs w:val="20"/>
              </w:rPr>
              <w:t>Not addressed</w:t>
            </w:r>
          </w:p>
        </w:tc>
        <w:tc>
          <w:tcPr>
            <w:tcW w:w="2615" w:type="dxa"/>
            <w:vAlign w:val="center"/>
          </w:tcPr>
          <w:p w14:paraId="2988C6F5" w14:textId="2C40AB27" w:rsidR="00DB6DD7" w:rsidRPr="00C96503" w:rsidRDefault="00DB6DD7" w:rsidP="00A62976">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Pr>
                <w:rFonts w:ascii="Aptos" w:hAnsi="Aptos" w:cs="Calibri"/>
                <w:sz w:val="20"/>
                <w:szCs w:val="20"/>
              </w:rPr>
              <w:t xml:space="preserve">Recommends trauma-informed, person-centred policies and access for students and staff. </w:t>
            </w:r>
            <w:r w:rsidR="002F3919">
              <w:rPr>
                <w:rFonts w:ascii="Aptos" w:hAnsi="Aptos" w:cs="Calibri"/>
                <w:sz w:val="20"/>
                <w:szCs w:val="20"/>
              </w:rPr>
              <w:t>P</w:t>
            </w:r>
            <w:r>
              <w:rPr>
                <w:rFonts w:ascii="Aptos" w:hAnsi="Aptos" w:cs="Calibri"/>
                <w:sz w:val="20"/>
                <w:szCs w:val="20"/>
              </w:rPr>
              <w:t xml:space="preserve">romotes risk assessments and support planning following disclosures. </w:t>
            </w:r>
          </w:p>
        </w:tc>
        <w:tc>
          <w:tcPr>
            <w:tcW w:w="3261" w:type="dxa"/>
            <w:vAlign w:val="center"/>
          </w:tcPr>
          <w:p w14:paraId="7F455EFF" w14:textId="77777777" w:rsidR="00DB6DD7" w:rsidRPr="00C96503" w:rsidRDefault="00DB6DD7" w:rsidP="00A62976">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Pr>
                <w:rFonts w:ascii="Aptos" w:hAnsi="Aptos" w:cs="Calibri"/>
                <w:sz w:val="20"/>
                <w:szCs w:val="20"/>
              </w:rPr>
              <w:t>Embeds trauma-informed, person-centred responses in all support services and policies. Requires risk assessments, support plans, timely outcomes, aiming to reduce harm and support recovery</w:t>
            </w:r>
          </w:p>
        </w:tc>
      </w:tr>
      <w:tr w:rsidR="00792EEC" w14:paraId="4811C137" w14:textId="77777777" w:rsidTr="00192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5A4CD102" w14:textId="772D1D66" w:rsidR="00DB6DD7" w:rsidRPr="00C96503" w:rsidRDefault="008223FC" w:rsidP="00A62976">
            <w:pPr>
              <w:rPr>
                <w:rFonts w:ascii="Aptos Display" w:hAnsi="Aptos Display" w:cs="Calibri"/>
                <w:b w:val="0"/>
                <w:bCs w:val="0"/>
                <w:sz w:val="20"/>
                <w:szCs w:val="20"/>
              </w:rPr>
            </w:pPr>
            <w:r>
              <w:rPr>
                <w:rFonts w:ascii="Aptos Display" w:hAnsi="Aptos Display" w:cs="Calibri"/>
                <w:sz w:val="20"/>
                <w:szCs w:val="20"/>
              </w:rPr>
              <w:t>GBV</w:t>
            </w:r>
            <w:r w:rsidR="00DB6DD7">
              <w:rPr>
                <w:rFonts w:ascii="Aptos Display" w:hAnsi="Aptos Display" w:cs="Calibri"/>
                <w:sz w:val="20"/>
                <w:szCs w:val="20"/>
              </w:rPr>
              <w:t xml:space="preserve"> disproportionately affects women </w:t>
            </w:r>
            <w:r w:rsidR="00442679">
              <w:rPr>
                <w:rFonts w:ascii="Aptos Display" w:hAnsi="Aptos Display" w:cs="Calibri"/>
                <w:sz w:val="20"/>
                <w:szCs w:val="20"/>
              </w:rPr>
              <w:t>and groups</w:t>
            </w:r>
            <w:r w:rsidR="00E70302">
              <w:rPr>
                <w:rFonts w:ascii="Aptos Display" w:hAnsi="Aptos Display" w:cs="Calibri"/>
                <w:sz w:val="20"/>
                <w:szCs w:val="20"/>
              </w:rPr>
              <w:t xml:space="preserve"> impacted by structural inequality</w:t>
            </w:r>
          </w:p>
        </w:tc>
        <w:tc>
          <w:tcPr>
            <w:tcW w:w="1265" w:type="dxa"/>
            <w:vAlign w:val="center"/>
          </w:tcPr>
          <w:p w14:paraId="4FFB2F83" w14:textId="3704B29E" w:rsidR="00DB6DD7" w:rsidRPr="00C96503" w:rsidRDefault="00DB6DD7" w:rsidP="00A62976">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Pr>
                <w:rFonts w:ascii="Aptos" w:hAnsi="Aptos" w:cs="Calibri"/>
                <w:sz w:val="20"/>
                <w:szCs w:val="20"/>
              </w:rPr>
              <w:t xml:space="preserve">Not addressed </w:t>
            </w:r>
          </w:p>
        </w:tc>
        <w:tc>
          <w:tcPr>
            <w:tcW w:w="2615" w:type="dxa"/>
            <w:vAlign w:val="center"/>
          </w:tcPr>
          <w:p w14:paraId="725AA31B" w14:textId="77777777" w:rsidR="00DB6DD7" w:rsidRPr="00C96503" w:rsidRDefault="00DB6DD7" w:rsidP="00A62976">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Pr>
                <w:rFonts w:ascii="Aptos" w:hAnsi="Aptos" w:cs="Calibri"/>
                <w:sz w:val="20"/>
                <w:szCs w:val="20"/>
              </w:rPr>
              <w:t>Encourages inclusive practices and culturally safe responses. Providers may choose to engage with diverse communities and co-design policies and training.</w:t>
            </w:r>
          </w:p>
        </w:tc>
        <w:tc>
          <w:tcPr>
            <w:tcW w:w="3261" w:type="dxa"/>
            <w:vAlign w:val="center"/>
          </w:tcPr>
          <w:p w14:paraId="1A303FF1" w14:textId="2B58F48F" w:rsidR="00DB6DD7" w:rsidRPr="00C96503" w:rsidRDefault="00DB6DD7" w:rsidP="00A62976">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Pr>
                <w:rFonts w:ascii="Aptos" w:hAnsi="Aptos" w:cs="Calibri"/>
                <w:sz w:val="20"/>
                <w:szCs w:val="20"/>
              </w:rPr>
              <w:t xml:space="preserve">Requires inclusive practices tailored to the needs of those disproportionately affected and to </w:t>
            </w:r>
            <w:r w:rsidR="00D67A18">
              <w:rPr>
                <w:rFonts w:ascii="Aptos" w:hAnsi="Aptos" w:cs="Calibri"/>
                <w:sz w:val="20"/>
                <w:szCs w:val="20"/>
              </w:rPr>
              <w:t>a</w:t>
            </w:r>
            <w:r>
              <w:rPr>
                <w:rFonts w:ascii="Aptos" w:hAnsi="Aptos" w:cs="Calibri"/>
                <w:sz w:val="20"/>
                <w:szCs w:val="20"/>
              </w:rPr>
              <w:t xml:space="preserve"> HEPs unique context. Providers must collaborate with student</w:t>
            </w:r>
            <w:r w:rsidR="00D67A18">
              <w:rPr>
                <w:rFonts w:ascii="Aptos" w:hAnsi="Aptos" w:cs="Calibri"/>
                <w:sz w:val="20"/>
                <w:szCs w:val="20"/>
              </w:rPr>
              <w:t>s</w:t>
            </w:r>
            <w:r>
              <w:rPr>
                <w:rFonts w:ascii="Aptos" w:hAnsi="Aptos" w:cs="Calibri"/>
                <w:sz w:val="20"/>
                <w:szCs w:val="20"/>
              </w:rPr>
              <w:t xml:space="preserve"> and staff, ensuring that prevention and response reflect their community. </w:t>
            </w:r>
          </w:p>
        </w:tc>
      </w:tr>
      <w:tr w:rsidR="00DB6DD7" w14:paraId="6E4B2CE8" w14:textId="77777777" w:rsidTr="0019294F">
        <w:tc>
          <w:tcPr>
            <w:cnfStyle w:val="001000000000" w:firstRow="0" w:lastRow="0" w:firstColumn="1" w:lastColumn="0" w:oddVBand="0" w:evenVBand="0" w:oddHBand="0" w:evenHBand="0" w:firstRowFirstColumn="0" w:firstRowLastColumn="0" w:lastRowFirstColumn="0" w:lastRowLastColumn="0"/>
            <w:tcW w:w="1785" w:type="dxa"/>
            <w:vAlign w:val="center"/>
          </w:tcPr>
          <w:p w14:paraId="6C2E2B73" w14:textId="2EA9899C" w:rsidR="00DB6DD7" w:rsidRPr="00C96503" w:rsidRDefault="00DB6DD7" w:rsidP="00A62976">
            <w:pPr>
              <w:rPr>
                <w:rFonts w:ascii="Aptos Display" w:hAnsi="Aptos Display" w:cs="Calibri"/>
                <w:b w:val="0"/>
                <w:bCs w:val="0"/>
                <w:sz w:val="20"/>
                <w:szCs w:val="20"/>
              </w:rPr>
            </w:pPr>
            <w:r>
              <w:rPr>
                <w:rFonts w:ascii="Aptos Display" w:hAnsi="Aptos Display" w:cs="Calibri"/>
                <w:sz w:val="20"/>
                <w:szCs w:val="20"/>
              </w:rPr>
              <w:t xml:space="preserve">Past measures have been </w:t>
            </w:r>
            <w:r w:rsidR="005A04CA">
              <w:rPr>
                <w:rFonts w:ascii="Aptos Display" w:hAnsi="Aptos Display" w:cs="Calibri"/>
                <w:sz w:val="20"/>
                <w:szCs w:val="20"/>
              </w:rPr>
              <w:t>reactive</w:t>
            </w:r>
            <w:r>
              <w:rPr>
                <w:rFonts w:ascii="Aptos Display" w:hAnsi="Aptos Display" w:cs="Calibri"/>
                <w:sz w:val="20"/>
                <w:szCs w:val="20"/>
              </w:rPr>
              <w:t>, inconsistent and failed to drive change</w:t>
            </w:r>
          </w:p>
        </w:tc>
        <w:tc>
          <w:tcPr>
            <w:tcW w:w="1265" w:type="dxa"/>
            <w:vAlign w:val="center"/>
          </w:tcPr>
          <w:p w14:paraId="4245DE20" w14:textId="350CE2B9" w:rsidR="00DB6DD7" w:rsidRPr="00C96503" w:rsidRDefault="00DB6DD7" w:rsidP="00A62976">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Pr>
                <w:rFonts w:ascii="Aptos" w:hAnsi="Aptos" w:cs="Calibri"/>
                <w:sz w:val="20"/>
                <w:szCs w:val="20"/>
              </w:rPr>
              <w:t>Not addressed</w:t>
            </w:r>
          </w:p>
        </w:tc>
        <w:tc>
          <w:tcPr>
            <w:tcW w:w="2615" w:type="dxa"/>
            <w:vAlign w:val="center"/>
          </w:tcPr>
          <w:p w14:paraId="0D675B81" w14:textId="77777777" w:rsidR="00DB6DD7" w:rsidRPr="00C96503" w:rsidRDefault="00DB6DD7" w:rsidP="00A62976">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Pr>
                <w:rFonts w:ascii="Aptos" w:hAnsi="Aptos" w:cs="Calibri"/>
                <w:sz w:val="20"/>
                <w:szCs w:val="20"/>
              </w:rPr>
              <w:t xml:space="preserve">Promotes a whole-of-organisation approach, accountable leadership and collaboration. Encourages providers to develop prevention plans and report progress. </w:t>
            </w:r>
          </w:p>
        </w:tc>
        <w:tc>
          <w:tcPr>
            <w:tcW w:w="3261" w:type="dxa"/>
            <w:vAlign w:val="center"/>
          </w:tcPr>
          <w:p w14:paraId="512E0A3A" w14:textId="79558B14" w:rsidR="00DB6DD7" w:rsidRPr="00C96503" w:rsidRDefault="00DB6DD7" w:rsidP="00A62976">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Pr>
                <w:rFonts w:ascii="Aptos" w:hAnsi="Aptos" w:cs="Calibri"/>
                <w:sz w:val="20"/>
                <w:szCs w:val="20"/>
              </w:rPr>
              <w:t>Establishes a whole-of-organisation approach with clear governance, planning, and evaluation requirements. Accountability sits with senior leadership</w:t>
            </w:r>
            <w:r w:rsidR="00211AB7">
              <w:rPr>
                <w:rFonts w:ascii="Aptos" w:hAnsi="Aptos" w:cs="Calibri"/>
                <w:sz w:val="20"/>
                <w:szCs w:val="20"/>
              </w:rPr>
              <w:t>. C</w:t>
            </w:r>
            <w:r>
              <w:rPr>
                <w:rFonts w:ascii="Aptos" w:hAnsi="Aptos" w:cs="Calibri"/>
                <w:sz w:val="20"/>
                <w:szCs w:val="20"/>
              </w:rPr>
              <w:t>ompliance is monitored through mandatory reporting to internal governing bodies and the department</w:t>
            </w:r>
            <w:r w:rsidR="00DE4C0E">
              <w:rPr>
                <w:rFonts w:ascii="Aptos" w:hAnsi="Aptos" w:cs="Calibri"/>
                <w:sz w:val="20"/>
                <w:szCs w:val="20"/>
              </w:rPr>
              <w:t>.</w:t>
            </w:r>
          </w:p>
        </w:tc>
      </w:tr>
      <w:tr w:rsidR="00792EEC" w14:paraId="63EC04DB" w14:textId="77777777" w:rsidTr="00192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vAlign w:val="center"/>
          </w:tcPr>
          <w:p w14:paraId="5506B851" w14:textId="77777777" w:rsidR="00DB6DD7" w:rsidRPr="00C96503" w:rsidRDefault="00DB6DD7" w:rsidP="00A62976">
            <w:pPr>
              <w:rPr>
                <w:rFonts w:ascii="Aptos Display" w:hAnsi="Aptos Display" w:cs="Calibri"/>
                <w:b w:val="0"/>
                <w:bCs w:val="0"/>
                <w:sz w:val="20"/>
                <w:szCs w:val="20"/>
              </w:rPr>
            </w:pPr>
            <w:r>
              <w:rPr>
                <w:rFonts w:ascii="Aptos Display" w:hAnsi="Aptos Display" w:cs="Calibri"/>
                <w:sz w:val="20"/>
                <w:szCs w:val="20"/>
              </w:rPr>
              <w:t>The lack of data limits understanding and accountability</w:t>
            </w:r>
          </w:p>
        </w:tc>
        <w:tc>
          <w:tcPr>
            <w:tcW w:w="1265" w:type="dxa"/>
            <w:vAlign w:val="center"/>
          </w:tcPr>
          <w:p w14:paraId="7DD9D4F6" w14:textId="4A62925F" w:rsidR="00DB6DD7" w:rsidRPr="00C96503" w:rsidRDefault="00DB6DD7" w:rsidP="00A62976">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Pr>
                <w:rFonts w:ascii="Aptos" w:hAnsi="Aptos" w:cs="Calibri"/>
                <w:sz w:val="20"/>
                <w:szCs w:val="20"/>
              </w:rPr>
              <w:t>Not addressed</w:t>
            </w:r>
          </w:p>
        </w:tc>
        <w:tc>
          <w:tcPr>
            <w:tcW w:w="2615" w:type="dxa"/>
            <w:vAlign w:val="center"/>
          </w:tcPr>
          <w:p w14:paraId="28CBE3E5" w14:textId="6B3AE932" w:rsidR="00DB6DD7" w:rsidRPr="00C96503" w:rsidRDefault="00DB6DD7" w:rsidP="00A62976">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Pr>
                <w:rFonts w:ascii="Aptos" w:hAnsi="Aptos" w:cs="Calibri"/>
                <w:sz w:val="20"/>
                <w:szCs w:val="20"/>
              </w:rPr>
              <w:t xml:space="preserve">Recommends trauma-informed data collection and voluntary reporting of de-identified data. May improve transparency for participating providers. Does not establish a consistent national evidence base </w:t>
            </w:r>
          </w:p>
        </w:tc>
        <w:tc>
          <w:tcPr>
            <w:tcW w:w="3261" w:type="dxa"/>
            <w:vAlign w:val="center"/>
          </w:tcPr>
          <w:p w14:paraId="30F28BDA" w14:textId="77777777" w:rsidR="00DB6DD7" w:rsidRPr="00C96503" w:rsidRDefault="00DB6DD7" w:rsidP="00A62976">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Pr>
                <w:rFonts w:ascii="Aptos" w:hAnsi="Aptos" w:cs="Calibri"/>
                <w:sz w:val="20"/>
                <w:szCs w:val="20"/>
              </w:rPr>
              <w:t xml:space="preserve">Mandates comprehensive data collection and annual reporting to the department. Builds a national dataset to monitor provider conduct and inform policy, ensuring transparency and comparability. </w:t>
            </w:r>
          </w:p>
        </w:tc>
      </w:tr>
      <w:tr w:rsidR="00DB6DD7" w14:paraId="55580D2D" w14:textId="77777777" w:rsidTr="0019294F">
        <w:tc>
          <w:tcPr>
            <w:cnfStyle w:val="001000000000" w:firstRow="0" w:lastRow="0" w:firstColumn="1" w:lastColumn="0" w:oddVBand="0" w:evenVBand="0" w:oddHBand="0" w:evenHBand="0" w:firstRowFirstColumn="0" w:firstRowLastColumn="0" w:lastRowFirstColumn="0" w:lastRowLastColumn="0"/>
            <w:tcW w:w="1785" w:type="dxa"/>
            <w:vAlign w:val="center"/>
          </w:tcPr>
          <w:p w14:paraId="70833D84" w14:textId="77777777" w:rsidR="00DB6DD7" w:rsidRPr="00C96503" w:rsidRDefault="00DB6DD7" w:rsidP="00A62976">
            <w:pPr>
              <w:rPr>
                <w:rFonts w:ascii="Aptos Display" w:hAnsi="Aptos Display" w:cs="Calibri"/>
                <w:b w:val="0"/>
                <w:bCs w:val="0"/>
                <w:sz w:val="20"/>
                <w:szCs w:val="20"/>
              </w:rPr>
            </w:pPr>
            <w:r>
              <w:rPr>
                <w:rFonts w:ascii="Aptos Display" w:hAnsi="Aptos Display" w:cs="Calibri"/>
                <w:sz w:val="20"/>
                <w:szCs w:val="20"/>
              </w:rPr>
              <w:t>The current regulatory framework is inadequate to ensure safety</w:t>
            </w:r>
          </w:p>
        </w:tc>
        <w:tc>
          <w:tcPr>
            <w:tcW w:w="1265" w:type="dxa"/>
            <w:vAlign w:val="center"/>
          </w:tcPr>
          <w:p w14:paraId="75DBE9BC" w14:textId="42962512" w:rsidR="00DB6DD7" w:rsidRPr="00C96503" w:rsidRDefault="00DB6DD7" w:rsidP="00A62976">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cs="Calibri"/>
                <w:sz w:val="20"/>
                <w:szCs w:val="20"/>
              </w:rPr>
              <w:t>No</w:t>
            </w:r>
            <w:r>
              <w:rPr>
                <w:rFonts w:ascii="Aptos" w:hAnsi="Aptos" w:cs="Calibri"/>
                <w:sz w:val="20"/>
                <w:szCs w:val="20"/>
              </w:rPr>
              <w:t>t addressed</w:t>
            </w:r>
          </w:p>
        </w:tc>
        <w:tc>
          <w:tcPr>
            <w:tcW w:w="2615" w:type="dxa"/>
            <w:vAlign w:val="center"/>
          </w:tcPr>
          <w:p w14:paraId="10A2CA02" w14:textId="77777777" w:rsidR="00DB6DD7" w:rsidRPr="00C96503" w:rsidRDefault="00DB6DD7" w:rsidP="00A62976">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Pr>
                <w:rFonts w:ascii="Aptos" w:hAnsi="Aptos" w:cs="Calibri"/>
                <w:sz w:val="20"/>
                <w:szCs w:val="20"/>
              </w:rPr>
              <w:t xml:space="preserve">This option does not introduce new regulatory mechanisms, but instead relies on guidance, partnerships and voluntary adoption. </w:t>
            </w:r>
          </w:p>
        </w:tc>
        <w:tc>
          <w:tcPr>
            <w:tcW w:w="3261" w:type="dxa"/>
            <w:vAlign w:val="center"/>
          </w:tcPr>
          <w:p w14:paraId="502C7A2E" w14:textId="77777777" w:rsidR="00DB6DD7" w:rsidRPr="00C96503" w:rsidRDefault="00DB6DD7" w:rsidP="00A62976">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Pr>
                <w:rFonts w:ascii="Aptos" w:hAnsi="Aptos" w:cs="Calibri"/>
                <w:sz w:val="20"/>
                <w:szCs w:val="20"/>
              </w:rPr>
              <w:t xml:space="preserve">Introduces a legally enforceable regulatory framework with strong powers. Ensures consistent standards across the sector and strengthens the regulatory environment to protect students and staff. </w:t>
            </w:r>
          </w:p>
        </w:tc>
      </w:tr>
    </w:tbl>
    <w:p w14:paraId="4ED97BB4" w14:textId="5B8A058B" w:rsidR="00DB6DD7" w:rsidRDefault="00693547" w:rsidP="00693547">
      <w:pPr>
        <w:pStyle w:val="Heading2"/>
      </w:pPr>
      <w:bookmarkStart w:id="86" w:name="_Toc204699865"/>
      <w:bookmarkStart w:id="87" w:name="_Toc210050236"/>
      <w:r>
        <w:lastRenderedPageBreak/>
        <w:t xml:space="preserve">Option 1 – </w:t>
      </w:r>
      <w:r w:rsidR="00B173F8">
        <w:t>M</w:t>
      </w:r>
      <w:r>
        <w:t>aintain the status quo</w:t>
      </w:r>
      <w:bookmarkEnd w:id="86"/>
      <w:bookmarkEnd w:id="87"/>
      <w:r>
        <w:t xml:space="preserve"> </w:t>
      </w:r>
    </w:p>
    <w:p w14:paraId="08447E52" w14:textId="77777777" w:rsidR="005D0B8C" w:rsidRPr="00EF7D4E" w:rsidRDefault="005D0B8C" w:rsidP="005D0B8C">
      <w:pPr>
        <w:spacing w:before="120" w:after="120" w:line="240" w:lineRule="auto"/>
        <w:rPr>
          <w:rFonts w:ascii="Aptos" w:hAnsi="Aptos" w:cs="Calibri"/>
          <w:szCs w:val="22"/>
        </w:rPr>
      </w:pPr>
      <w:r w:rsidRPr="00EF7D4E">
        <w:rPr>
          <w:rFonts w:ascii="Aptos" w:hAnsi="Aptos" w:cs="Calibri"/>
          <w:szCs w:val="22"/>
        </w:rPr>
        <w:t>Option 1 maintains existing legislative and regulatory arrangements and is included in accordance with OIAs requirements. It serves as a baseline for comparison and reflects the current operating environment for higher education providers. Providers would continue to operate under existing frameworks, including:</w:t>
      </w:r>
    </w:p>
    <w:p w14:paraId="46AED0FA" w14:textId="5A76797C" w:rsidR="005D0B8C" w:rsidRPr="00EF7D4E" w:rsidRDefault="005D0B8C" w:rsidP="00374E2E">
      <w:pPr>
        <w:pStyle w:val="ListParagraph"/>
        <w:numPr>
          <w:ilvl w:val="0"/>
          <w:numId w:val="32"/>
        </w:numPr>
        <w:spacing w:before="120" w:after="120" w:line="240" w:lineRule="auto"/>
        <w:rPr>
          <w:rFonts w:ascii="Aptos" w:hAnsi="Aptos" w:cs="Calibri"/>
          <w:szCs w:val="22"/>
        </w:rPr>
      </w:pPr>
      <w:r w:rsidRPr="00EF7D4E">
        <w:rPr>
          <w:rFonts w:ascii="Aptos" w:hAnsi="Aptos" w:cs="Calibri"/>
          <w:b/>
          <w:bCs/>
          <w:szCs w:val="22"/>
        </w:rPr>
        <w:t>Higher Education Standards Framework (Threshold Standards),</w:t>
      </w:r>
      <w:r w:rsidRPr="00EF7D4E">
        <w:rPr>
          <w:rFonts w:ascii="Aptos" w:hAnsi="Aptos" w:cs="Calibri"/>
          <w:szCs w:val="22"/>
        </w:rPr>
        <w:t xml:space="preserve"> which include broad requirements to promote a safe environment, ensure support services are offered and appropriately managed critical incidents</w:t>
      </w:r>
      <w:r w:rsidR="005E750C">
        <w:rPr>
          <w:rFonts w:ascii="Aptos" w:hAnsi="Aptos" w:cs="Calibri"/>
          <w:szCs w:val="22"/>
        </w:rPr>
        <w:t>.</w:t>
      </w:r>
    </w:p>
    <w:p w14:paraId="3B93E1B5" w14:textId="00B9296A" w:rsidR="005D0B8C" w:rsidRPr="00EF7D4E" w:rsidRDefault="005D0B8C" w:rsidP="00374E2E">
      <w:pPr>
        <w:pStyle w:val="ListParagraph"/>
        <w:numPr>
          <w:ilvl w:val="0"/>
          <w:numId w:val="32"/>
        </w:numPr>
        <w:spacing w:before="120" w:after="120" w:line="240" w:lineRule="auto"/>
        <w:rPr>
          <w:rFonts w:ascii="Aptos" w:hAnsi="Aptos" w:cs="Calibri"/>
          <w:szCs w:val="22"/>
        </w:rPr>
      </w:pPr>
      <w:r w:rsidRPr="00EF7D4E">
        <w:rPr>
          <w:rFonts w:ascii="Aptos" w:hAnsi="Aptos" w:cs="Calibri"/>
          <w:b/>
          <w:bCs/>
          <w:szCs w:val="22"/>
        </w:rPr>
        <w:t xml:space="preserve">ESOS </w:t>
      </w:r>
      <w:r w:rsidR="008743F1" w:rsidRPr="00EF7D4E">
        <w:rPr>
          <w:rFonts w:ascii="Aptos" w:hAnsi="Aptos" w:cs="Calibri"/>
          <w:b/>
          <w:bCs/>
          <w:szCs w:val="22"/>
        </w:rPr>
        <w:t>National Code</w:t>
      </w:r>
      <w:r w:rsidRPr="00EF7D4E">
        <w:rPr>
          <w:rFonts w:ascii="Aptos" w:hAnsi="Aptos" w:cs="Calibri"/>
          <w:b/>
          <w:bCs/>
          <w:szCs w:val="22"/>
        </w:rPr>
        <w:t>,</w:t>
      </w:r>
      <w:r w:rsidRPr="00EF7D4E">
        <w:rPr>
          <w:rFonts w:ascii="Aptos" w:hAnsi="Aptos" w:cs="Calibri"/>
          <w:szCs w:val="22"/>
        </w:rPr>
        <w:t xml:space="preserve"> which obliges providers to take all reasonable steps to provide a safe environment on campus and advise overseas students on actions they can take to enhance their personal security and safety. </w:t>
      </w:r>
    </w:p>
    <w:p w14:paraId="3346C342" w14:textId="0D7FF3D0" w:rsidR="005D0B8C" w:rsidRPr="00EF7D4E" w:rsidRDefault="005D0B8C" w:rsidP="00374E2E">
      <w:pPr>
        <w:pStyle w:val="ListParagraph"/>
        <w:numPr>
          <w:ilvl w:val="0"/>
          <w:numId w:val="32"/>
        </w:numPr>
        <w:spacing w:before="120" w:after="120" w:line="240" w:lineRule="auto"/>
        <w:rPr>
          <w:rFonts w:ascii="Aptos" w:hAnsi="Aptos" w:cs="Calibri"/>
          <w:szCs w:val="22"/>
        </w:rPr>
      </w:pPr>
      <w:r w:rsidRPr="00EF7D4E">
        <w:rPr>
          <w:rFonts w:ascii="Aptos" w:hAnsi="Aptos" w:cs="Calibri"/>
          <w:b/>
          <w:bCs/>
          <w:szCs w:val="22"/>
        </w:rPr>
        <w:t xml:space="preserve">Sex Discrimination Act </w:t>
      </w:r>
      <w:r w:rsidRPr="00EF7D4E">
        <w:rPr>
          <w:rFonts w:ascii="Aptos" w:hAnsi="Aptos" w:cs="Calibri"/>
          <w:szCs w:val="22"/>
        </w:rPr>
        <w:t>including Positive Duty obligations</w:t>
      </w:r>
      <w:r w:rsidR="005E750C">
        <w:rPr>
          <w:rFonts w:ascii="Aptos" w:hAnsi="Aptos" w:cs="Calibri"/>
          <w:szCs w:val="22"/>
        </w:rPr>
        <w:t>.</w:t>
      </w:r>
    </w:p>
    <w:p w14:paraId="3CBD8109" w14:textId="77777777" w:rsidR="005D0B8C" w:rsidRPr="00EF7D4E" w:rsidRDefault="005D0B8C" w:rsidP="00374E2E">
      <w:pPr>
        <w:pStyle w:val="ListParagraph"/>
        <w:numPr>
          <w:ilvl w:val="0"/>
          <w:numId w:val="32"/>
        </w:numPr>
        <w:spacing w:before="120" w:after="120" w:line="240" w:lineRule="auto"/>
        <w:rPr>
          <w:rFonts w:ascii="Aptos" w:hAnsi="Aptos" w:cs="Calibri"/>
          <w:szCs w:val="22"/>
        </w:rPr>
      </w:pPr>
      <w:r w:rsidRPr="00EF7D4E">
        <w:rPr>
          <w:rFonts w:ascii="Aptos" w:hAnsi="Aptos" w:cs="Calibri"/>
          <w:b/>
          <w:bCs/>
          <w:szCs w:val="22"/>
        </w:rPr>
        <w:t>Work Health and Safety legislation (WHS)</w:t>
      </w:r>
    </w:p>
    <w:p w14:paraId="76A718CF" w14:textId="23DED3D9" w:rsidR="004520AF" w:rsidRPr="00C41A54" w:rsidRDefault="005D0B8C" w:rsidP="00C41A54">
      <w:pPr>
        <w:spacing w:before="120" w:after="120" w:line="276" w:lineRule="auto"/>
        <w:rPr>
          <w:rFonts w:ascii="Aptos" w:hAnsi="Aptos" w:cs="Calibri"/>
          <w:szCs w:val="22"/>
        </w:rPr>
      </w:pPr>
      <w:r w:rsidRPr="00EF7D4E">
        <w:rPr>
          <w:rFonts w:ascii="Aptos" w:hAnsi="Aptos" w:cs="Calibri"/>
          <w:szCs w:val="22"/>
        </w:rPr>
        <w:t xml:space="preserve">Providers </w:t>
      </w:r>
      <w:r w:rsidR="006B296A">
        <w:rPr>
          <w:rFonts w:ascii="Aptos" w:hAnsi="Aptos" w:cs="Calibri"/>
          <w:szCs w:val="22"/>
        </w:rPr>
        <w:t>will</w:t>
      </w:r>
      <w:r w:rsidRPr="00EF7D4E">
        <w:rPr>
          <w:rFonts w:ascii="Aptos" w:hAnsi="Aptos" w:cs="Calibri"/>
          <w:szCs w:val="22"/>
        </w:rPr>
        <w:t xml:space="preserve"> also continue voluntary initiatives such as Respect.Now.Always and Universities Australia’s Charter on Sexual Harm. While these instruments and initiatives establish minimum obligations and promote safety, they do not comprehensively or consistently address the systemic nature of </w:t>
      </w:r>
      <w:r w:rsidR="008223FC" w:rsidRPr="00EF7D4E">
        <w:rPr>
          <w:rFonts w:ascii="Aptos" w:hAnsi="Aptos" w:cs="Calibri"/>
          <w:szCs w:val="22"/>
        </w:rPr>
        <w:t>GBV</w:t>
      </w:r>
      <w:r w:rsidRPr="00EF7D4E">
        <w:rPr>
          <w:rFonts w:ascii="Aptos" w:hAnsi="Aptos" w:cs="Calibri"/>
          <w:szCs w:val="22"/>
        </w:rPr>
        <w:t>. Nonetheless, this option does engage with the policy objectives to a limited extent by maintaining existing protections and sector-led efforts.</w:t>
      </w:r>
      <w:r w:rsidR="00CE7C51">
        <w:rPr>
          <w:rFonts w:ascii="Aptos" w:hAnsi="Aptos" w:cs="Calibri"/>
          <w:szCs w:val="22"/>
        </w:rPr>
        <w:t xml:space="preserve"> </w:t>
      </w:r>
      <w:r w:rsidR="0080084D">
        <w:rPr>
          <w:rFonts w:ascii="Aptos" w:hAnsi="Aptos" w:cs="Calibri"/>
          <w:szCs w:val="22"/>
        </w:rPr>
        <w:t>From</w:t>
      </w:r>
      <w:r w:rsidR="004520AF">
        <w:rPr>
          <w:rFonts w:ascii="Aptos" w:hAnsi="Aptos" w:cs="Calibri"/>
          <w:szCs w:val="22"/>
        </w:rPr>
        <w:t xml:space="preserve"> 1 February 2025</w:t>
      </w:r>
      <w:r w:rsidR="00CA51D6">
        <w:rPr>
          <w:rFonts w:ascii="Aptos" w:hAnsi="Aptos" w:cs="Calibri"/>
          <w:szCs w:val="22"/>
        </w:rPr>
        <w:t>, s</w:t>
      </w:r>
      <w:r w:rsidR="004520AF">
        <w:rPr>
          <w:rFonts w:ascii="Aptos" w:hAnsi="Aptos" w:cs="Calibri"/>
          <w:szCs w:val="22"/>
        </w:rPr>
        <w:t xml:space="preserve">tudents </w:t>
      </w:r>
      <w:r w:rsidR="00CA51D6">
        <w:rPr>
          <w:rFonts w:ascii="Aptos" w:hAnsi="Aptos" w:cs="Calibri"/>
          <w:szCs w:val="22"/>
        </w:rPr>
        <w:t>can make a complaint</w:t>
      </w:r>
      <w:r w:rsidR="004520AF">
        <w:rPr>
          <w:rFonts w:ascii="Aptos" w:hAnsi="Aptos" w:cs="Calibri"/>
          <w:szCs w:val="22"/>
        </w:rPr>
        <w:t xml:space="preserve"> to the National Student Ombudsman</w:t>
      </w:r>
      <w:r w:rsidR="00E24071">
        <w:rPr>
          <w:rFonts w:ascii="Aptos" w:hAnsi="Aptos" w:cs="Calibri"/>
          <w:szCs w:val="22"/>
        </w:rPr>
        <w:t xml:space="preserve"> (</w:t>
      </w:r>
      <w:r w:rsidR="00AB11D8">
        <w:rPr>
          <w:rFonts w:ascii="Aptos" w:hAnsi="Aptos" w:cs="Calibri"/>
          <w:szCs w:val="22"/>
        </w:rPr>
        <w:t>NSO</w:t>
      </w:r>
      <w:r w:rsidR="00E24071">
        <w:rPr>
          <w:rFonts w:ascii="Aptos" w:hAnsi="Aptos" w:cs="Calibri"/>
          <w:szCs w:val="22"/>
        </w:rPr>
        <w:t>),</w:t>
      </w:r>
      <w:r w:rsidR="00AB11D8">
        <w:rPr>
          <w:rFonts w:ascii="Aptos" w:hAnsi="Aptos" w:cs="Calibri"/>
          <w:szCs w:val="22"/>
        </w:rPr>
        <w:t xml:space="preserve"> designed for students to escalate their complaints about a</w:t>
      </w:r>
      <w:r w:rsidR="00374CBD">
        <w:rPr>
          <w:rFonts w:ascii="Aptos" w:hAnsi="Aptos" w:cs="Calibri"/>
          <w:szCs w:val="22"/>
        </w:rPr>
        <w:t xml:space="preserve"> HEP</w:t>
      </w:r>
      <w:r w:rsidR="00A4101F">
        <w:rPr>
          <w:rFonts w:ascii="Aptos" w:hAnsi="Aptos" w:cs="Calibri"/>
          <w:szCs w:val="22"/>
        </w:rPr>
        <w:t xml:space="preserve">. The NSO is a key action of the </w:t>
      </w:r>
      <w:r w:rsidR="00D25F71" w:rsidRPr="009B0D59">
        <w:rPr>
          <w:rFonts w:ascii="Aptos" w:eastAsia="Aptos" w:hAnsi="Aptos" w:cs="Calibri"/>
          <w:i/>
          <w:iCs/>
        </w:rPr>
        <w:t>Action Plan Addressing G</w:t>
      </w:r>
      <w:r w:rsidR="00D25F71">
        <w:rPr>
          <w:rFonts w:ascii="Aptos" w:eastAsia="Aptos" w:hAnsi="Aptos" w:cs="Calibri"/>
          <w:i/>
          <w:iCs/>
        </w:rPr>
        <w:t xml:space="preserve">ender-based </w:t>
      </w:r>
      <w:r w:rsidR="00D25F71" w:rsidRPr="009B0D59">
        <w:rPr>
          <w:rFonts w:ascii="Aptos" w:eastAsia="Aptos" w:hAnsi="Aptos" w:cs="Calibri"/>
          <w:i/>
          <w:iCs/>
        </w:rPr>
        <w:t>V</w:t>
      </w:r>
      <w:r w:rsidR="00D25F71">
        <w:rPr>
          <w:rFonts w:ascii="Aptos" w:eastAsia="Aptos" w:hAnsi="Aptos" w:cs="Calibri"/>
          <w:i/>
          <w:iCs/>
        </w:rPr>
        <w:t>iolence</w:t>
      </w:r>
      <w:r w:rsidR="00D25F71" w:rsidRPr="009B0D59">
        <w:rPr>
          <w:rFonts w:ascii="Aptos" w:eastAsia="Aptos" w:hAnsi="Aptos" w:cs="Calibri"/>
          <w:i/>
          <w:iCs/>
        </w:rPr>
        <w:t xml:space="preserve"> in Higher Education</w:t>
      </w:r>
      <w:r w:rsidR="00E97988">
        <w:rPr>
          <w:rFonts w:ascii="Aptos" w:eastAsia="Aptos" w:hAnsi="Aptos" w:cs="Calibri"/>
          <w:i/>
          <w:iCs/>
        </w:rPr>
        <w:t xml:space="preserve">, </w:t>
      </w:r>
      <w:r w:rsidR="00E97988">
        <w:rPr>
          <w:rFonts w:ascii="Aptos" w:eastAsia="Aptos" w:hAnsi="Aptos" w:cs="Calibri"/>
        </w:rPr>
        <w:t>but is limited in its capacity to address GBV alone</w:t>
      </w:r>
      <w:r w:rsidR="0038591B">
        <w:rPr>
          <w:rFonts w:ascii="Aptos" w:eastAsia="Aptos" w:hAnsi="Aptos" w:cs="Calibri"/>
        </w:rPr>
        <w:t xml:space="preserve">, as the </w:t>
      </w:r>
      <w:r w:rsidR="00D96236">
        <w:rPr>
          <w:rFonts w:ascii="Aptos" w:eastAsia="Aptos" w:hAnsi="Aptos" w:cs="Calibri"/>
        </w:rPr>
        <w:t>NSO:</w:t>
      </w:r>
    </w:p>
    <w:p w14:paraId="26618E34" w14:textId="05D6FCA9" w:rsidR="00BA7597" w:rsidRDefault="00C90ABA" w:rsidP="00654C44">
      <w:pPr>
        <w:pStyle w:val="ListParagraph"/>
        <w:numPr>
          <w:ilvl w:val="0"/>
          <w:numId w:val="214"/>
        </w:numPr>
        <w:rPr>
          <w:rFonts w:cs="Calibri"/>
          <w:szCs w:val="22"/>
        </w:rPr>
      </w:pPr>
      <w:r>
        <w:rPr>
          <w:rFonts w:cs="Calibri"/>
          <w:szCs w:val="22"/>
        </w:rPr>
        <w:t>o</w:t>
      </w:r>
      <w:r w:rsidR="00BA7597">
        <w:rPr>
          <w:rFonts w:cs="Calibri"/>
          <w:szCs w:val="22"/>
        </w:rPr>
        <w:t>nly relates to student complaints</w:t>
      </w:r>
      <w:r w:rsidR="00D96236">
        <w:rPr>
          <w:rFonts w:cs="Calibri"/>
          <w:szCs w:val="22"/>
        </w:rPr>
        <w:t xml:space="preserve"> and does</w:t>
      </w:r>
      <w:r w:rsidR="00BA7597">
        <w:rPr>
          <w:rFonts w:cs="Calibri"/>
          <w:szCs w:val="22"/>
        </w:rPr>
        <w:t xml:space="preserve"> not </w:t>
      </w:r>
      <w:r w:rsidR="00D96236">
        <w:rPr>
          <w:rFonts w:cs="Calibri"/>
          <w:szCs w:val="22"/>
        </w:rPr>
        <w:t xml:space="preserve">include </w:t>
      </w:r>
      <w:r w:rsidR="00BA7597">
        <w:rPr>
          <w:rFonts w:cs="Calibri"/>
          <w:szCs w:val="22"/>
        </w:rPr>
        <w:t>staff members</w:t>
      </w:r>
    </w:p>
    <w:p w14:paraId="07992946" w14:textId="4DABC051" w:rsidR="00BA7597" w:rsidRPr="00C52376" w:rsidRDefault="00C90ABA" w:rsidP="00BA7597">
      <w:pPr>
        <w:pStyle w:val="ListParagraph"/>
        <w:numPr>
          <w:ilvl w:val="0"/>
          <w:numId w:val="214"/>
        </w:numPr>
        <w:rPr>
          <w:rFonts w:cs="Calibri"/>
          <w:szCs w:val="22"/>
        </w:rPr>
      </w:pPr>
      <w:r>
        <w:rPr>
          <w:rFonts w:cs="Calibri"/>
          <w:szCs w:val="22"/>
        </w:rPr>
        <w:t>i</w:t>
      </w:r>
      <w:r w:rsidR="00D96236">
        <w:rPr>
          <w:rFonts w:cs="Calibri"/>
          <w:szCs w:val="22"/>
        </w:rPr>
        <w:t>s designed for general complaints</w:t>
      </w:r>
      <w:r w:rsidR="0091393A">
        <w:rPr>
          <w:rFonts w:cs="Calibri"/>
          <w:szCs w:val="22"/>
        </w:rPr>
        <w:t>, not for GBV specific complaints</w:t>
      </w:r>
      <w:r w:rsidR="00D96236">
        <w:rPr>
          <w:rFonts w:cs="Calibri"/>
          <w:szCs w:val="22"/>
        </w:rPr>
        <w:t xml:space="preserve"> (</w:t>
      </w:r>
      <w:r w:rsidR="0091393A">
        <w:rPr>
          <w:rFonts w:cs="Calibri"/>
          <w:szCs w:val="22"/>
        </w:rPr>
        <w:t xml:space="preserve">although it can receive </w:t>
      </w:r>
      <w:r w:rsidR="00D96236">
        <w:rPr>
          <w:rFonts w:cs="Calibri"/>
          <w:szCs w:val="22"/>
        </w:rPr>
        <w:t>complaint</w:t>
      </w:r>
      <w:r w:rsidR="0091393A">
        <w:rPr>
          <w:rFonts w:cs="Calibri"/>
          <w:szCs w:val="22"/>
        </w:rPr>
        <w:t>s</w:t>
      </w:r>
      <w:r w:rsidR="00D96236">
        <w:rPr>
          <w:rFonts w:cs="Calibri"/>
          <w:szCs w:val="22"/>
        </w:rPr>
        <w:t xml:space="preserve"> related to GBV)</w:t>
      </w:r>
    </w:p>
    <w:p w14:paraId="10E9EF42" w14:textId="172ABC4E" w:rsidR="00981F91" w:rsidRPr="00C52376" w:rsidRDefault="00052E9C" w:rsidP="00BA7597">
      <w:pPr>
        <w:pStyle w:val="ListParagraph"/>
        <w:numPr>
          <w:ilvl w:val="0"/>
          <w:numId w:val="214"/>
        </w:numPr>
        <w:rPr>
          <w:rFonts w:cs="Calibri"/>
          <w:szCs w:val="22"/>
        </w:rPr>
      </w:pPr>
      <w:r>
        <w:rPr>
          <w:rFonts w:cs="Calibri"/>
          <w:szCs w:val="22"/>
        </w:rPr>
        <w:t xml:space="preserve">lacks enforcement powers and </w:t>
      </w:r>
      <w:r w:rsidR="00981F91">
        <w:rPr>
          <w:rFonts w:cs="Calibri"/>
          <w:szCs w:val="22"/>
        </w:rPr>
        <w:t>can</w:t>
      </w:r>
      <w:r>
        <w:rPr>
          <w:rFonts w:cs="Calibri"/>
          <w:szCs w:val="22"/>
        </w:rPr>
        <w:t xml:space="preserve"> only make</w:t>
      </w:r>
      <w:r w:rsidR="00981F91">
        <w:rPr>
          <w:rFonts w:cs="Calibri"/>
          <w:szCs w:val="22"/>
        </w:rPr>
        <w:t xml:space="preserve"> recommendations</w:t>
      </w:r>
    </w:p>
    <w:p w14:paraId="4F03FDAF" w14:textId="46F604C3" w:rsidR="00661461" w:rsidRPr="00C52376" w:rsidRDefault="00052E9C" w:rsidP="00BA7597">
      <w:pPr>
        <w:pStyle w:val="ListParagraph"/>
        <w:numPr>
          <w:ilvl w:val="0"/>
          <w:numId w:val="214"/>
        </w:numPr>
        <w:rPr>
          <w:rFonts w:cs="Calibri"/>
          <w:szCs w:val="22"/>
        </w:rPr>
      </w:pPr>
      <w:r>
        <w:rPr>
          <w:rFonts w:cs="Calibri"/>
          <w:szCs w:val="22"/>
        </w:rPr>
        <w:t xml:space="preserve">can only act on complaints received by </w:t>
      </w:r>
      <w:r w:rsidR="00661461">
        <w:rPr>
          <w:rFonts w:cs="Calibri"/>
          <w:szCs w:val="22"/>
        </w:rPr>
        <w:t xml:space="preserve">individual students </w:t>
      </w:r>
    </w:p>
    <w:p w14:paraId="656F1C2B" w14:textId="3FD8B81F" w:rsidR="009B18F6" w:rsidRPr="00C52376" w:rsidRDefault="009B18F6" w:rsidP="00BA7597">
      <w:pPr>
        <w:pStyle w:val="ListParagraph"/>
        <w:numPr>
          <w:ilvl w:val="0"/>
          <w:numId w:val="214"/>
        </w:numPr>
        <w:rPr>
          <w:rFonts w:cs="Calibri"/>
          <w:szCs w:val="22"/>
        </w:rPr>
      </w:pPr>
      <w:r>
        <w:rPr>
          <w:rFonts w:cs="Calibri"/>
          <w:szCs w:val="22"/>
        </w:rPr>
        <w:t>does not address prevention of GBV</w:t>
      </w:r>
      <w:r w:rsidR="00052E9C">
        <w:rPr>
          <w:rFonts w:cs="Calibri"/>
          <w:szCs w:val="22"/>
        </w:rPr>
        <w:t>, rather</w:t>
      </w:r>
      <w:r>
        <w:rPr>
          <w:rFonts w:cs="Calibri"/>
          <w:szCs w:val="22"/>
        </w:rPr>
        <w:t xml:space="preserve"> it acts in response to a particular complaint</w:t>
      </w:r>
      <w:r w:rsidR="00052E9C">
        <w:rPr>
          <w:rFonts w:cs="Calibri"/>
          <w:szCs w:val="22"/>
        </w:rPr>
        <w:t xml:space="preserve"> that has already occurred. </w:t>
      </w:r>
      <w:r>
        <w:rPr>
          <w:rFonts w:cs="Calibri"/>
          <w:szCs w:val="22"/>
        </w:rPr>
        <w:t xml:space="preserve"> </w:t>
      </w:r>
    </w:p>
    <w:p w14:paraId="7FD52766" w14:textId="200CF59E" w:rsidR="00880E32" w:rsidRPr="00EF7D4E" w:rsidRDefault="005D0B8C" w:rsidP="006B296A">
      <w:pPr>
        <w:spacing w:line="276" w:lineRule="auto"/>
        <w:rPr>
          <w:rFonts w:ascii="Aptos" w:hAnsi="Aptos" w:cs="Calibri"/>
          <w:szCs w:val="22"/>
        </w:rPr>
      </w:pPr>
      <w:r w:rsidRPr="00EF7D4E">
        <w:rPr>
          <w:rFonts w:ascii="Aptos" w:hAnsi="Aptos" w:cs="Calibri"/>
          <w:szCs w:val="22"/>
        </w:rPr>
        <w:t xml:space="preserve">While these instruments </w:t>
      </w:r>
      <w:r w:rsidR="00834B6F">
        <w:rPr>
          <w:rFonts w:ascii="Aptos" w:hAnsi="Aptos" w:cs="Calibri"/>
          <w:szCs w:val="22"/>
        </w:rPr>
        <w:t xml:space="preserve">and the NSO </w:t>
      </w:r>
      <w:r w:rsidRPr="00EF7D4E">
        <w:rPr>
          <w:rFonts w:ascii="Aptos" w:hAnsi="Aptos" w:cs="Calibri"/>
          <w:szCs w:val="22"/>
        </w:rPr>
        <w:t>establish minimum legal obligations</w:t>
      </w:r>
      <w:r w:rsidR="006A5DE8">
        <w:rPr>
          <w:rFonts w:ascii="Aptos" w:hAnsi="Aptos" w:cs="Calibri"/>
          <w:szCs w:val="22"/>
        </w:rPr>
        <w:t xml:space="preserve"> and a pathway to resolve complaints related to GBV</w:t>
      </w:r>
      <w:r w:rsidRPr="00EF7D4E">
        <w:rPr>
          <w:rFonts w:ascii="Aptos" w:hAnsi="Aptos" w:cs="Calibri"/>
          <w:szCs w:val="22"/>
        </w:rPr>
        <w:t xml:space="preserve">, they lack the specificity, consistency and enforceability needed to effectively address the complex and systemic nature of </w:t>
      </w:r>
      <w:r w:rsidR="00B7771B" w:rsidRPr="00EF7D4E">
        <w:rPr>
          <w:rFonts w:ascii="Aptos" w:hAnsi="Aptos" w:cs="Calibri"/>
          <w:szCs w:val="22"/>
        </w:rPr>
        <w:t>GBV</w:t>
      </w:r>
      <w:r w:rsidRPr="00EF7D4E">
        <w:rPr>
          <w:rFonts w:ascii="Aptos" w:hAnsi="Aptos" w:cs="Calibri"/>
          <w:szCs w:val="22"/>
        </w:rPr>
        <w:t xml:space="preserve"> in the higher education sector</w:t>
      </w:r>
      <w:r w:rsidR="00AE38A3" w:rsidRPr="00EF7D4E">
        <w:rPr>
          <w:rFonts w:ascii="Aptos" w:hAnsi="Aptos" w:cs="Calibri"/>
          <w:szCs w:val="22"/>
        </w:rPr>
        <w:t xml:space="preserve">. </w:t>
      </w:r>
      <w:r w:rsidRPr="00EF7D4E">
        <w:rPr>
          <w:rFonts w:ascii="Aptos" w:hAnsi="Aptos" w:cs="Calibri"/>
          <w:szCs w:val="22"/>
        </w:rPr>
        <w:t xml:space="preserve">As </w:t>
      </w:r>
      <w:r w:rsidR="00531F0A">
        <w:rPr>
          <w:rFonts w:ascii="Aptos" w:hAnsi="Aptos" w:cs="Calibri"/>
          <w:szCs w:val="22"/>
        </w:rPr>
        <w:t>discussed</w:t>
      </w:r>
      <w:r w:rsidRPr="00EF7D4E">
        <w:rPr>
          <w:rFonts w:ascii="Aptos" w:hAnsi="Aptos" w:cs="Calibri"/>
          <w:szCs w:val="22"/>
        </w:rPr>
        <w:t xml:space="preserve"> in Chapter 1, progress under the current legislative environment has been limited, fragmented and inconsistent, with no monitoring o</w:t>
      </w:r>
      <w:r w:rsidR="00650CEB">
        <w:rPr>
          <w:rFonts w:ascii="Aptos" w:hAnsi="Aptos" w:cs="Calibri"/>
          <w:szCs w:val="22"/>
        </w:rPr>
        <w:t>r</w:t>
      </w:r>
      <w:r w:rsidRPr="00EF7D4E">
        <w:rPr>
          <w:rFonts w:ascii="Aptos" w:hAnsi="Aptos" w:cs="Calibri"/>
          <w:szCs w:val="22"/>
        </w:rPr>
        <w:t xml:space="preserve"> transparency mechanisms.</w:t>
      </w:r>
    </w:p>
    <w:p w14:paraId="37A61074" w14:textId="77777777" w:rsidR="00F276F2" w:rsidRPr="00EF7D4E" w:rsidRDefault="00F276F2" w:rsidP="006B296A">
      <w:pPr>
        <w:spacing w:line="276" w:lineRule="auto"/>
        <w:rPr>
          <w:rFonts w:ascii="Aptos" w:hAnsi="Aptos" w:cs="Calibri"/>
          <w:szCs w:val="22"/>
        </w:rPr>
      </w:pPr>
    </w:p>
    <w:p w14:paraId="1F18C5A7" w14:textId="2139E57F" w:rsidR="005D0B8C" w:rsidRDefault="005D0B8C" w:rsidP="00AE38A3">
      <w:pPr>
        <w:pStyle w:val="Heading3"/>
      </w:pPr>
      <w:bookmarkStart w:id="88" w:name="_Toc204682611"/>
      <w:bookmarkStart w:id="89" w:name="_Toc204699866"/>
      <w:bookmarkStart w:id="90" w:name="_Toc204763314"/>
      <w:bookmarkStart w:id="91" w:name="_Toc204764882"/>
      <w:bookmarkStart w:id="92" w:name="_Toc205216894"/>
      <w:r>
        <w:t xml:space="preserve">How does </w:t>
      </w:r>
      <w:r w:rsidR="00400F14">
        <w:t>O</w:t>
      </w:r>
      <w:r>
        <w:t>ption 1 address each element of the policy problem?</w:t>
      </w:r>
      <w:bookmarkEnd w:id="88"/>
      <w:bookmarkEnd w:id="89"/>
      <w:bookmarkEnd w:id="90"/>
      <w:bookmarkEnd w:id="91"/>
      <w:bookmarkEnd w:id="92"/>
    </w:p>
    <w:tbl>
      <w:tblPr>
        <w:tblStyle w:val="GridTable4-Accent1"/>
        <w:tblW w:w="9067" w:type="dxa"/>
        <w:tblLook w:val="04A0" w:firstRow="1" w:lastRow="0" w:firstColumn="1" w:lastColumn="0" w:noHBand="0" w:noVBand="1"/>
      </w:tblPr>
      <w:tblGrid>
        <w:gridCol w:w="3823"/>
        <w:gridCol w:w="5244"/>
      </w:tblGrid>
      <w:tr w:rsidR="00C410B8" w14:paraId="78CC766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66DEBF7" w14:textId="77777777" w:rsidR="005541AE" w:rsidRPr="00C96503" w:rsidRDefault="005541AE">
            <w:r>
              <w:t xml:space="preserve">Element of the policy problem </w:t>
            </w:r>
          </w:p>
        </w:tc>
        <w:tc>
          <w:tcPr>
            <w:tcW w:w="5244" w:type="dxa"/>
          </w:tcPr>
          <w:p w14:paraId="12022EDC" w14:textId="77777777" w:rsidR="005541AE" w:rsidRPr="006B296A" w:rsidRDefault="005541AE">
            <w:pPr>
              <w:tabs>
                <w:tab w:val="left" w:pos="1790"/>
              </w:tabs>
              <w:cnfStyle w:val="100000000000" w:firstRow="1" w:lastRow="0" w:firstColumn="0" w:lastColumn="0" w:oddVBand="0" w:evenVBand="0" w:oddHBand="0" w:evenHBand="0" w:firstRowFirstColumn="0" w:firstRowLastColumn="0" w:lastRowFirstColumn="0" w:lastRowLastColumn="0"/>
            </w:pPr>
            <w:r w:rsidRPr="006B296A">
              <w:t>How the problem is addressed</w:t>
            </w:r>
          </w:p>
        </w:tc>
      </w:tr>
      <w:tr w:rsidR="004D773D" w14:paraId="08D24B1D" w14:textId="77777777" w:rsidTr="00C6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6E63384" w14:textId="735EED3C" w:rsidR="005541AE" w:rsidRPr="006B296A" w:rsidRDefault="00B7771B" w:rsidP="00C6718E">
            <w:pPr>
              <w:spacing w:before="120" w:after="120"/>
              <w:rPr>
                <w:rFonts w:ascii="Aptos" w:hAnsi="Aptos"/>
                <w:b w:val="0"/>
                <w:bCs w:val="0"/>
                <w:sz w:val="20"/>
                <w:szCs w:val="20"/>
              </w:rPr>
            </w:pPr>
            <w:r w:rsidRPr="006B296A">
              <w:rPr>
                <w:rFonts w:ascii="Aptos" w:hAnsi="Aptos"/>
                <w:b w:val="0"/>
                <w:bCs w:val="0"/>
                <w:sz w:val="20"/>
                <w:szCs w:val="20"/>
              </w:rPr>
              <w:t>GBV</w:t>
            </w:r>
            <w:r w:rsidR="005541AE" w:rsidRPr="006B296A">
              <w:rPr>
                <w:rFonts w:ascii="Aptos" w:hAnsi="Aptos"/>
                <w:b w:val="0"/>
                <w:bCs w:val="0"/>
                <w:sz w:val="20"/>
                <w:szCs w:val="20"/>
              </w:rPr>
              <w:t xml:space="preserve"> in higher education, including student accommodation, is prevalent, underreported, and inadequately addressed</w:t>
            </w:r>
          </w:p>
        </w:tc>
        <w:tc>
          <w:tcPr>
            <w:tcW w:w="5244" w:type="dxa"/>
            <w:vAlign w:val="center"/>
          </w:tcPr>
          <w:p w14:paraId="5853257F" w14:textId="07AECE2C" w:rsidR="005541AE" w:rsidRPr="006B296A" w:rsidRDefault="005541AE" w:rsidP="00C6718E">
            <w:pPr>
              <w:spacing w:before="120" w:after="120"/>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6B296A">
              <w:rPr>
                <w:rFonts w:ascii="Aptos" w:hAnsi="Aptos"/>
                <w:b/>
                <w:bCs/>
                <w:sz w:val="20"/>
                <w:szCs w:val="20"/>
              </w:rPr>
              <w:t xml:space="preserve">Not addressed - </w:t>
            </w:r>
            <w:r w:rsidRPr="006B296A">
              <w:rPr>
                <w:rFonts w:ascii="Aptos" w:hAnsi="Aptos"/>
                <w:sz w:val="20"/>
                <w:szCs w:val="20"/>
              </w:rPr>
              <w:t xml:space="preserve">Existing frameworks do not provide the specificity or enforcement required to reduce the prevalence of </w:t>
            </w:r>
            <w:r w:rsidR="008223FC" w:rsidRPr="006B296A">
              <w:rPr>
                <w:rFonts w:ascii="Aptos" w:hAnsi="Aptos"/>
                <w:sz w:val="20"/>
                <w:szCs w:val="20"/>
              </w:rPr>
              <w:t>GBV</w:t>
            </w:r>
            <w:r w:rsidRPr="006B296A">
              <w:rPr>
                <w:rFonts w:ascii="Aptos" w:hAnsi="Aptos"/>
                <w:sz w:val="20"/>
                <w:szCs w:val="20"/>
              </w:rPr>
              <w:t xml:space="preserve"> or improve reporting.</w:t>
            </w:r>
          </w:p>
        </w:tc>
      </w:tr>
      <w:tr w:rsidR="005541AE" w14:paraId="14DD4532" w14:textId="77777777" w:rsidTr="00C6718E">
        <w:tc>
          <w:tcPr>
            <w:cnfStyle w:val="001000000000" w:firstRow="0" w:lastRow="0" w:firstColumn="1" w:lastColumn="0" w:oddVBand="0" w:evenVBand="0" w:oddHBand="0" w:evenHBand="0" w:firstRowFirstColumn="0" w:firstRowLastColumn="0" w:lastRowFirstColumn="0" w:lastRowLastColumn="0"/>
            <w:tcW w:w="3823" w:type="dxa"/>
            <w:vAlign w:val="center"/>
          </w:tcPr>
          <w:p w14:paraId="06984013" w14:textId="30D8086C" w:rsidR="005541AE" w:rsidRPr="006B296A" w:rsidRDefault="00B7771B" w:rsidP="00C6718E">
            <w:pPr>
              <w:spacing w:before="120" w:after="120"/>
              <w:rPr>
                <w:rFonts w:ascii="Aptos" w:hAnsi="Aptos"/>
                <w:b w:val="0"/>
                <w:bCs w:val="0"/>
                <w:sz w:val="20"/>
                <w:szCs w:val="20"/>
              </w:rPr>
            </w:pPr>
            <w:r w:rsidRPr="006B296A">
              <w:rPr>
                <w:rFonts w:ascii="Aptos" w:hAnsi="Aptos"/>
                <w:b w:val="0"/>
                <w:bCs w:val="0"/>
                <w:sz w:val="20"/>
                <w:szCs w:val="20"/>
              </w:rPr>
              <w:lastRenderedPageBreak/>
              <w:t>GBV</w:t>
            </w:r>
            <w:r w:rsidR="005541AE" w:rsidRPr="006B296A">
              <w:rPr>
                <w:rFonts w:ascii="Aptos" w:hAnsi="Aptos"/>
                <w:b w:val="0"/>
                <w:bCs w:val="0"/>
                <w:sz w:val="20"/>
                <w:szCs w:val="20"/>
              </w:rPr>
              <w:t xml:space="preserve"> has detrimental impacts on student and staff health, wellbeing, educational attainment and career progression</w:t>
            </w:r>
          </w:p>
        </w:tc>
        <w:tc>
          <w:tcPr>
            <w:tcW w:w="5244" w:type="dxa"/>
            <w:vAlign w:val="center"/>
          </w:tcPr>
          <w:p w14:paraId="19DED6A5" w14:textId="77777777" w:rsidR="005541AE" w:rsidRPr="006B296A" w:rsidRDefault="005541AE" w:rsidP="00C6718E">
            <w:pPr>
              <w:spacing w:before="120" w:after="120"/>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6B296A">
              <w:rPr>
                <w:rFonts w:ascii="Aptos" w:hAnsi="Aptos"/>
                <w:b/>
                <w:bCs/>
                <w:sz w:val="20"/>
                <w:szCs w:val="20"/>
              </w:rPr>
              <w:t xml:space="preserve">Not addressed </w:t>
            </w:r>
            <w:r w:rsidRPr="006B296A">
              <w:rPr>
                <w:rFonts w:ascii="Aptos" w:hAnsi="Aptos"/>
                <w:sz w:val="20"/>
                <w:szCs w:val="20"/>
              </w:rPr>
              <w:t>– There are no consistent requirements for trauma-informed or person-centred responses. Support varies significantly across institutions.</w:t>
            </w:r>
          </w:p>
        </w:tc>
      </w:tr>
      <w:tr w:rsidR="004D773D" w14:paraId="44277271" w14:textId="77777777" w:rsidTr="00C6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7B44D0F" w14:textId="16C4B853" w:rsidR="005541AE" w:rsidRPr="006B296A" w:rsidRDefault="00B7771B" w:rsidP="00C6718E">
            <w:pPr>
              <w:spacing w:before="120" w:after="120"/>
              <w:rPr>
                <w:rFonts w:ascii="Aptos" w:hAnsi="Aptos"/>
                <w:b w:val="0"/>
                <w:bCs w:val="0"/>
                <w:sz w:val="20"/>
                <w:szCs w:val="20"/>
              </w:rPr>
            </w:pPr>
            <w:r w:rsidRPr="006B296A">
              <w:rPr>
                <w:rFonts w:ascii="Aptos" w:hAnsi="Aptos"/>
                <w:b w:val="0"/>
                <w:bCs w:val="0"/>
                <w:sz w:val="20"/>
                <w:szCs w:val="20"/>
              </w:rPr>
              <w:t>GBV</w:t>
            </w:r>
            <w:r w:rsidR="005541AE" w:rsidRPr="006B296A">
              <w:rPr>
                <w:rFonts w:ascii="Aptos" w:hAnsi="Aptos"/>
                <w:b w:val="0"/>
                <w:bCs w:val="0"/>
                <w:sz w:val="20"/>
                <w:szCs w:val="20"/>
              </w:rPr>
              <w:t xml:space="preserve"> disproportionately impacts women and girls experiencing intersecting forms of </w:t>
            </w:r>
            <w:r w:rsidR="00E70302">
              <w:rPr>
                <w:rFonts w:ascii="Aptos" w:hAnsi="Aptos"/>
                <w:b w:val="0"/>
                <w:bCs w:val="0"/>
                <w:sz w:val="20"/>
                <w:szCs w:val="20"/>
              </w:rPr>
              <w:t>structural inequality and discrimination</w:t>
            </w:r>
          </w:p>
        </w:tc>
        <w:tc>
          <w:tcPr>
            <w:tcW w:w="5244" w:type="dxa"/>
            <w:vAlign w:val="center"/>
          </w:tcPr>
          <w:p w14:paraId="2AFCED46" w14:textId="13A3B6E7" w:rsidR="005541AE" w:rsidRPr="006B296A" w:rsidRDefault="005541AE" w:rsidP="00C6718E">
            <w:pPr>
              <w:spacing w:before="120" w:after="120"/>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6B296A">
              <w:rPr>
                <w:rFonts w:ascii="Aptos" w:hAnsi="Aptos"/>
                <w:b/>
                <w:bCs/>
                <w:sz w:val="20"/>
                <w:szCs w:val="20"/>
              </w:rPr>
              <w:t xml:space="preserve">Not addressed - </w:t>
            </w:r>
            <w:r w:rsidRPr="006B296A">
              <w:rPr>
                <w:rFonts w:ascii="Aptos" w:hAnsi="Aptos"/>
                <w:sz w:val="20"/>
                <w:szCs w:val="20"/>
              </w:rPr>
              <w:t>Current approaches do not require providers to consider or respond to the compound</w:t>
            </w:r>
            <w:r w:rsidR="00E70302">
              <w:rPr>
                <w:rFonts w:ascii="Aptos" w:hAnsi="Aptos"/>
                <w:sz w:val="20"/>
                <w:szCs w:val="20"/>
              </w:rPr>
              <w:t xml:space="preserve">ing structural </w:t>
            </w:r>
            <w:r w:rsidR="00630605">
              <w:rPr>
                <w:rFonts w:ascii="Aptos" w:hAnsi="Aptos"/>
                <w:sz w:val="20"/>
                <w:szCs w:val="20"/>
              </w:rPr>
              <w:t xml:space="preserve">inequalities </w:t>
            </w:r>
            <w:r w:rsidR="000512AE">
              <w:rPr>
                <w:rFonts w:ascii="Aptos" w:hAnsi="Aptos"/>
                <w:sz w:val="20"/>
                <w:szCs w:val="20"/>
              </w:rPr>
              <w:t>that exacerbate GBV</w:t>
            </w:r>
            <w:r w:rsidR="00630605">
              <w:rPr>
                <w:rFonts w:ascii="Aptos" w:hAnsi="Aptos"/>
                <w:sz w:val="20"/>
                <w:szCs w:val="20"/>
              </w:rPr>
              <w:t xml:space="preserve">. </w:t>
            </w:r>
            <w:r w:rsidRPr="006B296A">
              <w:rPr>
                <w:rFonts w:ascii="Aptos" w:hAnsi="Aptos"/>
                <w:sz w:val="20"/>
                <w:szCs w:val="20"/>
              </w:rPr>
              <w:t>Engagement with diverse communities is not mandated</w:t>
            </w:r>
          </w:p>
        </w:tc>
      </w:tr>
      <w:tr w:rsidR="005541AE" w14:paraId="1F2C6AD5" w14:textId="77777777" w:rsidTr="00C6718E">
        <w:tc>
          <w:tcPr>
            <w:cnfStyle w:val="001000000000" w:firstRow="0" w:lastRow="0" w:firstColumn="1" w:lastColumn="0" w:oddVBand="0" w:evenVBand="0" w:oddHBand="0" w:evenHBand="0" w:firstRowFirstColumn="0" w:firstRowLastColumn="0" w:lastRowFirstColumn="0" w:lastRowLastColumn="0"/>
            <w:tcW w:w="3823" w:type="dxa"/>
            <w:vAlign w:val="center"/>
          </w:tcPr>
          <w:p w14:paraId="385E34FD" w14:textId="5F418C97" w:rsidR="005541AE" w:rsidRPr="006B296A" w:rsidRDefault="005541AE" w:rsidP="00C6718E">
            <w:pPr>
              <w:spacing w:before="120" w:after="120"/>
              <w:rPr>
                <w:rFonts w:ascii="Aptos" w:hAnsi="Aptos"/>
                <w:b w:val="0"/>
                <w:bCs w:val="0"/>
                <w:sz w:val="20"/>
                <w:szCs w:val="20"/>
              </w:rPr>
            </w:pPr>
            <w:r w:rsidRPr="006B296A">
              <w:rPr>
                <w:rFonts w:ascii="Aptos" w:hAnsi="Aptos"/>
                <w:b w:val="0"/>
                <w:bCs w:val="0"/>
                <w:sz w:val="20"/>
                <w:szCs w:val="20"/>
              </w:rPr>
              <w:t xml:space="preserve">Previous measures have been inconsistent, fragmented, </w:t>
            </w:r>
            <w:r w:rsidR="005A04CA" w:rsidRPr="006B296A">
              <w:rPr>
                <w:rFonts w:ascii="Aptos" w:hAnsi="Aptos"/>
                <w:b w:val="0"/>
                <w:bCs w:val="0"/>
                <w:sz w:val="20"/>
                <w:szCs w:val="20"/>
              </w:rPr>
              <w:t>reactive</w:t>
            </w:r>
            <w:r w:rsidRPr="006B296A">
              <w:rPr>
                <w:rFonts w:ascii="Aptos" w:hAnsi="Aptos"/>
                <w:b w:val="0"/>
                <w:bCs w:val="0"/>
                <w:sz w:val="20"/>
                <w:szCs w:val="20"/>
              </w:rPr>
              <w:t xml:space="preserve"> and under-resourced, failing to drive change</w:t>
            </w:r>
          </w:p>
        </w:tc>
        <w:tc>
          <w:tcPr>
            <w:tcW w:w="5244" w:type="dxa"/>
            <w:vAlign w:val="center"/>
          </w:tcPr>
          <w:p w14:paraId="1123A2E2" w14:textId="5183C5DF" w:rsidR="005541AE" w:rsidRPr="006B296A" w:rsidRDefault="005541AE" w:rsidP="00C6718E">
            <w:pPr>
              <w:spacing w:before="120" w:after="120"/>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6B296A">
              <w:rPr>
                <w:rFonts w:ascii="Aptos" w:hAnsi="Aptos"/>
                <w:b/>
                <w:bCs/>
                <w:sz w:val="20"/>
                <w:szCs w:val="20"/>
              </w:rPr>
              <w:t xml:space="preserve">Not addressed </w:t>
            </w:r>
            <w:r w:rsidRPr="006B296A">
              <w:rPr>
                <w:rFonts w:ascii="Aptos" w:hAnsi="Aptos"/>
                <w:sz w:val="20"/>
                <w:szCs w:val="20"/>
              </w:rPr>
              <w:t xml:space="preserve">- While some voluntary initiatives exist, they are ad hoc and unenforceable. The sector continues to lack a coordinated and </w:t>
            </w:r>
            <w:r w:rsidR="006B296A" w:rsidRPr="006B296A">
              <w:rPr>
                <w:rFonts w:ascii="Aptos" w:hAnsi="Aptos"/>
                <w:sz w:val="20"/>
                <w:szCs w:val="20"/>
              </w:rPr>
              <w:t>adequate</w:t>
            </w:r>
            <w:r w:rsidR="006B296A">
              <w:rPr>
                <w:rFonts w:ascii="Aptos" w:hAnsi="Aptos"/>
                <w:sz w:val="20"/>
                <w:szCs w:val="20"/>
              </w:rPr>
              <w:t xml:space="preserve"> </w:t>
            </w:r>
            <w:r w:rsidRPr="006B296A">
              <w:rPr>
                <w:rFonts w:ascii="Aptos" w:hAnsi="Aptos"/>
                <w:sz w:val="20"/>
                <w:szCs w:val="20"/>
              </w:rPr>
              <w:t xml:space="preserve">approach. </w:t>
            </w:r>
          </w:p>
        </w:tc>
      </w:tr>
      <w:tr w:rsidR="004D773D" w14:paraId="2017D377" w14:textId="77777777" w:rsidTr="00C6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60B1FBC" w14:textId="77777777" w:rsidR="005541AE" w:rsidRPr="006B296A" w:rsidRDefault="005541AE" w:rsidP="00C6718E">
            <w:pPr>
              <w:spacing w:before="120" w:after="120"/>
              <w:rPr>
                <w:rFonts w:ascii="Aptos" w:hAnsi="Aptos"/>
                <w:b w:val="0"/>
                <w:bCs w:val="0"/>
                <w:sz w:val="20"/>
                <w:szCs w:val="20"/>
              </w:rPr>
            </w:pPr>
            <w:r w:rsidRPr="006B296A">
              <w:rPr>
                <w:rFonts w:ascii="Aptos" w:hAnsi="Aptos"/>
                <w:b w:val="0"/>
                <w:bCs w:val="0"/>
                <w:sz w:val="20"/>
                <w:szCs w:val="20"/>
              </w:rPr>
              <w:t>Insufficient data availability hinders understanding and limits accountability</w:t>
            </w:r>
          </w:p>
        </w:tc>
        <w:tc>
          <w:tcPr>
            <w:tcW w:w="5244" w:type="dxa"/>
            <w:vAlign w:val="center"/>
          </w:tcPr>
          <w:p w14:paraId="73CD252B" w14:textId="1980FC0C" w:rsidR="005541AE" w:rsidRPr="006B296A" w:rsidRDefault="005541AE" w:rsidP="00C6718E">
            <w:pPr>
              <w:spacing w:before="120" w:after="120"/>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6B296A">
              <w:rPr>
                <w:rFonts w:ascii="Aptos" w:hAnsi="Aptos"/>
                <w:b/>
                <w:bCs/>
                <w:sz w:val="20"/>
                <w:szCs w:val="20"/>
              </w:rPr>
              <w:t xml:space="preserve">Not addressed - </w:t>
            </w:r>
            <w:r w:rsidRPr="006B296A">
              <w:rPr>
                <w:rFonts w:ascii="Aptos" w:hAnsi="Aptos"/>
                <w:sz w:val="20"/>
                <w:szCs w:val="20"/>
              </w:rPr>
              <w:t xml:space="preserve">There are no sector-wide requirements for data collection on </w:t>
            </w:r>
            <w:r w:rsidR="008223FC" w:rsidRPr="006B296A">
              <w:rPr>
                <w:rFonts w:ascii="Aptos" w:hAnsi="Aptos"/>
                <w:sz w:val="20"/>
                <w:szCs w:val="20"/>
              </w:rPr>
              <w:t>GBV</w:t>
            </w:r>
            <w:r w:rsidRPr="006B296A">
              <w:rPr>
                <w:rFonts w:ascii="Aptos" w:hAnsi="Aptos"/>
                <w:sz w:val="20"/>
                <w:szCs w:val="20"/>
              </w:rPr>
              <w:t xml:space="preserve"> in higher education. Existing data is inconsistent, lacks transparency, and cannot be reliably compared.</w:t>
            </w:r>
          </w:p>
        </w:tc>
      </w:tr>
      <w:tr w:rsidR="005541AE" w14:paraId="30331BF0" w14:textId="77777777" w:rsidTr="00C6718E">
        <w:tc>
          <w:tcPr>
            <w:cnfStyle w:val="001000000000" w:firstRow="0" w:lastRow="0" w:firstColumn="1" w:lastColumn="0" w:oddVBand="0" w:evenVBand="0" w:oddHBand="0" w:evenHBand="0" w:firstRowFirstColumn="0" w:firstRowLastColumn="0" w:lastRowFirstColumn="0" w:lastRowLastColumn="0"/>
            <w:tcW w:w="3823" w:type="dxa"/>
            <w:vAlign w:val="center"/>
          </w:tcPr>
          <w:p w14:paraId="4D1844FC" w14:textId="5B91376C" w:rsidR="005541AE" w:rsidRPr="006B296A" w:rsidRDefault="005541AE" w:rsidP="00C6718E">
            <w:pPr>
              <w:spacing w:before="120" w:after="120"/>
              <w:rPr>
                <w:rFonts w:ascii="Aptos" w:hAnsi="Aptos"/>
                <w:b w:val="0"/>
                <w:bCs w:val="0"/>
                <w:sz w:val="20"/>
                <w:szCs w:val="20"/>
              </w:rPr>
            </w:pPr>
            <w:r w:rsidRPr="006B296A">
              <w:rPr>
                <w:rFonts w:ascii="Aptos" w:hAnsi="Aptos"/>
                <w:b w:val="0"/>
                <w:bCs w:val="0"/>
                <w:sz w:val="20"/>
                <w:szCs w:val="20"/>
              </w:rPr>
              <w:t xml:space="preserve">The current regulatory framework is limited in addressing </w:t>
            </w:r>
            <w:r w:rsidR="008223FC" w:rsidRPr="006B296A">
              <w:rPr>
                <w:rFonts w:ascii="Aptos" w:hAnsi="Aptos"/>
                <w:b w:val="0"/>
                <w:bCs w:val="0"/>
                <w:sz w:val="20"/>
                <w:szCs w:val="20"/>
              </w:rPr>
              <w:t>GBV</w:t>
            </w:r>
            <w:r w:rsidRPr="006B296A">
              <w:rPr>
                <w:rFonts w:ascii="Aptos" w:hAnsi="Aptos"/>
                <w:b w:val="0"/>
                <w:bCs w:val="0"/>
                <w:sz w:val="20"/>
                <w:szCs w:val="20"/>
              </w:rPr>
              <w:t>, posing ongoing safety risks</w:t>
            </w:r>
          </w:p>
        </w:tc>
        <w:tc>
          <w:tcPr>
            <w:tcW w:w="5244" w:type="dxa"/>
            <w:vAlign w:val="center"/>
          </w:tcPr>
          <w:p w14:paraId="371B5FB3" w14:textId="77777777" w:rsidR="005541AE" w:rsidRPr="006B296A" w:rsidRDefault="005541AE" w:rsidP="00C6718E">
            <w:pPr>
              <w:spacing w:before="120" w:after="120"/>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6B296A">
              <w:rPr>
                <w:rFonts w:ascii="Aptos" w:hAnsi="Aptos"/>
                <w:b/>
                <w:bCs/>
                <w:sz w:val="20"/>
                <w:szCs w:val="20"/>
              </w:rPr>
              <w:t xml:space="preserve">Not addressed </w:t>
            </w:r>
            <w:r w:rsidRPr="006B296A">
              <w:rPr>
                <w:rFonts w:ascii="Aptos" w:hAnsi="Aptos"/>
                <w:sz w:val="20"/>
                <w:szCs w:val="20"/>
              </w:rPr>
              <w:t xml:space="preserve">- No new regulatory mechanisms are introduced. Existing frameworks are broad and lack the specificity and enforcement to drive systemic change and continue to sustain harmful environments for students and staff. </w:t>
            </w:r>
          </w:p>
        </w:tc>
      </w:tr>
    </w:tbl>
    <w:p w14:paraId="6CDCEA74" w14:textId="4044B136" w:rsidR="00F8314C" w:rsidRDefault="00F8314C" w:rsidP="006B296A">
      <w:pPr>
        <w:pStyle w:val="Heading2"/>
      </w:pPr>
      <w:bookmarkStart w:id="93" w:name="_Toc204699867"/>
      <w:bookmarkStart w:id="94" w:name="_Toc210050237"/>
      <w:r>
        <w:t xml:space="preserve">Option 2 – Voluntary self-regulation with optional </w:t>
      </w:r>
      <w:r w:rsidR="008743F1">
        <w:t>National Code</w:t>
      </w:r>
      <w:bookmarkEnd w:id="93"/>
      <w:bookmarkEnd w:id="94"/>
    </w:p>
    <w:p w14:paraId="0A6FEF20" w14:textId="3F959B53" w:rsidR="00F8314C" w:rsidRPr="006B296A" w:rsidRDefault="00645713" w:rsidP="00F8314C">
      <w:pPr>
        <w:rPr>
          <w:szCs w:val="22"/>
        </w:rPr>
      </w:pPr>
      <w:r w:rsidRPr="006B296A">
        <w:rPr>
          <w:szCs w:val="22"/>
        </w:rPr>
        <w:t xml:space="preserve">Under this option, the Department of Education would develop and provide a </w:t>
      </w:r>
      <w:r w:rsidR="008743F1" w:rsidRPr="006B296A">
        <w:rPr>
          <w:szCs w:val="22"/>
        </w:rPr>
        <w:t>National Code</w:t>
      </w:r>
      <w:r w:rsidRPr="006B296A">
        <w:rPr>
          <w:szCs w:val="22"/>
        </w:rPr>
        <w:t xml:space="preserve"> that outline leading practice principles for HEPs to voluntarily adopt to prevent and respond to </w:t>
      </w:r>
      <w:r w:rsidR="00B7771B" w:rsidRPr="006B296A">
        <w:rPr>
          <w:szCs w:val="22"/>
        </w:rPr>
        <w:t>GBV</w:t>
      </w:r>
      <w:r w:rsidRPr="006B296A">
        <w:rPr>
          <w:szCs w:val="22"/>
        </w:rPr>
        <w:t xml:space="preserve">, promote safety and support victim-survivors. </w:t>
      </w:r>
      <w:r w:rsidR="008771C1">
        <w:rPr>
          <w:szCs w:val="22"/>
        </w:rPr>
        <w:t xml:space="preserve">This </w:t>
      </w:r>
      <w:r w:rsidR="004A7548">
        <w:rPr>
          <w:szCs w:val="22"/>
        </w:rPr>
        <w:t xml:space="preserve">voluntary National Code is akin to </w:t>
      </w:r>
      <w:r w:rsidR="0000449F">
        <w:rPr>
          <w:szCs w:val="22"/>
        </w:rPr>
        <w:t>a National</w:t>
      </w:r>
      <w:r w:rsidR="004A7548">
        <w:rPr>
          <w:szCs w:val="22"/>
        </w:rPr>
        <w:t xml:space="preserve"> Scheme</w:t>
      </w:r>
      <w:r w:rsidR="00DE58D2">
        <w:rPr>
          <w:szCs w:val="22"/>
        </w:rPr>
        <w:t xml:space="preserve"> that </w:t>
      </w:r>
      <w:r w:rsidR="0000449F">
        <w:rPr>
          <w:szCs w:val="22"/>
        </w:rPr>
        <w:t>would provide</w:t>
      </w:r>
      <w:r w:rsidR="00DE58D2">
        <w:rPr>
          <w:szCs w:val="22"/>
        </w:rPr>
        <w:t xml:space="preserve"> guidelines and recommendations</w:t>
      </w:r>
      <w:r w:rsidR="0000449F">
        <w:rPr>
          <w:szCs w:val="22"/>
        </w:rPr>
        <w:t xml:space="preserve"> </w:t>
      </w:r>
      <w:r w:rsidR="00DE58D2">
        <w:rPr>
          <w:szCs w:val="22"/>
        </w:rPr>
        <w:t>that are voluntarily engaged in by the s</w:t>
      </w:r>
      <w:r w:rsidR="0000449F">
        <w:rPr>
          <w:szCs w:val="22"/>
        </w:rPr>
        <w:t xml:space="preserve">ector. </w:t>
      </w:r>
      <w:r w:rsidRPr="006B296A">
        <w:rPr>
          <w:szCs w:val="22"/>
        </w:rPr>
        <w:t xml:space="preserve"> This option aims to lift standards through influence and partnerships, rather than regulation. </w:t>
      </w:r>
    </w:p>
    <w:p w14:paraId="1455A7E5" w14:textId="4B5AA32C" w:rsidR="00645713" w:rsidRPr="006B296A" w:rsidRDefault="00645713" w:rsidP="00645713">
      <w:pPr>
        <w:pStyle w:val="Heading3"/>
      </w:pPr>
      <w:bookmarkStart w:id="95" w:name="_Toc204682613"/>
      <w:bookmarkStart w:id="96" w:name="_Toc204699868"/>
      <w:bookmarkStart w:id="97" w:name="_Toc204763316"/>
      <w:bookmarkStart w:id="98" w:name="_Toc204764884"/>
      <w:bookmarkStart w:id="99" w:name="_Toc205216896"/>
      <w:r w:rsidRPr="006B296A">
        <w:t xml:space="preserve">Features of </w:t>
      </w:r>
      <w:r w:rsidR="000F51AA">
        <w:t>O</w:t>
      </w:r>
      <w:r w:rsidRPr="006B296A">
        <w:t>ption 2</w:t>
      </w:r>
      <w:bookmarkEnd w:id="95"/>
      <w:bookmarkEnd w:id="96"/>
      <w:bookmarkEnd w:id="97"/>
      <w:bookmarkEnd w:id="98"/>
      <w:bookmarkEnd w:id="99"/>
    </w:p>
    <w:p w14:paraId="006263EB" w14:textId="77777777" w:rsidR="00FE2B60" w:rsidRPr="006B296A" w:rsidRDefault="00FE2B60" w:rsidP="006B296A">
      <w:pPr>
        <w:pStyle w:val="BodyText"/>
        <w:spacing w:after="120" w:line="276" w:lineRule="auto"/>
        <w:rPr>
          <w:rFonts w:ascii="Aptos" w:hAnsi="Aptos" w:cs="Calibri"/>
          <w:b/>
          <w:bCs/>
        </w:rPr>
      </w:pPr>
      <w:r w:rsidRPr="006B296A">
        <w:rPr>
          <w:rFonts w:ascii="Aptos" w:hAnsi="Aptos" w:cs="Calibri"/>
          <w:b/>
          <w:bCs/>
        </w:rPr>
        <w:t>Voluntary adoption</w:t>
      </w:r>
    </w:p>
    <w:p w14:paraId="599FD927" w14:textId="4587093B" w:rsidR="00FE2B60" w:rsidRPr="006B296A" w:rsidRDefault="00FE2B60" w:rsidP="006B296A">
      <w:pPr>
        <w:pStyle w:val="BodyText"/>
        <w:spacing w:after="120" w:line="276" w:lineRule="auto"/>
        <w:rPr>
          <w:rFonts w:ascii="Aptos" w:hAnsi="Aptos" w:cs="Calibri"/>
        </w:rPr>
      </w:pPr>
      <w:r w:rsidRPr="006B296A">
        <w:rPr>
          <w:rFonts w:ascii="Aptos" w:hAnsi="Aptos" w:cs="Calibri"/>
        </w:rPr>
        <w:t xml:space="preserve">Providers would be encouraged to adopt the </w:t>
      </w:r>
      <w:r w:rsidR="008743F1" w:rsidRPr="006B296A">
        <w:rPr>
          <w:rFonts w:ascii="Aptos" w:hAnsi="Aptos" w:cs="Calibri"/>
        </w:rPr>
        <w:t>National Code</w:t>
      </w:r>
      <w:r w:rsidRPr="006B296A">
        <w:rPr>
          <w:rFonts w:ascii="Aptos" w:hAnsi="Aptos" w:cs="Calibri"/>
        </w:rPr>
        <w:t xml:space="preserve">, and participation would be non-binding and based on their own institutional commitment. </w:t>
      </w:r>
    </w:p>
    <w:p w14:paraId="645AA281" w14:textId="77777777" w:rsidR="00FE2B60" w:rsidRPr="006B296A" w:rsidRDefault="00FE2B60" w:rsidP="006B296A">
      <w:pPr>
        <w:pStyle w:val="BodyText"/>
        <w:spacing w:after="120" w:line="276" w:lineRule="auto"/>
        <w:rPr>
          <w:rFonts w:ascii="Aptos" w:hAnsi="Aptos" w:cs="Calibri"/>
          <w:b/>
          <w:bCs/>
        </w:rPr>
      </w:pPr>
      <w:r w:rsidRPr="006B296A">
        <w:rPr>
          <w:rFonts w:ascii="Aptos" w:hAnsi="Aptos" w:cs="Calibri"/>
          <w:b/>
          <w:bCs/>
        </w:rPr>
        <w:t xml:space="preserve">Guidance </w:t>
      </w:r>
    </w:p>
    <w:p w14:paraId="471CFA4E" w14:textId="77777777" w:rsidR="00FE2B60" w:rsidRPr="006B296A" w:rsidRDefault="00FE2B60" w:rsidP="006B296A">
      <w:pPr>
        <w:pStyle w:val="BodyText"/>
        <w:spacing w:after="120" w:line="276" w:lineRule="auto"/>
        <w:rPr>
          <w:rFonts w:ascii="Aptos" w:hAnsi="Aptos" w:cs="Calibri"/>
        </w:rPr>
      </w:pPr>
      <w:r w:rsidRPr="006B296A">
        <w:rPr>
          <w:rFonts w:ascii="Aptos" w:hAnsi="Aptos" w:cs="Calibri"/>
        </w:rPr>
        <w:t>The Department of Education would establish a dedicated education and engagement team undertake work to support voluntary implementation. This would include providing toolkits and guidance materials to facilitate sector</w:t>
      </w:r>
      <w:r w:rsidR="00495D36">
        <w:rPr>
          <w:rFonts w:ascii="Aptos" w:hAnsi="Aptos" w:cs="Calibri"/>
        </w:rPr>
        <w:t>-</w:t>
      </w:r>
      <w:r w:rsidRPr="006B296A">
        <w:rPr>
          <w:rFonts w:ascii="Aptos" w:hAnsi="Aptos" w:cs="Calibri"/>
        </w:rPr>
        <w:t xml:space="preserve">wide capability building. This team would also facilitate and promote peer learning and collaboration to support shared good practice. </w:t>
      </w:r>
    </w:p>
    <w:p w14:paraId="262751D3" w14:textId="455A5E84" w:rsidR="00653987" w:rsidRPr="006B296A" w:rsidRDefault="00653987" w:rsidP="006B296A">
      <w:pPr>
        <w:pStyle w:val="BodyText"/>
        <w:spacing w:after="120" w:line="276" w:lineRule="auto"/>
        <w:rPr>
          <w:rFonts w:ascii="Aptos" w:hAnsi="Aptos" w:cs="Calibri"/>
        </w:rPr>
      </w:pPr>
      <w:r>
        <w:rPr>
          <w:rFonts w:ascii="Aptos" w:hAnsi="Aptos" w:cs="Calibri"/>
        </w:rPr>
        <w:t xml:space="preserve">Practices </w:t>
      </w:r>
      <w:r w:rsidR="004C4BE1">
        <w:rPr>
          <w:rFonts w:ascii="Aptos" w:hAnsi="Aptos" w:cs="Calibri"/>
        </w:rPr>
        <w:t>and procedures would be trauma-</w:t>
      </w:r>
      <w:r w:rsidR="00B5201C">
        <w:rPr>
          <w:rFonts w:ascii="Aptos" w:hAnsi="Aptos" w:cs="Calibri"/>
        </w:rPr>
        <w:t>informed,</w:t>
      </w:r>
      <w:r w:rsidR="004C4BE1">
        <w:rPr>
          <w:rFonts w:ascii="Aptos" w:hAnsi="Aptos" w:cs="Calibri"/>
        </w:rPr>
        <w:t xml:space="preserve"> and person centred</w:t>
      </w:r>
      <w:r w:rsidR="00EF4A20">
        <w:rPr>
          <w:rFonts w:ascii="Aptos" w:hAnsi="Aptos" w:cs="Calibri"/>
        </w:rPr>
        <w:t xml:space="preserve">. Trauma-informed is an approach that applies the core principles of safety, </w:t>
      </w:r>
      <w:r w:rsidR="00B5201C">
        <w:rPr>
          <w:rFonts w:ascii="Aptos" w:hAnsi="Aptos" w:cs="Calibri"/>
        </w:rPr>
        <w:t>trust, choice</w:t>
      </w:r>
      <w:r w:rsidR="00EF4A20">
        <w:rPr>
          <w:rFonts w:ascii="Aptos" w:hAnsi="Aptos" w:cs="Calibri"/>
        </w:rPr>
        <w:t xml:space="preserve">, collaboration and empowerment. </w:t>
      </w:r>
      <w:r w:rsidR="000127AD">
        <w:rPr>
          <w:rFonts w:ascii="Aptos" w:hAnsi="Aptos" w:cs="Calibri"/>
        </w:rPr>
        <w:t xml:space="preserve">Process and </w:t>
      </w:r>
      <w:r w:rsidR="00B5201C">
        <w:rPr>
          <w:rFonts w:ascii="Aptos" w:hAnsi="Aptos" w:cs="Calibri"/>
        </w:rPr>
        <w:t>procedures</w:t>
      </w:r>
      <w:r w:rsidR="000127AD">
        <w:rPr>
          <w:rFonts w:ascii="Aptos" w:hAnsi="Aptos" w:cs="Calibri"/>
        </w:rPr>
        <w:t xml:space="preserve"> that are trauma-informed should minimise the risk of </w:t>
      </w:r>
      <w:r w:rsidR="00B5201C">
        <w:rPr>
          <w:rFonts w:ascii="Aptos" w:hAnsi="Aptos" w:cs="Calibri"/>
        </w:rPr>
        <w:t>traumatisation</w:t>
      </w:r>
      <w:r w:rsidR="000127AD">
        <w:rPr>
          <w:rFonts w:ascii="Aptos" w:hAnsi="Aptos" w:cs="Calibri"/>
        </w:rPr>
        <w:t xml:space="preserve"> and promote recovery and healing. Person-centred </w:t>
      </w:r>
      <w:r w:rsidR="00B5201C">
        <w:rPr>
          <w:rFonts w:ascii="Aptos" w:hAnsi="Aptos" w:cs="Calibri"/>
        </w:rPr>
        <w:t xml:space="preserve">is ensuring that </w:t>
      </w:r>
      <w:r w:rsidR="00935BA5">
        <w:rPr>
          <w:rFonts w:ascii="Aptos" w:hAnsi="Aptos" w:cs="Calibri"/>
        </w:rPr>
        <w:t>victim-</w:t>
      </w:r>
      <w:r w:rsidR="00BA6B7F">
        <w:rPr>
          <w:rFonts w:ascii="Aptos" w:hAnsi="Aptos" w:cs="Calibri"/>
        </w:rPr>
        <w:t>survivor</w:t>
      </w:r>
      <w:r w:rsidR="00B5201C">
        <w:rPr>
          <w:rFonts w:ascii="Aptos" w:hAnsi="Aptos" w:cs="Calibri"/>
        </w:rPr>
        <w:t xml:space="preserve"> needs and preferences are at the centre of any decisions made in relation to them. This affirms their dignity and supports their healing (see glossary for further definitions).</w:t>
      </w:r>
      <w:r w:rsidR="009763EF">
        <w:rPr>
          <w:rFonts w:ascii="Aptos" w:hAnsi="Aptos" w:cs="Calibri"/>
        </w:rPr>
        <w:t xml:space="preserve"> </w:t>
      </w:r>
      <w:r w:rsidR="009763EF">
        <w:rPr>
          <w:rFonts w:ascii="Aptos" w:hAnsi="Aptos" w:cs="Calibri"/>
        </w:rPr>
        <w:lastRenderedPageBreak/>
        <w:t xml:space="preserve">Person-centred and trauma-informed </w:t>
      </w:r>
      <w:r w:rsidR="00BA6B7F">
        <w:rPr>
          <w:rFonts w:ascii="Aptos" w:hAnsi="Aptos" w:cs="Calibri"/>
        </w:rPr>
        <w:t xml:space="preserve">approaches </w:t>
      </w:r>
      <w:r w:rsidR="009763EF">
        <w:rPr>
          <w:rFonts w:ascii="Aptos" w:hAnsi="Aptos" w:cs="Calibri"/>
        </w:rPr>
        <w:t>are core principles of the National Code</w:t>
      </w:r>
      <w:r w:rsidR="00A53857">
        <w:rPr>
          <w:rFonts w:ascii="Aptos" w:hAnsi="Aptos" w:cs="Calibri"/>
        </w:rPr>
        <w:t>,</w:t>
      </w:r>
      <w:r w:rsidR="009763EF">
        <w:rPr>
          <w:rFonts w:ascii="Aptos" w:hAnsi="Aptos" w:cs="Calibri"/>
        </w:rPr>
        <w:t xml:space="preserve"> woven throughout all sevens standards. </w:t>
      </w:r>
      <w:r w:rsidR="00B5201C">
        <w:rPr>
          <w:rFonts w:ascii="Aptos" w:hAnsi="Aptos" w:cs="Calibri"/>
        </w:rPr>
        <w:t xml:space="preserve"> </w:t>
      </w:r>
    </w:p>
    <w:p w14:paraId="5347D410" w14:textId="77777777" w:rsidR="00FE2B60" w:rsidRPr="006B296A" w:rsidRDefault="00FE2B60" w:rsidP="006B296A">
      <w:pPr>
        <w:pStyle w:val="BodyText"/>
        <w:spacing w:after="120" w:line="276" w:lineRule="auto"/>
        <w:rPr>
          <w:rFonts w:ascii="Aptos" w:hAnsi="Aptos" w:cs="Calibri"/>
          <w:b/>
          <w:bCs/>
        </w:rPr>
      </w:pPr>
      <w:r w:rsidRPr="006B296A">
        <w:rPr>
          <w:rFonts w:ascii="Aptos" w:hAnsi="Aptos" w:cs="Calibri"/>
          <w:b/>
          <w:bCs/>
        </w:rPr>
        <w:t>Standards</w:t>
      </w:r>
    </w:p>
    <w:p w14:paraId="059F3CB0" w14:textId="2A5CA7EE" w:rsidR="00FE2B60" w:rsidRPr="006B296A" w:rsidRDefault="00FE2B60" w:rsidP="006B296A">
      <w:pPr>
        <w:pStyle w:val="BodyText"/>
        <w:spacing w:after="120" w:line="276" w:lineRule="auto"/>
        <w:rPr>
          <w:rFonts w:ascii="Aptos" w:hAnsi="Aptos" w:cs="Calibri"/>
        </w:rPr>
      </w:pPr>
      <w:r w:rsidRPr="006B296A">
        <w:rPr>
          <w:rFonts w:ascii="Aptos" w:hAnsi="Aptos" w:cs="Calibri"/>
        </w:rPr>
        <w:t xml:space="preserve">The voluntary </w:t>
      </w:r>
      <w:r w:rsidR="008743F1" w:rsidRPr="006B296A">
        <w:rPr>
          <w:rFonts w:ascii="Aptos" w:hAnsi="Aptos" w:cs="Calibri"/>
        </w:rPr>
        <w:t>National Code</w:t>
      </w:r>
      <w:r w:rsidRPr="006B296A">
        <w:rPr>
          <w:rFonts w:ascii="Aptos" w:hAnsi="Aptos" w:cs="Calibri"/>
        </w:rPr>
        <w:t xml:space="preserve"> would operate through core principles: </w:t>
      </w:r>
    </w:p>
    <w:p w14:paraId="43B2AF2E" w14:textId="5D03848A" w:rsidR="007E0E2E" w:rsidRPr="00CB5EC4" w:rsidRDefault="007E0E2E" w:rsidP="007E0E2E">
      <w:pPr>
        <w:pStyle w:val="BodyText"/>
        <w:spacing w:line="276" w:lineRule="auto"/>
        <w:rPr>
          <w:rFonts w:ascii="Aptos" w:hAnsi="Aptos" w:cs="Calibri"/>
        </w:rPr>
      </w:pPr>
      <w:r w:rsidRPr="00CB5EC4">
        <w:rPr>
          <w:rFonts w:ascii="Aptos" w:hAnsi="Aptos" w:cs="Calibri"/>
          <w:b/>
          <w:bCs/>
        </w:rPr>
        <w:t>Standard 1:</w:t>
      </w:r>
      <w:r w:rsidRPr="00CB5EC4">
        <w:rPr>
          <w:rFonts w:ascii="Aptos" w:hAnsi="Aptos" w:cs="Calibri"/>
        </w:rPr>
        <w:t xml:space="preserve"> Accountable Leadership and governance – Effective governance and a Whole-of-Organisation approach priorities safety and support in the prevention and response to GBV</w:t>
      </w:r>
    </w:p>
    <w:p w14:paraId="38F760D6" w14:textId="77777777" w:rsidR="007E0E2E" w:rsidRPr="003B20A8" w:rsidRDefault="007E0E2E" w:rsidP="005F6215">
      <w:pPr>
        <w:pStyle w:val="BodyText"/>
        <w:spacing w:afterLines="40" w:after="96" w:line="276" w:lineRule="auto"/>
        <w:rPr>
          <w:rFonts w:ascii="Aptos" w:hAnsi="Aptos" w:cs="Calibri"/>
          <w:u w:val="single"/>
        </w:rPr>
      </w:pPr>
      <w:r w:rsidRPr="003B20A8">
        <w:rPr>
          <w:rFonts w:ascii="Aptos" w:hAnsi="Aptos" w:cs="Calibri"/>
          <w:u w:val="single"/>
        </w:rPr>
        <w:t>Recommended practices</w:t>
      </w:r>
    </w:p>
    <w:p w14:paraId="054AC584" w14:textId="246AB802" w:rsidR="007E0E2E" w:rsidRPr="00CB5EC4" w:rsidRDefault="007E0E2E" w:rsidP="005F6215">
      <w:pPr>
        <w:pStyle w:val="BodyText"/>
        <w:numPr>
          <w:ilvl w:val="0"/>
          <w:numId w:val="200"/>
        </w:numPr>
        <w:spacing w:before="0" w:line="276" w:lineRule="auto"/>
        <w:ind w:left="714" w:hanging="357"/>
        <w:rPr>
          <w:rFonts w:ascii="Aptos" w:hAnsi="Aptos" w:cs="Calibri"/>
        </w:rPr>
      </w:pPr>
      <w:r w:rsidRPr="00CB5EC4">
        <w:rPr>
          <w:rFonts w:ascii="Aptos" w:hAnsi="Aptos" w:cs="Calibri"/>
        </w:rPr>
        <w:t>Adopt a whole-o</w:t>
      </w:r>
      <w:r w:rsidR="008C0935">
        <w:rPr>
          <w:rFonts w:ascii="Aptos" w:hAnsi="Aptos" w:cs="Calibri"/>
        </w:rPr>
        <w:t>f</w:t>
      </w:r>
      <w:r w:rsidRPr="00CB5EC4">
        <w:rPr>
          <w:rFonts w:ascii="Aptos" w:hAnsi="Aptos" w:cs="Calibri"/>
        </w:rPr>
        <w:t>-organisation approach, and VCs and CEOs to champion GBV prevention and response efforts</w:t>
      </w:r>
    </w:p>
    <w:p w14:paraId="20880F47" w14:textId="77777777" w:rsidR="007E0E2E" w:rsidRPr="00CB5EC4" w:rsidRDefault="007E0E2E" w:rsidP="005F6215">
      <w:pPr>
        <w:pStyle w:val="BodyText"/>
        <w:numPr>
          <w:ilvl w:val="0"/>
          <w:numId w:val="200"/>
        </w:numPr>
        <w:spacing w:before="0" w:line="276" w:lineRule="auto"/>
        <w:ind w:left="714" w:hanging="357"/>
        <w:rPr>
          <w:rFonts w:ascii="Aptos" w:hAnsi="Aptos" w:cs="Calibri"/>
        </w:rPr>
      </w:pPr>
      <w:r w:rsidRPr="00CB5EC4">
        <w:rPr>
          <w:rFonts w:ascii="Aptos" w:hAnsi="Aptos" w:cs="Calibri"/>
        </w:rPr>
        <w:t>Develop and publish a Prevention and Response Plan and Outcomes Framework, in collaboration with students and staff, to map efforts and monitor progress</w:t>
      </w:r>
    </w:p>
    <w:p w14:paraId="1EBEE4B9" w14:textId="77777777" w:rsidR="007E0E2E" w:rsidRPr="00CB5EC4" w:rsidRDefault="007E0E2E" w:rsidP="005F6215">
      <w:pPr>
        <w:pStyle w:val="BodyText"/>
        <w:numPr>
          <w:ilvl w:val="0"/>
          <w:numId w:val="200"/>
        </w:numPr>
        <w:spacing w:before="0" w:line="276" w:lineRule="auto"/>
        <w:ind w:left="714" w:hanging="357"/>
        <w:rPr>
          <w:rFonts w:ascii="Aptos" w:hAnsi="Aptos" w:cs="Calibri"/>
        </w:rPr>
      </w:pPr>
      <w:r w:rsidRPr="00CB5EC4">
        <w:rPr>
          <w:rFonts w:ascii="Aptos" w:hAnsi="Aptos" w:cs="Calibri"/>
        </w:rPr>
        <w:t>Regular reporting to governing bodies is recommended</w:t>
      </w:r>
    </w:p>
    <w:p w14:paraId="1C593D17" w14:textId="77777777" w:rsidR="007E0E2E" w:rsidRPr="00CB5EC4" w:rsidRDefault="007E0E2E" w:rsidP="005F6215">
      <w:pPr>
        <w:pStyle w:val="BodyText"/>
        <w:numPr>
          <w:ilvl w:val="0"/>
          <w:numId w:val="200"/>
        </w:numPr>
        <w:spacing w:before="0" w:line="276" w:lineRule="auto"/>
        <w:ind w:left="714" w:hanging="357"/>
        <w:rPr>
          <w:rFonts w:ascii="Aptos" w:hAnsi="Aptos" w:cs="Calibri"/>
        </w:rPr>
      </w:pPr>
      <w:r w:rsidRPr="00CB5EC4">
        <w:rPr>
          <w:rFonts w:ascii="Aptos" w:hAnsi="Aptos" w:cs="Calibri"/>
        </w:rPr>
        <w:t xml:space="preserve">Providers may voluntarily publish biennial reports to share progress and learnings with the sector and department </w:t>
      </w:r>
    </w:p>
    <w:p w14:paraId="26895175" w14:textId="77777777" w:rsidR="007E0E2E" w:rsidRPr="00CB5EC4" w:rsidRDefault="007E0E2E" w:rsidP="007E0E2E">
      <w:pPr>
        <w:pStyle w:val="BodyText"/>
        <w:spacing w:line="276" w:lineRule="auto"/>
        <w:rPr>
          <w:rFonts w:ascii="Aptos" w:hAnsi="Aptos" w:cs="Calibri"/>
        </w:rPr>
      </w:pPr>
      <w:r w:rsidRPr="00CB5EC4">
        <w:rPr>
          <w:rFonts w:ascii="Aptos" w:hAnsi="Aptos" w:cs="Calibri"/>
          <w:b/>
          <w:bCs/>
        </w:rPr>
        <w:t>Standard 2:</w:t>
      </w:r>
      <w:r w:rsidRPr="00CB5EC4">
        <w:rPr>
          <w:rFonts w:ascii="Aptos" w:hAnsi="Aptos" w:cs="Calibri"/>
        </w:rPr>
        <w:t xml:space="preserve"> Safe environments and systems – Higher Education Providers environments are safe, and systems continuously improve to prevent and respond to GBV</w:t>
      </w:r>
    </w:p>
    <w:p w14:paraId="7D06AE85" w14:textId="77777777" w:rsidR="007E0E2E" w:rsidRPr="003B20A8" w:rsidRDefault="007E0E2E" w:rsidP="005F6215">
      <w:pPr>
        <w:pStyle w:val="BodyText"/>
        <w:spacing w:afterLines="40" w:after="96" w:line="276" w:lineRule="auto"/>
        <w:rPr>
          <w:rFonts w:ascii="Aptos" w:hAnsi="Aptos" w:cs="Calibri"/>
          <w:u w:val="single"/>
        </w:rPr>
      </w:pPr>
      <w:r w:rsidRPr="003B20A8">
        <w:rPr>
          <w:rFonts w:ascii="Aptos" w:hAnsi="Aptos" w:cs="Calibri"/>
          <w:u w:val="single"/>
        </w:rPr>
        <w:t>Recommended Practices</w:t>
      </w:r>
    </w:p>
    <w:p w14:paraId="04622D4A" w14:textId="77777777" w:rsidR="007E0E2E" w:rsidRPr="00CB5EC4" w:rsidRDefault="007E0E2E" w:rsidP="005F6215">
      <w:pPr>
        <w:pStyle w:val="BodyText"/>
        <w:numPr>
          <w:ilvl w:val="0"/>
          <w:numId w:val="201"/>
        </w:numPr>
        <w:spacing w:before="0" w:line="276" w:lineRule="auto"/>
        <w:ind w:left="714" w:hanging="357"/>
        <w:rPr>
          <w:rFonts w:ascii="Aptos" w:hAnsi="Aptos" w:cs="Calibri"/>
        </w:rPr>
      </w:pPr>
      <w:r w:rsidRPr="00CB5EC4">
        <w:rPr>
          <w:rFonts w:ascii="Aptos" w:hAnsi="Aptos" w:cs="Calibri"/>
        </w:rPr>
        <w:t>Develop a trauma-informed, person-centred GBV policy that goes beyond sexual harm/Sexual Assault and Sexual Harassment, that is also publicly available and accessible</w:t>
      </w:r>
    </w:p>
    <w:p w14:paraId="457024DB" w14:textId="77777777" w:rsidR="007E0E2E" w:rsidRPr="00CB5EC4" w:rsidRDefault="007E0E2E" w:rsidP="005F6215">
      <w:pPr>
        <w:pStyle w:val="BodyText"/>
        <w:numPr>
          <w:ilvl w:val="0"/>
          <w:numId w:val="201"/>
        </w:numPr>
        <w:spacing w:before="0" w:line="276" w:lineRule="auto"/>
        <w:ind w:left="714" w:hanging="357"/>
        <w:rPr>
          <w:rFonts w:ascii="Aptos" w:hAnsi="Aptos" w:cs="Calibri"/>
        </w:rPr>
      </w:pPr>
      <w:r w:rsidRPr="00CB5EC4">
        <w:rPr>
          <w:rFonts w:ascii="Aptos" w:hAnsi="Aptos" w:cs="Calibri"/>
        </w:rPr>
        <w:t>Avoid non-disclosure agreements unless requested by the discloser</w:t>
      </w:r>
    </w:p>
    <w:p w14:paraId="7A42CF81" w14:textId="77777777" w:rsidR="007E0E2E" w:rsidRPr="00CB5EC4" w:rsidRDefault="007E0E2E" w:rsidP="005F6215">
      <w:pPr>
        <w:pStyle w:val="BodyText"/>
        <w:numPr>
          <w:ilvl w:val="0"/>
          <w:numId w:val="201"/>
        </w:numPr>
        <w:spacing w:before="0" w:line="276" w:lineRule="auto"/>
        <w:ind w:left="714" w:hanging="357"/>
        <w:rPr>
          <w:rFonts w:ascii="Aptos" w:hAnsi="Aptos" w:cs="Calibri"/>
        </w:rPr>
      </w:pPr>
      <w:r w:rsidRPr="00CB5EC4">
        <w:rPr>
          <w:rFonts w:ascii="Aptos" w:hAnsi="Aptos" w:cs="Calibri"/>
        </w:rPr>
        <w:t>Strengthen recruitment and employment practices to ensure safety by requesting prospective employees to declare any previous investigations of allegations of GBV</w:t>
      </w:r>
    </w:p>
    <w:p w14:paraId="701F81EB" w14:textId="77777777" w:rsidR="007E0E2E" w:rsidRPr="00CB5EC4" w:rsidRDefault="007E0E2E" w:rsidP="007E0E2E">
      <w:pPr>
        <w:pStyle w:val="BodyText"/>
        <w:spacing w:line="276" w:lineRule="auto"/>
        <w:rPr>
          <w:rFonts w:ascii="Aptos" w:hAnsi="Aptos" w:cs="Calibri"/>
        </w:rPr>
      </w:pPr>
      <w:r w:rsidRPr="00CB5EC4">
        <w:rPr>
          <w:rFonts w:ascii="Aptos" w:hAnsi="Aptos" w:cs="Calibri"/>
          <w:b/>
          <w:bCs/>
        </w:rPr>
        <w:t>Standard 3:</w:t>
      </w:r>
      <w:r w:rsidRPr="00CB5EC4">
        <w:rPr>
          <w:rFonts w:ascii="Aptos" w:hAnsi="Aptos" w:cs="Calibri"/>
        </w:rPr>
        <w:t xml:space="preserve"> Knowledge and Capability – Higher education providers build knowledge and capability to safely and effectively prevent and respond to GBV</w:t>
      </w:r>
    </w:p>
    <w:p w14:paraId="03C81088" w14:textId="77777777" w:rsidR="007E0E2E" w:rsidRPr="003B20A8" w:rsidRDefault="007E0E2E" w:rsidP="005F6215">
      <w:pPr>
        <w:pStyle w:val="BodyText"/>
        <w:spacing w:afterLines="40" w:after="96" w:line="276" w:lineRule="auto"/>
        <w:rPr>
          <w:rFonts w:ascii="Aptos" w:hAnsi="Aptos" w:cs="Calibri"/>
          <w:u w:val="single"/>
        </w:rPr>
      </w:pPr>
      <w:r w:rsidRPr="003B20A8">
        <w:rPr>
          <w:rFonts w:ascii="Aptos" w:hAnsi="Aptos" w:cs="Calibri"/>
          <w:u w:val="single"/>
        </w:rPr>
        <w:t>Recommended practices</w:t>
      </w:r>
    </w:p>
    <w:p w14:paraId="2D2EE422" w14:textId="77777777" w:rsidR="007E0E2E" w:rsidRPr="00CB5EC4" w:rsidRDefault="007E0E2E" w:rsidP="005F6215">
      <w:pPr>
        <w:pStyle w:val="BodyText"/>
        <w:numPr>
          <w:ilvl w:val="0"/>
          <w:numId w:val="202"/>
        </w:numPr>
        <w:spacing w:before="0" w:line="276" w:lineRule="auto"/>
        <w:ind w:left="714" w:hanging="357"/>
        <w:rPr>
          <w:rFonts w:ascii="Aptos" w:hAnsi="Aptos" w:cs="Calibri"/>
        </w:rPr>
      </w:pPr>
      <w:r w:rsidRPr="00CB5EC4">
        <w:rPr>
          <w:rFonts w:ascii="Aptos" w:hAnsi="Aptos" w:cs="Calibri"/>
        </w:rPr>
        <w:t xml:space="preserve">Regular training and education to staff and students that is co-designed with experts </w:t>
      </w:r>
    </w:p>
    <w:p w14:paraId="7AF2C510" w14:textId="77777777" w:rsidR="007E0E2E" w:rsidRPr="00CB5EC4" w:rsidRDefault="007E0E2E" w:rsidP="005F6215">
      <w:pPr>
        <w:pStyle w:val="BodyText"/>
        <w:numPr>
          <w:ilvl w:val="0"/>
          <w:numId w:val="202"/>
        </w:numPr>
        <w:spacing w:before="0" w:line="276" w:lineRule="auto"/>
        <w:ind w:left="714" w:hanging="357"/>
        <w:rPr>
          <w:rFonts w:ascii="Aptos" w:hAnsi="Aptos" w:cs="Calibri"/>
        </w:rPr>
      </w:pPr>
      <w:r w:rsidRPr="00CB5EC4">
        <w:rPr>
          <w:rFonts w:ascii="Aptos" w:hAnsi="Aptos" w:cs="Calibri"/>
        </w:rPr>
        <w:t xml:space="preserve">Specialised training for those likely to respond to disclosures, including student leaders </w:t>
      </w:r>
    </w:p>
    <w:p w14:paraId="4E7EF969" w14:textId="77777777" w:rsidR="007E0E2E" w:rsidRPr="00CB5EC4" w:rsidRDefault="007E0E2E" w:rsidP="005F6215">
      <w:pPr>
        <w:pStyle w:val="BodyText"/>
        <w:numPr>
          <w:ilvl w:val="0"/>
          <w:numId w:val="202"/>
        </w:numPr>
        <w:spacing w:before="0" w:line="276" w:lineRule="auto"/>
        <w:ind w:left="714" w:hanging="357"/>
        <w:rPr>
          <w:rFonts w:ascii="Aptos" w:hAnsi="Aptos" w:cs="Calibri"/>
        </w:rPr>
      </w:pPr>
      <w:r w:rsidRPr="00CB5EC4">
        <w:rPr>
          <w:rFonts w:ascii="Aptos" w:hAnsi="Aptos" w:cs="Calibri"/>
        </w:rPr>
        <w:t>Staff receive training so they have expertise to conduct risk assessments, investigations and more</w:t>
      </w:r>
    </w:p>
    <w:p w14:paraId="7833220F" w14:textId="77777777" w:rsidR="007E0E2E" w:rsidRPr="00CB5EC4" w:rsidRDefault="007E0E2E" w:rsidP="007E0E2E">
      <w:pPr>
        <w:pStyle w:val="BodyText"/>
        <w:spacing w:line="276" w:lineRule="auto"/>
        <w:rPr>
          <w:rFonts w:ascii="Aptos" w:hAnsi="Aptos" w:cs="Calibri"/>
        </w:rPr>
      </w:pPr>
      <w:r w:rsidRPr="00CB5EC4">
        <w:rPr>
          <w:rFonts w:ascii="Aptos" w:hAnsi="Aptos" w:cs="Calibri"/>
          <w:b/>
          <w:bCs/>
        </w:rPr>
        <w:t>Standard 4:</w:t>
      </w:r>
      <w:r w:rsidRPr="00CB5EC4">
        <w:rPr>
          <w:rFonts w:ascii="Aptos" w:hAnsi="Aptos" w:cs="Calibri"/>
        </w:rPr>
        <w:t xml:space="preserve"> Safety and Support – responses and support services are safe and person-centred</w:t>
      </w:r>
    </w:p>
    <w:p w14:paraId="5CAE8F63" w14:textId="77777777" w:rsidR="007E0E2E" w:rsidRPr="003B20A8" w:rsidRDefault="007E0E2E" w:rsidP="005F6215">
      <w:pPr>
        <w:pStyle w:val="BodyText"/>
        <w:spacing w:afterLines="40" w:after="96" w:line="276" w:lineRule="auto"/>
        <w:rPr>
          <w:rFonts w:ascii="Aptos" w:hAnsi="Aptos" w:cs="Calibri"/>
          <w:u w:val="single"/>
        </w:rPr>
      </w:pPr>
      <w:r w:rsidRPr="003B20A8">
        <w:rPr>
          <w:rFonts w:ascii="Aptos" w:hAnsi="Aptos" w:cs="Calibri"/>
          <w:u w:val="single"/>
        </w:rPr>
        <w:t>Recommended practices</w:t>
      </w:r>
    </w:p>
    <w:p w14:paraId="2FBF9F35" w14:textId="77777777" w:rsidR="007E0E2E" w:rsidRPr="00CB5EC4" w:rsidRDefault="007E0E2E" w:rsidP="005F6215">
      <w:pPr>
        <w:pStyle w:val="BodyText"/>
        <w:numPr>
          <w:ilvl w:val="0"/>
          <w:numId w:val="203"/>
        </w:numPr>
        <w:spacing w:before="0" w:line="276" w:lineRule="auto"/>
        <w:ind w:left="714" w:hanging="357"/>
        <w:rPr>
          <w:rFonts w:ascii="Aptos" w:hAnsi="Aptos" w:cs="Calibri"/>
        </w:rPr>
      </w:pPr>
      <w:r w:rsidRPr="00CB5EC4">
        <w:rPr>
          <w:rFonts w:ascii="Aptos" w:hAnsi="Aptos" w:cs="Calibri"/>
        </w:rPr>
        <w:t xml:space="preserve">Provide access to support services for students and staff </w:t>
      </w:r>
    </w:p>
    <w:p w14:paraId="654B90B7" w14:textId="77777777" w:rsidR="007E0E2E" w:rsidRPr="00CB5EC4" w:rsidRDefault="007E0E2E" w:rsidP="005F6215">
      <w:pPr>
        <w:pStyle w:val="BodyText"/>
        <w:numPr>
          <w:ilvl w:val="0"/>
          <w:numId w:val="203"/>
        </w:numPr>
        <w:spacing w:before="0" w:line="276" w:lineRule="auto"/>
        <w:ind w:left="714" w:hanging="357"/>
        <w:rPr>
          <w:rFonts w:ascii="Aptos" w:hAnsi="Aptos" w:cs="Calibri"/>
        </w:rPr>
      </w:pPr>
      <w:r w:rsidRPr="00CB5EC4">
        <w:rPr>
          <w:rFonts w:ascii="Aptos" w:hAnsi="Aptos" w:cs="Calibri"/>
        </w:rPr>
        <w:t>Conduct risk assessments and support plans following disclosures</w:t>
      </w:r>
    </w:p>
    <w:p w14:paraId="1EFB9BDE" w14:textId="77777777" w:rsidR="007E0E2E" w:rsidRPr="00CB5EC4" w:rsidRDefault="007E0E2E" w:rsidP="005F6215">
      <w:pPr>
        <w:pStyle w:val="BodyText"/>
        <w:numPr>
          <w:ilvl w:val="0"/>
          <w:numId w:val="203"/>
        </w:numPr>
        <w:spacing w:before="0" w:line="276" w:lineRule="auto"/>
        <w:ind w:left="714" w:hanging="357"/>
        <w:rPr>
          <w:rFonts w:ascii="Aptos" w:hAnsi="Aptos" w:cs="Calibri"/>
        </w:rPr>
      </w:pPr>
      <w:r w:rsidRPr="00CB5EC4">
        <w:rPr>
          <w:rFonts w:ascii="Aptos" w:hAnsi="Aptos" w:cs="Calibri"/>
        </w:rPr>
        <w:t>Evaluate support services</w:t>
      </w:r>
    </w:p>
    <w:p w14:paraId="35974FE4" w14:textId="77777777" w:rsidR="007E0E2E" w:rsidRPr="00CB5EC4" w:rsidRDefault="007E0E2E" w:rsidP="007E0E2E">
      <w:pPr>
        <w:pStyle w:val="BodyText"/>
        <w:spacing w:line="276" w:lineRule="auto"/>
        <w:rPr>
          <w:rFonts w:ascii="Aptos" w:hAnsi="Aptos" w:cs="Calibri"/>
        </w:rPr>
      </w:pPr>
      <w:r w:rsidRPr="00CB5EC4">
        <w:rPr>
          <w:rFonts w:ascii="Aptos" w:hAnsi="Aptos" w:cs="Calibri"/>
          <w:b/>
          <w:bCs/>
        </w:rPr>
        <w:t xml:space="preserve">Standard 5: </w:t>
      </w:r>
      <w:r w:rsidRPr="00CB5EC4">
        <w:rPr>
          <w:rFonts w:ascii="Aptos" w:hAnsi="Aptos" w:cs="Calibri"/>
        </w:rPr>
        <w:t>Safe Processes – all processes are safe and timely</w:t>
      </w:r>
    </w:p>
    <w:p w14:paraId="08E0B92B" w14:textId="77777777" w:rsidR="007E0E2E" w:rsidRPr="003B20A8" w:rsidRDefault="007E0E2E" w:rsidP="005F6215">
      <w:pPr>
        <w:pStyle w:val="BodyText"/>
        <w:spacing w:afterLines="40" w:after="96" w:line="276" w:lineRule="auto"/>
        <w:rPr>
          <w:rFonts w:ascii="Aptos" w:hAnsi="Aptos" w:cs="Calibri"/>
          <w:u w:val="single"/>
        </w:rPr>
      </w:pPr>
      <w:r w:rsidRPr="003B20A8">
        <w:rPr>
          <w:rFonts w:ascii="Aptos" w:hAnsi="Aptos" w:cs="Calibri"/>
          <w:u w:val="single"/>
        </w:rPr>
        <w:t>Recommended practices</w:t>
      </w:r>
    </w:p>
    <w:p w14:paraId="302C6A35" w14:textId="77777777" w:rsidR="007E0E2E" w:rsidRPr="00CB5EC4" w:rsidRDefault="007E0E2E" w:rsidP="005F6215">
      <w:pPr>
        <w:pStyle w:val="BodyText"/>
        <w:numPr>
          <w:ilvl w:val="0"/>
          <w:numId w:val="204"/>
        </w:numPr>
        <w:spacing w:before="0" w:line="276" w:lineRule="auto"/>
        <w:ind w:left="714" w:hanging="357"/>
        <w:rPr>
          <w:rFonts w:ascii="Aptos" w:hAnsi="Aptos" w:cs="Calibri"/>
        </w:rPr>
      </w:pPr>
      <w:r w:rsidRPr="00CB5EC4">
        <w:rPr>
          <w:rFonts w:ascii="Aptos" w:hAnsi="Aptos" w:cs="Calibri"/>
        </w:rPr>
        <w:t>Provide multiple, accessible channels for disclosures and formal reports</w:t>
      </w:r>
    </w:p>
    <w:p w14:paraId="32F346F3" w14:textId="77777777" w:rsidR="007E0E2E" w:rsidRPr="00CB5EC4" w:rsidRDefault="007E0E2E" w:rsidP="005F6215">
      <w:pPr>
        <w:pStyle w:val="BodyText"/>
        <w:numPr>
          <w:ilvl w:val="0"/>
          <w:numId w:val="204"/>
        </w:numPr>
        <w:spacing w:before="0" w:line="276" w:lineRule="auto"/>
        <w:ind w:left="714" w:hanging="357"/>
        <w:rPr>
          <w:rFonts w:ascii="Aptos" w:hAnsi="Aptos" w:cs="Calibri"/>
        </w:rPr>
      </w:pPr>
      <w:r w:rsidRPr="00CB5EC4">
        <w:rPr>
          <w:rFonts w:ascii="Aptos" w:hAnsi="Aptos" w:cs="Calibri"/>
        </w:rPr>
        <w:lastRenderedPageBreak/>
        <w:t xml:space="preserve">Provide multiple pathways for managing disclosures and outcomes of investigations </w:t>
      </w:r>
    </w:p>
    <w:p w14:paraId="39F5ADFF" w14:textId="77777777" w:rsidR="007E0E2E" w:rsidRPr="00CB5EC4" w:rsidRDefault="007E0E2E" w:rsidP="005F6215">
      <w:pPr>
        <w:pStyle w:val="BodyText"/>
        <w:numPr>
          <w:ilvl w:val="0"/>
          <w:numId w:val="204"/>
        </w:numPr>
        <w:spacing w:before="0" w:line="276" w:lineRule="auto"/>
        <w:ind w:left="714" w:hanging="357"/>
        <w:rPr>
          <w:rFonts w:ascii="Aptos" w:hAnsi="Aptos" w:cs="Calibri"/>
        </w:rPr>
      </w:pPr>
      <w:r w:rsidRPr="00CB5EC4">
        <w:rPr>
          <w:rFonts w:ascii="Aptos" w:hAnsi="Aptos" w:cs="Calibri"/>
        </w:rPr>
        <w:t xml:space="preserve">Aim to resolve formal reports in a timely manner </w:t>
      </w:r>
    </w:p>
    <w:p w14:paraId="2120E1AF" w14:textId="77777777" w:rsidR="007E0E2E" w:rsidRPr="00CB5EC4" w:rsidRDefault="007E0E2E" w:rsidP="005F6215">
      <w:pPr>
        <w:pStyle w:val="BodyText"/>
        <w:numPr>
          <w:ilvl w:val="0"/>
          <w:numId w:val="204"/>
        </w:numPr>
        <w:spacing w:before="0" w:line="276" w:lineRule="auto"/>
        <w:ind w:left="714" w:hanging="357"/>
        <w:rPr>
          <w:rFonts w:ascii="Aptos" w:hAnsi="Aptos" w:cs="Calibri"/>
        </w:rPr>
      </w:pPr>
      <w:r w:rsidRPr="00CB5EC4">
        <w:rPr>
          <w:rFonts w:ascii="Aptos" w:hAnsi="Aptos" w:cs="Calibri"/>
        </w:rPr>
        <w:t>Ensure procedural fairness in disciplinary processes</w:t>
      </w:r>
    </w:p>
    <w:p w14:paraId="057ECC72" w14:textId="77E4F120" w:rsidR="007E0E2E" w:rsidRPr="00CB5EC4" w:rsidRDefault="007E0E2E" w:rsidP="007E0E2E">
      <w:pPr>
        <w:pStyle w:val="BodyText"/>
        <w:spacing w:line="276" w:lineRule="auto"/>
        <w:rPr>
          <w:rFonts w:ascii="Aptos" w:hAnsi="Aptos" w:cs="Calibri"/>
        </w:rPr>
      </w:pPr>
      <w:r w:rsidRPr="00CB5EC4">
        <w:rPr>
          <w:rFonts w:ascii="Aptos" w:hAnsi="Aptos" w:cs="Calibri"/>
          <w:b/>
          <w:bCs/>
        </w:rPr>
        <w:t>Standard 6:</w:t>
      </w:r>
      <w:r w:rsidRPr="00CB5EC4">
        <w:rPr>
          <w:rFonts w:ascii="Aptos" w:hAnsi="Aptos" w:cs="Calibri"/>
        </w:rPr>
        <w:t xml:space="preserve"> Data, evidence and impact – </w:t>
      </w:r>
      <w:r w:rsidR="00503078">
        <w:rPr>
          <w:rFonts w:ascii="Aptos" w:hAnsi="Aptos" w:cs="Calibri"/>
        </w:rPr>
        <w:t>h</w:t>
      </w:r>
      <w:r w:rsidRPr="00CB5EC4">
        <w:rPr>
          <w:rFonts w:ascii="Aptos" w:hAnsi="Aptos" w:cs="Calibri"/>
        </w:rPr>
        <w:t xml:space="preserve">igher </w:t>
      </w:r>
      <w:r w:rsidR="00503078">
        <w:rPr>
          <w:rFonts w:ascii="Aptos" w:hAnsi="Aptos" w:cs="Calibri"/>
        </w:rPr>
        <w:t>e</w:t>
      </w:r>
      <w:r w:rsidRPr="00CB5EC4">
        <w:rPr>
          <w:rFonts w:ascii="Aptos" w:hAnsi="Aptos" w:cs="Calibri"/>
        </w:rPr>
        <w:t xml:space="preserve">ducation </w:t>
      </w:r>
      <w:r w:rsidR="00503078">
        <w:rPr>
          <w:rFonts w:ascii="Aptos" w:hAnsi="Aptos" w:cs="Calibri"/>
        </w:rPr>
        <w:t>p</w:t>
      </w:r>
      <w:r w:rsidRPr="00CB5EC4">
        <w:rPr>
          <w:rFonts w:ascii="Aptos" w:hAnsi="Aptos" w:cs="Calibri"/>
        </w:rPr>
        <w:t>roviders use evidence to inform approach and measure change</w:t>
      </w:r>
    </w:p>
    <w:p w14:paraId="6C75EB08" w14:textId="77777777" w:rsidR="007E0E2E" w:rsidRPr="003B20A8" w:rsidRDefault="007E0E2E" w:rsidP="005F6215">
      <w:pPr>
        <w:pStyle w:val="BodyText"/>
        <w:spacing w:afterLines="40" w:after="96" w:line="276" w:lineRule="auto"/>
        <w:rPr>
          <w:rFonts w:ascii="Aptos" w:hAnsi="Aptos" w:cs="Calibri"/>
          <w:u w:val="single"/>
        </w:rPr>
      </w:pPr>
      <w:r w:rsidRPr="003B20A8">
        <w:rPr>
          <w:rFonts w:ascii="Aptos" w:hAnsi="Aptos" w:cs="Calibri"/>
          <w:u w:val="single"/>
        </w:rPr>
        <w:t>Recommended practices</w:t>
      </w:r>
    </w:p>
    <w:p w14:paraId="02C685E6" w14:textId="77777777" w:rsidR="007E0E2E" w:rsidRPr="00CB5EC4" w:rsidRDefault="007E0E2E" w:rsidP="005F6215">
      <w:pPr>
        <w:pStyle w:val="BodyText"/>
        <w:numPr>
          <w:ilvl w:val="0"/>
          <w:numId w:val="205"/>
        </w:numPr>
        <w:spacing w:before="0" w:line="276" w:lineRule="auto"/>
        <w:ind w:left="714" w:hanging="357"/>
        <w:rPr>
          <w:rFonts w:ascii="Aptos" w:hAnsi="Aptos" w:cs="Calibri"/>
        </w:rPr>
      </w:pPr>
      <w:r w:rsidRPr="00CB5EC4">
        <w:rPr>
          <w:rFonts w:ascii="Aptos" w:hAnsi="Aptos" w:cs="Calibri"/>
        </w:rPr>
        <w:t xml:space="preserve">Collect data in a trauma-informed way to inform institutional planning and measure change </w:t>
      </w:r>
    </w:p>
    <w:p w14:paraId="150B82ED" w14:textId="77777777" w:rsidR="007E0E2E" w:rsidRPr="00CB5EC4" w:rsidRDefault="007E0E2E" w:rsidP="005F6215">
      <w:pPr>
        <w:pStyle w:val="BodyText"/>
        <w:numPr>
          <w:ilvl w:val="0"/>
          <w:numId w:val="205"/>
        </w:numPr>
        <w:spacing w:before="0" w:line="276" w:lineRule="auto"/>
        <w:ind w:left="714" w:hanging="357"/>
        <w:rPr>
          <w:rFonts w:ascii="Aptos" w:hAnsi="Aptos" w:cs="Calibri"/>
        </w:rPr>
      </w:pPr>
      <w:r w:rsidRPr="00CB5EC4">
        <w:rPr>
          <w:rFonts w:ascii="Aptos" w:hAnsi="Aptos" w:cs="Calibri"/>
        </w:rPr>
        <w:t xml:space="preserve">Voluntarily report de-identified data on disclosures and formal report demonstrate progress and commitment </w:t>
      </w:r>
    </w:p>
    <w:p w14:paraId="75AA84AE" w14:textId="77777777" w:rsidR="007E0E2E" w:rsidRPr="00CB5EC4" w:rsidRDefault="007E0E2E" w:rsidP="007E0E2E">
      <w:pPr>
        <w:pStyle w:val="BodyText"/>
        <w:spacing w:line="276" w:lineRule="auto"/>
        <w:rPr>
          <w:rFonts w:ascii="Aptos" w:hAnsi="Aptos" w:cs="Calibri"/>
        </w:rPr>
      </w:pPr>
      <w:r w:rsidRPr="00CB5EC4">
        <w:rPr>
          <w:rFonts w:ascii="Aptos" w:hAnsi="Aptos" w:cs="Calibri"/>
          <w:b/>
          <w:bCs/>
        </w:rPr>
        <w:t>Standard 7:</w:t>
      </w:r>
      <w:r w:rsidRPr="00CB5EC4">
        <w:rPr>
          <w:rFonts w:ascii="Aptos" w:hAnsi="Aptos" w:cs="Calibri"/>
        </w:rPr>
        <w:t xml:space="preserve"> Student accommodation is safe for all students and staff</w:t>
      </w:r>
    </w:p>
    <w:p w14:paraId="29B0FC1A" w14:textId="77777777" w:rsidR="007E0E2E" w:rsidRPr="003B20A8" w:rsidRDefault="007E0E2E" w:rsidP="005F6215">
      <w:pPr>
        <w:pStyle w:val="BodyText"/>
        <w:spacing w:afterLines="40" w:after="96" w:line="276" w:lineRule="auto"/>
        <w:rPr>
          <w:rFonts w:ascii="Aptos" w:hAnsi="Aptos" w:cs="Calibri"/>
          <w:u w:val="single"/>
        </w:rPr>
      </w:pPr>
      <w:r w:rsidRPr="003B20A8">
        <w:rPr>
          <w:rFonts w:ascii="Aptos" w:hAnsi="Aptos" w:cs="Calibri"/>
          <w:u w:val="single"/>
        </w:rPr>
        <w:t>Recommended practices</w:t>
      </w:r>
    </w:p>
    <w:p w14:paraId="05C432B6" w14:textId="77777777" w:rsidR="007E0E2E" w:rsidRPr="00CB5EC4" w:rsidRDefault="007E0E2E" w:rsidP="005F6215">
      <w:pPr>
        <w:pStyle w:val="BodyText"/>
        <w:numPr>
          <w:ilvl w:val="0"/>
          <w:numId w:val="206"/>
        </w:numPr>
        <w:spacing w:before="0" w:line="276" w:lineRule="auto"/>
        <w:ind w:left="714" w:hanging="357"/>
        <w:rPr>
          <w:rFonts w:ascii="Aptos" w:hAnsi="Aptos" w:cs="Calibri"/>
        </w:rPr>
      </w:pPr>
      <w:r w:rsidRPr="00CB5EC4">
        <w:rPr>
          <w:rFonts w:ascii="Aptos" w:hAnsi="Aptos" w:cs="Calibri"/>
        </w:rPr>
        <w:t>Adopt student accommodation tailored policies and procedures with student accommodation providers directly owned by the HEP, such as immediate safety action and specific training for residential settings</w:t>
      </w:r>
    </w:p>
    <w:p w14:paraId="52DA2B9C" w14:textId="77777777" w:rsidR="007E0E2E" w:rsidRPr="00CB5EC4" w:rsidRDefault="007E0E2E" w:rsidP="005F6215">
      <w:pPr>
        <w:pStyle w:val="BodyText"/>
        <w:numPr>
          <w:ilvl w:val="0"/>
          <w:numId w:val="206"/>
        </w:numPr>
        <w:spacing w:before="0" w:line="276" w:lineRule="auto"/>
        <w:ind w:left="714" w:hanging="357"/>
        <w:rPr>
          <w:rFonts w:ascii="Aptos" w:hAnsi="Aptos" w:cs="Calibri"/>
        </w:rPr>
      </w:pPr>
      <w:r w:rsidRPr="00CB5EC4">
        <w:rPr>
          <w:rFonts w:ascii="Aptos" w:hAnsi="Aptos" w:cs="Calibri"/>
        </w:rPr>
        <w:t>Encourage HEPs to enter into agreements with affiliated or controlled student accommodation providers that align with the voluntary National Code’s principles</w:t>
      </w:r>
    </w:p>
    <w:p w14:paraId="6A852ED1" w14:textId="285D76C4" w:rsidR="00161F83" w:rsidRPr="009763EF" w:rsidRDefault="007E0E2E" w:rsidP="009763EF">
      <w:pPr>
        <w:pStyle w:val="BodyText"/>
        <w:numPr>
          <w:ilvl w:val="0"/>
          <w:numId w:val="206"/>
        </w:numPr>
        <w:spacing w:before="0" w:line="276" w:lineRule="auto"/>
        <w:ind w:left="714" w:hanging="357"/>
        <w:rPr>
          <w:rFonts w:ascii="Aptos" w:hAnsi="Aptos" w:cs="Calibri"/>
        </w:rPr>
      </w:pPr>
      <w:r w:rsidRPr="00CB5EC4">
        <w:rPr>
          <w:rFonts w:ascii="Aptos" w:hAnsi="Aptos" w:cs="Calibri"/>
        </w:rPr>
        <w:t>Suggest HEPs to de-affiliate with student accommodation providers that do not reflect the National Codes principles</w:t>
      </w:r>
    </w:p>
    <w:p w14:paraId="23C19D34" w14:textId="24A95ACC" w:rsidR="00FE2B60" w:rsidRDefault="00FE2B60" w:rsidP="00FE2B60">
      <w:pPr>
        <w:pStyle w:val="Heading3"/>
      </w:pPr>
      <w:bookmarkStart w:id="100" w:name="_Toc205195521"/>
      <w:bookmarkStart w:id="101" w:name="_Toc204682614"/>
      <w:bookmarkStart w:id="102" w:name="_Toc204699869"/>
      <w:bookmarkStart w:id="103" w:name="_Toc204763317"/>
      <w:bookmarkStart w:id="104" w:name="_Toc204764885"/>
      <w:bookmarkStart w:id="105" w:name="_Toc205216897"/>
      <w:bookmarkEnd w:id="100"/>
      <w:r>
        <w:t xml:space="preserve">How does </w:t>
      </w:r>
      <w:r w:rsidR="00400F14">
        <w:t>O</w:t>
      </w:r>
      <w:r>
        <w:t>ption 2 address each element of the policy problem?</w:t>
      </w:r>
      <w:bookmarkEnd w:id="101"/>
      <w:bookmarkEnd w:id="102"/>
      <w:bookmarkEnd w:id="103"/>
      <w:bookmarkEnd w:id="104"/>
      <w:bookmarkEnd w:id="105"/>
    </w:p>
    <w:tbl>
      <w:tblPr>
        <w:tblStyle w:val="GridTable4-Accent1"/>
        <w:tblW w:w="9067" w:type="dxa"/>
        <w:tblLook w:val="04A0" w:firstRow="1" w:lastRow="0" w:firstColumn="1" w:lastColumn="0" w:noHBand="0" w:noVBand="1"/>
      </w:tblPr>
      <w:tblGrid>
        <w:gridCol w:w="3823"/>
        <w:gridCol w:w="5244"/>
      </w:tblGrid>
      <w:tr w:rsidR="00C410B8" w14:paraId="25719C9C" w14:textId="77777777" w:rsidTr="002F4F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51B9F867" w14:textId="77777777" w:rsidR="009A38DE" w:rsidRPr="00C96503" w:rsidRDefault="009A38DE">
            <w:r>
              <w:t xml:space="preserve">Element of the policy problem </w:t>
            </w:r>
          </w:p>
        </w:tc>
        <w:tc>
          <w:tcPr>
            <w:tcW w:w="5244" w:type="dxa"/>
          </w:tcPr>
          <w:p w14:paraId="667B5B7C" w14:textId="77777777" w:rsidR="009A38DE" w:rsidRPr="002F4F96" w:rsidRDefault="009A38DE">
            <w:pPr>
              <w:tabs>
                <w:tab w:val="left" w:pos="1790"/>
              </w:tabs>
              <w:cnfStyle w:val="100000000000" w:firstRow="1" w:lastRow="0" w:firstColumn="0" w:lastColumn="0" w:oddVBand="0" w:evenVBand="0" w:oddHBand="0" w:evenHBand="0" w:firstRowFirstColumn="0" w:firstRowLastColumn="0" w:lastRowFirstColumn="0" w:lastRowLastColumn="0"/>
            </w:pPr>
            <w:r w:rsidRPr="002F4F96">
              <w:t>How the problem is addressed</w:t>
            </w:r>
          </w:p>
        </w:tc>
      </w:tr>
      <w:tr w:rsidR="00792EEC" w14:paraId="6A0F7C2A" w14:textId="77777777" w:rsidTr="003D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156082" w:themeColor="accent1"/>
            </w:tcBorders>
            <w:vAlign w:val="center"/>
          </w:tcPr>
          <w:p w14:paraId="1291CA1E" w14:textId="118EB276" w:rsidR="009A38DE" w:rsidRPr="00C96503" w:rsidRDefault="00B7771B" w:rsidP="003D6AA3">
            <w:pPr>
              <w:spacing w:before="120" w:after="120"/>
              <w:rPr>
                <w:rFonts w:ascii="Aptos" w:hAnsi="Aptos"/>
                <w:b w:val="0"/>
                <w:bCs w:val="0"/>
              </w:rPr>
            </w:pPr>
            <w:r>
              <w:rPr>
                <w:rFonts w:ascii="Aptos" w:hAnsi="Aptos"/>
                <w:b w:val="0"/>
                <w:bCs w:val="0"/>
              </w:rPr>
              <w:t>GBV</w:t>
            </w:r>
            <w:r w:rsidR="009A38DE" w:rsidRPr="00836EFA">
              <w:rPr>
                <w:rFonts w:ascii="Aptos" w:hAnsi="Aptos"/>
                <w:b w:val="0"/>
                <w:bCs w:val="0"/>
              </w:rPr>
              <w:t xml:space="preserve"> in higher education, including student accommodation, is prevalent, underreported, and inadequately addressed</w:t>
            </w:r>
          </w:p>
        </w:tc>
        <w:tc>
          <w:tcPr>
            <w:tcW w:w="5244" w:type="dxa"/>
            <w:tcBorders>
              <w:top w:val="single" w:sz="4" w:space="0" w:color="156082" w:themeColor="accent1"/>
            </w:tcBorders>
            <w:vAlign w:val="center"/>
          </w:tcPr>
          <w:p w14:paraId="7E039246" w14:textId="10AA80F8" w:rsidR="009A38DE" w:rsidRPr="004724EC" w:rsidRDefault="009A38DE" w:rsidP="003D6AA3">
            <w:pPr>
              <w:spacing w:before="120" w:after="120"/>
              <w:cnfStyle w:val="000000100000" w:firstRow="0" w:lastRow="0" w:firstColumn="0" w:lastColumn="0" w:oddVBand="0" w:evenVBand="0" w:oddHBand="1" w:evenHBand="0" w:firstRowFirstColumn="0" w:firstRowLastColumn="0" w:lastRowFirstColumn="0" w:lastRowLastColumn="0"/>
              <w:rPr>
                <w:rFonts w:ascii="Aptos" w:hAnsi="Aptos"/>
              </w:rPr>
            </w:pPr>
            <w:r w:rsidRPr="001F64DA">
              <w:rPr>
                <w:rFonts w:ascii="Aptos" w:hAnsi="Aptos"/>
              </w:rPr>
              <w:t xml:space="preserve">The voluntary </w:t>
            </w:r>
            <w:r w:rsidR="008743F1">
              <w:rPr>
                <w:rFonts w:ascii="Aptos" w:hAnsi="Aptos"/>
              </w:rPr>
              <w:t>National Code</w:t>
            </w:r>
            <w:r w:rsidRPr="001F64DA">
              <w:rPr>
                <w:rFonts w:ascii="Aptos" w:hAnsi="Aptos"/>
              </w:rPr>
              <w:t xml:space="preserve"> provides the infrastructure for providers to strengthen prevention and response efforts, through tailored guidance and collaboration in the pursuit of initiating cultural change. </w:t>
            </w:r>
          </w:p>
        </w:tc>
      </w:tr>
      <w:tr w:rsidR="009A38DE" w14:paraId="50E856AC" w14:textId="77777777" w:rsidTr="003D6AA3">
        <w:tc>
          <w:tcPr>
            <w:cnfStyle w:val="001000000000" w:firstRow="0" w:lastRow="0" w:firstColumn="1" w:lastColumn="0" w:oddVBand="0" w:evenVBand="0" w:oddHBand="0" w:evenHBand="0" w:firstRowFirstColumn="0" w:firstRowLastColumn="0" w:lastRowFirstColumn="0" w:lastRowLastColumn="0"/>
            <w:tcW w:w="3823" w:type="dxa"/>
            <w:vAlign w:val="center"/>
          </w:tcPr>
          <w:p w14:paraId="6F1B5775" w14:textId="6BA71529" w:rsidR="009A38DE" w:rsidRPr="00C96503" w:rsidRDefault="00B7771B" w:rsidP="003D6AA3">
            <w:pPr>
              <w:spacing w:before="120" w:after="120"/>
              <w:rPr>
                <w:rFonts w:ascii="Aptos" w:hAnsi="Aptos"/>
                <w:b w:val="0"/>
                <w:bCs w:val="0"/>
              </w:rPr>
            </w:pPr>
            <w:r>
              <w:rPr>
                <w:rFonts w:ascii="Aptos" w:hAnsi="Aptos"/>
                <w:b w:val="0"/>
                <w:bCs w:val="0"/>
              </w:rPr>
              <w:t>GBV</w:t>
            </w:r>
            <w:r w:rsidR="009A38DE" w:rsidRPr="00836EFA">
              <w:rPr>
                <w:rFonts w:ascii="Aptos" w:hAnsi="Aptos"/>
                <w:b w:val="0"/>
                <w:bCs w:val="0"/>
              </w:rPr>
              <w:t xml:space="preserve"> has detrimental impacts on student and staff health, wellbeing, educational attainment and career progression</w:t>
            </w:r>
          </w:p>
        </w:tc>
        <w:tc>
          <w:tcPr>
            <w:tcW w:w="5244" w:type="dxa"/>
            <w:vAlign w:val="center"/>
          </w:tcPr>
          <w:p w14:paraId="06F71B8B" w14:textId="508D48EF" w:rsidR="009A38DE" w:rsidRPr="004724EC" w:rsidRDefault="009A38DE" w:rsidP="003D6AA3">
            <w:pPr>
              <w:spacing w:before="120" w:after="120"/>
              <w:cnfStyle w:val="000000000000" w:firstRow="0" w:lastRow="0" w:firstColumn="0" w:lastColumn="0" w:oddVBand="0" w:evenVBand="0" w:oddHBand="0" w:evenHBand="0" w:firstRowFirstColumn="0" w:firstRowLastColumn="0" w:lastRowFirstColumn="0" w:lastRowLastColumn="0"/>
              <w:rPr>
                <w:rFonts w:ascii="Aptos" w:hAnsi="Aptos"/>
              </w:rPr>
            </w:pPr>
            <w:r w:rsidRPr="001F64DA">
              <w:rPr>
                <w:rFonts w:ascii="Aptos" w:hAnsi="Aptos"/>
              </w:rPr>
              <w:t xml:space="preserve">This option encourages the adoption of trauma-informed, person-centred policies and practices to support access to services. It provides the steps for providers to enhance wellbeing and recovery to limit the impact of </w:t>
            </w:r>
            <w:r w:rsidR="00B7771B">
              <w:rPr>
                <w:rFonts w:ascii="Aptos" w:hAnsi="Aptos"/>
              </w:rPr>
              <w:t>GBV</w:t>
            </w:r>
            <w:r w:rsidRPr="001F64DA">
              <w:rPr>
                <w:rFonts w:ascii="Aptos" w:hAnsi="Aptos"/>
              </w:rPr>
              <w:t xml:space="preserve"> on victim-survivors. </w:t>
            </w:r>
          </w:p>
        </w:tc>
      </w:tr>
      <w:tr w:rsidR="004D773D" w14:paraId="3CB335BA" w14:textId="77777777" w:rsidTr="003D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C51E0A5" w14:textId="0497C011" w:rsidR="009A38DE" w:rsidRPr="00C96503" w:rsidRDefault="00B7771B" w:rsidP="003D6AA3">
            <w:pPr>
              <w:spacing w:before="120" w:after="120"/>
              <w:rPr>
                <w:rFonts w:ascii="Aptos" w:hAnsi="Aptos"/>
                <w:b w:val="0"/>
                <w:bCs w:val="0"/>
              </w:rPr>
            </w:pPr>
            <w:r>
              <w:rPr>
                <w:rFonts w:ascii="Aptos" w:hAnsi="Aptos"/>
                <w:b w:val="0"/>
                <w:bCs w:val="0"/>
              </w:rPr>
              <w:t>GBV</w:t>
            </w:r>
            <w:r w:rsidR="009A38DE">
              <w:rPr>
                <w:rFonts w:ascii="Aptos" w:hAnsi="Aptos"/>
                <w:b w:val="0"/>
                <w:bCs w:val="0"/>
              </w:rPr>
              <w:t xml:space="preserve"> </w:t>
            </w:r>
            <w:r w:rsidR="009A38DE" w:rsidRPr="00BD3C64">
              <w:rPr>
                <w:rFonts w:ascii="Aptos" w:hAnsi="Aptos"/>
                <w:b w:val="0"/>
                <w:bCs w:val="0"/>
              </w:rPr>
              <w:t xml:space="preserve">disproportionately impacts women and girls experiencing intersecting forms of </w:t>
            </w:r>
            <w:r w:rsidR="000512AE">
              <w:rPr>
                <w:rFonts w:ascii="Aptos" w:hAnsi="Aptos"/>
                <w:b w:val="0"/>
                <w:bCs w:val="0"/>
              </w:rPr>
              <w:t>structural inequalities and discrimination</w:t>
            </w:r>
          </w:p>
        </w:tc>
        <w:tc>
          <w:tcPr>
            <w:tcW w:w="5244" w:type="dxa"/>
            <w:vAlign w:val="center"/>
          </w:tcPr>
          <w:p w14:paraId="6C2403D0" w14:textId="4FE24615" w:rsidR="009A38DE" w:rsidRPr="004724EC" w:rsidRDefault="009A38DE" w:rsidP="003D6AA3">
            <w:pPr>
              <w:spacing w:before="120" w:after="120"/>
              <w:cnfStyle w:val="000000100000" w:firstRow="0" w:lastRow="0" w:firstColumn="0" w:lastColumn="0" w:oddVBand="0" w:evenVBand="0" w:oddHBand="1" w:evenHBand="0" w:firstRowFirstColumn="0" w:firstRowLastColumn="0" w:lastRowFirstColumn="0" w:lastRowLastColumn="0"/>
              <w:rPr>
                <w:rFonts w:ascii="Aptos" w:hAnsi="Aptos"/>
              </w:rPr>
            </w:pPr>
            <w:r w:rsidRPr="001F64DA">
              <w:rPr>
                <w:rFonts w:ascii="Aptos" w:hAnsi="Aptos"/>
              </w:rPr>
              <w:t xml:space="preserve">Inclusive and culturally safe practices are embedded in the voluntary </w:t>
            </w:r>
            <w:r w:rsidR="008743F1">
              <w:rPr>
                <w:rFonts w:ascii="Aptos" w:hAnsi="Aptos"/>
              </w:rPr>
              <w:t>National Code</w:t>
            </w:r>
            <w:r w:rsidRPr="001F64DA">
              <w:rPr>
                <w:rFonts w:ascii="Aptos" w:hAnsi="Aptos"/>
              </w:rPr>
              <w:t xml:space="preserve">. Providers are supported to engage and can </w:t>
            </w:r>
            <w:r w:rsidR="00C157ED">
              <w:rPr>
                <w:rFonts w:ascii="Aptos" w:hAnsi="Aptos"/>
              </w:rPr>
              <w:t xml:space="preserve">codesign </w:t>
            </w:r>
            <w:r w:rsidRPr="001F64DA">
              <w:rPr>
                <w:rFonts w:ascii="Aptos" w:hAnsi="Aptos"/>
              </w:rPr>
              <w:t xml:space="preserve">responses that reflect the needs of their communities. </w:t>
            </w:r>
          </w:p>
        </w:tc>
      </w:tr>
      <w:tr w:rsidR="009A38DE" w14:paraId="79CA9009" w14:textId="77777777" w:rsidTr="003D6AA3">
        <w:tc>
          <w:tcPr>
            <w:cnfStyle w:val="001000000000" w:firstRow="0" w:lastRow="0" w:firstColumn="1" w:lastColumn="0" w:oddVBand="0" w:evenVBand="0" w:oddHBand="0" w:evenHBand="0" w:firstRowFirstColumn="0" w:firstRowLastColumn="0" w:lastRowFirstColumn="0" w:lastRowLastColumn="0"/>
            <w:tcW w:w="3823" w:type="dxa"/>
            <w:vAlign w:val="center"/>
          </w:tcPr>
          <w:p w14:paraId="42210174" w14:textId="47FBAA17" w:rsidR="009A38DE" w:rsidRPr="00C96503" w:rsidRDefault="009A38DE" w:rsidP="003D6AA3">
            <w:pPr>
              <w:spacing w:before="120" w:after="120"/>
              <w:rPr>
                <w:rFonts w:ascii="Aptos" w:hAnsi="Aptos"/>
                <w:b w:val="0"/>
                <w:bCs w:val="0"/>
              </w:rPr>
            </w:pPr>
            <w:r w:rsidRPr="00BD3C64">
              <w:rPr>
                <w:rFonts w:ascii="Aptos" w:hAnsi="Aptos"/>
                <w:b w:val="0"/>
                <w:bCs w:val="0"/>
              </w:rPr>
              <w:t xml:space="preserve">Previous measures have been inconsistent, fragmented, </w:t>
            </w:r>
            <w:r w:rsidR="005A04CA">
              <w:rPr>
                <w:rFonts w:ascii="Aptos" w:hAnsi="Aptos"/>
                <w:b w:val="0"/>
                <w:bCs w:val="0"/>
              </w:rPr>
              <w:t>reactive</w:t>
            </w:r>
            <w:r w:rsidRPr="00BD3C64">
              <w:rPr>
                <w:rFonts w:ascii="Aptos" w:hAnsi="Aptos"/>
                <w:b w:val="0"/>
                <w:bCs w:val="0"/>
              </w:rPr>
              <w:t xml:space="preserve"> and under-resourced, failing to drive lasting change</w:t>
            </w:r>
          </w:p>
        </w:tc>
        <w:tc>
          <w:tcPr>
            <w:tcW w:w="5244" w:type="dxa"/>
            <w:vAlign w:val="center"/>
          </w:tcPr>
          <w:p w14:paraId="074193AA" w14:textId="77777777" w:rsidR="009A38DE" w:rsidRPr="004724EC" w:rsidRDefault="009A38DE" w:rsidP="003D6AA3">
            <w:pPr>
              <w:spacing w:before="120" w:after="120"/>
              <w:cnfStyle w:val="000000000000" w:firstRow="0" w:lastRow="0" w:firstColumn="0" w:lastColumn="0" w:oddVBand="0" w:evenVBand="0" w:oddHBand="0" w:evenHBand="0" w:firstRowFirstColumn="0" w:firstRowLastColumn="0" w:lastRowFirstColumn="0" w:lastRowLastColumn="0"/>
              <w:rPr>
                <w:rFonts w:ascii="Aptos" w:hAnsi="Aptos"/>
              </w:rPr>
            </w:pPr>
            <w:r w:rsidRPr="001F64DA">
              <w:rPr>
                <w:rFonts w:ascii="Aptos" w:hAnsi="Aptos"/>
              </w:rPr>
              <w:t xml:space="preserve">This option would provide the guidance and steps for providers to implement a whole-of-organisation approach and support in the development of Prevention and Response plans, fostering a level of consistency. </w:t>
            </w:r>
          </w:p>
        </w:tc>
      </w:tr>
      <w:tr w:rsidR="004D773D" w14:paraId="3FB9353C" w14:textId="77777777" w:rsidTr="003D6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B049AB5" w14:textId="77777777" w:rsidR="009A38DE" w:rsidRPr="00C96503" w:rsidRDefault="009A38DE" w:rsidP="003D6AA3">
            <w:pPr>
              <w:spacing w:before="120" w:after="120"/>
              <w:rPr>
                <w:rFonts w:ascii="Aptos" w:hAnsi="Aptos"/>
                <w:b w:val="0"/>
                <w:bCs w:val="0"/>
              </w:rPr>
            </w:pPr>
            <w:r w:rsidRPr="00BD3C64">
              <w:rPr>
                <w:rFonts w:ascii="Aptos" w:hAnsi="Aptos"/>
                <w:b w:val="0"/>
                <w:bCs w:val="0"/>
              </w:rPr>
              <w:lastRenderedPageBreak/>
              <w:t>Insufficient data availability hinders understanding and limits accountability</w:t>
            </w:r>
          </w:p>
        </w:tc>
        <w:tc>
          <w:tcPr>
            <w:tcW w:w="5244" w:type="dxa"/>
            <w:vAlign w:val="center"/>
          </w:tcPr>
          <w:p w14:paraId="2AB01242" w14:textId="77777777" w:rsidR="009A38DE" w:rsidRPr="004724EC" w:rsidRDefault="009A38DE" w:rsidP="003D6AA3">
            <w:pPr>
              <w:spacing w:before="120" w:after="120"/>
              <w:cnfStyle w:val="000000100000" w:firstRow="0" w:lastRow="0" w:firstColumn="0" w:lastColumn="0" w:oddVBand="0" w:evenVBand="0" w:oddHBand="1" w:evenHBand="0" w:firstRowFirstColumn="0" w:firstRowLastColumn="0" w:lastRowFirstColumn="0" w:lastRowLastColumn="0"/>
              <w:rPr>
                <w:rFonts w:ascii="Aptos" w:hAnsi="Aptos"/>
              </w:rPr>
            </w:pPr>
            <w:r w:rsidRPr="001F64DA">
              <w:rPr>
                <w:rFonts w:ascii="Aptos" w:hAnsi="Aptos"/>
              </w:rPr>
              <w:t xml:space="preserve">This option recommends data collecting and voluntary reporting of data to encourage transparency to a growing evidence base. Motivated providers would contribute to filling gaps in the evidence base. </w:t>
            </w:r>
          </w:p>
        </w:tc>
      </w:tr>
      <w:tr w:rsidR="009A38DE" w14:paraId="203C3866" w14:textId="77777777" w:rsidTr="003D6AA3">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auto"/>
            </w:tcBorders>
            <w:vAlign w:val="center"/>
          </w:tcPr>
          <w:p w14:paraId="3F3C0EAC" w14:textId="34E6F82C" w:rsidR="009A38DE" w:rsidRPr="00C96503" w:rsidRDefault="009A38DE" w:rsidP="003D6AA3">
            <w:pPr>
              <w:spacing w:before="120" w:after="120"/>
              <w:rPr>
                <w:rFonts w:ascii="Aptos" w:hAnsi="Aptos"/>
                <w:b w:val="0"/>
                <w:bCs w:val="0"/>
              </w:rPr>
            </w:pPr>
            <w:r w:rsidRPr="00BD3C64">
              <w:rPr>
                <w:rFonts w:ascii="Aptos" w:hAnsi="Aptos"/>
                <w:b w:val="0"/>
                <w:bCs w:val="0"/>
              </w:rPr>
              <w:t xml:space="preserve">The current regulatory framework is limited in addressing </w:t>
            </w:r>
            <w:r w:rsidR="008223FC">
              <w:rPr>
                <w:rFonts w:ascii="Aptos" w:hAnsi="Aptos"/>
                <w:b w:val="0"/>
                <w:bCs w:val="0"/>
              </w:rPr>
              <w:t>GBV</w:t>
            </w:r>
            <w:r w:rsidRPr="00BD3C64">
              <w:rPr>
                <w:rFonts w:ascii="Aptos" w:hAnsi="Aptos"/>
                <w:b w:val="0"/>
                <w:bCs w:val="0"/>
              </w:rPr>
              <w:t>, posing ongoing safety risks</w:t>
            </w:r>
          </w:p>
        </w:tc>
        <w:tc>
          <w:tcPr>
            <w:tcW w:w="5244" w:type="dxa"/>
            <w:tcBorders>
              <w:bottom w:val="single" w:sz="4" w:space="0" w:color="auto"/>
            </w:tcBorders>
            <w:vAlign w:val="center"/>
          </w:tcPr>
          <w:p w14:paraId="7E0BA815" w14:textId="77777777" w:rsidR="009A38DE" w:rsidRPr="004724EC" w:rsidRDefault="009A38DE" w:rsidP="003D6AA3">
            <w:pPr>
              <w:spacing w:before="120" w:after="120"/>
              <w:cnfStyle w:val="000000000000" w:firstRow="0" w:lastRow="0" w:firstColumn="0" w:lastColumn="0" w:oddVBand="0" w:evenVBand="0" w:oddHBand="0" w:evenHBand="0" w:firstRowFirstColumn="0" w:firstRowLastColumn="0" w:lastRowFirstColumn="0" w:lastRowLastColumn="0"/>
              <w:rPr>
                <w:rFonts w:ascii="Aptos" w:hAnsi="Aptos"/>
              </w:rPr>
            </w:pPr>
            <w:r w:rsidRPr="001F64DA">
              <w:rPr>
                <w:rFonts w:ascii="Aptos" w:hAnsi="Aptos"/>
              </w:rPr>
              <w:t>While not a regulatory framework, this option introduces a principle-based framework with government support to provide a basis for providers to strengthen safety practices and align with national expectations.</w:t>
            </w:r>
          </w:p>
        </w:tc>
      </w:tr>
    </w:tbl>
    <w:p w14:paraId="2798D823" w14:textId="77777777" w:rsidR="00FE2B60" w:rsidRPr="00FE2B60" w:rsidRDefault="00FE2B60" w:rsidP="00FE2B60"/>
    <w:p w14:paraId="6DDAC4E6" w14:textId="7A60680F" w:rsidR="000E7311" w:rsidRDefault="000E7311" w:rsidP="000E7311">
      <w:pPr>
        <w:pStyle w:val="Heading2"/>
      </w:pPr>
      <w:bookmarkStart w:id="106" w:name="_Toc204699870"/>
      <w:bookmarkStart w:id="107" w:name="_Toc210050238"/>
      <w:r>
        <w:t xml:space="preserve">Option 3 – </w:t>
      </w:r>
      <w:r w:rsidR="00B173F8">
        <w:t>I</w:t>
      </w:r>
      <w:r>
        <w:t xml:space="preserve">ntroduce a mandatory </w:t>
      </w:r>
      <w:r w:rsidR="008743F1">
        <w:t>National Code</w:t>
      </w:r>
      <w:r>
        <w:t xml:space="preserve"> through legislation</w:t>
      </w:r>
      <w:bookmarkEnd w:id="106"/>
      <w:bookmarkEnd w:id="107"/>
    </w:p>
    <w:p w14:paraId="30A9B079" w14:textId="306DA28F" w:rsidR="00ED22B9" w:rsidRPr="00EF7D4E" w:rsidRDefault="00ED22B9" w:rsidP="00ED22B9">
      <w:pPr>
        <w:rPr>
          <w:szCs w:val="22"/>
        </w:rPr>
      </w:pPr>
      <w:r w:rsidRPr="00EF7D4E">
        <w:rPr>
          <w:szCs w:val="22"/>
        </w:rPr>
        <w:t>This option proposes the introduction of a legislated </w:t>
      </w:r>
      <w:r w:rsidR="008743F1" w:rsidRPr="00EF7D4E">
        <w:rPr>
          <w:szCs w:val="22"/>
        </w:rPr>
        <w:t>National Code</w:t>
      </w:r>
      <w:r w:rsidRPr="00EF7D4E">
        <w:rPr>
          <w:szCs w:val="22"/>
        </w:rPr>
        <w:t xml:space="preserve"> that sets enforceable standards for all higher education providers to prevent and respond to </w:t>
      </w:r>
      <w:r w:rsidR="008223FC" w:rsidRPr="00EF7D4E">
        <w:rPr>
          <w:szCs w:val="22"/>
        </w:rPr>
        <w:t>GBV</w:t>
      </w:r>
      <w:r w:rsidRPr="00EF7D4E">
        <w:rPr>
          <w:szCs w:val="22"/>
        </w:rPr>
        <w:t xml:space="preserve">. The </w:t>
      </w:r>
      <w:r w:rsidR="008743F1" w:rsidRPr="00EF7D4E">
        <w:rPr>
          <w:szCs w:val="22"/>
        </w:rPr>
        <w:t>National Code</w:t>
      </w:r>
      <w:r w:rsidRPr="00EF7D4E">
        <w:rPr>
          <w:szCs w:val="22"/>
        </w:rPr>
        <w:t xml:space="preserve"> would establish</w:t>
      </w:r>
      <w:r w:rsidR="00654C44">
        <w:rPr>
          <w:szCs w:val="22"/>
        </w:rPr>
        <w:t xml:space="preserve"> outcome-based regulation through a</w:t>
      </w:r>
      <w:r w:rsidRPr="00EF7D4E">
        <w:rPr>
          <w:szCs w:val="22"/>
        </w:rPr>
        <w:t xml:space="preserve"> consistent, sector-wide framework that addresses the complexity of </w:t>
      </w:r>
      <w:r w:rsidR="00EF7D4E" w:rsidRPr="00EF7D4E">
        <w:rPr>
          <w:szCs w:val="22"/>
        </w:rPr>
        <w:t>GBV</w:t>
      </w:r>
      <w:r w:rsidRPr="00EF7D4E">
        <w:rPr>
          <w:szCs w:val="22"/>
        </w:rPr>
        <w:t xml:space="preserve"> in higher education, aligns with government and community expectations, and drives meaningful cultural and structural change.</w:t>
      </w:r>
      <w:r w:rsidR="00654C44">
        <w:rPr>
          <w:szCs w:val="22"/>
        </w:rPr>
        <w:t xml:space="preserve"> </w:t>
      </w:r>
    </w:p>
    <w:p w14:paraId="78E3D2C4" w14:textId="0CD988A9" w:rsidR="00ED22B9" w:rsidRPr="00EF7D4E" w:rsidRDefault="00DE08DE" w:rsidP="00ED22B9">
      <w:pPr>
        <w:rPr>
          <w:szCs w:val="22"/>
        </w:rPr>
      </w:pPr>
      <w:r>
        <w:rPr>
          <w:szCs w:val="22"/>
        </w:rPr>
        <w:t>The</w:t>
      </w:r>
      <w:r w:rsidR="00FA452F">
        <w:rPr>
          <w:szCs w:val="22"/>
        </w:rPr>
        <w:t xml:space="preserve"> National Code would apply to</w:t>
      </w:r>
      <w:r w:rsidR="00D12AD3">
        <w:rPr>
          <w:szCs w:val="22"/>
        </w:rPr>
        <w:t xml:space="preserve"> HEPs </w:t>
      </w:r>
      <w:r w:rsidR="006F2099">
        <w:rPr>
          <w:szCs w:val="22"/>
        </w:rPr>
        <w:t xml:space="preserve">that are registered </w:t>
      </w:r>
      <w:r w:rsidR="0009125B">
        <w:rPr>
          <w:szCs w:val="22"/>
        </w:rPr>
        <w:t>with</w:t>
      </w:r>
      <w:r w:rsidR="006F2099">
        <w:rPr>
          <w:szCs w:val="22"/>
        </w:rPr>
        <w:t xml:space="preserve"> TEQSA </w:t>
      </w:r>
      <w:r w:rsidR="0009125B">
        <w:rPr>
          <w:szCs w:val="22"/>
        </w:rPr>
        <w:t xml:space="preserve">under the </w:t>
      </w:r>
      <w:r w:rsidR="0009125B" w:rsidRPr="00DB24E7">
        <w:rPr>
          <w:i/>
          <w:iCs/>
          <w:szCs w:val="22"/>
        </w:rPr>
        <w:t>Tertiary Education Quality and Standards Agency Act</w:t>
      </w:r>
      <w:r w:rsidR="0009125B">
        <w:rPr>
          <w:szCs w:val="22"/>
        </w:rPr>
        <w:t xml:space="preserve"> 2011</w:t>
      </w:r>
      <w:r w:rsidR="000D0B54">
        <w:rPr>
          <w:szCs w:val="22"/>
        </w:rPr>
        <w:t>. This</w:t>
      </w:r>
      <w:r w:rsidR="0008518E">
        <w:rPr>
          <w:szCs w:val="22"/>
        </w:rPr>
        <w:t xml:space="preserve"> include</w:t>
      </w:r>
      <w:r w:rsidR="000D0B54">
        <w:rPr>
          <w:szCs w:val="22"/>
        </w:rPr>
        <w:t>s</w:t>
      </w:r>
      <w:r w:rsidR="0008518E">
        <w:rPr>
          <w:szCs w:val="22"/>
        </w:rPr>
        <w:t xml:space="preserve"> universities, </w:t>
      </w:r>
      <w:r w:rsidR="00C80790">
        <w:rPr>
          <w:szCs w:val="22"/>
        </w:rPr>
        <w:t>institutes</w:t>
      </w:r>
      <w:r w:rsidR="0008518E">
        <w:rPr>
          <w:szCs w:val="22"/>
        </w:rPr>
        <w:t xml:space="preserve"> of </w:t>
      </w:r>
      <w:r w:rsidR="00C80790">
        <w:rPr>
          <w:szCs w:val="22"/>
        </w:rPr>
        <w:t>higher</w:t>
      </w:r>
      <w:r w:rsidR="0008518E">
        <w:rPr>
          <w:szCs w:val="22"/>
        </w:rPr>
        <w:t xml:space="preserve"> education and </w:t>
      </w:r>
      <w:r w:rsidR="00C80790">
        <w:rPr>
          <w:szCs w:val="22"/>
        </w:rPr>
        <w:t>university colleges.</w:t>
      </w:r>
      <w:r w:rsidR="006421D4">
        <w:rPr>
          <w:szCs w:val="22"/>
        </w:rPr>
        <w:t xml:space="preserve"> This </w:t>
      </w:r>
      <w:r w:rsidR="00154986">
        <w:rPr>
          <w:szCs w:val="22"/>
        </w:rPr>
        <w:t>may</w:t>
      </w:r>
      <w:r w:rsidR="006421D4">
        <w:rPr>
          <w:szCs w:val="22"/>
        </w:rPr>
        <w:t xml:space="preserve"> include </w:t>
      </w:r>
      <w:r w:rsidR="00154986">
        <w:rPr>
          <w:szCs w:val="22"/>
        </w:rPr>
        <w:t xml:space="preserve">some Technical and Further Education institutions (TAFEs) </w:t>
      </w:r>
      <w:r w:rsidR="00DF1977">
        <w:rPr>
          <w:szCs w:val="22"/>
        </w:rPr>
        <w:t>if</w:t>
      </w:r>
      <w:r w:rsidR="00154986">
        <w:rPr>
          <w:szCs w:val="22"/>
        </w:rPr>
        <w:t xml:space="preserve"> they are registered with TEQSA. </w:t>
      </w:r>
      <w:r w:rsidR="000B7B6C">
        <w:rPr>
          <w:szCs w:val="22"/>
        </w:rPr>
        <w:t xml:space="preserve">A list of </w:t>
      </w:r>
      <w:r w:rsidR="00FB7BAB">
        <w:rPr>
          <w:szCs w:val="22"/>
        </w:rPr>
        <w:t>all</w:t>
      </w:r>
      <w:r w:rsidR="000B7B6C">
        <w:rPr>
          <w:szCs w:val="22"/>
        </w:rPr>
        <w:t xml:space="preserve"> these </w:t>
      </w:r>
      <w:r w:rsidR="00FB7BAB">
        <w:rPr>
          <w:szCs w:val="22"/>
        </w:rPr>
        <w:t>p</w:t>
      </w:r>
      <w:r w:rsidR="000B7B6C">
        <w:rPr>
          <w:szCs w:val="22"/>
        </w:rPr>
        <w:t xml:space="preserve">roviders is found in the </w:t>
      </w:r>
      <w:r w:rsidR="000B7B6C" w:rsidRPr="00DB24E7">
        <w:rPr>
          <w:i/>
          <w:iCs/>
          <w:szCs w:val="22"/>
        </w:rPr>
        <w:t>Higher Education Support Act</w:t>
      </w:r>
      <w:r w:rsidR="000B7B6C">
        <w:rPr>
          <w:szCs w:val="22"/>
        </w:rPr>
        <w:t xml:space="preserve"> 2003.</w:t>
      </w:r>
      <w:r w:rsidR="00FB7BAB">
        <w:rPr>
          <w:szCs w:val="22"/>
        </w:rPr>
        <w:t xml:space="preserve"> </w:t>
      </w:r>
      <w:r w:rsidR="00ED22B9" w:rsidRPr="00EF7D4E">
        <w:rPr>
          <w:szCs w:val="22"/>
        </w:rPr>
        <w:t>By setting clear, mandatory requirements, this option strengthens institutional performance beyond the baseline set by the </w:t>
      </w:r>
      <w:r w:rsidR="009753A3">
        <w:rPr>
          <w:szCs w:val="22"/>
        </w:rPr>
        <w:t>Threshold Standards</w:t>
      </w:r>
      <w:r w:rsidR="00ED22B9" w:rsidRPr="00EF7D4E">
        <w:rPr>
          <w:szCs w:val="22"/>
        </w:rPr>
        <w:t>. It also operationalises compliance with broader legal and regulatory obligations, including the positive duty under the Sex Discrimination Act, ensuring institutions are proactive in eliminating unlawful conduct.</w:t>
      </w:r>
    </w:p>
    <w:p w14:paraId="0F342491" w14:textId="4B036A85" w:rsidR="00ED22B9" w:rsidRPr="00EF7D4E" w:rsidRDefault="00ED22B9" w:rsidP="00ED22B9">
      <w:pPr>
        <w:rPr>
          <w:szCs w:val="22"/>
        </w:rPr>
      </w:pPr>
      <w:r w:rsidRPr="00EF7D4E">
        <w:rPr>
          <w:szCs w:val="22"/>
        </w:rPr>
        <w:t xml:space="preserve">The </w:t>
      </w:r>
      <w:r w:rsidR="008743F1" w:rsidRPr="00EF7D4E">
        <w:rPr>
          <w:szCs w:val="22"/>
        </w:rPr>
        <w:t>National Code</w:t>
      </w:r>
      <w:r w:rsidRPr="00EF7D4E">
        <w:rPr>
          <w:szCs w:val="22"/>
        </w:rPr>
        <w:t xml:space="preserve"> would enhance public confidence in the accountability and regulation of higher education providers, reinforcing the sector’s commitment to student and staff safety—regardless of where </w:t>
      </w:r>
      <w:r w:rsidR="008D4EDC" w:rsidRPr="00EF7D4E">
        <w:rPr>
          <w:szCs w:val="22"/>
        </w:rPr>
        <w:t>individuals’</w:t>
      </w:r>
      <w:r w:rsidRPr="00EF7D4E">
        <w:rPr>
          <w:szCs w:val="22"/>
        </w:rPr>
        <w:t xml:space="preserve"> study, work, or live.</w:t>
      </w:r>
      <w:r w:rsidR="00A7028B">
        <w:rPr>
          <w:szCs w:val="22"/>
        </w:rPr>
        <w:t xml:space="preserve"> </w:t>
      </w:r>
      <w:r w:rsidRPr="00EF7D4E">
        <w:rPr>
          <w:szCs w:val="22"/>
        </w:rPr>
        <w:t xml:space="preserve">Importantly, the </w:t>
      </w:r>
      <w:r w:rsidR="008743F1" w:rsidRPr="00EF7D4E">
        <w:rPr>
          <w:szCs w:val="22"/>
        </w:rPr>
        <w:t>National Code</w:t>
      </w:r>
      <w:r w:rsidRPr="00EF7D4E">
        <w:rPr>
          <w:szCs w:val="22"/>
        </w:rPr>
        <w:t xml:space="preserve"> would be informed by a suite of existing frameworks and evidence-based models, including:</w:t>
      </w:r>
    </w:p>
    <w:p w14:paraId="5E6B92DC" w14:textId="77C7A8DE" w:rsidR="00ED22B9" w:rsidRPr="00EF7D4E" w:rsidRDefault="00ED22B9" w:rsidP="00374E2E">
      <w:pPr>
        <w:numPr>
          <w:ilvl w:val="0"/>
          <w:numId w:val="40"/>
        </w:numPr>
        <w:spacing w:after="0" w:line="240" w:lineRule="auto"/>
        <w:rPr>
          <w:szCs w:val="22"/>
        </w:rPr>
      </w:pPr>
      <w:r w:rsidRPr="00EF7D4E">
        <w:rPr>
          <w:szCs w:val="22"/>
        </w:rPr>
        <w:t>The National Plan to End Violence Against Women and Children</w:t>
      </w:r>
    </w:p>
    <w:p w14:paraId="5FEDE700" w14:textId="77777777" w:rsidR="00ED22B9" w:rsidRPr="00EF7D4E" w:rsidRDefault="00ED22B9" w:rsidP="00374E2E">
      <w:pPr>
        <w:numPr>
          <w:ilvl w:val="0"/>
          <w:numId w:val="40"/>
        </w:numPr>
        <w:spacing w:after="0" w:line="240" w:lineRule="auto"/>
        <w:rPr>
          <w:szCs w:val="22"/>
        </w:rPr>
      </w:pPr>
      <w:r w:rsidRPr="00EF7D4E">
        <w:rPr>
          <w:szCs w:val="22"/>
        </w:rPr>
        <w:t xml:space="preserve">The Threshold Standards and ESOS </w:t>
      </w:r>
      <w:r w:rsidR="008743F1" w:rsidRPr="00EF7D4E">
        <w:rPr>
          <w:szCs w:val="22"/>
        </w:rPr>
        <w:t>National Code</w:t>
      </w:r>
    </w:p>
    <w:p w14:paraId="44C3C61D" w14:textId="77777777" w:rsidR="00ED22B9" w:rsidRPr="00EF7D4E" w:rsidRDefault="00ED22B9" w:rsidP="00374E2E">
      <w:pPr>
        <w:numPr>
          <w:ilvl w:val="0"/>
          <w:numId w:val="40"/>
        </w:numPr>
        <w:spacing w:after="0" w:line="240" w:lineRule="auto"/>
        <w:rPr>
          <w:szCs w:val="22"/>
        </w:rPr>
      </w:pPr>
      <w:r w:rsidRPr="00EF7D4E">
        <w:rPr>
          <w:szCs w:val="22"/>
        </w:rPr>
        <w:t>The Australian Human Rights Commission’s Change the Course Report</w:t>
      </w:r>
    </w:p>
    <w:p w14:paraId="25941B95" w14:textId="77777777" w:rsidR="00ED22B9" w:rsidRPr="00EF7D4E" w:rsidRDefault="00ED22B9" w:rsidP="00374E2E">
      <w:pPr>
        <w:numPr>
          <w:ilvl w:val="0"/>
          <w:numId w:val="40"/>
        </w:numPr>
        <w:spacing w:after="0" w:line="240" w:lineRule="auto"/>
        <w:rPr>
          <w:szCs w:val="22"/>
        </w:rPr>
      </w:pPr>
      <w:r w:rsidRPr="00EF7D4E">
        <w:rPr>
          <w:szCs w:val="22"/>
        </w:rPr>
        <w:t>The Final Report of the Senate Inquiry into Sexual Consent Laws</w:t>
      </w:r>
    </w:p>
    <w:p w14:paraId="3DF2DCD3" w14:textId="7097571A" w:rsidR="00ED22B9" w:rsidRPr="00EF7D4E" w:rsidRDefault="00ED22B9" w:rsidP="00374E2E">
      <w:pPr>
        <w:numPr>
          <w:ilvl w:val="0"/>
          <w:numId w:val="40"/>
        </w:numPr>
        <w:spacing w:line="240" w:lineRule="auto"/>
        <w:rPr>
          <w:szCs w:val="22"/>
        </w:rPr>
      </w:pPr>
      <w:r w:rsidRPr="00EF7D4E">
        <w:rPr>
          <w:szCs w:val="22"/>
        </w:rPr>
        <w:t>And other relevant national and international best practices</w:t>
      </w:r>
    </w:p>
    <w:p w14:paraId="290E5F40" w14:textId="48D0423A" w:rsidR="00ED22B9" w:rsidRPr="00EF7D4E" w:rsidRDefault="00ED22B9" w:rsidP="00ED22B9">
      <w:pPr>
        <w:rPr>
          <w:szCs w:val="22"/>
        </w:rPr>
      </w:pPr>
      <w:r w:rsidRPr="00EF7D4E">
        <w:rPr>
          <w:szCs w:val="22"/>
        </w:rPr>
        <w:t xml:space="preserve">The proposed features of the </w:t>
      </w:r>
      <w:r w:rsidR="008743F1" w:rsidRPr="00EF7D4E">
        <w:rPr>
          <w:szCs w:val="22"/>
        </w:rPr>
        <w:t>National Code</w:t>
      </w:r>
      <w:r w:rsidRPr="00EF7D4E">
        <w:rPr>
          <w:szCs w:val="22"/>
        </w:rPr>
        <w:t xml:space="preserve"> reflect both the outcomes to be </w:t>
      </w:r>
      <w:r w:rsidR="008D4EDC" w:rsidRPr="00EF7D4E">
        <w:rPr>
          <w:szCs w:val="22"/>
        </w:rPr>
        <w:t>achieved,</w:t>
      </w:r>
      <w:r w:rsidRPr="00EF7D4E">
        <w:rPr>
          <w:szCs w:val="22"/>
        </w:rPr>
        <w:t xml:space="preserve"> and the expectations placed on providers to deliver them. Through this approach, the sector will be equipped with a clear, consistent, and enforceable roadmap to address </w:t>
      </w:r>
      <w:r w:rsidR="008223FC" w:rsidRPr="00EF7D4E">
        <w:rPr>
          <w:szCs w:val="22"/>
        </w:rPr>
        <w:t>GBV</w:t>
      </w:r>
      <w:r w:rsidRPr="00EF7D4E">
        <w:rPr>
          <w:szCs w:val="22"/>
        </w:rPr>
        <w:t xml:space="preserve"> effectively and sustainably.</w:t>
      </w:r>
    </w:p>
    <w:p w14:paraId="7765DFF3" w14:textId="1B75ABF3" w:rsidR="00ED22B9" w:rsidRDefault="006B366C" w:rsidP="006B366C">
      <w:pPr>
        <w:pStyle w:val="Heading3"/>
      </w:pPr>
      <w:bookmarkStart w:id="108" w:name="_Toc204682616"/>
      <w:bookmarkStart w:id="109" w:name="_Toc204699871"/>
      <w:bookmarkStart w:id="110" w:name="_Toc204763319"/>
      <w:bookmarkStart w:id="111" w:name="_Toc204764887"/>
      <w:bookmarkStart w:id="112" w:name="_Toc205216899"/>
      <w:r>
        <w:lastRenderedPageBreak/>
        <w:t xml:space="preserve">Features of </w:t>
      </w:r>
      <w:r w:rsidR="00AF23D8">
        <w:t>O</w:t>
      </w:r>
      <w:r>
        <w:t>ption 3</w:t>
      </w:r>
      <w:bookmarkEnd w:id="108"/>
      <w:bookmarkEnd w:id="109"/>
      <w:bookmarkEnd w:id="110"/>
      <w:bookmarkEnd w:id="111"/>
      <w:bookmarkEnd w:id="112"/>
    </w:p>
    <w:p w14:paraId="1406AD09" w14:textId="7DC7DB72" w:rsidR="007357ED" w:rsidRPr="00EF7D4E" w:rsidRDefault="007357ED" w:rsidP="007357ED">
      <w:pPr>
        <w:spacing w:before="120" w:after="120" w:line="240" w:lineRule="auto"/>
        <w:rPr>
          <w:rFonts w:cs="Calibri"/>
          <w:szCs w:val="22"/>
        </w:rPr>
      </w:pPr>
      <w:r w:rsidRPr="00EF7D4E">
        <w:rPr>
          <w:rFonts w:cs="Calibri"/>
          <w:szCs w:val="22"/>
        </w:rPr>
        <w:t xml:space="preserve">Option 3 has the same principles and standards of </w:t>
      </w:r>
      <w:r w:rsidR="001A10C3">
        <w:rPr>
          <w:rFonts w:cs="Calibri"/>
          <w:szCs w:val="22"/>
        </w:rPr>
        <w:t>O</w:t>
      </w:r>
      <w:r w:rsidRPr="00EF7D4E">
        <w:rPr>
          <w:rFonts w:cs="Calibri"/>
          <w:szCs w:val="22"/>
        </w:rPr>
        <w:t xml:space="preserve">ption </w:t>
      </w:r>
      <w:r w:rsidR="00D326BE" w:rsidRPr="00EF7D4E">
        <w:rPr>
          <w:rFonts w:cs="Calibri"/>
          <w:szCs w:val="22"/>
        </w:rPr>
        <w:t>2 but</w:t>
      </w:r>
      <w:r w:rsidRPr="00EF7D4E">
        <w:rPr>
          <w:rFonts w:cs="Calibri"/>
          <w:szCs w:val="22"/>
        </w:rPr>
        <w:t xml:space="preserve"> </w:t>
      </w:r>
      <w:r w:rsidR="00AD57AE">
        <w:rPr>
          <w:rFonts w:cs="Calibri"/>
          <w:szCs w:val="22"/>
        </w:rPr>
        <w:t xml:space="preserve">makes those </w:t>
      </w:r>
      <w:r w:rsidR="00D326BE">
        <w:rPr>
          <w:rFonts w:cs="Calibri"/>
          <w:szCs w:val="22"/>
        </w:rPr>
        <w:t xml:space="preserve">standards </w:t>
      </w:r>
      <w:r w:rsidR="00D326BE" w:rsidRPr="00EF7D4E">
        <w:rPr>
          <w:rFonts w:cs="Calibri"/>
          <w:szCs w:val="22"/>
        </w:rPr>
        <w:t>mandatory</w:t>
      </w:r>
      <w:r w:rsidRPr="00EF7D4E">
        <w:rPr>
          <w:rFonts w:cs="Calibri"/>
          <w:szCs w:val="22"/>
        </w:rPr>
        <w:t xml:space="preserve"> and ensure</w:t>
      </w:r>
      <w:r w:rsidR="00D364A3">
        <w:rPr>
          <w:rFonts w:cs="Calibri"/>
          <w:szCs w:val="22"/>
        </w:rPr>
        <w:t>s</w:t>
      </w:r>
      <w:r w:rsidRPr="00EF7D4E">
        <w:rPr>
          <w:rFonts w:cs="Calibri"/>
          <w:szCs w:val="22"/>
        </w:rPr>
        <w:t xml:space="preserve"> they can be implemented to account for providers scale, size, locations and student and staff provided. the proposed standards and expectations are:</w:t>
      </w:r>
    </w:p>
    <w:p w14:paraId="5F28F148" w14:textId="72AEA715" w:rsidR="007357ED" w:rsidRPr="00EF7D4E" w:rsidRDefault="007357ED" w:rsidP="007357ED">
      <w:pPr>
        <w:spacing w:before="120" w:after="120" w:line="240" w:lineRule="auto"/>
        <w:rPr>
          <w:rFonts w:cs="Calibri"/>
          <w:szCs w:val="22"/>
        </w:rPr>
      </w:pPr>
      <w:r w:rsidRPr="00EF7D4E">
        <w:rPr>
          <w:rFonts w:cs="Calibri"/>
          <w:b/>
          <w:bCs/>
          <w:szCs w:val="22"/>
        </w:rPr>
        <w:t>Standard 1</w:t>
      </w:r>
      <w:r w:rsidRPr="00EF7D4E">
        <w:rPr>
          <w:rFonts w:cs="Calibri"/>
          <w:szCs w:val="22"/>
        </w:rPr>
        <w:t xml:space="preserve">: </w:t>
      </w:r>
      <w:r w:rsidRPr="00EF7D4E">
        <w:rPr>
          <w:rFonts w:cs="Calibri"/>
          <w:b/>
          <w:bCs/>
          <w:szCs w:val="22"/>
        </w:rPr>
        <w:t>Accountable leadership and governance</w:t>
      </w:r>
      <w:r w:rsidRPr="00EF7D4E">
        <w:rPr>
          <w:rFonts w:cs="Calibri"/>
          <w:szCs w:val="22"/>
        </w:rPr>
        <w:t xml:space="preserve"> – Effective governance and a Whole-of-Organisation approach priorities safety and support in the prevention and response to </w:t>
      </w:r>
      <w:r w:rsidR="008223FC" w:rsidRPr="00EF7D4E">
        <w:rPr>
          <w:rFonts w:cs="Calibri"/>
          <w:szCs w:val="22"/>
        </w:rPr>
        <w:t>GBV</w:t>
      </w:r>
    </w:p>
    <w:p w14:paraId="40BD4E25" w14:textId="33B1265A"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 xml:space="preserve">The Vice-Chancellor, Chief Executive Officer or equivalent will be accountable for their organisation’s compliance with the </w:t>
      </w:r>
      <w:r w:rsidR="008743F1" w:rsidRPr="00EF7D4E">
        <w:rPr>
          <w:rFonts w:eastAsia="Aptos" w:cs="Calibri"/>
          <w:szCs w:val="22"/>
        </w:rPr>
        <w:t>National Code</w:t>
      </w:r>
      <w:r w:rsidRPr="00EF7D4E">
        <w:rPr>
          <w:rFonts w:eastAsia="Aptos" w:cs="Calibri"/>
          <w:szCs w:val="22"/>
        </w:rPr>
        <w:t>.</w:t>
      </w:r>
    </w:p>
    <w:p w14:paraId="396BA600" w14:textId="15BDEBE4"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must prepare a whole-of-organisation Prevention and Response Plan that records how the provider will implement requirements of the </w:t>
      </w:r>
      <w:r w:rsidR="008743F1" w:rsidRPr="00EF7D4E">
        <w:rPr>
          <w:rFonts w:eastAsia="Aptos" w:cs="Calibri"/>
          <w:szCs w:val="22"/>
        </w:rPr>
        <w:t>National Code</w:t>
      </w:r>
      <w:r w:rsidRPr="00EF7D4E">
        <w:rPr>
          <w:rFonts w:eastAsia="Aptos" w:cs="Calibri"/>
          <w:szCs w:val="22"/>
        </w:rPr>
        <w:t xml:space="preserve">, includes a gender equality action plan, is evidence based and data-driven and is developed in collaboration with students and staff. </w:t>
      </w:r>
    </w:p>
    <w:p w14:paraId="71CC2F8E"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must develop and implement an outcomes framework to track and measure the effectiveness of their Prevention and Response Plan. </w:t>
      </w:r>
    </w:p>
    <w:p w14:paraId="41494775" w14:textId="5E21744B" w:rsidR="007357ED" w:rsidRPr="00EF7D4E" w:rsidRDefault="007357ED" w:rsidP="00374E2E">
      <w:pPr>
        <w:pStyle w:val="ListParagraph"/>
        <w:numPr>
          <w:ilvl w:val="0"/>
          <w:numId w:val="41"/>
        </w:numPr>
        <w:spacing w:before="120" w:after="120" w:line="240" w:lineRule="auto"/>
        <w:ind w:left="426" w:hanging="357"/>
        <w:rPr>
          <w:rFonts w:eastAsia="Aptos" w:cs="Calibri"/>
          <w:szCs w:val="22"/>
        </w:rPr>
      </w:pPr>
      <w:r w:rsidRPr="00EF7D4E">
        <w:rPr>
          <w:rFonts w:eastAsia="Aptos" w:cs="Calibri"/>
          <w:szCs w:val="22"/>
        </w:rPr>
        <w:t xml:space="preserve">Higher education providers must report to their governing body at least bi-annually on its outcome’s framework and data on incidents on </w:t>
      </w:r>
      <w:r w:rsidR="00B7771B" w:rsidRPr="00EF7D4E">
        <w:rPr>
          <w:rFonts w:eastAsia="Aptos" w:cs="Calibri"/>
          <w:szCs w:val="22"/>
        </w:rPr>
        <w:t>GBV</w:t>
      </w:r>
      <w:r w:rsidRPr="00EF7D4E">
        <w:rPr>
          <w:rFonts w:eastAsia="Aptos" w:cs="Calibri"/>
          <w:szCs w:val="22"/>
        </w:rPr>
        <w:t>.</w:t>
      </w:r>
    </w:p>
    <w:p w14:paraId="33472A7F"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will be required to report to the Secretary of the department every two years a report on their Prevention and Response Plan and outcomes framework.</w:t>
      </w:r>
    </w:p>
    <w:p w14:paraId="4C361F8E" w14:textId="69CC3A5E" w:rsidR="007357ED" w:rsidRPr="00EF7D4E" w:rsidRDefault="007357ED" w:rsidP="007357ED">
      <w:pPr>
        <w:spacing w:before="120" w:after="120" w:line="240" w:lineRule="auto"/>
        <w:rPr>
          <w:rFonts w:cs="Calibri"/>
          <w:szCs w:val="22"/>
        </w:rPr>
      </w:pPr>
      <w:r w:rsidRPr="00EF7D4E">
        <w:rPr>
          <w:rFonts w:cs="Calibri"/>
          <w:b/>
          <w:bCs/>
          <w:szCs w:val="22"/>
        </w:rPr>
        <w:t>Standard 2: Safe environments and systems</w:t>
      </w:r>
      <w:r w:rsidRPr="00EF7D4E">
        <w:rPr>
          <w:rFonts w:cs="Calibri"/>
          <w:szCs w:val="22"/>
        </w:rPr>
        <w:t xml:space="preserve"> – Higher Education Providers’ environments are safe, and systems continuously improve to prevent and respond to </w:t>
      </w:r>
      <w:r w:rsidR="008223FC" w:rsidRPr="00EF7D4E">
        <w:rPr>
          <w:rFonts w:cs="Calibri"/>
          <w:szCs w:val="22"/>
        </w:rPr>
        <w:t>GBV</w:t>
      </w:r>
      <w:r w:rsidRPr="00EF7D4E">
        <w:rPr>
          <w:rFonts w:cs="Calibri"/>
          <w:szCs w:val="22"/>
        </w:rPr>
        <w:t>.</w:t>
      </w:r>
    </w:p>
    <w:p w14:paraId="5365671F"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will be required to strengthen checks for current and prospective employees, including:</w:t>
      </w:r>
    </w:p>
    <w:p w14:paraId="7431F69C" w14:textId="2E841CC2"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 xml:space="preserve">requiring prospective employees to declare if they have previously been investigated for an allegation of </w:t>
      </w:r>
      <w:r w:rsidR="00B7771B" w:rsidRPr="00EF7D4E">
        <w:rPr>
          <w:rFonts w:eastAsia="Aptos" w:cs="Calibri"/>
          <w:szCs w:val="22"/>
        </w:rPr>
        <w:t>GBV</w:t>
      </w:r>
      <w:r w:rsidRPr="00EF7D4E">
        <w:rPr>
          <w:rFonts w:eastAsia="Aptos" w:cs="Calibri"/>
          <w:szCs w:val="22"/>
        </w:rPr>
        <w:t xml:space="preserve"> and taking any substantiated allegation into consideration in determining suitability. </w:t>
      </w:r>
    </w:p>
    <w:p w14:paraId="3BCEC385" w14:textId="77777777"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 xml:space="preserve">requiring employees to declare any existing or previous intimate relationship with a student or staff member they have supervisory or decision-making responsibilities for and implement a conflict-of-interest management plan. </w:t>
      </w:r>
    </w:p>
    <w:p w14:paraId="062FA11B" w14:textId="23771BF9"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must have a person-centred and trauma-informed policy on preventing and responding to </w:t>
      </w:r>
      <w:r w:rsidR="00B7771B" w:rsidRPr="00EF7D4E">
        <w:rPr>
          <w:rFonts w:eastAsia="Aptos" w:cs="Calibri"/>
          <w:szCs w:val="22"/>
        </w:rPr>
        <w:t>GBV</w:t>
      </w:r>
      <w:r w:rsidRPr="00EF7D4E">
        <w:rPr>
          <w:rFonts w:eastAsia="Aptos" w:cs="Calibri"/>
          <w:szCs w:val="22"/>
        </w:rPr>
        <w:t xml:space="preserve"> that is developed in collaboration with students and staff, is publicly available and is reviewed every three years. </w:t>
      </w:r>
    </w:p>
    <w:p w14:paraId="6C444FD7" w14:textId="5737F5DD"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must prohibit the use of non-disclosure agreements unless requested by a discloser of </w:t>
      </w:r>
      <w:r w:rsidR="00B7771B" w:rsidRPr="00EF7D4E">
        <w:rPr>
          <w:rFonts w:eastAsia="Aptos" w:cs="Calibri"/>
          <w:szCs w:val="22"/>
        </w:rPr>
        <w:t>GBV</w:t>
      </w:r>
      <w:r w:rsidRPr="00EF7D4E">
        <w:rPr>
          <w:rFonts w:eastAsia="Aptos" w:cs="Calibri"/>
          <w:szCs w:val="22"/>
        </w:rPr>
        <w:t xml:space="preserve">. </w:t>
      </w:r>
    </w:p>
    <w:p w14:paraId="6605C82A" w14:textId="2C5F211A" w:rsidR="008677BB" w:rsidRPr="00B173F8" w:rsidRDefault="007357ED" w:rsidP="008677BB">
      <w:pPr>
        <w:pStyle w:val="ListParagraph"/>
        <w:numPr>
          <w:ilvl w:val="0"/>
          <w:numId w:val="41"/>
        </w:numPr>
        <w:spacing w:before="120" w:after="120" w:line="240" w:lineRule="auto"/>
        <w:ind w:left="426" w:hanging="357"/>
        <w:contextualSpacing w:val="0"/>
        <w:rPr>
          <w:rFonts w:cs="Calibri"/>
          <w:szCs w:val="22"/>
        </w:rPr>
      </w:pPr>
      <w:r w:rsidRPr="00EF7D4E">
        <w:rPr>
          <w:rFonts w:cs="Calibri"/>
          <w:szCs w:val="22"/>
        </w:rPr>
        <w:t>Higher education providers</w:t>
      </w:r>
      <w:r w:rsidRPr="00EF7D4E">
        <w:rPr>
          <w:rFonts w:eastAsia="Aptos" w:cs="Calibri"/>
          <w:szCs w:val="22"/>
        </w:rPr>
        <w:t xml:space="preserve"> must implement any recommendations made by the National Student Ombudsman in relation to </w:t>
      </w:r>
      <w:r w:rsidR="00B7771B" w:rsidRPr="00EF7D4E">
        <w:rPr>
          <w:rFonts w:eastAsia="Aptos" w:cs="Calibri"/>
          <w:szCs w:val="22"/>
        </w:rPr>
        <w:t>GBV</w:t>
      </w:r>
      <w:r w:rsidRPr="00EF7D4E">
        <w:rPr>
          <w:rFonts w:eastAsia="Aptos" w:cs="Calibri"/>
          <w:szCs w:val="22"/>
        </w:rPr>
        <w:t xml:space="preserve">. </w:t>
      </w:r>
    </w:p>
    <w:p w14:paraId="0D2ABCBB" w14:textId="17AE72E1" w:rsidR="007357ED" w:rsidRPr="00EF7D4E" w:rsidRDefault="007357ED" w:rsidP="007357ED">
      <w:pPr>
        <w:spacing w:before="120" w:after="120" w:line="240" w:lineRule="auto"/>
        <w:rPr>
          <w:rFonts w:cs="Calibri"/>
          <w:szCs w:val="22"/>
        </w:rPr>
      </w:pPr>
      <w:r w:rsidRPr="00EF7D4E">
        <w:rPr>
          <w:rFonts w:cs="Calibri"/>
          <w:b/>
          <w:bCs/>
          <w:szCs w:val="22"/>
        </w:rPr>
        <w:t>Standard 3: Knowledge and capability</w:t>
      </w:r>
      <w:r w:rsidRPr="00EF7D4E">
        <w:rPr>
          <w:rFonts w:cs="Calibri"/>
          <w:szCs w:val="22"/>
        </w:rPr>
        <w:t xml:space="preserve"> – Higher Education Providers build knowledge and capability to safely and effectively prevent and respond to </w:t>
      </w:r>
      <w:r w:rsidR="008223FC" w:rsidRPr="00EF7D4E">
        <w:rPr>
          <w:rFonts w:cs="Calibri"/>
          <w:szCs w:val="22"/>
        </w:rPr>
        <w:t>GBV</w:t>
      </w:r>
      <w:r w:rsidRPr="00EF7D4E">
        <w:rPr>
          <w:rFonts w:cs="Calibri"/>
          <w:szCs w:val="22"/>
        </w:rPr>
        <w:t>.</w:t>
      </w:r>
    </w:p>
    <w:p w14:paraId="3B9715D2" w14:textId="42287FF1"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will be required to deliver ongoing prevention education to all staff and students that addresses the drivers of and risk factors for </w:t>
      </w:r>
      <w:r w:rsidR="00B7771B" w:rsidRPr="00EF7D4E">
        <w:rPr>
          <w:rFonts w:eastAsia="Aptos" w:cs="Calibri"/>
          <w:szCs w:val="22"/>
        </w:rPr>
        <w:t>GBV</w:t>
      </w:r>
      <w:r w:rsidRPr="00EF7D4E">
        <w:rPr>
          <w:rFonts w:eastAsia="Aptos" w:cs="Calibri"/>
          <w:szCs w:val="22"/>
        </w:rPr>
        <w:t xml:space="preserve"> and increases awareness and understanding of what constitutes </w:t>
      </w:r>
      <w:r w:rsidR="00B7771B" w:rsidRPr="00EF7D4E">
        <w:rPr>
          <w:rFonts w:eastAsia="Aptos" w:cs="Calibri"/>
          <w:szCs w:val="22"/>
        </w:rPr>
        <w:t>GBV</w:t>
      </w:r>
      <w:r w:rsidRPr="00EF7D4E">
        <w:rPr>
          <w:rFonts w:eastAsia="Aptos" w:cs="Calibri"/>
          <w:szCs w:val="22"/>
        </w:rPr>
        <w:t>.</w:t>
      </w:r>
    </w:p>
    <w:p w14:paraId="2E2CE27F"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must ensure that prevention education and training is evidence-based, trauma-informed and accessible to all staff and students. </w:t>
      </w:r>
    </w:p>
    <w:p w14:paraId="0AF9E760" w14:textId="57F06D94"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lastRenderedPageBreak/>
        <w:t xml:space="preserve">Prevention education and training must be developed through collaboration with experts in the prevention of </w:t>
      </w:r>
      <w:r w:rsidR="00B7771B" w:rsidRPr="00EF7D4E">
        <w:rPr>
          <w:rFonts w:eastAsia="Aptos" w:cs="Calibri"/>
          <w:szCs w:val="22"/>
        </w:rPr>
        <w:t>GBV</w:t>
      </w:r>
      <w:r w:rsidRPr="00EF7D4E">
        <w:rPr>
          <w:rFonts w:eastAsia="Aptos" w:cs="Calibri"/>
          <w:szCs w:val="22"/>
        </w:rPr>
        <w:t xml:space="preserve"> as well as staff and students. </w:t>
      </w:r>
    </w:p>
    <w:p w14:paraId="302DFB0F" w14:textId="0AAFFA44"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will deliver specialised education and training on responding effectively to disclosures of </w:t>
      </w:r>
      <w:r w:rsidR="00B7771B" w:rsidRPr="00EF7D4E">
        <w:rPr>
          <w:rFonts w:eastAsia="Aptos" w:cs="Calibri"/>
          <w:szCs w:val="22"/>
        </w:rPr>
        <w:t>GBV</w:t>
      </w:r>
      <w:r w:rsidRPr="00EF7D4E">
        <w:rPr>
          <w:rFonts w:eastAsia="Aptos" w:cs="Calibri"/>
          <w:szCs w:val="22"/>
        </w:rPr>
        <w:t xml:space="preserve"> to all staff, as well as governing body members and student representatives and leaders.</w:t>
      </w:r>
    </w:p>
    <w:p w14:paraId="6F05363A" w14:textId="2F896268" w:rsidR="007357ED" w:rsidRPr="00EF7D4E" w:rsidRDefault="007357ED" w:rsidP="00374E2E">
      <w:pPr>
        <w:pStyle w:val="ListParagraph"/>
        <w:numPr>
          <w:ilvl w:val="0"/>
          <w:numId w:val="41"/>
        </w:numPr>
        <w:spacing w:before="120" w:after="120" w:line="240" w:lineRule="auto"/>
        <w:ind w:left="426" w:hanging="357"/>
        <w:contextualSpacing w:val="0"/>
        <w:rPr>
          <w:rFonts w:cs="Calibri"/>
          <w:szCs w:val="22"/>
        </w:rPr>
      </w:pPr>
      <w:r w:rsidRPr="00EF7D4E">
        <w:rPr>
          <w:rFonts w:cs="Calibri"/>
          <w:szCs w:val="22"/>
        </w:rPr>
        <w:t>Higher education providers</w:t>
      </w:r>
      <w:r w:rsidRPr="00EF7D4E">
        <w:rPr>
          <w:rFonts w:eastAsia="Aptos" w:cs="Calibri"/>
          <w:szCs w:val="22"/>
        </w:rPr>
        <w:t xml:space="preserve"> must ensure that all staff involved in responding to a report of </w:t>
      </w:r>
      <w:r w:rsidR="00B7771B" w:rsidRPr="00EF7D4E">
        <w:rPr>
          <w:rFonts w:eastAsia="Aptos" w:cs="Calibri"/>
          <w:szCs w:val="22"/>
        </w:rPr>
        <w:t>GBV</w:t>
      </w:r>
      <w:r w:rsidRPr="00EF7D4E">
        <w:rPr>
          <w:rFonts w:eastAsia="Aptos" w:cs="Calibri"/>
          <w:szCs w:val="22"/>
        </w:rPr>
        <w:t xml:space="preserve"> to have the appropriate experience and expertise. </w:t>
      </w:r>
    </w:p>
    <w:p w14:paraId="35FE4FB9" w14:textId="77777777" w:rsidR="007357ED" w:rsidRPr="00EF7D4E" w:rsidRDefault="007357ED" w:rsidP="007357ED">
      <w:pPr>
        <w:spacing w:before="120" w:after="120" w:line="240" w:lineRule="auto"/>
        <w:rPr>
          <w:rFonts w:cs="Calibri"/>
          <w:szCs w:val="22"/>
        </w:rPr>
      </w:pPr>
      <w:r w:rsidRPr="00EF7D4E">
        <w:rPr>
          <w:rFonts w:cs="Calibri"/>
          <w:b/>
          <w:bCs/>
          <w:szCs w:val="22"/>
        </w:rPr>
        <w:t>Standard 4: Safety and support</w:t>
      </w:r>
      <w:r w:rsidRPr="00EF7D4E">
        <w:rPr>
          <w:rFonts w:cs="Calibri"/>
          <w:szCs w:val="22"/>
        </w:rPr>
        <w:t xml:space="preserve"> – Responses and support services are safe and person-centred.</w:t>
      </w:r>
    </w:p>
    <w:p w14:paraId="78454166"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Higher education providers will be required to provide or facilitate access to support services to anyone making a disclosure or formal report.</w:t>
      </w:r>
    </w:p>
    <w:p w14:paraId="13EAD40D" w14:textId="0B7E46B0"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 xml:space="preserve">Higher education providers will be required to conduct risk assessments following every disclosure of </w:t>
      </w:r>
      <w:r w:rsidR="00B7771B" w:rsidRPr="00EF7D4E">
        <w:rPr>
          <w:rFonts w:eastAsia="Aptos" w:cs="Calibri"/>
          <w:szCs w:val="22"/>
        </w:rPr>
        <w:t>GBV</w:t>
      </w:r>
      <w:r w:rsidRPr="00EF7D4E">
        <w:rPr>
          <w:rFonts w:eastAsia="Aptos" w:cs="Calibri"/>
          <w:szCs w:val="22"/>
        </w:rPr>
        <w:t>.</w:t>
      </w:r>
    </w:p>
    <w:p w14:paraId="32D5C313" w14:textId="3E38B996"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 xml:space="preserve">Higher education providers will be required to create and implement support plans for the discloser and the respondent following a report of </w:t>
      </w:r>
      <w:r w:rsidR="00B7771B" w:rsidRPr="00EF7D4E">
        <w:rPr>
          <w:rFonts w:eastAsia="Aptos" w:cs="Calibri"/>
          <w:szCs w:val="22"/>
        </w:rPr>
        <w:t>GBV</w:t>
      </w:r>
      <w:r w:rsidRPr="00EF7D4E">
        <w:rPr>
          <w:rFonts w:eastAsia="Aptos" w:cs="Calibri"/>
          <w:szCs w:val="22"/>
        </w:rPr>
        <w:t>.</w:t>
      </w:r>
    </w:p>
    <w:p w14:paraId="4DA98D43"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Different support staff must be assigned to the discloser and respondent.</w:t>
      </w:r>
    </w:p>
    <w:p w14:paraId="7C9D299D" w14:textId="77777777" w:rsidR="007357ED" w:rsidRPr="00EF7D4E" w:rsidRDefault="007357ED" w:rsidP="00374E2E">
      <w:pPr>
        <w:pStyle w:val="ListParagraph"/>
        <w:numPr>
          <w:ilvl w:val="0"/>
          <w:numId w:val="41"/>
        </w:numPr>
        <w:spacing w:before="120" w:after="120" w:line="240" w:lineRule="auto"/>
        <w:ind w:left="426" w:hanging="357"/>
        <w:contextualSpacing w:val="0"/>
        <w:rPr>
          <w:rFonts w:cs="Calibri"/>
          <w:szCs w:val="22"/>
        </w:rPr>
      </w:pPr>
      <w:r w:rsidRPr="00EF7D4E">
        <w:rPr>
          <w:rFonts w:eastAsia="Aptos" w:cs="Calibri"/>
          <w:szCs w:val="22"/>
        </w:rPr>
        <w:t>Support services must be evaluated every three years.</w:t>
      </w:r>
    </w:p>
    <w:p w14:paraId="345269EA" w14:textId="455BE849" w:rsidR="007357ED" w:rsidRPr="00EF7D4E" w:rsidRDefault="007357ED" w:rsidP="007357ED">
      <w:pPr>
        <w:spacing w:before="120" w:after="120" w:line="240" w:lineRule="auto"/>
        <w:rPr>
          <w:rFonts w:cs="Calibri"/>
          <w:szCs w:val="22"/>
        </w:rPr>
      </w:pPr>
      <w:r w:rsidRPr="00EF7D4E">
        <w:rPr>
          <w:rFonts w:cs="Calibri"/>
          <w:b/>
          <w:bCs/>
          <w:szCs w:val="22"/>
        </w:rPr>
        <w:t>Standard 5: Safe processors</w:t>
      </w:r>
      <w:r w:rsidRPr="00EF7D4E">
        <w:rPr>
          <w:rFonts w:cs="Calibri"/>
          <w:szCs w:val="22"/>
        </w:rPr>
        <w:t xml:space="preserve"> – all processes are safe and timely.</w:t>
      </w:r>
    </w:p>
    <w:p w14:paraId="58B615D7" w14:textId="775A357D"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 xml:space="preserve">Students must have multiple channels available to make a disclosure or formal report of </w:t>
      </w:r>
      <w:r w:rsidR="00B7771B" w:rsidRPr="00EF7D4E">
        <w:rPr>
          <w:rFonts w:eastAsia="Aptos" w:cs="Calibri"/>
          <w:szCs w:val="22"/>
        </w:rPr>
        <w:t>GBV</w:t>
      </w:r>
      <w:r w:rsidRPr="00EF7D4E">
        <w:rPr>
          <w:rFonts w:eastAsia="Aptos" w:cs="Calibri"/>
          <w:szCs w:val="22"/>
        </w:rPr>
        <w:t xml:space="preserve">, including anonymous reporting. </w:t>
      </w:r>
    </w:p>
    <w:p w14:paraId="5C70BF28"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 xml:space="preserve">A </w:t>
      </w:r>
      <w:r w:rsidRPr="00EF7D4E">
        <w:rPr>
          <w:rFonts w:cs="Calibri"/>
          <w:szCs w:val="22"/>
        </w:rPr>
        <w:t>Higher education</w:t>
      </w:r>
      <w:r w:rsidRPr="00EF7D4E">
        <w:rPr>
          <w:rFonts w:eastAsia="Aptos" w:cs="Calibri"/>
          <w:szCs w:val="22"/>
        </w:rPr>
        <w:t xml:space="preserve"> provider must have multiple pathways available to manage a disclosure or formal report to ensure a proportionate and safe response. </w:t>
      </w:r>
    </w:p>
    <w:p w14:paraId="6C624A81" w14:textId="03149F5F"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must ensure that procedures are designed to allow formal reports of </w:t>
      </w:r>
      <w:r w:rsidR="00B7771B" w:rsidRPr="00EF7D4E">
        <w:rPr>
          <w:rFonts w:eastAsia="Aptos" w:cs="Calibri"/>
          <w:szCs w:val="22"/>
        </w:rPr>
        <w:t>GBV</w:t>
      </w:r>
      <w:r w:rsidRPr="00EF7D4E">
        <w:rPr>
          <w:rFonts w:eastAsia="Aptos" w:cs="Calibri"/>
          <w:szCs w:val="22"/>
        </w:rPr>
        <w:t xml:space="preserve"> to be investigated and a conclusion reached within 45 business days. This timeframe includes associated disciplinary proceedings (excluding appeals). </w:t>
      </w:r>
    </w:p>
    <w:p w14:paraId="11D12310" w14:textId="3B2E6CE2" w:rsidR="007357ED" w:rsidRPr="00EF7D4E" w:rsidRDefault="007357ED" w:rsidP="00374E2E">
      <w:pPr>
        <w:pStyle w:val="ListParagraph"/>
        <w:numPr>
          <w:ilvl w:val="0"/>
          <w:numId w:val="41"/>
        </w:numPr>
        <w:spacing w:before="120" w:after="120" w:line="240" w:lineRule="auto"/>
        <w:ind w:left="426" w:hanging="357"/>
        <w:rPr>
          <w:rFonts w:eastAsia="Aptos" w:cs="Calibri"/>
          <w:szCs w:val="22"/>
        </w:rPr>
      </w:pPr>
      <w:r w:rsidRPr="00EF7D4E">
        <w:rPr>
          <w:rFonts w:cs="Calibri"/>
          <w:szCs w:val="22"/>
        </w:rPr>
        <w:t>Higher education providers</w:t>
      </w:r>
      <w:r w:rsidRPr="00EF7D4E">
        <w:rPr>
          <w:rFonts w:eastAsia="Aptos" w:cs="Calibri"/>
          <w:szCs w:val="22"/>
        </w:rPr>
        <w:t xml:space="preserve"> must not require a discloser or respondent to provide physical evidence relating to an alleged incidence of </w:t>
      </w:r>
      <w:r w:rsidR="00B7771B" w:rsidRPr="00EF7D4E">
        <w:rPr>
          <w:rFonts w:eastAsia="Aptos" w:cs="Calibri"/>
          <w:szCs w:val="22"/>
        </w:rPr>
        <w:t>GBV</w:t>
      </w:r>
      <w:r w:rsidRPr="00EF7D4E">
        <w:rPr>
          <w:rFonts w:eastAsia="Aptos" w:cs="Calibri"/>
          <w:szCs w:val="22"/>
        </w:rPr>
        <w:t xml:space="preserve">. </w:t>
      </w:r>
    </w:p>
    <w:p w14:paraId="1F3ADB61"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 xml:space="preserve">Unless a discloser requests otherwise, </w:t>
      </w:r>
      <w:r w:rsidRPr="00EF7D4E">
        <w:rPr>
          <w:rFonts w:cs="Calibri"/>
          <w:szCs w:val="22"/>
        </w:rPr>
        <w:t xml:space="preserve">higher education </w:t>
      </w:r>
      <w:r w:rsidRPr="00EF7D4E">
        <w:rPr>
          <w:rFonts w:eastAsia="Aptos" w:cs="Calibri"/>
          <w:szCs w:val="22"/>
        </w:rPr>
        <w:t xml:space="preserve">providers must notify disclosers of the outcome of an investigation, including if disciplinary processes will be commenced, on the same day as the respondent is notified. </w:t>
      </w:r>
    </w:p>
    <w:p w14:paraId="2FFEE56A" w14:textId="77777777" w:rsidR="007357ED" w:rsidRPr="00B173F8" w:rsidRDefault="007357ED" w:rsidP="00374E2E">
      <w:pPr>
        <w:pStyle w:val="ListParagraph"/>
        <w:numPr>
          <w:ilvl w:val="0"/>
          <w:numId w:val="41"/>
        </w:numPr>
        <w:spacing w:before="120" w:after="120" w:line="240" w:lineRule="auto"/>
        <w:ind w:left="426" w:hanging="357"/>
        <w:contextualSpacing w:val="0"/>
        <w:rPr>
          <w:rFonts w:cs="Calibri"/>
          <w:szCs w:val="22"/>
        </w:rPr>
      </w:pPr>
      <w:r w:rsidRPr="00EF7D4E">
        <w:rPr>
          <w:rFonts w:eastAsia="Aptos" w:cs="Calibri"/>
          <w:szCs w:val="22"/>
        </w:rPr>
        <w:t xml:space="preserve">A </w:t>
      </w:r>
      <w:r w:rsidRPr="00EF7D4E">
        <w:rPr>
          <w:rFonts w:cs="Calibri"/>
          <w:szCs w:val="22"/>
        </w:rPr>
        <w:t>higher education</w:t>
      </w:r>
      <w:r w:rsidRPr="00EF7D4E">
        <w:rPr>
          <w:rFonts w:eastAsia="Aptos" w:cs="Calibri"/>
          <w:szCs w:val="22"/>
        </w:rPr>
        <w:t xml:space="preserve"> provider must ensure procedural fairness for respondents in any disciplinary proceedings. </w:t>
      </w:r>
    </w:p>
    <w:p w14:paraId="1B2DE9DF" w14:textId="77777777" w:rsidR="00B173F8" w:rsidRDefault="00B173F8" w:rsidP="00B173F8">
      <w:pPr>
        <w:spacing w:before="120" w:after="120" w:line="240" w:lineRule="auto"/>
        <w:rPr>
          <w:rFonts w:cs="Calibri"/>
          <w:szCs w:val="22"/>
        </w:rPr>
      </w:pPr>
    </w:p>
    <w:p w14:paraId="64F8443C" w14:textId="77777777" w:rsidR="00B173F8" w:rsidRPr="00B173F8" w:rsidRDefault="00B173F8" w:rsidP="00B173F8">
      <w:pPr>
        <w:spacing w:before="120" w:after="120" w:line="240" w:lineRule="auto"/>
        <w:rPr>
          <w:rFonts w:cs="Calibri"/>
          <w:szCs w:val="22"/>
        </w:rPr>
      </w:pPr>
    </w:p>
    <w:p w14:paraId="60B3F0CB" w14:textId="77777777" w:rsidR="007357ED" w:rsidRPr="00EF7D4E" w:rsidRDefault="007357ED" w:rsidP="007357ED">
      <w:pPr>
        <w:spacing w:before="120" w:after="120" w:line="240" w:lineRule="auto"/>
        <w:rPr>
          <w:rFonts w:cs="Calibri"/>
          <w:szCs w:val="22"/>
        </w:rPr>
      </w:pPr>
      <w:r w:rsidRPr="00EF7D4E">
        <w:rPr>
          <w:rFonts w:cs="Calibri"/>
          <w:b/>
          <w:bCs/>
          <w:szCs w:val="22"/>
        </w:rPr>
        <w:t>Standard 6: Data, evidence and impact</w:t>
      </w:r>
      <w:r w:rsidRPr="00EF7D4E">
        <w:rPr>
          <w:rFonts w:cs="Calibri"/>
          <w:szCs w:val="22"/>
        </w:rPr>
        <w:t>: Higher Education Providers use evidence to inform their approach, measure change and contribute to the national evidence-base.</w:t>
      </w:r>
    </w:p>
    <w:p w14:paraId="72297B0D" w14:textId="3BE9B191"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will be required to collect and maintain data about </w:t>
      </w:r>
      <w:r w:rsidR="00B7771B" w:rsidRPr="00EF7D4E">
        <w:rPr>
          <w:rFonts w:eastAsia="Aptos" w:cs="Calibri"/>
          <w:szCs w:val="22"/>
        </w:rPr>
        <w:t>GBV</w:t>
      </w:r>
      <w:r w:rsidRPr="00EF7D4E">
        <w:rPr>
          <w:rFonts w:eastAsia="Aptos" w:cs="Calibri"/>
          <w:szCs w:val="22"/>
        </w:rPr>
        <w:t xml:space="preserve"> experienced by their students and staff in a way that is safe, trauma-informed and person-centred and complies with any relevant privacy laws. </w:t>
      </w:r>
    </w:p>
    <w:p w14:paraId="3C62A3B9" w14:textId="3A894E59"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will have specific data reporting requirements, including annual reporting to the </w:t>
      </w:r>
      <w:r w:rsidRPr="00EF7D4E">
        <w:rPr>
          <w:rFonts w:cs="Calibri"/>
          <w:szCs w:val="22"/>
        </w:rPr>
        <w:t xml:space="preserve">Secretary of the department </w:t>
      </w:r>
      <w:r w:rsidRPr="00EF7D4E">
        <w:rPr>
          <w:rFonts w:eastAsia="Aptos" w:cs="Calibri"/>
          <w:szCs w:val="22"/>
        </w:rPr>
        <w:t xml:space="preserve">on total numbers of disclosures and formal reports, types of </w:t>
      </w:r>
      <w:r w:rsidR="00B7771B" w:rsidRPr="00EF7D4E">
        <w:rPr>
          <w:rFonts w:eastAsia="Aptos" w:cs="Calibri"/>
          <w:szCs w:val="22"/>
        </w:rPr>
        <w:t>GBV</w:t>
      </w:r>
      <w:r w:rsidRPr="00EF7D4E">
        <w:rPr>
          <w:rFonts w:eastAsia="Aptos" w:cs="Calibri"/>
          <w:szCs w:val="22"/>
        </w:rPr>
        <w:t xml:space="preserve"> and detailed, de-identified data relating each disclosure or formal report. </w:t>
      </w:r>
    </w:p>
    <w:p w14:paraId="2F2FCFBE" w14:textId="5DC1D027" w:rsidR="007357ED" w:rsidRPr="00EF7D4E" w:rsidRDefault="007357ED" w:rsidP="00374E2E">
      <w:pPr>
        <w:pStyle w:val="ListParagraph"/>
        <w:numPr>
          <w:ilvl w:val="0"/>
          <w:numId w:val="41"/>
        </w:numPr>
        <w:spacing w:before="120" w:after="120" w:line="240" w:lineRule="auto"/>
        <w:ind w:left="426" w:hanging="357"/>
        <w:contextualSpacing w:val="0"/>
        <w:rPr>
          <w:rFonts w:cs="Calibri"/>
          <w:szCs w:val="22"/>
        </w:rPr>
      </w:pPr>
      <w:r w:rsidRPr="00EF7D4E">
        <w:rPr>
          <w:rFonts w:eastAsia="Aptos" w:cs="Calibri"/>
          <w:szCs w:val="22"/>
        </w:rPr>
        <w:lastRenderedPageBreak/>
        <w:t xml:space="preserve">This will contribute to a national dataset that can be used to monitor </w:t>
      </w:r>
      <w:r w:rsidRPr="00EF7D4E">
        <w:rPr>
          <w:rFonts w:cs="Calibri"/>
          <w:szCs w:val="22"/>
        </w:rPr>
        <w:t xml:space="preserve">higher education </w:t>
      </w:r>
      <w:r w:rsidRPr="00EF7D4E">
        <w:rPr>
          <w:rFonts w:eastAsia="Aptos" w:cs="Calibri"/>
          <w:szCs w:val="22"/>
        </w:rPr>
        <w:t xml:space="preserve">providers’ performance and add to the national evidence base on </w:t>
      </w:r>
      <w:r w:rsidR="00B7771B" w:rsidRPr="00EF7D4E">
        <w:rPr>
          <w:rFonts w:eastAsia="Aptos" w:cs="Calibri"/>
          <w:szCs w:val="22"/>
        </w:rPr>
        <w:t>GBV</w:t>
      </w:r>
      <w:r w:rsidRPr="00EF7D4E">
        <w:rPr>
          <w:rFonts w:eastAsia="Aptos" w:cs="Calibri"/>
          <w:szCs w:val="22"/>
        </w:rPr>
        <w:t xml:space="preserve">. </w:t>
      </w:r>
    </w:p>
    <w:p w14:paraId="58417634" w14:textId="77777777" w:rsidR="007357ED" w:rsidRPr="00EF7D4E" w:rsidRDefault="007357ED" w:rsidP="007357ED">
      <w:pPr>
        <w:spacing w:before="120" w:after="120" w:line="240" w:lineRule="auto"/>
        <w:rPr>
          <w:rFonts w:eastAsia="Aptos" w:cs="Calibri"/>
          <w:szCs w:val="22"/>
        </w:rPr>
      </w:pPr>
      <w:r w:rsidRPr="00EF7D4E">
        <w:rPr>
          <w:rFonts w:cs="Calibri"/>
          <w:b/>
          <w:bCs/>
          <w:szCs w:val="22"/>
        </w:rPr>
        <w:t xml:space="preserve">Standard 7: Safe Student Accommodation </w:t>
      </w:r>
      <w:r w:rsidRPr="00EF7D4E">
        <w:rPr>
          <w:rFonts w:cs="Calibri"/>
          <w:szCs w:val="22"/>
        </w:rPr>
        <w:t>– Student accommodation is safe for all students and staff.</w:t>
      </w:r>
    </w:p>
    <w:p w14:paraId="62607BFC" w14:textId="11B4BCB6"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cs="Calibri"/>
          <w:szCs w:val="22"/>
        </w:rPr>
        <w:t>Higher education providers</w:t>
      </w:r>
      <w:r w:rsidRPr="00EF7D4E">
        <w:rPr>
          <w:rFonts w:eastAsia="Aptos" w:cs="Calibri"/>
          <w:szCs w:val="22"/>
        </w:rPr>
        <w:t xml:space="preserve"> will need to implement all relevant requirements of the </w:t>
      </w:r>
      <w:r w:rsidR="008743F1" w:rsidRPr="00EF7D4E">
        <w:rPr>
          <w:rFonts w:eastAsia="Aptos" w:cs="Calibri"/>
          <w:szCs w:val="22"/>
        </w:rPr>
        <w:t>National Code</w:t>
      </w:r>
      <w:r w:rsidRPr="00EF7D4E">
        <w:rPr>
          <w:rFonts w:eastAsia="Aptos" w:cs="Calibri"/>
          <w:szCs w:val="22"/>
        </w:rPr>
        <w:t xml:space="preserve"> in relation to any student accommodation they directly own, operate or manage, and will be required to meet additional requirements in this standard tailored to a student accommodation environment.</w:t>
      </w:r>
    </w:p>
    <w:p w14:paraId="2A815D3F" w14:textId="77777777"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 xml:space="preserve">this includes, for example, ensuring that all necessary immediate actions are taken to protect the safety of disclosers and other residents, including relocation of the respondent to alternative accommodation. </w:t>
      </w:r>
    </w:p>
    <w:p w14:paraId="3FE3068A"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Student accommodation that is otherwise under the control of higher education providers will be required to meet specific requirements to ensure accountable leadership and governance, safe environments and systems, appropriate knowledge and capability and safety and support. These requirements include, for example:</w:t>
      </w:r>
    </w:p>
    <w:p w14:paraId="037EAF02" w14:textId="1F5B6639"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 xml:space="preserve">adopting the higher education provider’s policies and procedures on preventing and responding to </w:t>
      </w:r>
      <w:r w:rsidR="00B7771B" w:rsidRPr="00EF7D4E">
        <w:rPr>
          <w:rFonts w:eastAsia="Aptos" w:cs="Calibri"/>
          <w:szCs w:val="22"/>
        </w:rPr>
        <w:t>GBV</w:t>
      </w:r>
      <w:r w:rsidRPr="00EF7D4E">
        <w:rPr>
          <w:rFonts w:eastAsia="Aptos" w:cs="Calibri"/>
          <w:szCs w:val="22"/>
        </w:rPr>
        <w:t>, or developing and implementing their own policies</w:t>
      </w:r>
    </w:p>
    <w:p w14:paraId="2E0C8F28" w14:textId="77777777"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requiring staff and residents to complete relevant training and education</w:t>
      </w:r>
    </w:p>
    <w:p w14:paraId="32DCCA8C" w14:textId="77777777"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ensuring any prevention initiatives are evidence-based and evaluated</w:t>
      </w:r>
    </w:p>
    <w:p w14:paraId="5B532E9B" w14:textId="4DDC640E"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 xml:space="preserve">have arrangements in place with the higher education provider to ensure that responses to </w:t>
      </w:r>
      <w:r w:rsidR="00B7771B" w:rsidRPr="00EF7D4E">
        <w:rPr>
          <w:rFonts w:eastAsia="Aptos" w:cs="Calibri"/>
          <w:szCs w:val="22"/>
        </w:rPr>
        <w:t>GBV</w:t>
      </w:r>
      <w:r w:rsidRPr="00EF7D4E">
        <w:rPr>
          <w:rFonts w:eastAsia="Aptos" w:cs="Calibri"/>
          <w:szCs w:val="22"/>
        </w:rPr>
        <w:t xml:space="preserve"> are safe, person-centred and consistent with a trauma-informed approach</w:t>
      </w:r>
    </w:p>
    <w:p w14:paraId="212FD0AB" w14:textId="77777777"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ensure that all necessary immediate actions are taken to protect the safety of disclosers and other residents, including relocation of the respondent to alternative accommodation</w:t>
      </w:r>
    </w:p>
    <w:p w14:paraId="4264FA3A" w14:textId="77777777"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have arrangements in place with the higher education provider to meet relevant data collection and reporting requirements detailed in standard 6.</w:t>
      </w:r>
    </w:p>
    <w:p w14:paraId="36E04F33" w14:textId="77777777" w:rsidR="007357ED" w:rsidRPr="00EF7D4E" w:rsidRDefault="007357ED" w:rsidP="00374E2E">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 xml:space="preserve">Higher education providers will also be required to demonstrate they have agreements in place with any affiliated student accommodation providers which meet the above requirements.  </w:t>
      </w:r>
    </w:p>
    <w:p w14:paraId="564B1FFB" w14:textId="77777777" w:rsidR="007357ED" w:rsidRPr="00EF7D4E" w:rsidRDefault="007357ED" w:rsidP="00374E2E">
      <w:pPr>
        <w:pStyle w:val="ListParagraph"/>
        <w:numPr>
          <w:ilvl w:val="1"/>
          <w:numId w:val="41"/>
        </w:numPr>
        <w:spacing w:before="120" w:after="120" w:line="240" w:lineRule="auto"/>
        <w:ind w:left="851"/>
        <w:contextualSpacing w:val="0"/>
        <w:rPr>
          <w:rFonts w:eastAsia="Aptos" w:cs="Calibri"/>
          <w:szCs w:val="22"/>
        </w:rPr>
      </w:pPr>
      <w:r w:rsidRPr="00EF7D4E">
        <w:rPr>
          <w:rFonts w:eastAsia="Aptos" w:cs="Calibri"/>
          <w:szCs w:val="22"/>
        </w:rPr>
        <w:t xml:space="preserve">This includes student accommodation affiliated through a statute or where they are operating on the provider’s lands, are using the provider’s IP, promoted by the higher education provider or listed on their website or where a higher education provider has a service agreement in place. </w:t>
      </w:r>
    </w:p>
    <w:p w14:paraId="10586B45" w14:textId="790FA132" w:rsidR="008677BB" w:rsidRPr="008677BB" w:rsidRDefault="007357ED" w:rsidP="008677BB">
      <w:pPr>
        <w:pStyle w:val="ListParagraph"/>
        <w:numPr>
          <w:ilvl w:val="0"/>
          <w:numId w:val="41"/>
        </w:numPr>
        <w:spacing w:before="120" w:after="120" w:line="240" w:lineRule="auto"/>
        <w:ind w:left="426" w:hanging="357"/>
        <w:contextualSpacing w:val="0"/>
        <w:rPr>
          <w:rFonts w:eastAsia="Aptos" w:cs="Calibri"/>
          <w:szCs w:val="22"/>
        </w:rPr>
      </w:pPr>
      <w:r w:rsidRPr="00EF7D4E">
        <w:rPr>
          <w:rFonts w:eastAsia="Aptos" w:cs="Calibri"/>
          <w:szCs w:val="22"/>
        </w:rPr>
        <w:t>Higher education providers will not be permitted to promote, reserve beds, or allow a student accommodation provider to utilise their logo or IP unless a</w:t>
      </w:r>
      <w:r w:rsidR="008754E3">
        <w:rPr>
          <w:rFonts w:eastAsia="Aptos" w:cs="Calibri"/>
          <w:szCs w:val="22"/>
        </w:rPr>
        <w:t xml:space="preserve">n </w:t>
      </w:r>
      <w:r w:rsidRPr="00EF7D4E">
        <w:rPr>
          <w:rFonts w:eastAsia="Aptos" w:cs="Calibri"/>
          <w:szCs w:val="22"/>
        </w:rPr>
        <w:t xml:space="preserve">agreement is in place which meets the requirements of this standard. </w:t>
      </w:r>
    </w:p>
    <w:p w14:paraId="66CC3CE4" w14:textId="0F7295B8" w:rsidR="24FCC88F" w:rsidRPr="00EF7D4E" w:rsidRDefault="24FCC88F" w:rsidP="5E9A7F9A">
      <w:pPr>
        <w:spacing w:before="120" w:after="120" w:line="240" w:lineRule="auto"/>
        <w:rPr>
          <w:rFonts w:eastAsia="Aptos" w:cs="Calibri"/>
          <w:b/>
          <w:bCs/>
          <w:szCs w:val="22"/>
        </w:rPr>
      </w:pPr>
      <w:r w:rsidRPr="00EF7D4E">
        <w:rPr>
          <w:rFonts w:eastAsiaTheme="minorEastAsia"/>
          <w:b/>
          <w:bCs/>
          <w:szCs w:val="22"/>
        </w:rPr>
        <w:t xml:space="preserve">Specialist </w:t>
      </w:r>
      <w:r w:rsidR="00FF2C64">
        <w:rPr>
          <w:rFonts w:eastAsiaTheme="minorEastAsia"/>
          <w:b/>
          <w:bCs/>
          <w:szCs w:val="22"/>
        </w:rPr>
        <w:t>G</w:t>
      </w:r>
      <w:r w:rsidR="008F25C6">
        <w:rPr>
          <w:rFonts w:eastAsiaTheme="minorEastAsia"/>
          <w:b/>
          <w:bCs/>
          <w:szCs w:val="22"/>
        </w:rPr>
        <w:t>ender-based Violence</w:t>
      </w:r>
      <w:r w:rsidR="00FF2C64">
        <w:rPr>
          <w:rFonts w:eastAsiaTheme="minorEastAsia"/>
          <w:b/>
          <w:bCs/>
          <w:szCs w:val="22"/>
        </w:rPr>
        <w:t xml:space="preserve"> Reform Branch</w:t>
      </w:r>
    </w:p>
    <w:p w14:paraId="55A2BF0B" w14:textId="5CDDECF9" w:rsidR="007357ED" w:rsidRPr="00EF7D4E" w:rsidRDefault="007357ED" w:rsidP="007357ED">
      <w:pPr>
        <w:spacing w:before="120" w:after="120" w:line="240" w:lineRule="auto"/>
        <w:rPr>
          <w:rFonts w:cs="Calibri"/>
          <w:szCs w:val="22"/>
        </w:rPr>
      </w:pPr>
      <w:r w:rsidRPr="00EF7D4E">
        <w:rPr>
          <w:rFonts w:cs="Calibri"/>
          <w:szCs w:val="22"/>
        </w:rPr>
        <w:t xml:space="preserve">A new specialist </w:t>
      </w:r>
      <w:r w:rsidR="008F25C6">
        <w:rPr>
          <w:rFonts w:cs="Calibri"/>
          <w:szCs w:val="22"/>
        </w:rPr>
        <w:t>gender-based violence</w:t>
      </w:r>
      <w:r w:rsidRPr="00EF7D4E">
        <w:rPr>
          <w:rFonts w:cs="Calibri"/>
          <w:szCs w:val="22"/>
        </w:rPr>
        <w:t xml:space="preserve"> </w:t>
      </w:r>
      <w:r w:rsidR="00086FC5">
        <w:rPr>
          <w:rFonts w:cs="Calibri"/>
          <w:szCs w:val="22"/>
        </w:rPr>
        <w:t>Reform Branch</w:t>
      </w:r>
      <w:r w:rsidR="008F25C6">
        <w:rPr>
          <w:rFonts w:cs="Calibri"/>
          <w:szCs w:val="22"/>
        </w:rPr>
        <w:t xml:space="preserve"> (specialist GBV Reform Branch)</w:t>
      </w:r>
      <w:r w:rsidRPr="00EF7D4E">
        <w:rPr>
          <w:rFonts w:cs="Calibri"/>
          <w:szCs w:val="22"/>
        </w:rPr>
        <w:t xml:space="preserve"> within the </w:t>
      </w:r>
      <w:r w:rsidR="0045480A">
        <w:rPr>
          <w:rFonts w:cs="Calibri"/>
          <w:szCs w:val="22"/>
        </w:rPr>
        <w:t>d</w:t>
      </w:r>
      <w:r w:rsidRPr="00EF7D4E">
        <w:rPr>
          <w:rFonts w:cs="Calibri"/>
          <w:szCs w:val="22"/>
        </w:rPr>
        <w:t xml:space="preserve">epartment will be established to administer the </w:t>
      </w:r>
      <w:r w:rsidR="008743F1" w:rsidRPr="00EF7D4E">
        <w:rPr>
          <w:rFonts w:cs="Calibri"/>
          <w:szCs w:val="22"/>
        </w:rPr>
        <w:t>National Code</w:t>
      </w:r>
      <w:r w:rsidRPr="00EF7D4E">
        <w:rPr>
          <w:rFonts w:cs="Calibri"/>
          <w:szCs w:val="22"/>
        </w:rPr>
        <w:t>, who will develop</w:t>
      </w:r>
      <w:r w:rsidR="00AF07F7" w:rsidRPr="00EF7D4E">
        <w:rPr>
          <w:rFonts w:cs="Calibri"/>
          <w:szCs w:val="22"/>
        </w:rPr>
        <w:t xml:space="preserve"> </w:t>
      </w:r>
      <w:r w:rsidRPr="00EF7D4E">
        <w:rPr>
          <w:rFonts w:cs="Calibri"/>
          <w:szCs w:val="22"/>
        </w:rPr>
        <w:t xml:space="preserve">guidance material as well as undertake robust education and engagement. The </w:t>
      </w:r>
      <w:r w:rsidR="00086FC5">
        <w:rPr>
          <w:rFonts w:cs="Calibri"/>
          <w:szCs w:val="22"/>
        </w:rPr>
        <w:t>specialist GBV Reform Branch</w:t>
      </w:r>
      <w:r w:rsidRPr="00EF7D4E">
        <w:rPr>
          <w:rFonts w:cs="Calibri"/>
          <w:szCs w:val="22"/>
        </w:rPr>
        <w:t xml:space="preserve"> will also be equipped with compliance and enforcement powers (e.g. notices, civil penalties, injunctions) proportion to the risk and scale of non-compliance. </w:t>
      </w:r>
    </w:p>
    <w:p w14:paraId="5F87F365" w14:textId="100B15B7" w:rsidR="007357ED" w:rsidRPr="00EF7D4E" w:rsidRDefault="007357ED" w:rsidP="007357ED">
      <w:pPr>
        <w:spacing w:before="120" w:after="120" w:line="240" w:lineRule="auto"/>
        <w:rPr>
          <w:rFonts w:eastAsia="Aptos" w:cs="Calibri"/>
          <w:b/>
          <w:bCs/>
          <w:szCs w:val="22"/>
        </w:rPr>
      </w:pPr>
      <w:r w:rsidRPr="00EF7D4E">
        <w:rPr>
          <w:rFonts w:eastAsia="Aptos" w:cs="Calibri"/>
          <w:b/>
          <w:bCs/>
          <w:szCs w:val="22"/>
        </w:rPr>
        <w:t xml:space="preserve">Regulatory </w:t>
      </w:r>
      <w:r w:rsidR="2073B540" w:rsidRPr="00EF7D4E">
        <w:rPr>
          <w:rFonts w:eastAsia="Aptos" w:cs="Calibri"/>
          <w:b/>
          <w:bCs/>
          <w:szCs w:val="22"/>
        </w:rPr>
        <w:t>a</w:t>
      </w:r>
      <w:r w:rsidRPr="00EF7D4E">
        <w:rPr>
          <w:rFonts w:eastAsia="Aptos" w:cs="Calibri"/>
          <w:b/>
          <w:bCs/>
          <w:szCs w:val="22"/>
        </w:rPr>
        <w:t xml:space="preserve">pproach </w:t>
      </w:r>
    </w:p>
    <w:p w14:paraId="48710EBC" w14:textId="0469D763" w:rsidR="007357ED" w:rsidRPr="00EF7D4E" w:rsidRDefault="007357ED" w:rsidP="007357ED">
      <w:pPr>
        <w:spacing w:before="120" w:after="120" w:line="240" w:lineRule="auto"/>
        <w:rPr>
          <w:rFonts w:eastAsia="Aptos" w:cs="Calibri"/>
          <w:szCs w:val="22"/>
        </w:rPr>
      </w:pPr>
      <w:r w:rsidRPr="00EF7D4E">
        <w:rPr>
          <w:rFonts w:eastAsia="Aptos" w:cs="Calibri"/>
          <w:szCs w:val="22"/>
        </w:rPr>
        <w:t xml:space="preserve">All higher education providers registered with TEQSA would be required to comply with the </w:t>
      </w:r>
      <w:r w:rsidR="008743F1" w:rsidRPr="00EF7D4E">
        <w:rPr>
          <w:rFonts w:eastAsia="Aptos" w:cs="Calibri"/>
          <w:szCs w:val="22"/>
        </w:rPr>
        <w:t>National Code</w:t>
      </w:r>
      <w:r w:rsidRPr="00EF7D4E">
        <w:rPr>
          <w:rFonts w:eastAsia="Aptos" w:cs="Calibri"/>
          <w:szCs w:val="22"/>
        </w:rPr>
        <w:t xml:space="preserve">. The </w:t>
      </w:r>
      <w:r w:rsidR="008743F1" w:rsidRPr="00EF7D4E">
        <w:rPr>
          <w:rFonts w:eastAsia="Aptos" w:cs="Calibri"/>
          <w:szCs w:val="22"/>
        </w:rPr>
        <w:t>National Code</w:t>
      </w:r>
      <w:r w:rsidRPr="00EF7D4E">
        <w:rPr>
          <w:rFonts w:eastAsia="Aptos" w:cs="Calibri"/>
          <w:szCs w:val="22"/>
        </w:rPr>
        <w:t xml:space="preserve"> would reflect a whole-of-organisation approach, applying </w:t>
      </w:r>
      <w:r w:rsidRPr="00EF7D4E">
        <w:rPr>
          <w:rFonts w:eastAsia="Aptos" w:cs="Calibri"/>
          <w:szCs w:val="22"/>
        </w:rPr>
        <w:lastRenderedPageBreak/>
        <w:t xml:space="preserve">to all aspects of the providers organisation, including campuses owned and operated. Standalone student accommodation providers will also be included if they are affiliated or under the control of a higher education provider. </w:t>
      </w:r>
      <w:r w:rsidR="36C700C7" w:rsidRPr="00EF7D4E">
        <w:rPr>
          <w:rFonts w:eastAsia="Aptos" w:cs="Calibri"/>
          <w:szCs w:val="22"/>
        </w:rPr>
        <w:t>The s</w:t>
      </w:r>
      <w:r w:rsidR="00FF2C64">
        <w:rPr>
          <w:rFonts w:eastAsia="Aptos" w:cs="Calibri"/>
          <w:szCs w:val="22"/>
        </w:rPr>
        <w:t>pecialist GBV Reform Branch</w:t>
      </w:r>
      <w:r w:rsidRPr="00EF7D4E">
        <w:rPr>
          <w:rFonts w:eastAsia="Aptos" w:cs="Calibri"/>
          <w:szCs w:val="22"/>
        </w:rPr>
        <w:t xml:space="preserve"> established within the department to lead the development, implementation and ongoing administration of the </w:t>
      </w:r>
      <w:r w:rsidR="008743F1" w:rsidRPr="00EF7D4E">
        <w:rPr>
          <w:rFonts w:eastAsia="Aptos" w:cs="Calibri"/>
          <w:szCs w:val="22"/>
        </w:rPr>
        <w:t>National Code</w:t>
      </w:r>
      <w:r w:rsidRPr="00EF7D4E">
        <w:rPr>
          <w:rFonts w:eastAsia="Aptos" w:cs="Calibri"/>
          <w:szCs w:val="22"/>
        </w:rPr>
        <w:t xml:space="preserve"> to ensure the sectors ongoing compliance with the </w:t>
      </w:r>
      <w:r w:rsidR="008743F1" w:rsidRPr="00EF7D4E">
        <w:rPr>
          <w:rFonts w:eastAsia="Aptos" w:cs="Calibri"/>
          <w:szCs w:val="22"/>
        </w:rPr>
        <w:t>National Code</w:t>
      </w:r>
      <w:r w:rsidR="00654C44">
        <w:rPr>
          <w:rFonts w:eastAsia="Aptos" w:cs="Calibri"/>
          <w:szCs w:val="22"/>
        </w:rPr>
        <w:t xml:space="preserve"> through outcomes-base regulation</w:t>
      </w:r>
      <w:r w:rsidR="00E71E77">
        <w:rPr>
          <w:rFonts w:eastAsia="Aptos" w:cs="Calibri"/>
          <w:szCs w:val="22"/>
        </w:rPr>
        <w:t xml:space="preserve">. </w:t>
      </w:r>
    </w:p>
    <w:p w14:paraId="344F16BE" w14:textId="77777777" w:rsidR="007357ED" w:rsidRPr="00EF7D4E" w:rsidRDefault="007357ED" w:rsidP="007357ED">
      <w:pPr>
        <w:spacing w:before="120" w:after="120" w:line="240" w:lineRule="auto"/>
        <w:rPr>
          <w:rFonts w:eastAsia="Aptos" w:cs="Calibri"/>
          <w:b/>
          <w:bCs/>
          <w:szCs w:val="22"/>
        </w:rPr>
      </w:pPr>
      <w:r w:rsidRPr="00EF7D4E">
        <w:rPr>
          <w:rFonts w:eastAsia="Aptos" w:cs="Calibri"/>
          <w:b/>
          <w:bCs/>
          <w:szCs w:val="22"/>
        </w:rPr>
        <w:t xml:space="preserve">Education and engagement </w:t>
      </w:r>
    </w:p>
    <w:p w14:paraId="592845B2" w14:textId="28A56267" w:rsidR="007357ED" w:rsidRPr="00EF7D4E" w:rsidRDefault="007357ED" w:rsidP="007357ED">
      <w:pPr>
        <w:spacing w:before="120" w:after="120" w:line="240" w:lineRule="auto"/>
        <w:rPr>
          <w:rFonts w:eastAsia="Aptos" w:cs="Calibri"/>
          <w:szCs w:val="22"/>
        </w:rPr>
      </w:pPr>
      <w:r w:rsidRPr="00EF7D4E">
        <w:rPr>
          <w:rFonts w:eastAsia="Aptos" w:cs="Calibri"/>
          <w:szCs w:val="22"/>
        </w:rPr>
        <w:t xml:space="preserve">Like </w:t>
      </w:r>
      <w:r w:rsidR="00A84C16">
        <w:rPr>
          <w:rFonts w:eastAsia="Aptos" w:cs="Calibri"/>
          <w:szCs w:val="22"/>
        </w:rPr>
        <w:t>O</w:t>
      </w:r>
      <w:r w:rsidRPr="00EF7D4E">
        <w:rPr>
          <w:rFonts w:eastAsia="Aptos" w:cs="Calibri"/>
          <w:szCs w:val="22"/>
        </w:rPr>
        <w:t xml:space="preserve">ption 2, this </w:t>
      </w:r>
      <w:r w:rsidR="006F3B6B">
        <w:rPr>
          <w:rFonts w:eastAsia="Aptos" w:cs="Calibri"/>
          <w:szCs w:val="22"/>
        </w:rPr>
        <w:t>branch</w:t>
      </w:r>
      <w:r w:rsidRPr="00EF7D4E">
        <w:rPr>
          <w:rFonts w:eastAsia="Aptos" w:cs="Calibri"/>
          <w:szCs w:val="22"/>
        </w:rPr>
        <w:t xml:space="preserve"> would include an education and engagement that would focus on building understanding </w:t>
      </w:r>
      <w:r w:rsidRPr="00EF7D4E" w:rsidDel="007357ED">
        <w:rPr>
          <w:rFonts w:eastAsia="Aptos" w:cs="Calibri"/>
          <w:szCs w:val="22"/>
        </w:rPr>
        <w:t>and</w:t>
      </w:r>
      <w:r w:rsidRPr="00EF7D4E">
        <w:rPr>
          <w:rFonts w:eastAsia="Aptos" w:cs="Calibri"/>
          <w:szCs w:val="22"/>
        </w:rPr>
        <w:t xml:space="preserve"> capability across the sector in meeting the </w:t>
      </w:r>
      <w:r w:rsidR="008743F1" w:rsidRPr="00EF7D4E">
        <w:rPr>
          <w:rFonts w:eastAsia="Aptos" w:cs="Calibri"/>
          <w:szCs w:val="22"/>
        </w:rPr>
        <w:t>National Code</w:t>
      </w:r>
      <w:r w:rsidRPr="00EF7D4E">
        <w:rPr>
          <w:rFonts w:eastAsia="Aptos" w:cs="Calibri"/>
          <w:szCs w:val="22"/>
        </w:rPr>
        <w:t xml:space="preserve"> and foster a culture of collaboration and continuous improvement. The </w:t>
      </w:r>
      <w:r w:rsidR="006F3B6B">
        <w:rPr>
          <w:rFonts w:eastAsia="Aptos" w:cs="Calibri"/>
          <w:szCs w:val="22"/>
        </w:rPr>
        <w:t>branch</w:t>
      </w:r>
      <w:r w:rsidRPr="00EF7D4E">
        <w:rPr>
          <w:rFonts w:eastAsia="Aptos" w:cs="Calibri"/>
          <w:szCs w:val="22"/>
        </w:rPr>
        <w:t xml:space="preserve"> would develop educative materials and resources to disseminate to providers, as well as regulatory guidance to ensure that providers can meet their compliance expectations. </w:t>
      </w:r>
    </w:p>
    <w:p w14:paraId="7906B339" w14:textId="77777777" w:rsidR="007357ED" w:rsidRPr="00EF7D4E" w:rsidRDefault="007357ED" w:rsidP="007357ED">
      <w:pPr>
        <w:spacing w:before="120" w:after="120" w:line="240" w:lineRule="auto"/>
        <w:rPr>
          <w:rFonts w:eastAsia="Aptos" w:cs="Calibri"/>
          <w:b/>
          <w:bCs/>
          <w:szCs w:val="22"/>
        </w:rPr>
      </w:pPr>
      <w:r w:rsidRPr="00EF7D4E">
        <w:rPr>
          <w:rFonts w:eastAsia="Aptos" w:cs="Calibri"/>
          <w:b/>
          <w:bCs/>
          <w:szCs w:val="22"/>
        </w:rPr>
        <w:t xml:space="preserve">Compliance </w:t>
      </w:r>
    </w:p>
    <w:p w14:paraId="0949E426" w14:textId="4B021F96" w:rsidR="007357ED" w:rsidRPr="00EF7D4E" w:rsidRDefault="007357ED" w:rsidP="007357ED">
      <w:pPr>
        <w:spacing w:before="120" w:after="120" w:line="240" w:lineRule="auto"/>
        <w:rPr>
          <w:rFonts w:eastAsia="Aptos" w:cs="Calibri"/>
          <w:szCs w:val="22"/>
        </w:rPr>
      </w:pPr>
      <w:r w:rsidRPr="00EF7D4E">
        <w:rPr>
          <w:rFonts w:eastAsia="Aptos" w:cs="Calibri"/>
          <w:szCs w:val="22"/>
        </w:rPr>
        <w:t xml:space="preserve">Full compliance with the </w:t>
      </w:r>
      <w:r w:rsidR="008743F1" w:rsidRPr="00EF7D4E">
        <w:rPr>
          <w:rFonts w:eastAsia="Aptos" w:cs="Calibri"/>
          <w:szCs w:val="22"/>
        </w:rPr>
        <w:t>National Code</w:t>
      </w:r>
      <w:r w:rsidRPr="00EF7D4E">
        <w:rPr>
          <w:rFonts w:eastAsia="Aptos" w:cs="Calibri"/>
          <w:szCs w:val="22"/>
        </w:rPr>
        <w:t xml:space="preserve"> will be expected by the government. Consistent with a range of regulatory models, the legislation for establishing the </w:t>
      </w:r>
      <w:r w:rsidR="008743F1" w:rsidRPr="00EF7D4E">
        <w:rPr>
          <w:rFonts w:eastAsia="Aptos" w:cs="Calibri"/>
          <w:szCs w:val="22"/>
        </w:rPr>
        <w:t>National Code</w:t>
      </w:r>
      <w:r w:rsidRPr="00EF7D4E">
        <w:rPr>
          <w:rFonts w:eastAsia="Aptos" w:cs="Calibri"/>
          <w:szCs w:val="22"/>
        </w:rPr>
        <w:t xml:space="preserve"> will ensure that the </w:t>
      </w:r>
      <w:r w:rsidR="00572B67">
        <w:rPr>
          <w:rFonts w:eastAsia="Aptos" w:cs="Calibri"/>
          <w:szCs w:val="22"/>
        </w:rPr>
        <w:t>branch</w:t>
      </w:r>
      <w:r w:rsidR="00572B67" w:rsidRPr="00EF7D4E">
        <w:rPr>
          <w:rFonts w:eastAsia="Aptos" w:cs="Calibri"/>
          <w:szCs w:val="22"/>
        </w:rPr>
        <w:t xml:space="preserve"> </w:t>
      </w:r>
      <w:r w:rsidRPr="00EF7D4E">
        <w:rPr>
          <w:rFonts w:eastAsia="Aptos" w:cs="Calibri"/>
          <w:szCs w:val="22"/>
        </w:rPr>
        <w:t xml:space="preserve">has strong, diverse regulator powers and strategies to monitor and take actions in relation to systemic issues of HEPs. This includes audits, investigations, requesting information, information sharing with the NSO and TEQSA, and analysing data. </w:t>
      </w:r>
      <w:r w:rsidR="003E7DCD">
        <w:rPr>
          <w:rFonts w:eastAsia="Aptos" w:cs="Calibri"/>
          <w:szCs w:val="22"/>
        </w:rPr>
        <w:t>T</w:t>
      </w:r>
      <w:r w:rsidRPr="00EF7D4E">
        <w:rPr>
          <w:rFonts w:eastAsia="Aptos" w:cs="Calibri"/>
          <w:szCs w:val="22"/>
        </w:rPr>
        <w:t xml:space="preserve">he department proposed compliance with the </w:t>
      </w:r>
      <w:r w:rsidR="008743F1" w:rsidRPr="00EF7D4E">
        <w:rPr>
          <w:rFonts w:eastAsia="Aptos" w:cs="Calibri"/>
          <w:szCs w:val="22"/>
        </w:rPr>
        <w:t>National Code</w:t>
      </w:r>
      <w:r w:rsidRPr="00EF7D4E">
        <w:rPr>
          <w:rFonts w:eastAsia="Aptos" w:cs="Calibri"/>
          <w:szCs w:val="22"/>
        </w:rPr>
        <w:t xml:space="preserve"> as conditional of approval under the Higher Education Support Act 2003. This links the </w:t>
      </w:r>
      <w:r w:rsidR="008743F1" w:rsidRPr="00EF7D4E">
        <w:rPr>
          <w:rFonts w:eastAsia="Aptos" w:cs="Calibri"/>
          <w:szCs w:val="22"/>
        </w:rPr>
        <w:t>National Code</w:t>
      </w:r>
      <w:r w:rsidRPr="00EF7D4E">
        <w:rPr>
          <w:rFonts w:eastAsia="Aptos" w:cs="Calibri"/>
          <w:szCs w:val="22"/>
        </w:rPr>
        <w:t xml:space="preserve"> to broader higher education regulatory framework and act as an additional regulatory tool to encourage and enforce compliance. Repeated non-compliance with the </w:t>
      </w:r>
      <w:r w:rsidR="008743F1" w:rsidRPr="00EF7D4E">
        <w:rPr>
          <w:rFonts w:eastAsia="Aptos" w:cs="Calibri"/>
          <w:szCs w:val="22"/>
        </w:rPr>
        <w:t>National Code</w:t>
      </w:r>
      <w:r w:rsidRPr="00EF7D4E">
        <w:rPr>
          <w:rFonts w:eastAsia="Aptos" w:cs="Calibri"/>
          <w:szCs w:val="22"/>
        </w:rPr>
        <w:t xml:space="preserve"> could potentially be referred to TEQSA to identify systemic issues that demonstrate non-compliance with the Threshold Standards. Additionally, it is proposed that repeated non-compliance could impact a provider’s approval under the HESA act. </w:t>
      </w:r>
    </w:p>
    <w:p w14:paraId="72C22C8A" w14:textId="77777777" w:rsidR="007357ED" w:rsidRPr="00EF7D4E" w:rsidRDefault="007357ED" w:rsidP="007357ED">
      <w:pPr>
        <w:spacing w:before="120" w:after="120" w:line="240" w:lineRule="auto"/>
        <w:rPr>
          <w:rFonts w:eastAsia="Aptos" w:cs="Calibri"/>
          <w:b/>
          <w:bCs/>
          <w:szCs w:val="22"/>
        </w:rPr>
      </w:pPr>
      <w:r w:rsidRPr="00EF7D4E">
        <w:rPr>
          <w:rFonts w:eastAsia="Aptos" w:cs="Calibri"/>
          <w:b/>
          <w:bCs/>
          <w:szCs w:val="22"/>
        </w:rPr>
        <w:t>Student accommodation</w:t>
      </w:r>
    </w:p>
    <w:p w14:paraId="36635789" w14:textId="67F30031" w:rsidR="007357ED" w:rsidRPr="00EF7D4E" w:rsidRDefault="007357ED" w:rsidP="007357ED">
      <w:pPr>
        <w:spacing w:before="120" w:after="120" w:line="240" w:lineRule="auto"/>
        <w:rPr>
          <w:rFonts w:eastAsia="Aptos" w:cs="Calibri"/>
          <w:szCs w:val="22"/>
        </w:rPr>
      </w:pPr>
      <w:r w:rsidRPr="00EF7D4E">
        <w:rPr>
          <w:rFonts w:eastAsia="Aptos" w:cs="Calibri"/>
          <w:szCs w:val="22"/>
        </w:rPr>
        <w:t xml:space="preserve">The proposed mandatory </w:t>
      </w:r>
      <w:r w:rsidR="008743F1" w:rsidRPr="00EF7D4E">
        <w:rPr>
          <w:rFonts w:eastAsia="Aptos" w:cs="Calibri"/>
          <w:szCs w:val="22"/>
        </w:rPr>
        <w:t>National Code</w:t>
      </w:r>
      <w:r w:rsidRPr="00EF7D4E">
        <w:rPr>
          <w:rFonts w:eastAsia="Aptos" w:cs="Calibri"/>
          <w:szCs w:val="22"/>
        </w:rPr>
        <w:t xml:space="preserve"> introduces a standalone standard that holds higher education providers accountable for student accommodation environments. As highlighted in Chapter 1, student accommodation is a high-risk setting for </w:t>
      </w:r>
      <w:r w:rsidR="008223FC" w:rsidRPr="00EF7D4E">
        <w:rPr>
          <w:rFonts w:eastAsia="Aptos" w:cs="Calibri"/>
          <w:szCs w:val="22"/>
        </w:rPr>
        <w:t>GBV</w:t>
      </w:r>
      <w:r w:rsidRPr="00EF7D4E">
        <w:rPr>
          <w:rFonts w:eastAsia="Aptos" w:cs="Calibri"/>
          <w:szCs w:val="22"/>
        </w:rPr>
        <w:t>. Historically, HEPs have often claimed that incidents occurring in residential settings fall outside their scope of responsibility.</w:t>
      </w:r>
      <w:r w:rsidR="003E7DCD">
        <w:rPr>
          <w:rFonts w:eastAsia="Aptos" w:cs="Calibri"/>
          <w:szCs w:val="22"/>
        </w:rPr>
        <w:t xml:space="preserve"> </w:t>
      </w:r>
      <w:r w:rsidRPr="00EF7D4E">
        <w:rPr>
          <w:rFonts w:eastAsia="Aptos" w:cs="Calibri"/>
          <w:szCs w:val="22"/>
        </w:rPr>
        <w:t xml:space="preserve">While </w:t>
      </w:r>
      <w:r w:rsidR="008162D9">
        <w:rPr>
          <w:rFonts w:eastAsia="Aptos" w:cs="Calibri"/>
          <w:szCs w:val="22"/>
        </w:rPr>
        <w:t>O</w:t>
      </w:r>
      <w:r w:rsidRPr="00EF7D4E">
        <w:rPr>
          <w:rFonts w:eastAsia="Aptos" w:cs="Calibri"/>
          <w:szCs w:val="22"/>
        </w:rPr>
        <w:t xml:space="preserve">ption 2 encourages HEPs to develop tailored policies and enter into voluntary agreements with accommodation provider, </w:t>
      </w:r>
      <w:r w:rsidR="008162D9">
        <w:rPr>
          <w:rFonts w:eastAsia="Aptos" w:cs="Calibri"/>
          <w:szCs w:val="22"/>
        </w:rPr>
        <w:t>O</w:t>
      </w:r>
      <w:r w:rsidRPr="00EF7D4E">
        <w:rPr>
          <w:rFonts w:eastAsia="Aptos" w:cs="Calibri"/>
          <w:szCs w:val="22"/>
        </w:rPr>
        <w:t>ption 3 goes further by mandating a comprehensive set of student accommodation-specific policies and expectations, designed to reflect the unique risks and context of these settings.</w:t>
      </w:r>
      <w:r w:rsidR="003E7DCD">
        <w:rPr>
          <w:rFonts w:eastAsia="Aptos" w:cs="Calibri"/>
          <w:szCs w:val="22"/>
        </w:rPr>
        <w:t xml:space="preserve"> </w:t>
      </w:r>
      <w:r w:rsidRPr="00EF7D4E">
        <w:rPr>
          <w:rFonts w:eastAsia="Aptos" w:cs="Calibri"/>
          <w:szCs w:val="22"/>
        </w:rPr>
        <w:t xml:space="preserve">Crucially, </w:t>
      </w:r>
      <w:r w:rsidR="008162D9">
        <w:rPr>
          <w:rFonts w:eastAsia="Aptos" w:cs="Calibri"/>
          <w:szCs w:val="22"/>
        </w:rPr>
        <w:t>O</w:t>
      </w:r>
      <w:r w:rsidRPr="00EF7D4E">
        <w:rPr>
          <w:rFonts w:eastAsia="Aptos" w:cs="Calibri"/>
          <w:szCs w:val="22"/>
        </w:rPr>
        <w:t xml:space="preserve">ption 3 enhances oversight by requiring HEPs to actively seek agreements with affiliated student accommodation providers that align with the </w:t>
      </w:r>
      <w:r w:rsidR="008743F1" w:rsidRPr="00EF7D4E">
        <w:rPr>
          <w:rFonts w:eastAsia="Aptos" w:cs="Calibri"/>
          <w:szCs w:val="22"/>
        </w:rPr>
        <w:t>National Code</w:t>
      </w:r>
      <w:r w:rsidRPr="00EF7D4E">
        <w:rPr>
          <w:rFonts w:eastAsia="Aptos" w:cs="Calibri"/>
          <w:szCs w:val="22"/>
        </w:rPr>
        <w:t xml:space="preserve">. This approach ensures that the </w:t>
      </w:r>
      <w:r w:rsidR="008743F1" w:rsidRPr="00EF7D4E">
        <w:rPr>
          <w:rFonts w:eastAsia="Aptos" w:cs="Calibri"/>
          <w:szCs w:val="22"/>
        </w:rPr>
        <w:t>National Code</w:t>
      </w:r>
      <w:r w:rsidRPr="00EF7D4E">
        <w:rPr>
          <w:rFonts w:eastAsia="Aptos" w:cs="Calibri"/>
          <w:szCs w:val="22"/>
        </w:rPr>
        <w:t xml:space="preserve"> has a stronger and more consistent impact in high-risk residential environments, addressing existing accountability gaps and promoting safer student living conditions.</w:t>
      </w:r>
    </w:p>
    <w:p w14:paraId="6E0A0B4A" w14:textId="3D095E67" w:rsidR="004932DB" w:rsidRDefault="004932DB" w:rsidP="004932DB">
      <w:pPr>
        <w:pStyle w:val="Heading3"/>
      </w:pPr>
      <w:bookmarkStart w:id="113" w:name="_Toc204682617"/>
      <w:bookmarkStart w:id="114" w:name="_Toc204699872"/>
      <w:bookmarkStart w:id="115" w:name="_Toc204763320"/>
      <w:bookmarkStart w:id="116" w:name="_Toc204764888"/>
      <w:bookmarkStart w:id="117" w:name="_Toc205216900"/>
      <w:r>
        <w:t xml:space="preserve">How does </w:t>
      </w:r>
      <w:r w:rsidR="008162D9">
        <w:t>O</w:t>
      </w:r>
      <w:r>
        <w:t>ption 3 address each element of the policy problem?</w:t>
      </w:r>
      <w:bookmarkEnd w:id="113"/>
      <w:bookmarkEnd w:id="114"/>
      <w:bookmarkEnd w:id="115"/>
      <w:bookmarkEnd w:id="116"/>
      <w:bookmarkEnd w:id="117"/>
    </w:p>
    <w:tbl>
      <w:tblPr>
        <w:tblStyle w:val="GridTable4-Accent1"/>
        <w:tblW w:w="9067" w:type="dxa"/>
        <w:tblLook w:val="04A0" w:firstRow="1" w:lastRow="0" w:firstColumn="1" w:lastColumn="0" w:noHBand="0" w:noVBand="1"/>
      </w:tblPr>
      <w:tblGrid>
        <w:gridCol w:w="2972"/>
        <w:gridCol w:w="6095"/>
      </w:tblGrid>
      <w:tr w:rsidR="00C410B8" w14:paraId="714F0197" w14:textId="77777777" w:rsidTr="002F74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771718F" w14:textId="77777777" w:rsidR="00221DFF" w:rsidRPr="00C96503" w:rsidRDefault="00221DFF">
            <w:r>
              <w:t xml:space="preserve">Element of the policy problem </w:t>
            </w:r>
          </w:p>
        </w:tc>
        <w:tc>
          <w:tcPr>
            <w:tcW w:w="6095" w:type="dxa"/>
          </w:tcPr>
          <w:p w14:paraId="261E3E76" w14:textId="77777777" w:rsidR="00221DFF" w:rsidRPr="009E49D3" w:rsidRDefault="00221DFF">
            <w:pPr>
              <w:tabs>
                <w:tab w:val="left" w:pos="1790"/>
              </w:tabs>
              <w:cnfStyle w:val="100000000000" w:firstRow="1" w:lastRow="0" w:firstColumn="0" w:lastColumn="0" w:oddVBand="0" w:evenVBand="0" w:oddHBand="0" w:evenHBand="0" w:firstRowFirstColumn="0" w:firstRowLastColumn="0" w:lastRowFirstColumn="0" w:lastRowLastColumn="0"/>
            </w:pPr>
            <w:r w:rsidRPr="009E49D3">
              <w:t>How the problem is addressed</w:t>
            </w:r>
          </w:p>
        </w:tc>
      </w:tr>
      <w:tr w:rsidR="00C410B8" w14:paraId="2A3CF999" w14:textId="77777777" w:rsidTr="002F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EFCFE0E" w14:textId="4D59D18C" w:rsidR="00221DFF" w:rsidRPr="00C96503" w:rsidRDefault="00B7771B" w:rsidP="00F96B94">
            <w:pPr>
              <w:spacing w:before="120" w:after="120"/>
              <w:rPr>
                <w:rFonts w:ascii="Aptos" w:hAnsi="Aptos"/>
                <w:b w:val="0"/>
                <w:bCs w:val="0"/>
              </w:rPr>
            </w:pPr>
            <w:r>
              <w:rPr>
                <w:rFonts w:ascii="Aptos" w:hAnsi="Aptos"/>
                <w:b w:val="0"/>
                <w:bCs w:val="0"/>
              </w:rPr>
              <w:t>GBV</w:t>
            </w:r>
            <w:r w:rsidR="00221DFF" w:rsidRPr="00836EFA">
              <w:rPr>
                <w:rFonts w:ascii="Aptos" w:hAnsi="Aptos"/>
                <w:b w:val="0"/>
                <w:bCs w:val="0"/>
              </w:rPr>
              <w:t xml:space="preserve"> in higher education, including student accommodation, is prevalent, underreported, and inadequately addressed</w:t>
            </w:r>
          </w:p>
        </w:tc>
        <w:tc>
          <w:tcPr>
            <w:tcW w:w="6095" w:type="dxa"/>
          </w:tcPr>
          <w:p w14:paraId="4AAB5732" w14:textId="4FA8C9C6" w:rsidR="00221DFF" w:rsidRPr="004724EC" w:rsidRDefault="00221DFF" w:rsidP="00F96B94">
            <w:pPr>
              <w:spacing w:before="120" w:after="120"/>
              <w:cnfStyle w:val="000000100000" w:firstRow="0" w:lastRow="0" w:firstColumn="0" w:lastColumn="0" w:oddVBand="0" w:evenVBand="0" w:oddHBand="1" w:evenHBand="0" w:firstRowFirstColumn="0" w:firstRowLastColumn="0" w:lastRowFirstColumn="0" w:lastRowLastColumn="0"/>
              <w:rPr>
                <w:rFonts w:ascii="Aptos" w:hAnsi="Aptos"/>
              </w:rPr>
            </w:pPr>
            <w:r w:rsidRPr="00C96503">
              <w:rPr>
                <w:rFonts w:ascii="Aptos" w:hAnsi="Aptos"/>
              </w:rPr>
              <w:t xml:space="preserve">The </w:t>
            </w:r>
            <w:r>
              <w:rPr>
                <w:rFonts w:ascii="Aptos" w:hAnsi="Aptos"/>
              </w:rPr>
              <w:t xml:space="preserve">mandatory </w:t>
            </w:r>
            <w:r w:rsidR="008743F1">
              <w:rPr>
                <w:rFonts w:ascii="Aptos" w:hAnsi="Aptos"/>
              </w:rPr>
              <w:t>National Code</w:t>
            </w:r>
            <w:r>
              <w:rPr>
                <w:rFonts w:ascii="Aptos" w:hAnsi="Aptos"/>
              </w:rPr>
              <w:t xml:space="preserve"> establishes a legally enforceable framework requiring all providers to implement comprehensive prevention and response mechanisms. It includes specific mechanisms for student accommodation, ensuring systemic action across the sector, including in high-risk settings, to drive significant change. </w:t>
            </w:r>
          </w:p>
        </w:tc>
      </w:tr>
      <w:tr w:rsidR="00221DFF" w14:paraId="3F455477" w14:textId="77777777" w:rsidTr="002F745C">
        <w:tc>
          <w:tcPr>
            <w:cnfStyle w:val="001000000000" w:firstRow="0" w:lastRow="0" w:firstColumn="1" w:lastColumn="0" w:oddVBand="0" w:evenVBand="0" w:oddHBand="0" w:evenHBand="0" w:firstRowFirstColumn="0" w:firstRowLastColumn="0" w:lastRowFirstColumn="0" w:lastRowLastColumn="0"/>
            <w:tcW w:w="2972" w:type="dxa"/>
          </w:tcPr>
          <w:p w14:paraId="004033A9" w14:textId="75B601F4" w:rsidR="00221DFF" w:rsidRPr="00C96503" w:rsidRDefault="00B7771B" w:rsidP="00F96B94">
            <w:pPr>
              <w:spacing w:before="120" w:after="120"/>
              <w:rPr>
                <w:rFonts w:ascii="Aptos" w:hAnsi="Aptos"/>
                <w:b w:val="0"/>
                <w:bCs w:val="0"/>
              </w:rPr>
            </w:pPr>
            <w:r>
              <w:rPr>
                <w:rFonts w:ascii="Aptos" w:hAnsi="Aptos"/>
                <w:b w:val="0"/>
                <w:bCs w:val="0"/>
              </w:rPr>
              <w:lastRenderedPageBreak/>
              <w:t>GBV</w:t>
            </w:r>
            <w:r w:rsidR="00221DFF" w:rsidRPr="00836EFA">
              <w:rPr>
                <w:rFonts w:ascii="Aptos" w:hAnsi="Aptos"/>
                <w:b w:val="0"/>
                <w:bCs w:val="0"/>
              </w:rPr>
              <w:t xml:space="preserve"> has detrimental impacts on student and staff health, wellbeing, educational attainment and career progression</w:t>
            </w:r>
          </w:p>
        </w:tc>
        <w:tc>
          <w:tcPr>
            <w:tcW w:w="6095" w:type="dxa"/>
          </w:tcPr>
          <w:p w14:paraId="3A0A7C0A" w14:textId="09EA0064" w:rsidR="00221DFF" w:rsidRPr="004724EC" w:rsidRDefault="00221DFF" w:rsidP="00F96B94">
            <w:pPr>
              <w:spacing w:before="120" w:after="120"/>
              <w:cnfStyle w:val="000000000000" w:firstRow="0" w:lastRow="0" w:firstColumn="0" w:lastColumn="0" w:oddVBand="0" w:evenVBand="0" w:oddHBand="0" w:evenHBand="0" w:firstRowFirstColumn="0" w:firstRowLastColumn="0" w:lastRowFirstColumn="0" w:lastRowLastColumn="0"/>
              <w:rPr>
                <w:rFonts w:ascii="Aptos" w:hAnsi="Aptos"/>
              </w:rPr>
            </w:pPr>
            <w:r>
              <w:rPr>
                <w:rFonts w:ascii="Aptos" w:hAnsi="Aptos"/>
              </w:rPr>
              <w:t xml:space="preserve">Trauma-informed and person-centred practice are core to the mandatory </w:t>
            </w:r>
            <w:r w:rsidR="008743F1">
              <w:rPr>
                <w:rFonts w:ascii="Aptos" w:hAnsi="Aptos"/>
              </w:rPr>
              <w:t>National Code</w:t>
            </w:r>
            <w:r>
              <w:rPr>
                <w:rFonts w:ascii="Aptos" w:hAnsi="Aptos"/>
              </w:rPr>
              <w:t xml:space="preserve"> – providers must offer access to support services, conduct safety planning, provide academic and work adjustments to prioritise safety, minimise harm and reduce the impact that </w:t>
            </w:r>
            <w:r w:rsidR="00B7771B">
              <w:rPr>
                <w:rFonts w:ascii="Aptos" w:hAnsi="Aptos"/>
              </w:rPr>
              <w:t>GBV</w:t>
            </w:r>
            <w:r>
              <w:rPr>
                <w:rFonts w:ascii="Aptos" w:hAnsi="Aptos"/>
              </w:rPr>
              <w:t xml:space="preserve"> has on victim-survivors. </w:t>
            </w:r>
          </w:p>
        </w:tc>
      </w:tr>
      <w:tr w:rsidR="00C410B8" w14:paraId="60AE0BF1" w14:textId="77777777" w:rsidTr="002F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1C6305F" w14:textId="3878FEEB" w:rsidR="00221DFF" w:rsidRPr="00C96503" w:rsidRDefault="00B7771B" w:rsidP="00F96B94">
            <w:pPr>
              <w:spacing w:before="120" w:after="120"/>
              <w:rPr>
                <w:rFonts w:ascii="Aptos" w:hAnsi="Aptos"/>
                <w:b w:val="0"/>
                <w:bCs w:val="0"/>
              </w:rPr>
            </w:pPr>
            <w:r>
              <w:rPr>
                <w:rFonts w:ascii="Aptos" w:hAnsi="Aptos"/>
                <w:b w:val="0"/>
                <w:bCs w:val="0"/>
              </w:rPr>
              <w:t>GBV</w:t>
            </w:r>
            <w:r w:rsidR="00221DFF">
              <w:rPr>
                <w:rFonts w:ascii="Aptos" w:hAnsi="Aptos"/>
                <w:b w:val="0"/>
                <w:bCs w:val="0"/>
              </w:rPr>
              <w:t xml:space="preserve"> </w:t>
            </w:r>
            <w:r w:rsidR="00221DFF" w:rsidRPr="00BD3C64">
              <w:rPr>
                <w:rFonts w:ascii="Aptos" w:hAnsi="Aptos"/>
                <w:b w:val="0"/>
                <w:bCs w:val="0"/>
              </w:rPr>
              <w:t xml:space="preserve">disproportionately impacts women and girls experiencing intersecting forms of </w:t>
            </w:r>
            <w:r w:rsidR="000512AE">
              <w:rPr>
                <w:rFonts w:ascii="Aptos" w:hAnsi="Aptos"/>
                <w:b w:val="0"/>
                <w:bCs w:val="0"/>
              </w:rPr>
              <w:t>structural inequalities and discrimination</w:t>
            </w:r>
          </w:p>
        </w:tc>
        <w:tc>
          <w:tcPr>
            <w:tcW w:w="6095" w:type="dxa"/>
          </w:tcPr>
          <w:p w14:paraId="0B3A8FDF" w14:textId="5759DAB5" w:rsidR="00221DFF" w:rsidRPr="004724EC" w:rsidRDefault="00221DFF" w:rsidP="00F96B94">
            <w:pPr>
              <w:spacing w:before="120" w:after="120"/>
              <w:cnfStyle w:val="000000100000" w:firstRow="0" w:lastRow="0" w:firstColumn="0" w:lastColumn="0" w:oddVBand="0" w:evenVBand="0" w:oddHBand="1" w:evenHBand="0" w:firstRowFirstColumn="0" w:firstRowLastColumn="0" w:lastRowFirstColumn="0" w:lastRowLastColumn="0"/>
              <w:rPr>
                <w:rFonts w:ascii="Aptos" w:hAnsi="Aptos"/>
              </w:rPr>
            </w:pPr>
            <w:r>
              <w:rPr>
                <w:rFonts w:ascii="Aptos" w:hAnsi="Aptos"/>
              </w:rPr>
              <w:t xml:space="preserve">This mandatory </w:t>
            </w:r>
            <w:r w:rsidR="008743F1">
              <w:rPr>
                <w:rFonts w:ascii="Aptos" w:hAnsi="Aptos"/>
              </w:rPr>
              <w:t>National Code</w:t>
            </w:r>
            <w:r>
              <w:rPr>
                <w:rFonts w:ascii="Aptos" w:hAnsi="Aptos"/>
              </w:rPr>
              <w:t xml:space="preserve"> operationalises inclusive practices by requiring providers to not only engage and collaborate with students, but also with diverse groups who disproportionate rates of </w:t>
            </w:r>
            <w:r w:rsidR="00B7771B">
              <w:rPr>
                <w:rFonts w:ascii="Aptos" w:hAnsi="Aptos"/>
              </w:rPr>
              <w:t>GBV</w:t>
            </w:r>
            <w:r>
              <w:rPr>
                <w:rFonts w:ascii="Aptos" w:hAnsi="Aptos"/>
              </w:rPr>
              <w:t xml:space="preserve">. Providers are required to consult to ensure that prevention and response is shaped by and reflects the diversity of their communities. </w:t>
            </w:r>
          </w:p>
        </w:tc>
      </w:tr>
      <w:tr w:rsidR="00221DFF" w14:paraId="09350C0A" w14:textId="77777777" w:rsidTr="002F745C">
        <w:tc>
          <w:tcPr>
            <w:cnfStyle w:val="001000000000" w:firstRow="0" w:lastRow="0" w:firstColumn="1" w:lastColumn="0" w:oddVBand="0" w:evenVBand="0" w:oddHBand="0" w:evenHBand="0" w:firstRowFirstColumn="0" w:firstRowLastColumn="0" w:lastRowFirstColumn="0" w:lastRowLastColumn="0"/>
            <w:tcW w:w="2972" w:type="dxa"/>
          </w:tcPr>
          <w:p w14:paraId="100D03A8" w14:textId="51E61EF9" w:rsidR="00221DFF" w:rsidRPr="00C96503" w:rsidRDefault="00221DFF" w:rsidP="00F96B94">
            <w:pPr>
              <w:spacing w:before="120" w:after="120"/>
              <w:rPr>
                <w:rFonts w:ascii="Aptos" w:hAnsi="Aptos"/>
                <w:b w:val="0"/>
                <w:bCs w:val="0"/>
              </w:rPr>
            </w:pPr>
            <w:r w:rsidRPr="00BD3C64">
              <w:rPr>
                <w:rFonts w:ascii="Aptos" w:hAnsi="Aptos"/>
                <w:b w:val="0"/>
                <w:bCs w:val="0"/>
              </w:rPr>
              <w:t xml:space="preserve">Previous measures have been inconsistent, fragmented, </w:t>
            </w:r>
            <w:r w:rsidR="005A04CA">
              <w:rPr>
                <w:rFonts w:ascii="Aptos" w:hAnsi="Aptos"/>
                <w:b w:val="0"/>
                <w:bCs w:val="0"/>
              </w:rPr>
              <w:t>reactive</w:t>
            </w:r>
            <w:r w:rsidRPr="00BD3C64">
              <w:rPr>
                <w:rFonts w:ascii="Aptos" w:hAnsi="Aptos"/>
                <w:b w:val="0"/>
                <w:bCs w:val="0"/>
              </w:rPr>
              <w:t xml:space="preserve"> and under-resourced, failing to drive lasting change</w:t>
            </w:r>
          </w:p>
        </w:tc>
        <w:tc>
          <w:tcPr>
            <w:tcW w:w="6095" w:type="dxa"/>
          </w:tcPr>
          <w:p w14:paraId="5E51F51C" w14:textId="23C8DBF1" w:rsidR="00221DFF" w:rsidRPr="004724EC" w:rsidRDefault="00221DFF" w:rsidP="00F96B94">
            <w:pPr>
              <w:spacing w:before="120" w:after="120"/>
              <w:cnfStyle w:val="000000000000" w:firstRow="0" w:lastRow="0" w:firstColumn="0" w:lastColumn="0" w:oddVBand="0" w:evenVBand="0" w:oddHBand="0" w:evenHBand="0" w:firstRowFirstColumn="0" w:firstRowLastColumn="0" w:lastRowFirstColumn="0" w:lastRowLastColumn="0"/>
              <w:rPr>
                <w:rFonts w:ascii="Aptos" w:hAnsi="Aptos"/>
              </w:rPr>
            </w:pPr>
            <w:r>
              <w:rPr>
                <w:rFonts w:ascii="Aptos" w:hAnsi="Aptos"/>
              </w:rPr>
              <w:t xml:space="preserve">A whole-of-organisation approach is a central principle of this </w:t>
            </w:r>
            <w:r w:rsidR="008743F1">
              <w:rPr>
                <w:rFonts w:ascii="Aptos" w:hAnsi="Aptos"/>
              </w:rPr>
              <w:t>National Code</w:t>
            </w:r>
            <w:r>
              <w:rPr>
                <w:rFonts w:ascii="Aptos" w:hAnsi="Aptos"/>
              </w:rPr>
              <w:t>, with</w:t>
            </w:r>
            <w:r w:rsidRPr="21FE8946">
              <w:rPr>
                <w:rFonts w:ascii="Aptos" w:hAnsi="Aptos"/>
              </w:rPr>
              <w:t xml:space="preserve"> </w:t>
            </w:r>
            <w:r>
              <w:rPr>
                <w:rFonts w:ascii="Aptos" w:hAnsi="Aptos"/>
              </w:rPr>
              <w:t xml:space="preserve">comprehensive obligations for governance, planning, implementation, evaluation, with accountability with the compliance held through the VC, CEO or equivalent. A provider must embed this approach across all operations.  </w:t>
            </w:r>
          </w:p>
        </w:tc>
      </w:tr>
      <w:tr w:rsidR="00C410B8" w14:paraId="28F9C206" w14:textId="77777777" w:rsidTr="002F7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31B9F71" w14:textId="77777777" w:rsidR="00221DFF" w:rsidRPr="00C96503" w:rsidRDefault="00221DFF" w:rsidP="00F96B94">
            <w:pPr>
              <w:spacing w:before="120" w:after="120"/>
              <w:rPr>
                <w:rFonts w:ascii="Aptos" w:hAnsi="Aptos"/>
                <w:b w:val="0"/>
                <w:bCs w:val="0"/>
              </w:rPr>
            </w:pPr>
            <w:r w:rsidRPr="00BD3C64">
              <w:rPr>
                <w:rFonts w:ascii="Aptos" w:hAnsi="Aptos"/>
                <w:b w:val="0"/>
                <w:bCs w:val="0"/>
              </w:rPr>
              <w:t>Insufficient data availability hinders understanding and limits accountability</w:t>
            </w:r>
          </w:p>
        </w:tc>
        <w:tc>
          <w:tcPr>
            <w:tcW w:w="6095" w:type="dxa"/>
          </w:tcPr>
          <w:p w14:paraId="65C09AA6" w14:textId="6936A986" w:rsidR="00221DFF" w:rsidRPr="004724EC" w:rsidRDefault="00221DFF" w:rsidP="00F96B94">
            <w:pPr>
              <w:spacing w:before="120" w:after="120"/>
              <w:cnfStyle w:val="000000100000" w:firstRow="0" w:lastRow="0" w:firstColumn="0" w:lastColumn="0" w:oddVBand="0" w:evenVBand="0" w:oddHBand="1" w:evenHBand="0" w:firstRowFirstColumn="0" w:firstRowLastColumn="0" w:lastRowFirstColumn="0" w:lastRowLastColumn="0"/>
              <w:rPr>
                <w:rFonts w:ascii="Aptos" w:hAnsi="Aptos"/>
              </w:rPr>
            </w:pPr>
            <w:r>
              <w:rPr>
                <w:rFonts w:ascii="Aptos" w:hAnsi="Aptos"/>
              </w:rPr>
              <w:t xml:space="preserve">The </w:t>
            </w:r>
            <w:r w:rsidR="008743F1">
              <w:rPr>
                <w:rFonts w:ascii="Aptos" w:hAnsi="Aptos"/>
              </w:rPr>
              <w:t>National Code</w:t>
            </w:r>
            <w:r>
              <w:rPr>
                <w:rFonts w:ascii="Aptos" w:hAnsi="Aptos"/>
              </w:rPr>
              <w:t xml:space="preserve"> requires comprehensive data collection and annual reporting to the department on </w:t>
            </w:r>
            <w:r w:rsidR="00B7771B">
              <w:rPr>
                <w:rFonts w:ascii="Aptos" w:hAnsi="Aptos"/>
              </w:rPr>
              <w:t>GBV</w:t>
            </w:r>
            <w:r>
              <w:rPr>
                <w:rFonts w:ascii="Aptos" w:hAnsi="Aptos"/>
              </w:rPr>
              <w:t xml:space="preserve">. This improves data availability and keep providers </w:t>
            </w:r>
            <w:r w:rsidRPr="4088A799">
              <w:rPr>
                <w:rFonts w:ascii="Aptos" w:hAnsi="Aptos"/>
              </w:rPr>
              <w:t>transparent</w:t>
            </w:r>
            <w:r>
              <w:rPr>
                <w:rFonts w:ascii="Aptos" w:hAnsi="Aptos"/>
              </w:rPr>
              <w:t xml:space="preserve"> and accountable for their conduct. </w:t>
            </w:r>
          </w:p>
        </w:tc>
      </w:tr>
      <w:tr w:rsidR="00221DFF" w14:paraId="1314FB89" w14:textId="77777777" w:rsidTr="002F745C">
        <w:tc>
          <w:tcPr>
            <w:cnfStyle w:val="001000000000" w:firstRow="0" w:lastRow="0" w:firstColumn="1" w:lastColumn="0" w:oddVBand="0" w:evenVBand="0" w:oddHBand="0" w:evenHBand="0" w:firstRowFirstColumn="0" w:firstRowLastColumn="0" w:lastRowFirstColumn="0" w:lastRowLastColumn="0"/>
            <w:tcW w:w="2972" w:type="dxa"/>
          </w:tcPr>
          <w:p w14:paraId="1095335A" w14:textId="6E03BD93" w:rsidR="00221DFF" w:rsidRPr="00C96503" w:rsidRDefault="00221DFF" w:rsidP="00F96B94">
            <w:pPr>
              <w:spacing w:before="120" w:after="120"/>
              <w:rPr>
                <w:rFonts w:ascii="Aptos" w:hAnsi="Aptos"/>
                <w:b w:val="0"/>
                <w:bCs w:val="0"/>
              </w:rPr>
            </w:pPr>
            <w:r w:rsidRPr="00BD3C64">
              <w:rPr>
                <w:rFonts w:ascii="Aptos" w:hAnsi="Aptos"/>
                <w:b w:val="0"/>
                <w:bCs w:val="0"/>
              </w:rPr>
              <w:t xml:space="preserve">The current regulatory framework is limited in addressing </w:t>
            </w:r>
            <w:r w:rsidR="008223FC">
              <w:rPr>
                <w:rFonts w:ascii="Aptos" w:hAnsi="Aptos"/>
                <w:b w:val="0"/>
                <w:bCs w:val="0"/>
              </w:rPr>
              <w:t>GBV</w:t>
            </w:r>
            <w:r w:rsidRPr="00BD3C64">
              <w:rPr>
                <w:rFonts w:ascii="Aptos" w:hAnsi="Aptos"/>
                <w:b w:val="0"/>
                <w:bCs w:val="0"/>
              </w:rPr>
              <w:t>, posing ongoing safety risks</w:t>
            </w:r>
          </w:p>
        </w:tc>
        <w:tc>
          <w:tcPr>
            <w:tcW w:w="6095" w:type="dxa"/>
          </w:tcPr>
          <w:p w14:paraId="46DFCF00" w14:textId="4137B49B" w:rsidR="00221DFF" w:rsidRPr="004724EC" w:rsidRDefault="3D4CB69F" w:rsidP="00F96B94">
            <w:pPr>
              <w:spacing w:before="120" w:after="120"/>
              <w:cnfStyle w:val="000000000000" w:firstRow="0" w:lastRow="0" w:firstColumn="0" w:lastColumn="0" w:oddVBand="0" w:evenVBand="0" w:oddHBand="0" w:evenHBand="0" w:firstRowFirstColumn="0" w:firstRowLastColumn="0" w:lastRowFirstColumn="0" w:lastRowLastColumn="0"/>
              <w:rPr>
                <w:rFonts w:ascii="Aptos" w:hAnsi="Aptos"/>
              </w:rPr>
            </w:pPr>
            <w:r w:rsidRPr="184A0538">
              <w:rPr>
                <w:sz w:val="24"/>
                <w:szCs w:val="24"/>
              </w:rPr>
              <w:t>This option introduces a legally enforceable regulatory framework with strong powers. Ensures consistent standards across the sector and strengthens the regulatory environment to protect students and staff.</w:t>
            </w:r>
          </w:p>
        </w:tc>
      </w:tr>
    </w:tbl>
    <w:p w14:paraId="4CFFD91C" w14:textId="455A7555" w:rsidR="00221DFF" w:rsidRDefault="00221DFF" w:rsidP="00221DFF">
      <w:pPr>
        <w:pStyle w:val="Heading2"/>
      </w:pPr>
      <w:bookmarkStart w:id="118" w:name="_Toc204699873"/>
      <w:bookmarkStart w:id="119" w:name="_Toc204764889"/>
      <w:bookmarkStart w:id="120" w:name="_Toc210050239"/>
      <w:r>
        <w:t>Comparison of options</w:t>
      </w:r>
      <w:bookmarkEnd w:id="118"/>
      <w:bookmarkEnd w:id="119"/>
      <w:bookmarkEnd w:id="120"/>
    </w:p>
    <w:p w14:paraId="3584757F" w14:textId="7E23527C" w:rsidR="00C51D1C" w:rsidRDefault="00D33060" w:rsidP="00BB02AA">
      <w:r>
        <w:t xml:space="preserve">There </w:t>
      </w:r>
      <w:r w:rsidR="005A33B8">
        <w:t>are</w:t>
      </w:r>
      <w:r>
        <w:t xml:space="preserve"> overlapping requirements between options 2 and 3</w:t>
      </w:r>
      <w:r w:rsidR="000A0E10">
        <w:t xml:space="preserve">, with the level of duplication depending on the extent to which a HEP would implement a voluntary National Code. </w:t>
      </w:r>
      <w:r w:rsidR="0032664D">
        <w:t xml:space="preserve">Option 2 provides for a voluntary National Code that HEPs could adopt in its entirety, partially, or change their </w:t>
      </w:r>
      <w:r w:rsidR="002736B1">
        <w:t xml:space="preserve">commitment over time. If under Option 2 </w:t>
      </w:r>
      <w:r w:rsidR="00A84889">
        <w:t xml:space="preserve">a HEP </w:t>
      </w:r>
      <w:r w:rsidR="002736B1">
        <w:t xml:space="preserve">committed to voluntarily complying with </w:t>
      </w:r>
      <w:r w:rsidR="004B7B63">
        <w:t>the National Code in its entirety, they would have the same requirements as</w:t>
      </w:r>
      <w:r w:rsidR="009C7857">
        <w:t xml:space="preserve"> a HEP</w:t>
      </w:r>
      <w:r w:rsidR="004B7B63">
        <w:t xml:space="preserve"> under Option 3</w:t>
      </w:r>
      <w:r w:rsidR="00382955">
        <w:t>. The distinction is</w:t>
      </w:r>
      <w:r w:rsidR="009C7857">
        <w:t xml:space="preserve"> </w:t>
      </w:r>
      <w:r w:rsidR="00113B66">
        <w:t>that in</w:t>
      </w:r>
      <w:r w:rsidR="00382955">
        <w:t xml:space="preserve"> option 2 they would </w:t>
      </w:r>
      <w:r w:rsidR="009C7857">
        <w:t xml:space="preserve">be </w:t>
      </w:r>
      <w:r w:rsidR="00382955">
        <w:t xml:space="preserve">implementing </w:t>
      </w:r>
      <w:r w:rsidR="00DC3699">
        <w:t>this</w:t>
      </w:r>
      <w:r w:rsidR="00382955">
        <w:t xml:space="preserve"> voluntarily</w:t>
      </w:r>
      <w:r w:rsidR="00113B66">
        <w:t xml:space="preserve"> without any enforcement mechanisms</w:t>
      </w:r>
      <w:r w:rsidR="00382955">
        <w:t xml:space="preserve">, and </w:t>
      </w:r>
      <w:r w:rsidR="009C7857">
        <w:t xml:space="preserve">in </w:t>
      </w:r>
      <w:r w:rsidR="00382955">
        <w:t xml:space="preserve">option 3 </w:t>
      </w:r>
      <w:r w:rsidR="00E918AB">
        <w:t>implementation would be mandatory</w:t>
      </w:r>
      <w:r w:rsidR="00113B66">
        <w:t xml:space="preserve"> and monitored.</w:t>
      </w:r>
      <w:r w:rsidR="00E918AB">
        <w:t xml:space="preserve"> </w:t>
      </w:r>
      <w:r w:rsidR="00DC3699">
        <w:t>It is un</w:t>
      </w:r>
      <w:r w:rsidR="00435304">
        <w:t>likely that HEPs would fully implement a voluntary National Code</w:t>
      </w:r>
      <w:r w:rsidR="00C60E13">
        <w:t xml:space="preserve"> (as discussed in Chapter 1</w:t>
      </w:r>
      <w:r w:rsidR="003C0F89">
        <w:t>.6</w:t>
      </w:r>
      <w:r w:rsidR="00C60E13">
        <w:t xml:space="preserve"> in relation to</w:t>
      </w:r>
      <w:r w:rsidR="003C0F89">
        <w:t xml:space="preserve"> other</w:t>
      </w:r>
      <w:r w:rsidR="00C60E13">
        <w:t xml:space="preserve"> voluntary frameworks)</w:t>
      </w:r>
      <w:r w:rsidR="00643551">
        <w:t>. It is</w:t>
      </w:r>
      <w:r w:rsidR="00435304">
        <w:t xml:space="preserve"> more likely that option 2 would result in </w:t>
      </w:r>
      <w:r w:rsidR="001C419E">
        <w:t>partial compliance with a voluntary National Code</w:t>
      </w:r>
      <w:r w:rsidR="00810BA3">
        <w:t xml:space="preserve">. </w:t>
      </w:r>
      <w:r w:rsidR="001C419E">
        <w:t xml:space="preserve">Without </w:t>
      </w:r>
      <w:r w:rsidR="00810BA3">
        <w:t>enforcement</w:t>
      </w:r>
      <w:r w:rsidR="001C419E">
        <w:t xml:space="preserve"> mechanisms and clear compliance commencement dates</w:t>
      </w:r>
      <w:r w:rsidR="005A33B8">
        <w:t xml:space="preserve">, it is likely option 2 would </w:t>
      </w:r>
      <w:r w:rsidR="00F435AF">
        <w:t>result in HEPs inconsistently implementing parts of a voluntary National Code, meaning that the overlap</w:t>
      </w:r>
      <w:r w:rsidR="00553CD8">
        <w:t xml:space="preserve"> of requirements</w:t>
      </w:r>
      <w:r w:rsidR="00F435AF">
        <w:t xml:space="preserve"> between option 2 and option 3 </w:t>
      </w:r>
      <w:r w:rsidR="00C51D1C">
        <w:t xml:space="preserve">decreases, based on the extent a HEP </w:t>
      </w:r>
      <w:r w:rsidR="00202B20">
        <w:t xml:space="preserve">voluntarily </w:t>
      </w:r>
      <w:r w:rsidR="00C51D1C">
        <w:t>choose</w:t>
      </w:r>
      <w:r w:rsidR="00202B20">
        <w:t>s</w:t>
      </w:r>
      <w:r w:rsidR="00C51D1C">
        <w:t xml:space="preserve"> to comply in option 2. </w:t>
      </w:r>
    </w:p>
    <w:p w14:paraId="59A93D84" w14:textId="32A4A6D9" w:rsidR="000F0D49" w:rsidRPr="00EF7D4E" w:rsidRDefault="000F0D49" w:rsidP="000F0D49">
      <w:pPr>
        <w:rPr>
          <w:szCs w:val="22"/>
        </w:rPr>
      </w:pPr>
      <w:r w:rsidRPr="00EF7D4E">
        <w:rPr>
          <w:szCs w:val="22"/>
        </w:rPr>
        <w:t xml:space="preserve">The following table provides a comparative overview of each key features across the three policy options under consideration. The comparison highlights how each option addresses </w:t>
      </w:r>
      <w:r w:rsidRPr="00EF7D4E">
        <w:rPr>
          <w:szCs w:val="22"/>
        </w:rPr>
        <w:lastRenderedPageBreak/>
        <w:t xml:space="preserve">critical domains to </w:t>
      </w:r>
      <w:r w:rsidR="00186116" w:rsidRPr="00EF7D4E">
        <w:rPr>
          <w:szCs w:val="22"/>
        </w:rPr>
        <w:t xml:space="preserve">support informed assessment of </w:t>
      </w:r>
      <w:r w:rsidR="00A07169" w:rsidRPr="00EF7D4E">
        <w:rPr>
          <w:szCs w:val="22"/>
        </w:rPr>
        <w:t xml:space="preserve">how each option addresses the problem and their potential to drive change in preventing </w:t>
      </w:r>
      <w:r w:rsidR="00EF7D4E">
        <w:rPr>
          <w:szCs w:val="22"/>
        </w:rPr>
        <w:t xml:space="preserve">and </w:t>
      </w:r>
      <w:r w:rsidR="00A07169" w:rsidRPr="00EF7D4E">
        <w:rPr>
          <w:szCs w:val="22"/>
        </w:rPr>
        <w:t xml:space="preserve">responding to </w:t>
      </w:r>
      <w:r w:rsidR="00B7771B" w:rsidRPr="00EF7D4E">
        <w:rPr>
          <w:szCs w:val="22"/>
        </w:rPr>
        <w:t>GBV</w:t>
      </w:r>
      <w:r w:rsidR="00A07169" w:rsidRPr="00EF7D4E">
        <w:rPr>
          <w:szCs w:val="22"/>
        </w:rPr>
        <w:t xml:space="preserve"> in higher education. </w:t>
      </w:r>
    </w:p>
    <w:tbl>
      <w:tblPr>
        <w:tblStyle w:val="GridTable4-Accent1"/>
        <w:tblW w:w="9067" w:type="dxa"/>
        <w:tblLook w:val="04A0" w:firstRow="1" w:lastRow="0" w:firstColumn="1" w:lastColumn="0" w:noHBand="0" w:noVBand="1"/>
      </w:tblPr>
      <w:tblGrid>
        <w:gridCol w:w="1696"/>
        <w:gridCol w:w="3544"/>
        <w:gridCol w:w="3827"/>
      </w:tblGrid>
      <w:tr w:rsidR="003912B0" w14:paraId="477444B1" w14:textId="77777777" w:rsidTr="002F4F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96" w:type="dxa"/>
          </w:tcPr>
          <w:p w14:paraId="5E5B4625" w14:textId="77777777" w:rsidR="002F745C" w:rsidRPr="001F64DA" w:rsidRDefault="002F745C">
            <w:pPr>
              <w:rPr>
                <w:rFonts w:ascii="Aptos" w:eastAsia="Aptos" w:hAnsi="Aptos" w:cs="Calibri"/>
              </w:rPr>
            </w:pPr>
            <w:r w:rsidRPr="001F64DA">
              <w:rPr>
                <w:rFonts w:ascii="Aptos" w:eastAsia="Aptos" w:hAnsi="Aptos" w:cs="Calibri"/>
              </w:rPr>
              <w:t>Option 1</w:t>
            </w:r>
          </w:p>
        </w:tc>
        <w:tc>
          <w:tcPr>
            <w:tcW w:w="3544" w:type="dxa"/>
          </w:tcPr>
          <w:p w14:paraId="6E9EEBDB" w14:textId="77777777" w:rsidR="002F745C" w:rsidRPr="001F64DA" w:rsidRDefault="002F745C">
            <w:pPr>
              <w:cnfStyle w:val="100000000000" w:firstRow="1"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Option 2</w:t>
            </w:r>
          </w:p>
        </w:tc>
        <w:tc>
          <w:tcPr>
            <w:tcW w:w="3827" w:type="dxa"/>
          </w:tcPr>
          <w:p w14:paraId="61CB1868" w14:textId="77777777" w:rsidR="002F745C" w:rsidRPr="001F64DA" w:rsidRDefault="002F745C">
            <w:pPr>
              <w:cnfStyle w:val="100000000000" w:firstRow="1"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Option 3</w:t>
            </w:r>
          </w:p>
        </w:tc>
      </w:tr>
      <w:tr w:rsidR="001523D9" w14:paraId="7EA1894A" w14:textId="77777777" w:rsidTr="00E5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527C1E41" w14:textId="77777777" w:rsidR="002F745C" w:rsidRPr="001F64DA" w:rsidRDefault="002F745C">
            <w:pPr>
              <w:rPr>
                <w:rFonts w:ascii="Aptos" w:eastAsia="Aptos" w:hAnsi="Aptos" w:cs="Calibri"/>
              </w:rPr>
            </w:pPr>
            <w:r w:rsidRPr="001F64DA">
              <w:rPr>
                <w:rFonts w:ascii="Aptos" w:eastAsia="Aptos" w:hAnsi="Aptos" w:cs="Calibri"/>
              </w:rPr>
              <w:t xml:space="preserve">Leadership and Governance </w:t>
            </w:r>
          </w:p>
        </w:tc>
      </w:tr>
      <w:tr w:rsidR="002F745C" w14:paraId="5B6A52B3" w14:textId="77777777" w:rsidTr="00243940">
        <w:tc>
          <w:tcPr>
            <w:cnfStyle w:val="001000000000" w:firstRow="0" w:lastRow="0" w:firstColumn="1" w:lastColumn="0" w:oddVBand="0" w:evenVBand="0" w:oddHBand="0" w:evenHBand="0" w:firstRowFirstColumn="0" w:firstRowLastColumn="0" w:lastRowFirstColumn="0" w:lastRowLastColumn="0"/>
            <w:tcW w:w="1696" w:type="dxa"/>
          </w:tcPr>
          <w:p w14:paraId="161CC862" w14:textId="7CED00BA" w:rsidR="002F745C" w:rsidRPr="00992066" w:rsidRDefault="002F745C">
            <w:pPr>
              <w:rPr>
                <w:rFonts w:ascii="Aptos" w:eastAsia="Aptos" w:hAnsi="Aptos" w:cs="Calibri"/>
                <w:b w:val="0"/>
                <w:bCs w:val="0"/>
              </w:rPr>
            </w:pPr>
            <w:r w:rsidRPr="00992066">
              <w:rPr>
                <w:rFonts w:ascii="Aptos" w:eastAsia="Aptos" w:hAnsi="Aptos" w:cs="Calibri"/>
                <w:b w:val="0"/>
                <w:bCs w:val="0"/>
              </w:rPr>
              <w:t>No formal accountability mechanisms</w:t>
            </w:r>
            <w:r w:rsidR="00537D4F">
              <w:rPr>
                <w:rFonts w:ascii="Aptos" w:eastAsia="Aptos" w:hAnsi="Aptos" w:cs="Calibri"/>
                <w:b w:val="0"/>
                <w:bCs w:val="0"/>
              </w:rPr>
              <w:t>.</w:t>
            </w:r>
            <w:r w:rsidRPr="00992066">
              <w:rPr>
                <w:rFonts w:ascii="Aptos" w:eastAsia="Aptos" w:hAnsi="Aptos" w:cs="Calibri"/>
                <w:b w:val="0"/>
                <w:bCs w:val="0"/>
              </w:rPr>
              <w:t xml:space="preserve"> </w:t>
            </w:r>
          </w:p>
        </w:tc>
        <w:tc>
          <w:tcPr>
            <w:tcW w:w="3544" w:type="dxa"/>
          </w:tcPr>
          <w:p w14:paraId="69400BAD" w14:textId="187F1597"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Encourages VC/CEOs to champion preventing and responding to </w:t>
            </w:r>
            <w:r w:rsidR="00705803">
              <w:rPr>
                <w:rFonts w:ascii="Aptos" w:eastAsia="Aptos" w:hAnsi="Aptos" w:cs="Calibri"/>
              </w:rPr>
              <w:t>GBV</w:t>
            </w:r>
            <w:r w:rsidR="00705803" w:rsidRPr="001F64DA">
              <w:rPr>
                <w:rFonts w:ascii="Aptos" w:eastAsia="Aptos" w:hAnsi="Aptos" w:cs="Calibri"/>
              </w:rPr>
              <w:t xml:space="preserve"> and</w:t>
            </w:r>
            <w:r w:rsidR="56B452EE" w:rsidRPr="60B8873A">
              <w:rPr>
                <w:rFonts w:ascii="Aptos" w:eastAsia="Aptos" w:hAnsi="Aptos" w:cs="Calibri"/>
              </w:rPr>
              <w:t xml:space="preserve"> take </w:t>
            </w:r>
            <w:r w:rsidR="7CC7FC5F" w:rsidRPr="2E8C1484">
              <w:rPr>
                <w:rFonts w:ascii="Aptos" w:eastAsia="Aptos" w:hAnsi="Aptos" w:cs="Calibri"/>
              </w:rPr>
              <w:t>steps</w:t>
            </w:r>
            <w:r w:rsidRPr="001F64DA">
              <w:rPr>
                <w:rFonts w:ascii="Aptos" w:eastAsia="Aptos" w:hAnsi="Aptos" w:cs="Calibri"/>
              </w:rPr>
              <w:t xml:space="preserve"> to implementing a whole-of-organisation approach and action plan.</w:t>
            </w:r>
          </w:p>
        </w:tc>
        <w:tc>
          <w:tcPr>
            <w:tcW w:w="3827" w:type="dxa"/>
          </w:tcPr>
          <w:p w14:paraId="590CCEE7" w14:textId="42763E60"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VC/CEOs are held accountable for compliance with the </w:t>
            </w:r>
            <w:r w:rsidR="008743F1">
              <w:rPr>
                <w:rFonts w:ascii="Aptos" w:eastAsia="Aptos" w:hAnsi="Aptos" w:cs="Calibri"/>
              </w:rPr>
              <w:t>National Code</w:t>
            </w:r>
            <w:r w:rsidRPr="001F64DA">
              <w:rPr>
                <w:rFonts w:ascii="Aptos" w:eastAsia="Aptos" w:hAnsi="Aptos" w:cs="Calibri"/>
              </w:rPr>
              <w:t>, alongside a whole-of-organisation prevention and response plan, and internal</w:t>
            </w:r>
            <w:r w:rsidR="00992066">
              <w:rPr>
                <w:rFonts w:ascii="Aptos" w:eastAsia="Aptos" w:hAnsi="Aptos" w:cs="Calibri"/>
              </w:rPr>
              <w:t>/</w:t>
            </w:r>
            <w:r w:rsidRPr="001F64DA">
              <w:rPr>
                <w:rFonts w:ascii="Aptos" w:eastAsia="Aptos" w:hAnsi="Aptos" w:cs="Calibri"/>
              </w:rPr>
              <w:t xml:space="preserve">external reporting on progress. </w:t>
            </w:r>
          </w:p>
        </w:tc>
      </w:tr>
      <w:tr w:rsidR="001523D9" w14:paraId="539920FA" w14:textId="77777777" w:rsidTr="00E5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18F3949E" w14:textId="77777777" w:rsidR="002F745C" w:rsidRPr="001F64DA" w:rsidRDefault="002F745C">
            <w:pPr>
              <w:rPr>
                <w:rFonts w:ascii="Aptos" w:eastAsia="Aptos" w:hAnsi="Aptos" w:cs="Calibri"/>
              </w:rPr>
            </w:pPr>
            <w:r w:rsidRPr="001F64DA">
              <w:rPr>
                <w:rFonts w:ascii="Aptos" w:eastAsia="Aptos" w:hAnsi="Aptos" w:cs="Calibri"/>
              </w:rPr>
              <w:t xml:space="preserve">Safe Environments and Systems </w:t>
            </w:r>
          </w:p>
        </w:tc>
      </w:tr>
      <w:tr w:rsidR="002F745C" w14:paraId="3185CA63" w14:textId="77777777" w:rsidTr="00243940">
        <w:tc>
          <w:tcPr>
            <w:cnfStyle w:val="001000000000" w:firstRow="0" w:lastRow="0" w:firstColumn="1" w:lastColumn="0" w:oddVBand="0" w:evenVBand="0" w:oddHBand="0" w:evenHBand="0" w:firstRowFirstColumn="0" w:firstRowLastColumn="0" w:lastRowFirstColumn="0" w:lastRowLastColumn="0"/>
            <w:tcW w:w="1696" w:type="dxa"/>
          </w:tcPr>
          <w:p w14:paraId="3492FDC6" w14:textId="040CDFA9" w:rsidR="002F745C" w:rsidRPr="00992066" w:rsidRDefault="00037367">
            <w:pPr>
              <w:rPr>
                <w:rFonts w:ascii="Aptos" w:eastAsia="Aptos" w:hAnsi="Aptos" w:cs="Calibri"/>
                <w:b w:val="0"/>
                <w:bCs w:val="0"/>
              </w:rPr>
            </w:pPr>
            <w:r w:rsidRPr="00992066">
              <w:rPr>
                <w:rFonts w:ascii="Aptos" w:eastAsia="Aptos" w:hAnsi="Aptos" w:cs="Calibri"/>
                <w:b w:val="0"/>
                <w:bCs w:val="0"/>
              </w:rPr>
              <w:t>Other</w:t>
            </w:r>
            <w:r w:rsidR="00992066" w:rsidRPr="00992066">
              <w:rPr>
                <w:rFonts w:ascii="Aptos" w:eastAsia="Aptos" w:hAnsi="Aptos" w:cs="Calibri"/>
                <w:b w:val="0"/>
                <w:bCs w:val="0"/>
              </w:rPr>
              <w:t xml:space="preserve"> workplace obligations</w:t>
            </w:r>
            <w:r w:rsidR="00537D4F">
              <w:rPr>
                <w:rFonts w:ascii="Aptos" w:eastAsia="Aptos" w:hAnsi="Aptos" w:cs="Calibri"/>
                <w:b w:val="0"/>
                <w:bCs w:val="0"/>
              </w:rPr>
              <w:t>.</w:t>
            </w:r>
          </w:p>
        </w:tc>
        <w:tc>
          <w:tcPr>
            <w:tcW w:w="3544" w:type="dxa"/>
          </w:tcPr>
          <w:p w14:paraId="061E5E70" w14:textId="77777777"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Recommends trauma-informed practices, policies and improved safety planning and mechanisms. </w:t>
            </w:r>
          </w:p>
        </w:tc>
        <w:tc>
          <w:tcPr>
            <w:tcW w:w="3827" w:type="dxa"/>
          </w:tcPr>
          <w:p w14:paraId="5619A96E" w14:textId="64032F63"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Requires trauma-informed policies, strengthened employee checks and NDA restrictions</w:t>
            </w:r>
            <w:r w:rsidR="00537D4F">
              <w:rPr>
                <w:rFonts w:ascii="Aptos" w:eastAsia="Aptos" w:hAnsi="Aptos" w:cs="Calibri"/>
              </w:rPr>
              <w:t>.</w:t>
            </w:r>
          </w:p>
        </w:tc>
      </w:tr>
      <w:tr w:rsidR="001523D9" w14:paraId="6BE69A16" w14:textId="77777777" w:rsidTr="00E5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74B2013E" w14:textId="77777777" w:rsidR="002F745C" w:rsidRPr="001F64DA" w:rsidRDefault="002F745C">
            <w:pPr>
              <w:rPr>
                <w:rFonts w:ascii="Aptos" w:eastAsia="Aptos" w:hAnsi="Aptos" w:cs="Calibri"/>
              </w:rPr>
            </w:pPr>
            <w:r w:rsidRPr="001F64DA">
              <w:rPr>
                <w:rFonts w:ascii="Aptos" w:eastAsia="Aptos" w:hAnsi="Aptos" w:cs="Calibri"/>
              </w:rPr>
              <w:t xml:space="preserve">Knowledge and Capability </w:t>
            </w:r>
          </w:p>
        </w:tc>
      </w:tr>
      <w:tr w:rsidR="002F745C" w14:paraId="0498B07D" w14:textId="77777777" w:rsidTr="00243940">
        <w:tc>
          <w:tcPr>
            <w:cnfStyle w:val="001000000000" w:firstRow="0" w:lastRow="0" w:firstColumn="1" w:lastColumn="0" w:oddVBand="0" w:evenVBand="0" w:oddHBand="0" w:evenHBand="0" w:firstRowFirstColumn="0" w:firstRowLastColumn="0" w:lastRowFirstColumn="0" w:lastRowLastColumn="0"/>
            <w:tcW w:w="1696" w:type="dxa"/>
          </w:tcPr>
          <w:p w14:paraId="08B233DC" w14:textId="03F68D07" w:rsidR="002F745C" w:rsidRPr="008A29E4" w:rsidRDefault="002F745C">
            <w:pPr>
              <w:rPr>
                <w:rFonts w:ascii="Aptos" w:eastAsia="Aptos" w:hAnsi="Aptos" w:cs="Calibri"/>
                <w:b w:val="0"/>
                <w:bCs w:val="0"/>
              </w:rPr>
            </w:pPr>
            <w:r w:rsidRPr="008A29E4">
              <w:rPr>
                <w:rFonts w:ascii="Aptos" w:eastAsia="Aptos" w:hAnsi="Aptos" w:cs="Calibri"/>
                <w:b w:val="0"/>
                <w:bCs w:val="0"/>
              </w:rPr>
              <w:t>No sector-wide training requirements</w:t>
            </w:r>
            <w:r w:rsidR="00537D4F">
              <w:rPr>
                <w:rFonts w:ascii="Aptos" w:eastAsia="Aptos" w:hAnsi="Aptos" w:cs="Calibri"/>
                <w:b w:val="0"/>
                <w:bCs w:val="0"/>
              </w:rPr>
              <w:t>.</w:t>
            </w:r>
          </w:p>
        </w:tc>
        <w:tc>
          <w:tcPr>
            <w:tcW w:w="3544" w:type="dxa"/>
          </w:tcPr>
          <w:p w14:paraId="377C27C2" w14:textId="78B02E2B"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Recommends regular, </w:t>
            </w:r>
            <w:r w:rsidR="00C157ED">
              <w:rPr>
                <w:rFonts w:ascii="Aptos" w:eastAsia="Aptos" w:hAnsi="Aptos" w:cs="Calibri"/>
              </w:rPr>
              <w:t>c</w:t>
            </w:r>
            <w:r w:rsidR="008743F1">
              <w:rPr>
                <w:rFonts w:ascii="Aptos" w:eastAsia="Aptos" w:hAnsi="Aptos" w:cs="Calibri"/>
              </w:rPr>
              <w:t>ode</w:t>
            </w:r>
            <w:r w:rsidR="571AE71E" w:rsidRPr="03A40255">
              <w:rPr>
                <w:rFonts w:ascii="Aptos" w:eastAsia="Aptos" w:hAnsi="Aptos" w:cs="Calibri"/>
              </w:rPr>
              <w:t>signed</w:t>
            </w:r>
            <w:r w:rsidRPr="001F64DA">
              <w:rPr>
                <w:rFonts w:ascii="Aptos" w:eastAsia="Aptos" w:hAnsi="Aptos" w:cs="Calibri"/>
              </w:rPr>
              <w:t xml:space="preserve"> disclosure training and prevention education. </w:t>
            </w:r>
          </w:p>
        </w:tc>
        <w:tc>
          <w:tcPr>
            <w:tcW w:w="3827" w:type="dxa"/>
          </w:tcPr>
          <w:p w14:paraId="310E1718" w14:textId="451FC135"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Mandates evidence-based training for key groups such as leadership, staff, student leaders. Annual and onboarding training for all students. Requires relevant expertise for key roles. </w:t>
            </w:r>
          </w:p>
        </w:tc>
      </w:tr>
      <w:tr w:rsidR="001523D9" w14:paraId="47890793" w14:textId="77777777" w:rsidTr="00E5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70B76ACC" w14:textId="77777777" w:rsidR="002F745C" w:rsidRPr="001F64DA" w:rsidRDefault="002F745C">
            <w:pPr>
              <w:rPr>
                <w:rFonts w:ascii="Aptos" w:eastAsia="Aptos" w:hAnsi="Aptos" w:cs="Calibri"/>
              </w:rPr>
            </w:pPr>
            <w:r w:rsidRPr="001F64DA">
              <w:rPr>
                <w:rFonts w:ascii="Aptos" w:eastAsia="Aptos" w:hAnsi="Aptos" w:cs="Calibri"/>
              </w:rPr>
              <w:t>Safety and Support</w:t>
            </w:r>
          </w:p>
        </w:tc>
      </w:tr>
      <w:tr w:rsidR="002F745C" w14:paraId="7CE75F7B" w14:textId="77777777" w:rsidTr="00243940">
        <w:trPr>
          <w:trHeight w:val="1491"/>
        </w:trPr>
        <w:tc>
          <w:tcPr>
            <w:cnfStyle w:val="001000000000" w:firstRow="0" w:lastRow="0" w:firstColumn="1" w:lastColumn="0" w:oddVBand="0" w:evenVBand="0" w:oddHBand="0" w:evenHBand="0" w:firstRowFirstColumn="0" w:firstRowLastColumn="0" w:lastRowFirstColumn="0" w:lastRowLastColumn="0"/>
            <w:tcW w:w="1696" w:type="dxa"/>
          </w:tcPr>
          <w:p w14:paraId="6EF468CB" w14:textId="693DD3E3" w:rsidR="002F745C" w:rsidRPr="008A29E4" w:rsidRDefault="002F745C">
            <w:pPr>
              <w:rPr>
                <w:rFonts w:ascii="Aptos" w:eastAsia="Aptos" w:hAnsi="Aptos" w:cs="Calibri"/>
                <w:b w:val="0"/>
                <w:bCs w:val="0"/>
              </w:rPr>
            </w:pPr>
            <w:r w:rsidRPr="008A29E4">
              <w:rPr>
                <w:rFonts w:ascii="Aptos" w:eastAsia="Aptos" w:hAnsi="Aptos" w:cs="Calibri"/>
                <w:b w:val="0"/>
                <w:bCs w:val="0"/>
              </w:rPr>
              <w:t>No requirements, general threshold</w:t>
            </w:r>
            <w:r w:rsidR="00532649">
              <w:rPr>
                <w:rFonts w:ascii="Aptos" w:eastAsia="Aptos" w:hAnsi="Aptos" w:cs="Calibri"/>
                <w:b w:val="0"/>
                <w:bCs w:val="0"/>
              </w:rPr>
              <w:t xml:space="preserve"> standards</w:t>
            </w:r>
            <w:r w:rsidR="00537D4F">
              <w:rPr>
                <w:rFonts w:ascii="Aptos" w:eastAsia="Aptos" w:hAnsi="Aptos" w:cs="Calibri"/>
                <w:b w:val="0"/>
                <w:bCs w:val="0"/>
              </w:rPr>
              <w:t>.</w:t>
            </w:r>
          </w:p>
        </w:tc>
        <w:tc>
          <w:tcPr>
            <w:tcW w:w="3544" w:type="dxa"/>
          </w:tcPr>
          <w:p w14:paraId="31651E25" w14:textId="322F2B6D"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4021E3C7" w:rsidDel="7CC7FC5F">
              <w:rPr>
                <w:rFonts w:ascii="Aptos" w:eastAsia="Aptos" w:hAnsi="Aptos" w:cs="Calibri"/>
              </w:rPr>
              <w:t>Encourages</w:t>
            </w:r>
            <w:r w:rsidRPr="001F64DA">
              <w:rPr>
                <w:rFonts w:ascii="Aptos" w:eastAsia="Aptos" w:hAnsi="Aptos" w:cs="Calibri"/>
              </w:rPr>
              <w:t xml:space="preserve"> conducting risk assessments and providing support services when students and staff make disclosures/formal reports. </w:t>
            </w:r>
          </w:p>
        </w:tc>
        <w:tc>
          <w:tcPr>
            <w:tcW w:w="3827" w:type="dxa"/>
          </w:tcPr>
          <w:p w14:paraId="0F424896" w14:textId="77777777"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Requires support services, risk assessments and support plans to be provided and conducted after each disclosure/formal report. </w:t>
            </w:r>
          </w:p>
        </w:tc>
      </w:tr>
      <w:tr w:rsidR="001523D9" w14:paraId="5FD987EB" w14:textId="77777777" w:rsidTr="00E5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20225311" w14:textId="679C8B37" w:rsidR="00EF7D4E" w:rsidRPr="001F64DA" w:rsidRDefault="00EF7D4E">
            <w:pPr>
              <w:rPr>
                <w:rFonts w:ascii="Aptos" w:eastAsia="Aptos" w:hAnsi="Aptos" w:cs="Calibri"/>
              </w:rPr>
            </w:pPr>
            <w:r w:rsidRPr="001F64DA">
              <w:rPr>
                <w:rFonts w:ascii="Aptos" w:eastAsia="Aptos" w:hAnsi="Aptos" w:cs="Calibri"/>
              </w:rPr>
              <w:t>Safe Process</w:t>
            </w:r>
            <w:r>
              <w:rPr>
                <w:rFonts w:ascii="Aptos" w:eastAsia="Aptos" w:hAnsi="Aptos" w:cs="Calibri"/>
              </w:rPr>
              <w:t>es</w:t>
            </w:r>
          </w:p>
        </w:tc>
      </w:tr>
      <w:tr w:rsidR="002F745C" w14:paraId="2873D5E0" w14:textId="77777777" w:rsidTr="00243940">
        <w:tc>
          <w:tcPr>
            <w:cnfStyle w:val="001000000000" w:firstRow="0" w:lastRow="0" w:firstColumn="1" w:lastColumn="0" w:oddVBand="0" w:evenVBand="0" w:oddHBand="0" w:evenHBand="0" w:firstRowFirstColumn="0" w:firstRowLastColumn="0" w:lastRowFirstColumn="0" w:lastRowLastColumn="0"/>
            <w:tcW w:w="1696" w:type="dxa"/>
          </w:tcPr>
          <w:p w14:paraId="37402CEC" w14:textId="6BE3F9F1" w:rsidR="002F745C" w:rsidRPr="008A29E4" w:rsidRDefault="002F745C">
            <w:pPr>
              <w:rPr>
                <w:rFonts w:ascii="Aptos" w:eastAsia="Aptos" w:hAnsi="Aptos" w:cs="Calibri"/>
                <w:b w:val="0"/>
                <w:bCs w:val="0"/>
              </w:rPr>
            </w:pPr>
            <w:r w:rsidRPr="008A29E4">
              <w:rPr>
                <w:rFonts w:ascii="Aptos" w:eastAsia="Aptos" w:hAnsi="Aptos" w:cs="Calibri"/>
                <w:b w:val="0"/>
                <w:bCs w:val="0"/>
              </w:rPr>
              <w:t>No consistent procedures</w:t>
            </w:r>
            <w:r w:rsidR="00537D4F">
              <w:rPr>
                <w:rFonts w:ascii="Aptos" w:eastAsia="Aptos" w:hAnsi="Aptos" w:cs="Calibri"/>
                <w:b w:val="0"/>
                <w:bCs w:val="0"/>
              </w:rPr>
              <w:t>.</w:t>
            </w:r>
            <w:r w:rsidRPr="008A29E4">
              <w:rPr>
                <w:rFonts w:ascii="Aptos" w:eastAsia="Aptos" w:hAnsi="Aptos" w:cs="Calibri"/>
                <w:b w:val="0"/>
                <w:bCs w:val="0"/>
              </w:rPr>
              <w:t xml:space="preserve"> </w:t>
            </w:r>
          </w:p>
        </w:tc>
        <w:tc>
          <w:tcPr>
            <w:tcW w:w="3544" w:type="dxa"/>
          </w:tcPr>
          <w:p w14:paraId="34081873" w14:textId="77777777"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Recommends multiple pathways for managing disclosures, investigations and disciplinary processes, and aim for timely outcomes. </w:t>
            </w:r>
          </w:p>
        </w:tc>
        <w:tc>
          <w:tcPr>
            <w:tcW w:w="3827" w:type="dxa"/>
          </w:tcPr>
          <w:p w14:paraId="7E397136" w14:textId="77777777" w:rsidR="002F745C"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Requires HEPs to provide multiple pathways for managing disclosures, investigations and processes. Embeds procedural fairness and sets timeframes for processes to be completed. </w:t>
            </w:r>
          </w:p>
          <w:p w14:paraId="359ECEE4" w14:textId="4280E499" w:rsidR="00B173F8" w:rsidRPr="001F64DA" w:rsidRDefault="00B173F8">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p>
        </w:tc>
      </w:tr>
      <w:tr w:rsidR="001523D9" w14:paraId="0C360323" w14:textId="77777777" w:rsidTr="00E5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7EE0AC11" w14:textId="77777777" w:rsidR="002F745C" w:rsidRPr="001F64DA" w:rsidRDefault="002F745C">
            <w:pPr>
              <w:rPr>
                <w:rFonts w:ascii="Aptos" w:eastAsia="Aptos" w:hAnsi="Aptos" w:cs="Calibri"/>
              </w:rPr>
            </w:pPr>
            <w:r w:rsidRPr="001F64DA">
              <w:rPr>
                <w:rFonts w:ascii="Aptos" w:eastAsia="Aptos" w:hAnsi="Aptos" w:cs="Calibri"/>
              </w:rPr>
              <w:t>Data</w:t>
            </w:r>
          </w:p>
        </w:tc>
      </w:tr>
      <w:tr w:rsidR="002F745C" w14:paraId="5DC19943" w14:textId="77777777" w:rsidTr="00243940">
        <w:tc>
          <w:tcPr>
            <w:cnfStyle w:val="001000000000" w:firstRow="0" w:lastRow="0" w:firstColumn="1" w:lastColumn="0" w:oddVBand="0" w:evenVBand="0" w:oddHBand="0" w:evenHBand="0" w:firstRowFirstColumn="0" w:firstRowLastColumn="0" w:lastRowFirstColumn="0" w:lastRowLastColumn="0"/>
            <w:tcW w:w="1696" w:type="dxa"/>
          </w:tcPr>
          <w:p w14:paraId="0F230C0B" w14:textId="7990DC75" w:rsidR="002F745C" w:rsidRPr="008A29E4" w:rsidRDefault="002F745C">
            <w:pPr>
              <w:rPr>
                <w:rFonts w:ascii="Aptos" w:eastAsia="Aptos" w:hAnsi="Aptos" w:cs="Calibri"/>
                <w:b w:val="0"/>
                <w:bCs w:val="0"/>
              </w:rPr>
            </w:pPr>
            <w:r w:rsidRPr="008A29E4">
              <w:rPr>
                <w:rFonts w:ascii="Aptos" w:eastAsia="Aptos" w:hAnsi="Aptos" w:cs="Calibri"/>
                <w:b w:val="0"/>
                <w:bCs w:val="0"/>
              </w:rPr>
              <w:t>No mandatory data collection</w:t>
            </w:r>
            <w:r w:rsidR="00537D4F">
              <w:rPr>
                <w:rFonts w:ascii="Aptos" w:eastAsia="Aptos" w:hAnsi="Aptos" w:cs="Calibri"/>
                <w:b w:val="0"/>
                <w:bCs w:val="0"/>
              </w:rPr>
              <w:t>.</w:t>
            </w:r>
          </w:p>
        </w:tc>
        <w:tc>
          <w:tcPr>
            <w:tcW w:w="3544" w:type="dxa"/>
          </w:tcPr>
          <w:p w14:paraId="4E91A98F" w14:textId="6DC0CCF3"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Recommends providers be transparent with data collection and aim for a sector-specific data base. </w:t>
            </w:r>
          </w:p>
        </w:tc>
        <w:tc>
          <w:tcPr>
            <w:tcW w:w="3827" w:type="dxa"/>
          </w:tcPr>
          <w:p w14:paraId="4522A931" w14:textId="77777777"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Requires comprehensive annual reporting and contributes to the n</w:t>
            </w:r>
            <w:r w:rsidR="008A29E4">
              <w:rPr>
                <w:rFonts w:ascii="Aptos" w:eastAsia="Aptos" w:hAnsi="Aptos" w:cs="Calibri"/>
              </w:rPr>
              <w:t xml:space="preserve">ational </w:t>
            </w:r>
            <w:r w:rsidRPr="001F64DA">
              <w:rPr>
                <w:rFonts w:ascii="Aptos" w:eastAsia="Aptos" w:hAnsi="Aptos" w:cs="Calibri"/>
              </w:rPr>
              <w:t xml:space="preserve">evidence base. </w:t>
            </w:r>
          </w:p>
        </w:tc>
      </w:tr>
      <w:tr w:rsidR="001523D9" w14:paraId="0B0761D1" w14:textId="77777777" w:rsidTr="00E5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67217EB9" w14:textId="77777777" w:rsidR="002F745C" w:rsidRPr="001F64DA" w:rsidRDefault="002F745C">
            <w:pPr>
              <w:rPr>
                <w:rFonts w:ascii="Aptos" w:eastAsia="Aptos" w:hAnsi="Aptos" w:cs="Calibri"/>
              </w:rPr>
            </w:pPr>
            <w:r w:rsidRPr="001F64DA">
              <w:rPr>
                <w:rFonts w:ascii="Aptos" w:eastAsia="Aptos" w:hAnsi="Aptos" w:cs="Calibri"/>
              </w:rPr>
              <w:t xml:space="preserve">Student Accommodation </w:t>
            </w:r>
          </w:p>
        </w:tc>
      </w:tr>
      <w:tr w:rsidR="002F745C" w14:paraId="652A43BD" w14:textId="77777777" w:rsidTr="00243940">
        <w:tc>
          <w:tcPr>
            <w:cnfStyle w:val="001000000000" w:firstRow="0" w:lastRow="0" w:firstColumn="1" w:lastColumn="0" w:oddVBand="0" w:evenVBand="0" w:oddHBand="0" w:evenHBand="0" w:firstRowFirstColumn="0" w:firstRowLastColumn="0" w:lastRowFirstColumn="0" w:lastRowLastColumn="0"/>
            <w:tcW w:w="1696" w:type="dxa"/>
          </w:tcPr>
          <w:p w14:paraId="354043E7" w14:textId="45665D07" w:rsidR="002F745C" w:rsidRPr="008A29E4" w:rsidRDefault="002F745C">
            <w:pPr>
              <w:rPr>
                <w:rFonts w:ascii="Aptos" w:eastAsia="Aptos" w:hAnsi="Aptos" w:cs="Calibri"/>
                <w:b w:val="0"/>
                <w:bCs w:val="0"/>
              </w:rPr>
            </w:pPr>
            <w:r w:rsidRPr="008A29E4">
              <w:rPr>
                <w:rFonts w:ascii="Aptos" w:eastAsia="Aptos" w:hAnsi="Aptos" w:cs="Calibri"/>
                <w:b w:val="0"/>
                <w:bCs w:val="0"/>
              </w:rPr>
              <w:t>Not consistently addressed</w:t>
            </w:r>
            <w:r w:rsidR="00537D4F">
              <w:rPr>
                <w:rFonts w:ascii="Aptos" w:eastAsia="Aptos" w:hAnsi="Aptos" w:cs="Calibri"/>
                <w:b w:val="0"/>
                <w:bCs w:val="0"/>
              </w:rPr>
              <w:t>.</w:t>
            </w:r>
          </w:p>
        </w:tc>
        <w:tc>
          <w:tcPr>
            <w:tcW w:w="3544" w:type="dxa"/>
          </w:tcPr>
          <w:p w14:paraId="7D79B880" w14:textId="77777777"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Encourages providers to consider the unique environment of residential settings and risk factors associated. </w:t>
            </w:r>
          </w:p>
        </w:tc>
        <w:tc>
          <w:tcPr>
            <w:tcW w:w="3827" w:type="dxa"/>
          </w:tcPr>
          <w:p w14:paraId="41A8008F" w14:textId="77777777"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Dedicates an entire standard to student accommodation specific contexts and compels HEPs to enter binding agreements for affiliated providers. </w:t>
            </w:r>
          </w:p>
        </w:tc>
      </w:tr>
      <w:tr w:rsidR="001523D9" w14:paraId="39E2B661" w14:textId="77777777" w:rsidTr="00E5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Pr>
          <w:p w14:paraId="2175A90A" w14:textId="77777777" w:rsidR="002F745C" w:rsidRPr="001F64DA" w:rsidRDefault="002F745C">
            <w:pPr>
              <w:rPr>
                <w:rFonts w:ascii="Aptos" w:eastAsia="Aptos" w:hAnsi="Aptos" w:cs="Calibri"/>
              </w:rPr>
            </w:pPr>
            <w:r w:rsidRPr="001F64DA">
              <w:rPr>
                <w:rFonts w:ascii="Aptos" w:eastAsia="Aptos" w:hAnsi="Aptos" w:cs="Calibri"/>
              </w:rPr>
              <w:t xml:space="preserve">Regulatory framework </w:t>
            </w:r>
          </w:p>
        </w:tc>
      </w:tr>
      <w:tr w:rsidR="002F745C" w14:paraId="34D9A2A2" w14:textId="77777777" w:rsidTr="00243940">
        <w:trPr>
          <w:trHeight w:val="923"/>
        </w:trPr>
        <w:tc>
          <w:tcPr>
            <w:cnfStyle w:val="001000000000" w:firstRow="0" w:lastRow="0" w:firstColumn="1" w:lastColumn="0" w:oddVBand="0" w:evenVBand="0" w:oddHBand="0" w:evenHBand="0" w:firstRowFirstColumn="0" w:firstRowLastColumn="0" w:lastRowFirstColumn="0" w:lastRowLastColumn="0"/>
            <w:tcW w:w="1696" w:type="dxa"/>
          </w:tcPr>
          <w:p w14:paraId="57604E77" w14:textId="197AA042" w:rsidR="00EF7D4E" w:rsidRPr="008A29E4" w:rsidRDefault="002F745C">
            <w:pPr>
              <w:rPr>
                <w:rFonts w:ascii="Aptos" w:eastAsia="Aptos" w:hAnsi="Aptos" w:cs="Calibri"/>
                <w:b w:val="0"/>
                <w:bCs w:val="0"/>
              </w:rPr>
            </w:pPr>
            <w:r w:rsidRPr="008A29E4">
              <w:rPr>
                <w:rFonts w:ascii="Aptos" w:eastAsia="Aptos" w:hAnsi="Aptos" w:cs="Calibri"/>
                <w:b w:val="0"/>
                <w:bCs w:val="0"/>
              </w:rPr>
              <w:t>Othe</w:t>
            </w:r>
            <w:r w:rsidR="00EF7D4E" w:rsidRPr="008A29E4">
              <w:rPr>
                <w:rFonts w:ascii="Aptos" w:eastAsia="Aptos" w:hAnsi="Aptos" w:cs="Calibri"/>
                <w:b w:val="0"/>
                <w:bCs w:val="0"/>
              </w:rPr>
              <w:t>r</w:t>
            </w:r>
          </w:p>
          <w:p w14:paraId="497B8799" w14:textId="633D3D5B" w:rsidR="002F745C" w:rsidRPr="001F64DA" w:rsidRDefault="00EF7D4E">
            <w:pPr>
              <w:rPr>
                <w:rFonts w:ascii="Aptos" w:eastAsia="Aptos" w:hAnsi="Aptos" w:cs="Calibri"/>
                <w:b w:val="0"/>
                <w:bCs w:val="0"/>
              </w:rPr>
            </w:pPr>
            <w:r w:rsidRPr="008A29E4">
              <w:rPr>
                <w:rFonts w:ascii="Aptos" w:eastAsia="Aptos" w:hAnsi="Aptos" w:cs="Calibri"/>
                <w:b w:val="0"/>
                <w:bCs w:val="0"/>
              </w:rPr>
              <w:t>Regulatory frameworks</w:t>
            </w:r>
            <w:r w:rsidR="00705803">
              <w:rPr>
                <w:rFonts w:ascii="Aptos" w:eastAsia="Aptos" w:hAnsi="Aptos" w:cs="Calibri"/>
              </w:rPr>
              <w:t>.</w:t>
            </w:r>
          </w:p>
        </w:tc>
        <w:tc>
          <w:tcPr>
            <w:tcW w:w="3544" w:type="dxa"/>
          </w:tcPr>
          <w:p w14:paraId="230DC2B0" w14:textId="4905EAA0"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Non-binding, relies on sector goodwill and education and guidance from the </w:t>
            </w:r>
            <w:r w:rsidR="008223FC">
              <w:rPr>
                <w:rFonts w:ascii="Aptos" w:eastAsia="Aptos" w:hAnsi="Aptos" w:cs="Calibri"/>
              </w:rPr>
              <w:t>GBV</w:t>
            </w:r>
            <w:r w:rsidR="00572B67">
              <w:rPr>
                <w:rFonts w:ascii="Aptos" w:eastAsia="Aptos" w:hAnsi="Aptos" w:cs="Calibri"/>
              </w:rPr>
              <w:t xml:space="preserve"> branch</w:t>
            </w:r>
            <w:r w:rsidRPr="001F64DA">
              <w:rPr>
                <w:rFonts w:ascii="Aptos" w:eastAsia="Aptos" w:hAnsi="Aptos" w:cs="Calibri"/>
              </w:rPr>
              <w:t xml:space="preserve"> </w:t>
            </w:r>
          </w:p>
        </w:tc>
        <w:tc>
          <w:tcPr>
            <w:tcW w:w="3827" w:type="dxa"/>
          </w:tcPr>
          <w:p w14:paraId="61F2A610" w14:textId="3ABAFA57" w:rsidR="002F745C" w:rsidRPr="001F64DA" w:rsidRDefault="002F745C">
            <w:pPr>
              <w:cnfStyle w:val="000000000000" w:firstRow="0" w:lastRow="0" w:firstColumn="0" w:lastColumn="0" w:oddVBand="0" w:evenVBand="0" w:oddHBand="0" w:evenHBand="0" w:firstRowFirstColumn="0" w:firstRowLastColumn="0" w:lastRowFirstColumn="0" w:lastRowLastColumn="0"/>
              <w:rPr>
                <w:rFonts w:ascii="Aptos" w:eastAsia="Aptos" w:hAnsi="Aptos" w:cs="Calibri"/>
              </w:rPr>
            </w:pPr>
            <w:r w:rsidRPr="001F64DA">
              <w:rPr>
                <w:rFonts w:ascii="Aptos" w:eastAsia="Aptos" w:hAnsi="Aptos" w:cs="Calibri"/>
              </w:rPr>
              <w:t xml:space="preserve">Legally enforceable framework with penalties and oversight of a dedicated </w:t>
            </w:r>
            <w:r w:rsidR="00044442">
              <w:rPr>
                <w:rFonts w:ascii="Aptos" w:eastAsia="Aptos" w:hAnsi="Aptos" w:cs="Calibri"/>
              </w:rPr>
              <w:t>s</w:t>
            </w:r>
            <w:r w:rsidR="00FF2C64">
              <w:rPr>
                <w:rFonts w:ascii="Aptos" w:eastAsia="Aptos" w:hAnsi="Aptos" w:cs="Calibri"/>
              </w:rPr>
              <w:t>pecialist GBV Reform Branch</w:t>
            </w:r>
            <w:r w:rsidR="00705803">
              <w:rPr>
                <w:rFonts w:ascii="Aptos" w:eastAsia="Aptos" w:hAnsi="Aptos" w:cs="Calibri"/>
              </w:rPr>
              <w:t>.</w:t>
            </w:r>
          </w:p>
        </w:tc>
      </w:tr>
    </w:tbl>
    <w:p w14:paraId="6AA78D28" w14:textId="77777777" w:rsidR="005B519F" w:rsidRDefault="005B519F">
      <w:pPr>
        <w:rPr>
          <w:rFonts w:asciiTheme="majorHAnsi" w:eastAsiaTheme="majorEastAsia" w:hAnsiTheme="majorHAnsi" w:cstheme="majorBidi"/>
          <w:b/>
          <w:bCs/>
          <w:color w:val="0F4761" w:themeColor="accent1" w:themeShade="BF"/>
          <w:sz w:val="40"/>
          <w:szCs w:val="40"/>
        </w:rPr>
      </w:pPr>
      <w:bookmarkStart w:id="121" w:name="_Toc204763043"/>
      <w:bookmarkStart w:id="122" w:name="_Toc204699874"/>
      <w:bookmarkEnd w:id="121"/>
      <w:r>
        <w:rPr>
          <w:b/>
          <w:bCs/>
        </w:rPr>
        <w:lastRenderedPageBreak/>
        <w:br w:type="page"/>
      </w:r>
    </w:p>
    <w:p w14:paraId="502F1405" w14:textId="3222A916" w:rsidR="002F745C" w:rsidRPr="006B296A" w:rsidRDefault="00257ABD" w:rsidP="006B296A">
      <w:pPr>
        <w:pStyle w:val="Heading1"/>
        <w:rPr>
          <w:b/>
          <w:bCs/>
        </w:rPr>
      </w:pPr>
      <w:bookmarkStart w:id="123" w:name="_Toc210050240"/>
      <w:r w:rsidRPr="006B296A">
        <w:rPr>
          <w:b/>
          <w:bCs/>
        </w:rPr>
        <w:lastRenderedPageBreak/>
        <w:t>Chapter 4</w:t>
      </w:r>
      <w:r w:rsidR="00FB4F62" w:rsidRPr="006B296A">
        <w:rPr>
          <w:b/>
          <w:bCs/>
        </w:rPr>
        <w:t xml:space="preserve">: </w:t>
      </w:r>
      <w:r w:rsidR="00E6273A">
        <w:rPr>
          <w:b/>
          <w:bCs/>
        </w:rPr>
        <w:t>W</w:t>
      </w:r>
      <w:r w:rsidR="00FB4F62" w:rsidRPr="006B296A">
        <w:rPr>
          <w:b/>
          <w:bCs/>
        </w:rPr>
        <w:t>hat is the likely n</w:t>
      </w:r>
      <w:r w:rsidR="00943505" w:rsidRPr="006B296A">
        <w:rPr>
          <w:b/>
          <w:bCs/>
        </w:rPr>
        <w:t>et benefit of each option</w:t>
      </w:r>
      <w:r w:rsidR="007D7485" w:rsidRPr="006B296A">
        <w:rPr>
          <w:b/>
          <w:bCs/>
        </w:rPr>
        <w:t>?</w:t>
      </w:r>
      <w:bookmarkEnd w:id="122"/>
      <w:bookmarkEnd w:id="123"/>
    </w:p>
    <w:p w14:paraId="3545EBFF" w14:textId="0604ECAD" w:rsidR="007D7485" w:rsidRPr="00F32261" w:rsidRDefault="007D7485" w:rsidP="00DD4830">
      <w:pPr>
        <w:spacing w:line="276" w:lineRule="auto"/>
        <w:rPr>
          <w:szCs w:val="22"/>
        </w:rPr>
      </w:pPr>
      <w:r w:rsidRPr="00F32261">
        <w:rPr>
          <w:szCs w:val="22"/>
        </w:rPr>
        <w:t>The IA addresses two key questions:</w:t>
      </w:r>
    </w:p>
    <w:p w14:paraId="567B53AD" w14:textId="77777777" w:rsidR="007D7485" w:rsidRPr="00F32261" w:rsidRDefault="007D7485" w:rsidP="00F32261">
      <w:pPr>
        <w:numPr>
          <w:ilvl w:val="0"/>
          <w:numId w:val="132"/>
        </w:numPr>
        <w:spacing w:after="0" w:line="276" w:lineRule="auto"/>
        <w:rPr>
          <w:szCs w:val="22"/>
        </w:rPr>
      </w:pPr>
      <w:r w:rsidRPr="00F32261">
        <w:rPr>
          <w:szCs w:val="22"/>
        </w:rPr>
        <w:t>Will a policy intervention meaningfully improve outcomes, or will its costs outweigh the benefits?</w:t>
      </w:r>
    </w:p>
    <w:p w14:paraId="0B82A462" w14:textId="3B21B596" w:rsidR="008B6D7D" w:rsidRPr="006B296A" w:rsidRDefault="007D7485" w:rsidP="00DD4830">
      <w:pPr>
        <w:numPr>
          <w:ilvl w:val="0"/>
          <w:numId w:val="132"/>
        </w:numPr>
        <w:spacing w:line="276" w:lineRule="auto"/>
        <w:rPr>
          <w:szCs w:val="22"/>
        </w:rPr>
      </w:pPr>
      <w:r w:rsidRPr="00F32261">
        <w:rPr>
          <w:szCs w:val="22"/>
        </w:rPr>
        <w:t>Which proposed policy option delivers the greatest net benefit?</w:t>
      </w:r>
    </w:p>
    <w:p w14:paraId="1C06B03B" w14:textId="50833978" w:rsidR="007D7485" w:rsidRPr="00F32261" w:rsidRDefault="007D7485" w:rsidP="00DD4830">
      <w:pPr>
        <w:spacing w:line="276" w:lineRule="auto"/>
        <w:rPr>
          <w:szCs w:val="22"/>
        </w:rPr>
      </w:pPr>
      <w:r w:rsidRPr="00F32261">
        <w:rPr>
          <w:szCs w:val="22"/>
        </w:rPr>
        <w:t>The IA evaluates three options:</w:t>
      </w:r>
    </w:p>
    <w:p w14:paraId="47A37DC2" w14:textId="77777777" w:rsidR="007D7485" w:rsidRPr="00F32261" w:rsidRDefault="007D7485" w:rsidP="00F32261">
      <w:pPr>
        <w:numPr>
          <w:ilvl w:val="0"/>
          <w:numId w:val="133"/>
        </w:numPr>
        <w:spacing w:after="0" w:line="276" w:lineRule="auto"/>
        <w:rPr>
          <w:szCs w:val="22"/>
        </w:rPr>
      </w:pPr>
      <w:r w:rsidRPr="00F32261">
        <w:rPr>
          <w:b/>
          <w:szCs w:val="22"/>
        </w:rPr>
        <w:t>Option 1:</w:t>
      </w:r>
      <w:r w:rsidRPr="00F32261">
        <w:rPr>
          <w:szCs w:val="22"/>
        </w:rPr>
        <w:t> Maintain the status quo</w:t>
      </w:r>
    </w:p>
    <w:p w14:paraId="661C4966" w14:textId="1792277B" w:rsidR="007D7485" w:rsidRPr="00F32261" w:rsidRDefault="007D7485" w:rsidP="00F32261">
      <w:pPr>
        <w:numPr>
          <w:ilvl w:val="0"/>
          <w:numId w:val="133"/>
        </w:numPr>
        <w:spacing w:after="0" w:line="276" w:lineRule="auto"/>
        <w:rPr>
          <w:szCs w:val="22"/>
        </w:rPr>
      </w:pPr>
      <w:r w:rsidRPr="00F32261">
        <w:rPr>
          <w:b/>
          <w:szCs w:val="22"/>
        </w:rPr>
        <w:t>Option 2:</w:t>
      </w:r>
      <w:r w:rsidRPr="00F32261">
        <w:rPr>
          <w:szCs w:val="22"/>
        </w:rPr>
        <w:t xml:space="preserve"> Voluntary self-regulation under a </w:t>
      </w:r>
      <w:r w:rsidR="008743F1" w:rsidRPr="00F32261">
        <w:rPr>
          <w:szCs w:val="22"/>
        </w:rPr>
        <w:t>National Code</w:t>
      </w:r>
    </w:p>
    <w:p w14:paraId="5806C529" w14:textId="1BFAE565" w:rsidR="00FD6992" w:rsidRPr="006B296A" w:rsidRDefault="007D7485" w:rsidP="006B296A">
      <w:pPr>
        <w:numPr>
          <w:ilvl w:val="0"/>
          <w:numId w:val="133"/>
        </w:numPr>
        <w:spacing w:after="0" w:line="276" w:lineRule="auto"/>
        <w:rPr>
          <w:szCs w:val="22"/>
        </w:rPr>
      </w:pPr>
      <w:r w:rsidRPr="00F32261">
        <w:rPr>
          <w:b/>
          <w:szCs w:val="22"/>
        </w:rPr>
        <w:t>Option 3:</w:t>
      </w:r>
      <w:r w:rsidRPr="00F32261">
        <w:rPr>
          <w:szCs w:val="22"/>
        </w:rPr>
        <w:t xml:space="preserve"> Introduce the </w:t>
      </w:r>
      <w:r w:rsidR="008743F1" w:rsidRPr="00F32261">
        <w:rPr>
          <w:szCs w:val="22"/>
        </w:rPr>
        <w:t>National Code</w:t>
      </w:r>
      <w:r w:rsidRPr="00F32261">
        <w:rPr>
          <w:szCs w:val="22"/>
        </w:rPr>
        <w:t xml:space="preserve"> as formal regulation</w:t>
      </w:r>
    </w:p>
    <w:p w14:paraId="2BC391DC" w14:textId="1502D9F1" w:rsidR="007D7485" w:rsidRPr="00F32261" w:rsidRDefault="007D7485" w:rsidP="00DD4830">
      <w:pPr>
        <w:spacing w:before="240" w:line="276" w:lineRule="auto"/>
        <w:rPr>
          <w:rFonts w:cs="Calibri"/>
          <w:color w:val="000000" w:themeColor="text1"/>
          <w:szCs w:val="22"/>
        </w:rPr>
      </w:pPr>
      <w:r w:rsidRPr="00F32261">
        <w:rPr>
          <w:szCs w:val="22"/>
        </w:rPr>
        <w:t>A cost-benefit analysis (CBA) conducted by Deloitte Access Economics</w:t>
      </w:r>
      <w:r w:rsidR="00243940">
        <w:rPr>
          <w:szCs w:val="22"/>
        </w:rPr>
        <w:t xml:space="preserve"> </w:t>
      </w:r>
      <w:r w:rsidRPr="006B296A">
        <w:rPr>
          <w:b/>
          <w:szCs w:val="22"/>
        </w:rPr>
        <w:t xml:space="preserve">(Appendix </w:t>
      </w:r>
      <w:r w:rsidR="00E04484" w:rsidRPr="006B296A">
        <w:rPr>
          <w:b/>
          <w:szCs w:val="22"/>
        </w:rPr>
        <w:t>C</w:t>
      </w:r>
      <w:r w:rsidRPr="006B296A">
        <w:rPr>
          <w:b/>
          <w:szCs w:val="22"/>
        </w:rPr>
        <w:t>)</w:t>
      </w:r>
      <w:r w:rsidRPr="00F32261">
        <w:rPr>
          <w:szCs w:val="22"/>
        </w:rPr>
        <w:t xml:space="preserve">, was completed for Option 3 only. Option 1 serves as the base case for comparison, while Option 2 was excluded from CBA due to the inability to reliably estimate uptake or implementation levels across HEPs. </w:t>
      </w:r>
      <w:r w:rsidRPr="00F32261">
        <w:rPr>
          <w:rFonts w:cs="Calibri"/>
          <w:szCs w:val="22"/>
        </w:rPr>
        <w:t xml:space="preserve">The voluntary nature of Option 2 means that it is not possible to estimate or assume how many HEPs will voluntarily engage, and to what extent. </w:t>
      </w:r>
      <w:r w:rsidRPr="00F32261">
        <w:rPr>
          <w:rFonts w:cs="Calibri"/>
          <w:color w:val="000000" w:themeColor="text1"/>
          <w:szCs w:val="22"/>
        </w:rPr>
        <w:t>Costing Option 2 cannot be reliably quantified due the inability to determine:</w:t>
      </w:r>
    </w:p>
    <w:p w14:paraId="08BF5DF2" w14:textId="534DC7D1" w:rsidR="007D7485" w:rsidRPr="00F32261" w:rsidRDefault="007D7485" w:rsidP="00F32261">
      <w:pPr>
        <w:pStyle w:val="ListParagraph"/>
        <w:numPr>
          <w:ilvl w:val="0"/>
          <w:numId w:val="112"/>
        </w:numPr>
        <w:spacing w:after="0" w:line="276" w:lineRule="auto"/>
        <w:contextualSpacing w:val="0"/>
        <w:rPr>
          <w:rFonts w:cs="Calibri"/>
          <w:color w:val="000000" w:themeColor="text1"/>
          <w:szCs w:val="22"/>
        </w:rPr>
      </w:pPr>
      <w:r w:rsidRPr="00F32261">
        <w:rPr>
          <w:rFonts w:cs="Calibri"/>
          <w:color w:val="000000" w:themeColor="text1"/>
          <w:szCs w:val="22"/>
        </w:rPr>
        <w:t xml:space="preserve">Number of HEPs that would adopt the </w:t>
      </w:r>
      <w:r w:rsidR="008743F1" w:rsidRPr="00F32261">
        <w:rPr>
          <w:rFonts w:cs="Calibri"/>
          <w:color w:val="000000" w:themeColor="text1"/>
          <w:szCs w:val="22"/>
        </w:rPr>
        <w:t>National Code</w:t>
      </w:r>
    </w:p>
    <w:p w14:paraId="3083C928" w14:textId="5454FD3B" w:rsidR="007D7485" w:rsidRPr="00F32261" w:rsidRDefault="007D7485" w:rsidP="00F32261">
      <w:pPr>
        <w:pStyle w:val="ListParagraph"/>
        <w:numPr>
          <w:ilvl w:val="0"/>
          <w:numId w:val="112"/>
        </w:numPr>
        <w:spacing w:after="0" w:line="276" w:lineRule="auto"/>
        <w:contextualSpacing w:val="0"/>
        <w:rPr>
          <w:rFonts w:cs="Calibri"/>
          <w:color w:val="000000" w:themeColor="text1"/>
          <w:szCs w:val="22"/>
        </w:rPr>
      </w:pPr>
      <w:r w:rsidRPr="00F32261">
        <w:rPr>
          <w:rFonts w:cs="Calibri"/>
          <w:color w:val="000000" w:themeColor="text1"/>
          <w:szCs w:val="22"/>
        </w:rPr>
        <w:t xml:space="preserve">Number of HEPs that would not adopt the </w:t>
      </w:r>
      <w:r w:rsidR="008743F1" w:rsidRPr="00F32261">
        <w:rPr>
          <w:rFonts w:cs="Calibri"/>
          <w:color w:val="000000" w:themeColor="text1"/>
          <w:szCs w:val="22"/>
        </w:rPr>
        <w:t>National Code</w:t>
      </w:r>
    </w:p>
    <w:p w14:paraId="4AC8DEDE" w14:textId="1F0EE52F" w:rsidR="007D7485" w:rsidRPr="00DD4830" w:rsidRDefault="007D7485" w:rsidP="00DD4830">
      <w:pPr>
        <w:pStyle w:val="ListParagraph"/>
        <w:numPr>
          <w:ilvl w:val="0"/>
          <w:numId w:val="112"/>
        </w:numPr>
        <w:spacing w:after="0" w:line="276" w:lineRule="auto"/>
        <w:contextualSpacing w:val="0"/>
        <w:rPr>
          <w:rFonts w:cs="Calibri"/>
          <w:b/>
          <w:szCs w:val="22"/>
        </w:rPr>
      </w:pPr>
      <w:r w:rsidRPr="00F32261">
        <w:rPr>
          <w:rFonts w:cs="Calibri"/>
          <w:color w:val="000000" w:themeColor="text1"/>
          <w:szCs w:val="22"/>
        </w:rPr>
        <w:t xml:space="preserve">Of those that adopted the </w:t>
      </w:r>
      <w:r w:rsidR="008743F1" w:rsidRPr="00F32261">
        <w:rPr>
          <w:rFonts w:cs="Calibri"/>
          <w:color w:val="000000" w:themeColor="text1"/>
          <w:szCs w:val="22"/>
        </w:rPr>
        <w:t>National Code</w:t>
      </w:r>
      <w:r w:rsidRPr="00F32261">
        <w:rPr>
          <w:rFonts w:cs="Calibri"/>
          <w:color w:val="000000" w:themeColor="text1"/>
          <w:szCs w:val="22"/>
        </w:rPr>
        <w:t>, to what extent (specifically which standards, policies and procedures).</w:t>
      </w:r>
    </w:p>
    <w:p w14:paraId="171AD49A" w14:textId="77777777" w:rsidR="007D7485" w:rsidRPr="00F32261" w:rsidRDefault="007D7485" w:rsidP="00DD4830">
      <w:pPr>
        <w:spacing w:before="240" w:line="276" w:lineRule="auto"/>
        <w:rPr>
          <w:rFonts w:cs="Calibri"/>
          <w:szCs w:val="22"/>
        </w:rPr>
      </w:pPr>
      <w:r w:rsidRPr="00F32261">
        <w:rPr>
          <w:rFonts w:cs="Calibri"/>
          <w:szCs w:val="22"/>
        </w:rPr>
        <w:t>Without this information a CBA cannot be completed. Instead, the IA has provided a qualitative and quantitative assessment of Option 2.</w:t>
      </w:r>
      <w:r w:rsidRPr="00F32261">
        <w:rPr>
          <w:rFonts w:cs="Calibri"/>
          <w:i/>
          <w:szCs w:val="22"/>
        </w:rPr>
        <w:t xml:space="preserve"> </w:t>
      </w:r>
    </w:p>
    <w:p w14:paraId="059EDC13" w14:textId="77777777" w:rsidR="006F21E7" w:rsidRPr="00F32261" w:rsidRDefault="007D7485" w:rsidP="00F32261">
      <w:pPr>
        <w:spacing w:line="276" w:lineRule="auto"/>
        <w:rPr>
          <w:szCs w:val="22"/>
        </w:rPr>
      </w:pPr>
      <w:r w:rsidRPr="00F32261">
        <w:rPr>
          <w:szCs w:val="22"/>
        </w:rPr>
        <w:t>The CBA for Option 3 estimates the incremental costs and benefits of regulatory intervention relative to Option 1, representing the scenario without legislative change</w:t>
      </w:r>
      <w:r w:rsidR="006F21E7" w:rsidRPr="00F32261">
        <w:rPr>
          <w:szCs w:val="22"/>
        </w:rPr>
        <w:t>.</w:t>
      </w:r>
    </w:p>
    <w:p w14:paraId="644F0A82" w14:textId="6846F807" w:rsidR="007D7485" w:rsidRPr="00F32261" w:rsidRDefault="007D7485" w:rsidP="00F32261">
      <w:pPr>
        <w:spacing w:line="276" w:lineRule="auto"/>
        <w:rPr>
          <w:szCs w:val="22"/>
        </w:rPr>
      </w:pPr>
      <w:r w:rsidRPr="00F32261">
        <w:rPr>
          <w:szCs w:val="22"/>
        </w:rPr>
        <w:t>Each policy option is assessed against five stakeholder groups</w:t>
      </w:r>
      <w:r w:rsidR="00F45B63">
        <w:rPr>
          <w:szCs w:val="22"/>
        </w:rPr>
        <w:t xml:space="preserve"> being</w:t>
      </w:r>
      <w:r w:rsidRPr="00F32261">
        <w:rPr>
          <w:szCs w:val="22"/>
        </w:rPr>
        <w:t xml:space="preserve"> HEPs, staff, students, volunteers (including student and </w:t>
      </w:r>
      <w:r w:rsidR="006D1608" w:rsidRPr="00F32261">
        <w:rPr>
          <w:szCs w:val="22"/>
        </w:rPr>
        <w:t>community</w:t>
      </w:r>
      <w:r w:rsidRPr="00F32261">
        <w:rPr>
          <w:szCs w:val="22"/>
        </w:rPr>
        <w:t xml:space="preserve"> volunteers</w:t>
      </w:r>
      <w:r w:rsidR="006D1608" w:rsidRPr="00F32261">
        <w:rPr>
          <w:szCs w:val="22"/>
        </w:rPr>
        <w:t xml:space="preserve"> – </w:t>
      </w:r>
      <w:r w:rsidRPr="00F32261">
        <w:rPr>
          <w:szCs w:val="22"/>
        </w:rPr>
        <w:t>staff volunteers</w:t>
      </w:r>
      <w:r w:rsidR="006D1608" w:rsidRPr="00F32261">
        <w:rPr>
          <w:szCs w:val="22"/>
        </w:rPr>
        <w:t xml:space="preserve"> are considered under the staff category</w:t>
      </w:r>
      <w:r w:rsidRPr="00F32261">
        <w:rPr>
          <w:szCs w:val="22"/>
        </w:rPr>
        <w:t xml:space="preserve">), and the Australian Government. </w:t>
      </w:r>
    </w:p>
    <w:p w14:paraId="5971E415" w14:textId="20D78BB5" w:rsidR="007D7485" w:rsidRPr="00F32261" w:rsidRDefault="007D7485" w:rsidP="00F32261">
      <w:pPr>
        <w:spacing w:line="276" w:lineRule="auto"/>
        <w:rPr>
          <w:szCs w:val="22"/>
        </w:rPr>
      </w:pPr>
      <w:r w:rsidRPr="00F32261">
        <w:rPr>
          <w:szCs w:val="22"/>
        </w:rPr>
        <w:t>The costs to HEPs primarily include the opportunity cost of staff time, resource allocation for new activities, any financial or capital costs associated with updating processes, practices and systems, and additional operating and administrative expenses, including costs associated with hiring new staff members to meet expertise requirements. In many cases, it is expected that costs will be proportionate to the size, number of resources, and current level of relevant in-house expertise within each HEP including</w:t>
      </w:r>
      <w:r w:rsidR="00B832BF">
        <w:rPr>
          <w:szCs w:val="22"/>
        </w:rPr>
        <w:t>:</w:t>
      </w:r>
    </w:p>
    <w:p w14:paraId="0147D99E" w14:textId="77777777" w:rsidR="007D7485" w:rsidRPr="00F32261" w:rsidRDefault="007D7485" w:rsidP="00F32261">
      <w:pPr>
        <w:pStyle w:val="ListParagraph"/>
        <w:numPr>
          <w:ilvl w:val="0"/>
          <w:numId w:val="114"/>
        </w:numPr>
        <w:spacing w:after="0" w:line="276" w:lineRule="auto"/>
        <w:contextualSpacing w:val="0"/>
        <w:rPr>
          <w:szCs w:val="22"/>
        </w:rPr>
      </w:pPr>
      <w:r w:rsidRPr="00F32261">
        <w:rPr>
          <w:b/>
          <w:szCs w:val="22"/>
        </w:rPr>
        <w:t>Initial costs or one-off transition costs:</w:t>
      </w:r>
      <w:r w:rsidRPr="00F32261">
        <w:rPr>
          <w:szCs w:val="22"/>
        </w:rPr>
        <w:t xml:space="preserve"> relating to time and effort required by staff to understand the proposed requirements, as well as the time and effort required to develop or update systems for incident data capture and reporting</w:t>
      </w:r>
    </w:p>
    <w:p w14:paraId="3C7429A9" w14:textId="77777777" w:rsidR="007D7485" w:rsidRPr="00F32261" w:rsidRDefault="007D7485" w:rsidP="00F32261">
      <w:pPr>
        <w:pStyle w:val="ListParagraph"/>
        <w:numPr>
          <w:ilvl w:val="0"/>
          <w:numId w:val="114"/>
        </w:numPr>
        <w:spacing w:after="0" w:line="276" w:lineRule="auto"/>
        <w:contextualSpacing w:val="0"/>
        <w:rPr>
          <w:szCs w:val="22"/>
        </w:rPr>
      </w:pPr>
      <w:r w:rsidRPr="00F32261">
        <w:rPr>
          <w:b/>
          <w:szCs w:val="22"/>
        </w:rPr>
        <w:t>Ongoing costs or annual costs:</w:t>
      </w:r>
      <w:r w:rsidRPr="00F32261">
        <w:rPr>
          <w:szCs w:val="22"/>
        </w:rPr>
        <w:t xml:space="preserve"> associated with compliance (including meeting requirements around staff expertise), monitoring and reporting. These costs differ</w:t>
      </w:r>
      <w:r w:rsidR="003B20A8">
        <w:rPr>
          <w:szCs w:val="22"/>
        </w:rPr>
        <w:t xml:space="preserve"> </w:t>
      </w:r>
      <w:r w:rsidRPr="00F32261">
        <w:rPr>
          <w:szCs w:val="22"/>
        </w:rPr>
        <w:lastRenderedPageBreak/>
        <w:t>across standards, and some costs will increase with the number of disclosures within each HEP.</w:t>
      </w:r>
      <w:r w:rsidRPr="00F32261">
        <w:rPr>
          <w:rStyle w:val="FootnoteReference"/>
          <w:szCs w:val="22"/>
        </w:rPr>
        <w:footnoteReference w:id="127"/>
      </w:r>
    </w:p>
    <w:p w14:paraId="5F9FC708" w14:textId="77777777" w:rsidR="00C20DA6" w:rsidRPr="00C20DA6" w:rsidRDefault="00C20DA6" w:rsidP="00C20DA6">
      <w:pPr>
        <w:spacing w:after="0" w:line="276" w:lineRule="auto"/>
        <w:ind w:left="360"/>
        <w:rPr>
          <w:szCs w:val="22"/>
        </w:rPr>
      </w:pPr>
    </w:p>
    <w:p w14:paraId="4F6F1921" w14:textId="77777777" w:rsidR="007D7485" w:rsidRPr="00F32261" w:rsidRDefault="007D7485" w:rsidP="00F32261">
      <w:pPr>
        <w:spacing w:line="276" w:lineRule="auto"/>
        <w:rPr>
          <w:szCs w:val="22"/>
        </w:rPr>
      </w:pPr>
      <w:r w:rsidRPr="00F32261">
        <w:rPr>
          <w:szCs w:val="22"/>
        </w:rPr>
        <w:t>Costs vary by HEP depending on size, resources, and existing capabilities. Flow-on costs are expected for students, staff, and volunteers due to time spent on mandated activities such as training.</w:t>
      </w:r>
    </w:p>
    <w:p w14:paraId="7423D908" w14:textId="77777777" w:rsidR="007D7485" w:rsidRPr="00F32261" w:rsidRDefault="007D7485" w:rsidP="00F32261">
      <w:pPr>
        <w:spacing w:line="276" w:lineRule="auto"/>
        <w:rPr>
          <w:szCs w:val="22"/>
        </w:rPr>
      </w:pPr>
      <w:r w:rsidRPr="00F32261">
        <w:rPr>
          <w:szCs w:val="22"/>
        </w:rPr>
        <w:t>The Australian Government will incur both one-off and ongoing costs related to implementation, administration, and enforcement of the regulatory framework.</w:t>
      </w:r>
    </w:p>
    <w:p w14:paraId="1E4A0424" w14:textId="574161C2" w:rsidR="007D7485" w:rsidRPr="00E9317C" w:rsidRDefault="007D7485" w:rsidP="007D7485">
      <w:pPr>
        <w:pStyle w:val="Heading2"/>
      </w:pPr>
      <w:bookmarkStart w:id="124" w:name="_Toc204699875"/>
      <w:bookmarkStart w:id="125" w:name="_Toc210050241"/>
      <w:r w:rsidRPr="00E9317C">
        <w:t>Option 1 – Status Quo</w:t>
      </w:r>
      <w:bookmarkEnd w:id="124"/>
      <w:bookmarkEnd w:id="125"/>
    </w:p>
    <w:p w14:paraId="144F592D" w14:textId="77777777" w:rsidR="007D7485" w:rsidRPr="008A4BB7" w:rsidRDefault="007D7485" w:rsidP="007D7485">
      <w:pPr>
        <w:rPr>
          <w:szCs w:val="22"/>
        </w:rPr>
      </w:pPr>
      <w:r w:rsidRPr="008A4BB7">
        <w:rPr>
          <w:szCs w:val="22"/>
        </w:rPr>
        <w:t>Option 1 retains the current regulatory framework, with no additional oversight by the Australian Government to address the policy issues outlined in Chapter 1.</w:t>
      </w:r>
    </w:p>
    <w:p w14:paraId="70FDECD2" w14:textId="583C2277" w:rsidR="007D7485" w:rsidRPr="00E9317C" w:rsidRDefault="007D7485" w:rsidP="007D7485">
      <w:pPr>
        <w:pStyle w:val="Heading3"/>
      </w:pPr>
      <w:bookmarkStart w:id="126" w:name="_Toc204682621"/>
      <w:bookmarkStart w:id="127" w:name="_Toc204699876"/>
      <w:bookmarkStart w:id="128" w:name="_Toc204763324"/>
      <w:bookmarkStart w:id="129" w:name="_Toc204764892"/>
      <w:bookmarkStart w:id="130" w:name="_Toc205216904"/>
      <w:r>
        <w:t>Costs</w:t>
      </w:r>
      <w:bookmarkEnd w:id="126"/>
      <w:bookmarkEnd w:id="127"/>
      <w:bookmarkEnd w:id="128"/>
      <w:bookmarkEnd w:id="129"/>
      <w:bookmarkEnd w:id="130"/>
    </w:p>
    <w:p w14:paraId="0A476A66" w14:textId="7030F618" w:rsidR="007D7485" w:rsidRPr="008A4BB7" w:rsidRDefault="007D7485" w:rsidP="007D7485">
      <w:pPr>
        <w:rPr>
          <w:szCs w:val="22"/>
        </w:rPr>
      </w:pPr>
      <w:r w:rsidRPr="008A4BB7">
        <w:rPr>
          <w:szCs w:val="22"/>
        </w:rPr>
        <w:t>For the purposes of this IA Option 1 serves as the base case against which the costs and benefits of proposed alternatives are evaluated. It provides a benchmark for assessing the relative impact of any new intervention.</w:t>
      </w:r>
    </w:p>
    <w:p w14:paraId="70C97D2E" w14:textId="749B601B" w:rsidR="007D7485" w:rsidRPr="008A4BB7" w:rsidRDefault="007D7485" w:rsidP="007D7485">
      <w:pPr>
        <w:rPr>
          <w:szCs w:val="22"/>
        </w:rPr>
      </w:pPr>
      <w:r w:rsidRPr="008A4BB7">
        <w:rPr>
          <w:szCs w:val="22"/>
        </w:rPr>
        <w:t>As this option does not introduce new regulatory obligations, there are no additional costs</w:t>
      </w:r>
      <w:r w:rsidR="00113C39" w:rsidRPr="008A4BB7">
        <w:rPr>
          <w:szCs w:val="22"/>
        </w:rPr>
        <w:t xml:space="preserve">, </w:t>
      </w:r>
      <w:r w:rsidRPr="008A4BB7">
        <w:rPr>
          <w:szCs w:val="22"/>
        </w:rPr>
        <w:t>either initial or ongoing</w:t>
      </w:r>
      <w:r w:rsidR="00113C39" w:rsidRPr="008A4BB7">
        <w:rPr>
          <w:szCs w:val="22"/>
        </w:rPr>
        <w:t xml:space="preserve">, </w:t>
      </w:r>
      <w:r w:rsidRPr="008A4BB7">
        <w:rPr>
          <w:szCs w:val="22"/>
        </w:rPr>
        <w:t>for HEPs</w:t>
      </w:r>
      <w:r w:rsidR="00DA5D54">
        <w:rPr>
          <w:szCs w:val="22"/>
        </w:rPr>
        <w:t>,</w:t>
      </w:r>
      <w:r w:rsidRPr="008A4BB7">
        <w:rPr>
          <w:szCs w:val="22"/>
        </w:rPr>
        <w:t xml:space="preserve"> their staff, students, volunteers, or the Australian Government. HEPs would continue to operate under existing legislative and regulatory requirements, including those related to education delivery and workplace health and safety. However, these frameworks do not mandate sector-wide standards for preventing and responding to </w:t>
      </w:r>
      <w:r w:rsidR="00B7771B" w:rsidRPr="008A4BB7">
        <w:rPr>
          <w:szCs w:val="22"/>
        </w:rPr>
        <w:t>GBV</w:t>
      </w:r>
      <w:r w:rsidRPr="008A4BB7">
        <w:rPr>
          <w:szCs w:val="22"/>
        </w:rPr>
        <w:t>, nor do they require HEPs to monitor or evaluate the effectiveness of current policies and procedures, as outlined in Chapter 1.</w:t>
      </w:r>
    </w:p>
    <w:p w14:paraId="7CD43B67" w14:textId="0BC89C00" w:rsidR="007D7485" w:rsidRPr="008A4BB7" w:rsidRDefault="007D7485" w:rsidP="007D7485">
      <w:pPr>
        <w:rPr>
          <w:szCs w:val="22"/>
        </w:rPr>
      </w:pPr>
      <w:r w:rsidRPr="008A4BB7">
        <w:rPr>
          <w:szCs w:val="22"/>
        </w:rPr>
        <w:t xml:space="preserve">Despite existing obligations, institutional responses to </w:t>
      </w:r>
      <w:r w:rsidR="00B7771B" w:rsidRPr="008A4BB7">
        <w:rPr>
          <w:szCs w:val="22"/>
        </w:rPr>
        <w:t>GBV</w:t>
      </w:r>
      <w:r w:rsidRPr="008A4BB7">
        <w:rPr>
          <w:szCs w:val="22"/>
        </w:rPr>
        <w:t xml:space="preserve"> under the status quo remain inconsistent. Some HEPs have proactively implemented </w:t>
      </w:r>
      <w:r w:rsidR="00B7771B" w:rsidRPr="008A4BB7">
        <w:rPr>
          <w:szCs w:val="22"/>
        </w:rPr>
        <w:t>GBV</w:t>
      </w:r>
      <w:r w:rsidRPr="008A4BB7">
        <w:rPr>
          <w:szCs w:val="22"/>
        </w:rPr>
        <w:t xml:space="preserve"> policies and protocols since 2019, including advanced IT systems for data collection and comprehensive case management procedures. In contrast, other institutions lack robust action plans, governance structures, and transparent reporting mechanisms. This uneven approach across the sector results in gaps that compromise</w:t>
      </w:r>
      <w:r w:rsidR="001B130A" w:rsidRPr="008A4BB7">
        <w:rPr>
          <w:szCs w:val="22"/>
        </w:rPr>
        <w:t>s</w:t>
      </w:r>
      <w:r w:rsidRPr="008A4BB7">
        <w:rPr>
          <w:szCs w:val="22"/>
        </w:rPr>
        <w:t xml:space="preserve"> the safety of students and staff.</w:t>
      </w:r>
    </w:p>
    <w:p w14:paraId="74F7DB9F" w14:textId="475FFC3B" w:rsidR="007D7485" w:rsidRPr="008A4BB7" w:rsidRDefault="007D7485" w:rsidP="007D7485">
      <w:pPr>
        <w:rPr>
          <w:szCs w:val="22"/>
        </w:rPr>
      </w:pPr>
      <w:r w:rsidRPr="008A4BB7">
        <w:rPr>
          <w:szCs w:val="22"/>
        </w:rPr>
        <w:t xml:space="preserve">Chapter 1 highlights that the status quo has failed to adequately protect students and staff. The Australian Government has committed to addressing these serious safety concerns, as articulated in the National Plan. </w:t>
      </w:r>
    </w:p>
    <w:p w14:paraId="56EFB79F" w14:textId="14AC00E7" w:rsidR="007D7485" w:rsidRDefault="007E5EED" w:rsidP="007D7485">
      <w:pPr>
        <w:pStyle w:val="Heading3"/>
      </w:pPr>
      <w:bookmarkStart w:id="131" w:name="_Toc204682622"/>
      <w:bookmarkStart w:id="132" w:name="_Toc204699877"/>
      <w:bookmarkStart w:id="133" w:name="_Toc204763325"/>
      <w:bookmarkStart w:id="134" w:name="_Toc204764893"/>
      <w:bookmarkStart w:id="135" w:name="_Toc205216905"/>
      <w:r>
        <w:t>B</w:t>
      </w:r>
      <w:r w:rsidR="007D7485">
        <w:t>enefit</w:t>
      </w:r>
      <w:bookmarkEnd w:id="131"/>
      <w:r w:rsidR="00B142E3">
        <w:t>s</w:t>
      </w:r>
      <w:bookmarkEnd w:id="132"/>
      <w:bookmarkEnd w:id="133"/>
      <w:bookmarkEnd w:id="134"/>
      <w:bookmarkEnd w:id="135"/>
    </w:p>
    <w:p w14:paraId="63B150AE" w14:textId="105C66DB" w:rsidR="007D7485" w:rsidRPr="006B296A" w:rsidRDefault="007D7485" w:rsidP="00B142E3">
      <w:pPr>
        <w:rPr>
          <w:szCs w:val="22"/>
        </w:rPr>
      </w:pPr>
      <w:bookmarkStart w:id="136" w:name="_Toc204682623"/>
      <w:r w:rsidRPr="008A4BB7">
        <w:rPr>
          <w:szCs w:val="22"/>
        </w:rPr>
        <w:t xml:space="preserve">Maintaining the status quo offers no benefit. Chapter 1 outlines the prevalence and escalation of </w:t>
      </w:r>
      <w:r w:rsidR="00B7771B" w:rsidRPr="008A4BB7">
        <w:rPr>
          <w:szCs w:val="22"/>
        </w:rPr>
        <w:t>GBV</w:t>
      </w:r>
      <w:r w:rsidRPr="008A4BB7">
        <w:rPr>
          <w:szCs w:val="22"/>
        </w:rPr>
        <w:t xml:space="preserve"> in HEPs, including emerging forms of violence facilitated by technology. The Australian Child Maltreatment Study 2023 found that a significant proportion of adolescents are both victims and perpetrators of violence, including peer-to-peer abuse.</w:t>
      </w:r>
      <w:r w:rsidR="0019753D" w:rsidRPr="006B296A">
        <w:rPr>
          <w:rStyle w:val="FootnoteReference"/>
          <w:szCs w:val="22"/>
        </w:rPr>
        <w:footnoteReference w:id="128"/>
      </w:r>
      <w:r w:rsidRPr="006B296A">
        <w:rPr>
          <w:szCs w:val="22"/>
        </w:rPr>
        <w:t xml:space="preserve"> Young people are also</w:t>
      </w:r>
      <w:r>
        <w:rPr>
          <w:szCs w:val="22"/>
        </w:rPr>
        <w:t xml:space="preserve"> </w:t>
      </w:r>
      <w:r w:rsidR="008272D3">
        <w:rPr>
          <w:szCs w:val="22"/>
        </w:rPr>
        <w:t>consuming pornography at high rates in Australia</w:t>
      </w:r>
      <w:r w:rsidR="002D146F">
        <w:rPr>
          <w:szCs w:val="22"/>
        </w:rPr>
        <w:t>,</w:t>
      </w:r>
      <w:r w:rsidR="00707199">
        <w:rPr>
          <w:szCs w:val="22"/>
        </w:rPr>
        <w:t xml:space="preserve"> with the eSafety</w:t>
      </w:r>
      <w:r w:rsidR="00887B4F">
        <w:rPr>
          <w:szCs w:val="22"/>
        </w:rPr>
        <w:t xml:space="preserve"> </w:t>
      </w:r>
      <w:r w:rsidR="00887B4F">
        <w:rPr>
          <w:szCs w:val="22"/>
        </w:rPr>
        <w:lastRenderedPageBreak/>
        <w:t>Commission’s research report from September 2022</w:t>
      </w:r>
      <w:r w:rsidR="00957C49">
        <w:rPr>
          <w:szCs w:val="22"/>
        </w:rPr>
        <w:t xml:space="preserve"> describing young people accessing </w:t>
      </w:r>
      <w:r w:rsidRPr="006B296A">
        <w:rPr>
          <w:szCs w:val="22"/>
        </w:rPr>
        <w:t>violent or degrading content from an early age.</w:t>
      </w:r>
      <w:r w:rsidR="00CF68DA">
        <w:rPr>
          <w:rStyle w:val="FootnoteReference"/>
          <w:szCs w:val="22"/>
        </w:rPr>
        <w:footnoteReference w:id="129"/>
      </w:r>
      <w:r w:rsidRPr="006B296A">
        <w:rPr>
          <w:szCs w:val="22"/>
        </w:rPr>
        <w:t xml:space="preserve"> According to the eSafety Commissio</w:t>
      </w:r>
      <w:r w:rsidR="001A0D2F">
        <w:rPr>
          <w:szCs w:val="22"/>
        </w:rPr>
        <w:t>n</w:t>
      </w:r>
      <w:r w:rsidRPr="006B296A">
        <w:rPr>
          <w:szCs w:val="22"/>
        </w:rPr>
        <w:t>, this exposure contributes to harmful attitudes and behaviours that can manifest as real-world violence and coercion, particularly in educational settings.</w:t>
      </w:r>
      <w:bookmarkEnd w:id="136"/>
      <w:r w:rsidR="002A5D2A" w:rsidRPr="006B296A">
        <w:rPr>
          <w:rStyle w:val="FootnoteReference"/>
          <w:szCs w:val="22"/>
        </w:rPr>
        <w:footnoteReference w:id="130"/>
      </w:r>
    </w:p>
    <w:p w14:paraId="24710F09" w14:textId="77777777" w:rsidR="007D7485" w:rsidRPr="006B296A" w:rsidRDefault="007D7485" w:rsidP="007D7485">
      <w:pPr>
        <w:rPr>
          <w:szCs w:val="22"/>
        </w:rPr>
      </w:pPr>
      <w:r w:rsidRPr="006B296A">
        <w:rPr>
          <w:szCs w:val="22"/>
        </w:rPr>
        <w:t>HEPs are currently ill-equipped to manage both existing and emerging forms of violence, such as image-based abuse, technology-facilitated coercion, and complex interpersonal harms evolving alongside digital platforms. The absence of clear accountability and prevention frameworks risks further undermining student safety and wellbeing, while eroding public trust.</w:t>
      </w:r>
    </w:p>
    <w:p w14:paraId="205A8E5C" w14:textId="0183BDAE" w:rsidR="007D7485" w:rsidRPr="006B296A" w:rsidRDefault="007D7485" w:rsidP="007D7485">
      <w:pPr>
        <w:rPr>
          <w:szCs w:val="22"/>
        </w:rPr>
      </w:pPr>
      <w:r w:rsidRPr="006B296A">
        <w:rPr>
          <w:szCs w:val="22"/>
        </w:rPr>
        <w:t xml:space="preserve">Without targeted intervention, </w:t>
      </w:r>
      <w:r w:rsidR="00B7771B" w:rsidRPr="006B296A">
        <w:rPr>
          <w:szCs w:val="22"/>
        </w:rPr>
        <w:t>GBV</w:t>
      </w:r>
      <w:r w:rsidRPr="006B296A">
        <w:rPr>
          <w:szCs w:val="22"/>
        </w:rPr>
        <w:t xml:space="preserve"> in HEPs is likely to persist and intensify, causing ongoing harm to victim-survivors and the broader community. Option 1 offers no benefit to HEPs, staff, students, volunteers, or the Australian Government. It also poses a reputational risk to the government, given public expectations for meaningful reform under the National Plan and Action Plan. </w:t>
      </w:r>
    </w:p>
    <w:p w14:paraId="391C18D4" w14:textId="0228AAC7" w:rsidR="007E5EED" w:rsidRDefault="007E5EED" w:rsidP="007E5EED">
      <w:pPr>
        <w:pStyle w:val="Heading3"/>
      </w:pPr>
      <w:bookmarkStart w:id="137" w:name="_Toc204763326"/>
      <w:bookmarkStart w:id="138" w:name="_Toc205216906"/>
      <w:r>
        <w:t>Net Benefits</w:t>
      </w:r>
      <w:bookmarkEnd w:id="137"/>
      <w:bookmarkEnd w:id="138"/>
    </w:p>
    <w:p w14:paraId="2E579319" w14:textId="4C79E2B5" w:rsidR="00C32D61" w:rsidRPr="006B296A" w:rsidRDefault="007E5EED" w:rsidP="007E5EED">
      <w:pPr>
        <w:rPr>
          <w:szCs w:val="22"/>
        </w:rPr>
      </w:pPr>
      <w:r w:rsidRPr="006B296A">
        <w:rPr>
          <w:szCs w:val="22"/>
        </w:rPr>
        <w:t>The net benefits are defined as the total benefits less the total costs. Given this is the base case</w:t>
      </w:r>
      <w:r w:rsidR="00515A81">
        <w:rPr>
          <w:szCs w:val="22"/>
        </w:rPr>
        <w:t>,</w:t>
      </w:r>
      <w:r w:rsidRPr="006B296A">
        <w:rPr>
          <w:szCs w:val="22"/>
        </w:rPr>
        <w:t xml:space="preserve"> there are no additional costs, benefits or net benefits. This is the base case to which the other options can be compared to.</w:t>
      </w:r>
      <w:r w:rsidR="0019753D" w:rsidRPr="006B296A">
        <w:rPr>
          <w:szCs w:val="22"/>
        </w:rPr>
        <w:t xml:space="preserve"> </w:t>
      </w:r>
    </w:p>
    <w:p w14:paraId="26595C2B" w14:textId="12373561" w:rsidR="007E5EED" w:rsidRPr="006B296A" w:rsidRDefault="00C32D61" w:rsidP="007E5EED">
      <w:pPr>
        <w:rPr>
          <w:szCs w:val="22"/>
        </w:rPr>
      </w:pPr>
      <w:r w:rsidRPr="006B296A">
        <w:rPr>
          <w:szCs w:val="22"/>
        </w:rPr>
        <w:t>Given</w:t>
      </w:r>
      <w:r w:rsidR="0019753D" w:rsidRPr="006B296A">
        <w:rPr>
          <w:szCs w:val="22"/>
        </w:rPr>
        <w:t xml:space="preserve"> the substantial evidence of harm and the government’s obligation to act</w:t>
      </w:r>
      <w:r w:rsidRPr="006B296A">
        <w:rPr>
          <w:szCs w:val="22"/>
        </w:rPr>
        <w:t>, maintaining the status quo is not a viable policy option.</w:t>
      </w:r>
    </w:p>
    <w:p w14:paraId="4D141AD7" w14:textId="77777777" w:rsidR="007D7485" w:rsidRPr="00001157" w:rsidRDefault="007D7485" w:rsidP="007D7485">
      <w:pPr>
        <w:pStyle w:val="Heading2"/>
      </w:pPr>
      <w:bookmarkStart w:id="139" w:name="_Toc204699878"/>
      <w:bookmarkStart w:id="140" w:name="_Toc210050242"/>
      <w:r w:rsidRPr="00001157">
        <w:t>Option 2 – Voluntary Self-Regulation</w:t>
      </w:r>
      <w:bookmarkEnd w:id="139"/>
      <w:bookmarkEnd w:id="140"/>
    </w:p>
    <w:p w14:paraId="17568585" w14:textId="0F70B34D" w:rsidR="007D7485" w:rsidRPr="006B296A" w:rsidRDefault="007D7485" w:rsidP="007D7485">
      <w:pPr>
        <w:rPr>
          <w:szCs w:val="22"/>
        </w:rPr>
      </w:pPr>
      <w:r w:rsidRPr="006B296A">
        <w:rPr>
          <w:szCs w:val="22"/>
        </w:rPr>
        <w:t xml:space="preserve">Under Option 2, the </w:t>
      </w:r>
      <w:r w:rsidR="00AC61AB">
        <w:rPr>
          <w:szCs w:val="22"/>
        </w:rPr>
        <w:t>d</w:t>
      </w:r>
      <w:r w:rsidRPr="006B296A">
        <w:rPr>
          <w:szCs w:val="22"/>
        </w:rPr>
        <w:t xml:space="preserve">epartment would support voluntary self-regulation by HEPs to address </w:t>
      </w:r>
      <w:r w:rsidR="008223FC" w:rsidRPr="006B296A">
        <w:rPr>
          <w:szCs w:val="22"/>
        </w:rPr>
        <w:t>GBV</w:t>
      </w:r>
      <w:r w:rsidRPr="006B296A">
        <w:rPr>
          <w:szCs w:val="22"/>
        </w:rPr>
        <w:t xml:space="preserve">. This approach would involve establishing a dedicated </w:t>
      </w:r>
      <w:r w:rsidR="00572B67">
        <w:rPr>
          <w:szCs w:val="22"/>
        </w:rPr>
        <w:t>specialist branch</w:t>
      </w:r>
      <w:r w:rsidRPr="006B296A">
        <w:rPr>
          <w:szCs w:val="22"/>
        </w:rPr>
        <w:t xml:space="preserve"> within the </w:t>
      </w:r>
      <w:r w:rsidR="00AC61AB">
        <w:rPr>
          <w:szCs w:val="22"/>
        </w:rPr>
        <w:t>d</w:t>
      </w:r>
      <w:r w:rsidRPr="006B296A">
        <w:rPr>
          <w:szCs w:val="22"/>
        </w:rPr>
        <w:t xml:space="preserve">epartment to provide education, guidance, and capacity-building support to HEPs. </w:t>
      </w:r>
      <w:r w:rsidR="005D587E">
        <w:rPr>
          <w:szCs w:val="22"/>
        </w:rPr>
        <w:t xml:space="preserve">This option is akin to a National Scheme where government would provide </w:t>
      </w:r>
      <w:r w:rsidR="00746E67">
        <w:rPr>
          <w:szCs w:val="22"/>
        </w:rPr>
        <w:t>best practice standards but would not have enforcement powers.</w:t>
      </w:r>
      <w:r w:rsidRPr="006B296A">
        <w:rPr>
          <w:szCs w:val="22"/>
        </w:rPr>
        <w:t xml:space="preserve"> As participation in the </w:t>
      </w:r>
      <w:r w:rsidR="008743F1" w:rsidRPr="006B296A">
        <w:rPr>
          <w:szCs w:val="22"/>
        </w:rPr>
        <w:t>National Code</w:t>
      </w:r>
      <w:r w:rsidRPr="006B296A">
        <w:rPr>
          <w:szCs w:val="22"/>
        </w:rPr>
        <w:t xml:space="preserve"> would be voluntary, HEPs could choose to disregard the </w:t>
      </w:r>
      <w:r w:rsidR="008743F1" w:rsidRPr="006B296A">
        <w:rPr>
          <w:szCs w:val="22"/>
        </w:rPr>
        <w:t>National Code</w:t>
      </w:r>
      <w:r w:rsidRPr="006B296A">
        <w:rPr>
          <w:szCs w:val="22"/>
        </w:rPr>
        <w:t xml:space="preserve"> entirely, adopt only selected standards, or withdraw from compliance at any time.</w:t>
      </w:r>
    </w:p>
    <w:p w14:paraId="5AB8FBAF" w14:textId="63A5DAF7" w:rsidR="007D7485" w:rsidRPr="00001157" w:rsidRDefault="007D7485" w:rsidP="007D7485">
      <w:pPr>
        <w:pStyle w:val="Heading3"/>
      </w:pPr>
      <w:bookmarkStart w:id="141" w:name="_Toc204682625"/>
      <w:bookmarkStart w:id="142" w:name="_Toc204699879"/>
      <w:bookmarkStart w:id="143" w:name="_Toc204763328"/>
      <w:bookmarkStart w:id="144" w:name="_Toc204764896"/>
      <w:bookmarkStart w:id="145" w:name="_Toc205216908"/>
      <w:r>
        <w:t>Costs</w:t>
      </w:r>
      <w:bookmarkEnd w:id="141"/>
      <w:bookmarkEnd w:id="142"/>
      <w:bookmarkEnd w:id="143"/>
      <w:bookmarkEnd w:id="144"/>
      <w:bookmarkEnd w:id="145"/>
    </w:p>
    <w:p w14:paraId="6D4D09DE" w14:textId="145C2EDD" w:rsidR="007D7485" w:rsidRPr="006B296A" w:rsidRDefault="007D7485" w:rsidP="007D7485">
      <w:pPr>
        <w:rPr>
          <w:szCs w:val="22"/>
        </w:rPr>
      </w:pPr>
      <w:r w:rsidRPr="006B296A">
        <w:rPr>
          <w:szCs w:val="22"/>
        </w:rPr>
        <w:t xml:space="preserve">Due to the voluntary nature of this option, costs cannot be reliably quantified. A CBA requires certainty regarding which HEPs would adopt the </w:t>
      </w:r>
      <w:r w:rsidR="008743F1" w:rsidRPr="006B296A">
        <w:rPr>
          <w:szCs w:val="22"/>
        </w:rPr>
        <w:t>National Code</w:t>
      </w:r>
      <w:r w:rsidRPr="006B296A">
        <w:rPr>
          <w:szCs w:val="22"/>
        </w:rPr>
        <w:t>, the extent of their compliance, and the permanence of their commitments. As HEPs could opt in or out at will, estimating participation rates or assigning costs is not feasible.</w:t>
      </w:r>
    </w:p>
    <w:p w14:paraId="3F807F96" w14:textId="68668D73" w:rsidR="007D7485" w:rsidRPr="006B296A" w:rsidRDefault="007D7485" w:rsidP="007D7485">
      <w:pPr>
        <w:rPr>
          <w:szCs w:val="22"/>
        </w:rPr>
      </w:pPr>
      <w:r w:rsidRPr="006B296A">
        <w:rPr>
          <w:szCs w:val="22"/>
        </w:rPr>
        <w:t xml:space="preserve">Costs to HEPs would vary depending on their level of engagement. Institutions that choose to align with the </w:t>
      </w:r>
      <w:r w:rsidR="008743F1" w:rsidRPr="006B296A">
        <w:rPr>
          <w:szCs w:val="22"/>
        </w:rPr>
        <w:t>National Code</w:t>
      </w:r>
      <w:r w:rsidRPr="006B296A">
        <w:rPr>
          <w:szCs w:val="22"/>
        </w:rPr>
        <w:t xml:space="preserve"> and improve their compliance frameworks may incur moderate costs, while those that opt not to engage would face minimal or no additional costs. HEPs that fully implement the voluntary </w:t>
      </w:r>
      <w:r w:rsidR="008743F1" w:rsidRPr="006B296A">
        <w:rPr>
          <w:szCs w:val="22"/>
        </w:rPr>
        <w:t>National Code</w:t>
      </w:r>
      <w:r w:rsidRPr="006B296A">
        <w:rPr>
          <w:szCs w:val="22"/>
        </w:rPr>
        <w:t xml:space="preserve"> would likely experience costs </w:t>
      </w:r>
      <w:r w:rsidRPr="006B296A">
        <w:rPr>
          <w:szCs w:val="22"/>
        </w:rPr>
        <w:lastRenderedPageBreak/>
        <w:t>similar to those under Option 3, but without the benefit of regulatory clarity or enforcement mechanisms.</w:t>
      </w:r>
    </w:p>
    <w:p w14:paraId="0592A40E" w14:textId="77777777" w:rsidR="009F121D" w:rsidRPr="006B296A" w:rsidRDefault="007D7485" w:rsidP="007D7485">
      <w:pPr>
        <w:rPr>
          <w:szCs w:val="22"/>
        </w:rPr>
      </w:pPr>
      <w:r w:rsidRPr="006B296A">
        <w:rPr>
          <w:szCs w:val="22"/>
        </w:rPr>
        <w:t xml:space="preserve">Costs to staff, students, and volunteers would also depend entirely on each HEP’s level of engagement and cannot be estimated without specific uptake data. </w:t>
      </w:r>
    </w:p>
    <w:p w14:paraId="3FAB73BC" w14:textId="60F5C8E8" w:rsidR="007D7485" w:rsidRPr="006B296A" w:rsidRDefault="007D7485" w:rsidP="007D7485">
      <w:pPr>
        <w:rPr>
          <w:szCs w:val="22"/>
        </w:rPr>
      </w:pPr>
      <w:r w:rsidRPr="006B296A">
        <w:rPr>
          <w:szCs w:val="22"/>
        </w:rPr>
        <w:t>The Australian Government would incur moderate operational costs associated with establishing and maintaining the</w:t>
      </w:r>
      <w:r w:rsidR="00AF07F7">
        <w:rPr>
          <w:szCs w:val="22"/>
        </w:rPr>
        <w:t xml:space="preserve"> specialist GBV Reform Branch</w:t>
      </w:r>
      <w:r w:rsidRPr="006B296A">
        <w:rPr>
          <w:szCs w:val="22"/>
        </w:rPr>
        <w:t xml:space="preserve">. These costs are expected to be lower than those required for direct regulation or enforcement, although the exact figure would depend on the </w:t>
      </w:r>
      <w:r w:rsidR="00607F0E">
        <w:rPr>
          <w:szCs w:val="22"/>
        </w:rPr>
        <w:t>GBV Reform Branch’s</w:t>
      </w:r>
      <w:r w:rsidRPr="006B296A">
        <w:rPr>
          <w:szCs w:val="22"/>
        </w:rPr>
        <w:t xml:space="preserve"> size, expertise, and scope of work. </w:t>
      </w:r>
    </w:p>
    <w:p w14:paraId="098A9F3D" w14:textId="2E3C81DF" w:rsidR="007D7485" w:rsidRPr="00001157" w:rsidRDefault="005D4A43" w:rsidP="007D7485">
      <w:pPr>
        <w:pStyle w:val="Heading3"/>
      </w:pPr>
      <w:bookmarkStart w:id="146" w:name="_Toc204699880"/>
      <w:bookmarkStart w:id="147" w:name="_Toc204763329"/>
      <w:bookmarkStart w:id="148" w:name="_Toc204764897"/>
      <w:bookmarkStart w:id="149" w:name="_Toc205216909"/>
      <w:r>
        <w:t>Benefits</w:t>
      </w:r>
      <w:bookmarkEnd w:id="146"/>
      <w:bookmarkEnd w:id="147"/>
      <w:bookmarkEnd w:id="148"/>
      <w:bookmarkEnd w:id="149"/>
    </w:p>
    <w:p w14:paraId="2F83CFC2" w14:textId="6C2EA88F" w:rsidR="007D7485" w:rsidRPr="006B296A" w:rsidRDefault="007D7485" w:rsidP="007D7485">
      <w:pPr>
        <w:rPr>
          <w:szCs w:val="22"/>
        </w:rPr>
      </w:pPr>
      <w:r w:rsidRPr="006B296A">
        <w:rPr>
          <w:szCs w:val="22"/>
        </w:rPr>
        <w:t xml:space="preserve">The benefit of Option 2 is contingent on the willingness and capacity of HEPs to engage proactively. Due to the inability to quantify costs, exact benefits cannot be determined. However, it is likely that voluntary self-regulation would lead to sporadic improvements in </w:t>
      </w:r>
      <w:r w:rsidR="00B7771B" w:rsidRPr="006B296A">
        <w:rPr>
          <w:szCs w:val="22"/>
        </w:rPr>
        <w:t>GBV</w:t>
      </w:r>
      <w:r w:rsidRPr="006B296A">
        <w:rPr>
          <w:szCs w:val="22"/>
        </w:rPr>
        <w:t xml:space="preserve"> responses across the sector, with outcomes for victim-survivors remaining inconsistent and dependent on individual institutional commitment.</w:t>
      </w:r>
    </w:p>
    <w:p w14:paraId="6EC624DC" w14:textId="3A9FABC9" w:rsidR="007D7485" w:rsidRPr="006B296A" w:rsidRDefault="007D7485" w:rsidP="007D7485">
      <w:pPr>
        <w:rPr>
          <w:szCs w:val="22"/>
        </w:rPr>
      </w:pPr>
      <w:r w:rsidRPr="006B296A">
        <w:rPr>
          <w:szCs w:val="22"/>
        </w:rPr>
        <w:t xml:space="preserve">While some benefits may be realised, they would be marginal and uneven. The benefit-cost ratio would be significantly lower than under Option 3, given the lack of consistent compliance and uncertainty around behavioural change. Voluntary self-regulation is </w:t>
      </w:r>
      <w:r w:rsidR="000E3434" w:rsidRPr="006B296A">
        <w:rPr>
          <w:szCs w:val="22"/>
        </w:rPr>
        <w:t xml:space="preserve">also </w:t>
      </w:r>
      <w:r w:rsidRPr="006B296A">
        <w:rPr>
          <w:szCs w:val="22"/>
        </w:rPr>
        <w:t xml:space="preserve">unlikely to address the systemic nature of </w:t>
      </w:r>
      <w:r w:rsidR="00B7771B" w:rsidRPr="006B296A">
        <w:rPr>
          <w:szCs w:val="22"/>
        </w:rPr>
        <w:t>GBV</w:t>
      </w:r>
      <w:r w:rsidRPr="006B296A">
        <w:rPr>
          <w:szCs w:val="22"/>
        </w:rPr>
        <w:t xml:space="preserve"> or deliver coordinated, sector-wide reform. Key outcomes</w:t>
      </w:r>
      <w:r w:rsidR="000E3434" w:rsidRPr="006B296A">
        <w:rPr>
          <w:szCs w:val="22"/>
        </w:rPr>
        <w:t xml:space="preserve">, </w:t>
      </w:r>
      <w:r w:rsidRPr="006B296A">
        <w:rPr>
          <w:szCs w:val="22"/>
        </w:rPr>
        <w:t>such as improved data collection, cultural change, and consistent response protocols</w:t>
      </w:r>
      <w:r w:rsidR="000E3434" w:rsidRPr="006B296A">
        <w:rPr>
          <w:szCs w:val="22"/>
        </w:rPr>
        <w:t xml:space="preserve">, </w:t>
      </w:r>
      <w:r w:rsidRPr="006B296A">
        <w:rPr>
          <w:szCs w:val="22"/>
        </w:rPr>
        <w:t>are unlikely to be achieved without universal uptake and enforcement mechanisms.</w:t>
      </w:r>
    </w:p>
    <w:p w14:paraId="4280EE87" w14:textId="62A5A3F4" w:rsidR="007D7485" w:rsidRPr="006B296A" w:rsidRDefault="007D7485" w:rsidP="007D7485">
      <w:pPr>
        <w:rPr>
          <w:color w:val="000000" w:themeColor="text1"/>
          <w:szCs w:val="22"/>
        </w:rPr>
      </w:pPr>
      <w:r w:rsidRPr="006B296A">
        <w:rPr>
          <w:szCs w:val="22"/>
        </w:rPr>
        <w:t xml:space="preserve">Community expectations, as articulated in the National Plan, call for decisive government action to address </w:t>
      </w:r>
      <w:r w:rsidR="00B7771B" w:rsidRPr="006B296A">
        <w:rPr>
          <w:szCs w:val="22"/>
        </w:rPr>
        <w:t>GBV</w:t>
      </w:r>
      <w:r w:rsidRPr="006B296A">
        <w:rPr>
          <w:szCs w:val="22"/>
        </w:rPr>
        <w:t xml:space="preserve"> in higher education. A voluntary approach would not meet these expectations, nor would it ensure the safety of students and staff or provide accountability for non-compliance. </w:t>
      </w:r>
      <w:r w:rsidR="00DF09D4">
        <w:rPr>
          <w:color w:val="000000" w:themeColor="text1"/>
          <w:szCs w:val="22"/>
        </w:rPr>
        <w:t>As discussed in Chapter 1 voluntary measures have been insufficient and reactive.</w:t>
      </w:r>
    </w:p>
    <w:p w14:paraId="674B8C61" w14:textId="0633E034" w:rsidR="007D7485" w:rsidRPr="006B296A" w:rsidRDefault="007D7485" w:rsidP="007D7485">
      <w:pPr>
        <w:rPr>
          <w:szCs w:val="22"/>
        </w:rPr>
      </w:pPr>
      <w:r w:rsidRPr="006B296A">
        <w:rPr>
          <w:szCs w:val="22"/>
        </w:rPr>
        <w:t xml:space="preserve">Many providers already face challenges in meeting existing obligations. Without consistent compliance, sector-wide improvements are unlikely to materialise. </w:t>
      </w:r>
    </w:p>
    <w:p w14:paraId="0CB94913" w14:textId="2624F5EB" w:rsidR="007E5EED" w:rsidRDefault="007E5EED" w:rsidP="007E5EED">
      <w:pPr>
        <w:pStyle w:val="Heading3"/>
      </w:pPr>
      <w:bookmarkStart w:id="150" w:name="_Toc204763330"/>
      <w:bookmarkStart w:id="151" w:name="_Toc204764898"/>
      <w:bookmarkStart w:id="152" w:name="_Toc205216910"/>
      <w:r>
        <w:t>Net benefits</w:t>
      </w:r>
      <w:bookmarkEnd w:id="150"/>
      <w:bookmarkEnd w:id="151"/>
      <w:bookmarkEnd w:id="152"/>
    </w:p>
    <w:p w14:paraId="1167D6AE" w14:textId="3F6B544D" w:rsidR="007E5EED" w:rsidRPr="006B296A" w:rsidRDefault="007E5EED" w:rsidP="007E5EED">
      <w:pPr>
        <w:rPr>
          <w:szCs w:val="22"/>
        </w:rPr>
      </w:pPr>
      <w:r w:rsidRPr="006B296A">
        <w:rPr>
          <w:szCs w:val="22"/>
        </w:rPr>
        <w:t xml:space="preserve">The net benefits cannot be defined without </w:t>
      </w:r>
      <w:r w:rsidR="00B676BB" w:rsidRPr="006B296A">
        <w:rPr>
          <w:szCs w:val="22"/>
        </w:rPr>
        <w:t xml:space="preserve">specific costs and benefits to complete the calculation. As discussed in the above </w:t>
      </w:r>
      <w:r w:rsidR="00534929">
        <w:rPr>
          <w:szCs w:val="22"/>
        </w:rPr>
        <w:t>C</w:t>
      </w:r>
      <w:r w:rsidR="00B676BB" w:rsidRPr="006B296A">
        <w:rPr>
          <w:szCs w:val="22"/>
        </w:rPr>
        <w:t xml:space="preserve">hapters (4.2.1 and 4.2.2) it is not possible to put a monetary figure to the </w:t>
      </w:r>
      <w:r w:rsidR="002B6EE5" w:rsidRPr="006B296A">
        <w:rPr>
          <w:szCs w:val="22"/>
        </w:rPr>
        <w:t xml:space="preserve">costs or benefits under this option. </w:t>
      </w:r>
    </w:p>
    <w:p w14:paraId="4727D026" w14:textId="6BDCB185" w:rsidR="00010705" w:rsidRPr="006B296A" w:rsidRDefault="00852760" w:rsidP="007E5EED">
      <w:pPr>
        <w:rPr>
          <w:szCs w:val="22"/>
        </w:rPr>
      </w:pPr>
      <w:r>
        <w:rPr>
          <w:szCs w:val="22"/>
        </w:rPr>
        <w:t xml:space="preserve">Considering the likelihood </w:t>
      </w:r>
      <w:r w:rsidR="00CF764C">
        <w:rPr>
          <w:szCs w:val="22"/>
        </w:rPr>
        <w:t>of voluntary uptake</w:t>
      </w:r>
      <w:r w:rsidR="0068675C">
        <w:rPr>
          <w:szCs w:val="22"/>
        </w:rPr>
        <w:t xml:space="preserve">, assessing the </w:t>
      </w:r>
      <w:r w:rsidR="008A6D87">
        <w:rPr>
          <w:szCs w:val="22"/>
        </w:rPr>
        <w:t xml:space="preserve">likely </w:t>
      </w:r>
      <w:r w:rsidR="0068675C">
        <w:rPr>
          <w:szCs w:val="22"/>
        </w:rPr>
        <w:t xml:space="preserve">costs </w:t>
      </w:r>
      <w:r w:rsidR="008A6D87">
        <w:rPr>
          <w:szCs w:val="22"/>
        </w:rPr>
        <w:t xml:space="preserve">and impact </w:t>
      </w:r>
      <w:r w:rsidR="0068675C">
        <w:rPr>
          <w:szCs w:val="22"/>
        </w:rPr>
        <w:t>of Option 2</w:t>
      </w:r>
      <w:r w:rsidR="008A6D87">
        <w:rPr>
          <w:szCs w:val="22"/>
        </w:rPr>
        <w:t xml:space="preserve"> is difficult. With minimal voluntary uptake, </w:t>
      </w:r>
      <w:r w:rsidR="00010705" w:rsidRPr="006B296A">
        <w:rPr>
          <w:szCs w:val="22"/>
        </w:rPr>
        <w:t xml:space="preserve">Option 2 may involve minimal costs, but </w:t>
      </w:r>
      <w:r w:rsidR="00630483">
        <w:rPr>
          <w:szCs w:val="22"/>
        </w:rPr>
        <w:t xml:space="preserve">it </w:t>
      </w:r>
      <w:r w:rsidR="00C0358F">
        <w:rPr>
          <w:szCs w:val="22"/>
        </w:rPr>
        <w:t xml:space="preserve">is likely to deliver </w:t>
      </w:r>
      <w:r w:rsidR="008A6D87">
        <w:rPr>
          <w:szCs w:val="22"/>
        </w:rPr>
        <w:t>minimal</w:t>
      </w:r>
      <w:r w:rsidR="008A6D87" w:rsidRPr="006B296A">
        <w:rPr>
          <w:szCs w:val="22"/>
        </w:rPr>
        <w:t xml:space="preserve"> </w:t>
      </w:r>
      <w:r w:rsidR="00010705" w:rsidRPr="006B296A">
        <w:rPr>
          <w:szCs w:val="22"/>
        </w:rPr>
        <w:t>impact</w:t>
      </w:r>
      <w:r w:rsidR="00C0358F">
        <w:rPr>
          <w:szCs w:val="22"/>
        </w:rPr>
        <w:t>, as it</w:t>
      </w:r>
      <w:r w:rsidR="00010705" w:rsidRPr="006B296A">
        <w:rPr>
          <w:szCs w:val="22"/>
        </w:rPr>
        <w:t xml:space="preserve"> </w:t>
      </w:r>
      <w:r w:rsidR="002F7E16">
        <w:rPr>
          <w:szCs w:val="22"/>
        </w:rPr>
        <w:t>does</w:t>
      </w:r>
      <w:r w:rsidR="00010705" w:rsidRPr="006B296A">
        <w:rPr>
          <w:szCs w:val="22"/>
        </w:rPr>
        <w:t xml:space="preserve"> not</w:t>
      </w:r>
      <w:r w:rsidR="002F7E16">
        <w:rPr>
          <w:szCs w:val="22"/>
        </w:rPr>
        <w:t xml:space="preserve"> consistently</w:t>
      </w:r>
      <w:r w:rsidR="00010705" w:rsidRPr="006B296A">
        <w:rPr>
          <w:szCs w:val="22"/>
        </w:rPr>
        <w:t xml:space="preserve"> address the underlying drivers of GBV or deliver the systemic change promised in the National Plan</w:t>
      </w:r>
      <w:r w:rsidR="00D46131">
        <w:rPr>
          <w:szCs w:val="22"/>
        </w:rPr>
        <w:t xml:space="preserve"> (this is further evidenced in chapter 1.6</w:t>
      </w:r>
      <w:r w:rsidR="000D41E0">
        <w:rPr>
          <w:szCs w:val="22"/>
        </w:rPr>
        <w:t xml:space="preserve"> in relation to voluntary frameworks)</w:t>
      </w:r>
      <w:r w:rsidR="00010705" w:rsidRPr="006B296A">
        <w:rPr>
          <w:szCs w:val="22"/>
        </w:rPr>
        <w:t>. Harm caused by inconsistent responses to GBV would persist, and any benefits to staff, students, and volunteers would mirror the current status quo</w:t>
      </w:r>
      <w:r w:rsidR="00D564E3" w:rsidRPr="006B296A">
        <w:rPr>
          <w:szCs w:val="22"/>
        </w:rPr>
        <w:t xml:space="preserve">, </w:t>
      </w:r>
      <w:r w:rsidR="00010705" w:rsidRPr="006B296A">
        <w:rPr>
          <w:szCs w:val="22"/>
        </w:rPr>
        <w:t>entirely dependent on individual institutional action.</w:t>
      </w:r>
    </w:p>
    <w:p w14:paraId="003600B3" w14:textId="2D0B41FE" w:rsidR="00F12E1B" w:rsidRDefault="00F12E1B" w:rsidP="00F12E1B">
      <w:pPr>
        <w:pStyle w:val="Heading2"/>
      </w:pPr>
      <w:bookmarkStart w:id="153" w:name="_Toc204699881"/>
      <w:bookmarkStart w:id="154" w:name="_Toc210050243"/>
      <w:r>
        <w:lastRenderedPageBreak/>
        <w:t xml:space="preserve">Option 3 </w:t>
      </w:r>
      <w:r w:rsidR="00C24410">
        <w:t>–</w:t>
      </w:r>
      <w:r>
        <w:t xml:space="preserve"> </w:t>
      </w:r>
      <w:r w:rsidR="008743F1">
        <w:t>National Code</w:t>
      </w:r>
      <w:r w:rsidR="00C24410">
        <w:t xml:space="preserve"> as new regulation</w:t>
      </w:r>
      <w:bookmarkEnd w:id="153"/>
      <w:bookmarkEnd w:id="154"/>
      <w:r w:rsidR="00C24410">
        <w:t xml:space="preserve"> </w:t>
      </w:r>
    </w:p>
    <w:p w14:paraId="5FF44DDE" w14:textId="046086B8" w:rsidR="00F12E1B" w:rsidRPr="006B296A" w:rsidRDefault="00F12E1B" w:rsidP="00F12E1B">
      <w:pPr>
        <w:spacing w:before="120" w:after="120" w:line="240" w:lineRule="auto"/>
        <w:rPr>
          <w:rFonts w:cs="Calibri"/>
          <w:szCs w:val="22"/>
        </w:rPr>
      </w:pPr>
      <w:r w:rsidRPr="006B296A">
        <w:rPr>
          <w:rFonts w:cs="Calibri"/>
          <w:szCs w:val="22"/>
        </w:rPr>
        <w:t xml:space="preserve">Option 3 would see all HEPs required to comply with the </w:t>
      </w:r>
      <w:r w:rsidR="008743F1" w:rsidRPr="006B296A">
        <w:rPr>
          <w:rFonts w:cs="Calibri"/>
          <w:szCs w:val="22"/>
        </w:rPr>
        <w:t>National Code</w:t>
      </w:r>
      <w:r w:rsidRPr="006B296A">
        <w:rPr>
          <w:rFonts w:cs="Calibri"/>
          <w:szCs w:val="22"/>
        </w:rPr>
        <w:t xml:space="preserve"> as a formal component of the regulatory framework of the higher education sector.</w:t>
      </w:r>
    </w:p>
    <w:p w14:paraId="3A5C2B28" w14:textId="0C5EA326" w:rsidR="00F12E1B" w:rsidRPr="006B296A" w:rsidRDefault="003277B7" w:rsidP="00F12E1B">
      <w:pPr>
        <w:rPr>
          <w:rFonts w:cs="Calibri"/>
          <w:b/>
          <w:szCs w:val="22"/>
        </w:rPr>
      </w:pPr>
      <w:r w:rsidRPr="006B296A">
        <w:rPr>
          <w:rFonts w:cs="Calibri"/>
          <w:szCs w:val="22"/>
        </w:rPr>
        <w:t xml:space="preserve">A </w:t>
      </w:r>
      <w:r w:rsidR="005C6C35">
        <w:rPr>
          <w:rFonts w:cs="Calibri"/>
          <w:szCs w:val="22"/>
        </w:rPr>
        <w:t>cost-benefit analysis</w:t>
      </w:r>
      <w:r w:rsidR="00F12E1B" w:rsidRPr="006B296A">
        <w:rPr>
          <w:rFonts w:cs="Calibri"/>
          <w:szCs w:val="22"/>
        </w:rPr>
        <w:t xml:space="preserve"> has been undertaken by Deloitte Access Economics </w:t>
      </w:r>
      <w:r w:rsidR="005C6C35">
        <w:rPr>
          <w:rFonts w:cs="Calibri"/>
          <w:szCs w:val="22"/>
        </w:rPr>
        <w:t>(the CBA)</w:t>
      </w:r>
      <w:r w:rsidR="00F12E1B" w:rsidRPr="006B296A">
        <w:rPr>
          <w:rFonts w:cs="Calibri"/>
          <w:szCs w:val="22"/>
        </w:rPr>
        <w:t xml:space="preserve"> to assess the potential impacts of Option 3. </w:t>
      </w:r>
      <w:r w:rsidRPr="006B296A">
        <w:rPr>
          <w:rFonts w:cs="Calibri"/>
          <w:bCs/>
          <w:szCs w:val="22"/>
        </w:rPr>
        <w:t>Unless otherwise stated, all monetary values</w:t>
      </w:r>
      <w:r w:rsidR="00C01893" w:rsidRPr="006B296A">
        <w:rPr>
          <w:rFonts w:cs="Calibri"/>
          <w:bCs/>
          <w:szCs w:val="22"/>
        </w:rPr>
        <w:t xml:space="preserve">, </w:t>
      </w:r>
      <w:r w:rsidRPr="006B296A">
        <w:rPr>
          <w:rFonts w:cs="Calibri"/>
          <w:bCs/>
          <w:szCs w:val="22"/>
        </w:rPr>
        <w:t>calculations</w:t>
      </w:r>
      <w:r w:rsidR="00C01893" w:rsidRPr="006B296A">
        <w:rPr>
          <w:rFonts w:cs="Calibri"/>
          <w:bCs/>
          <w:szCs w:val="22"/>
        </w:rPr>
        <w:t xml:space="preserve"> and estimations</w:t>
      </w:r>
      <w:r w:rsidRPr="006B296A">
        <w:rPr>
          <w:rFonts w:cs="Calibri"/>
          <w:bCs/>
          <w:szCs w:val="22"/>
        </w:rPr>
        <w:t xml:space="preserve"> under this chapter are from the CBA</w:t>
      </w:r>
      <w:r w:rsidR="00F12E1B" w:rsidRPr="006B296A">
        <w:rPr>
          <w:rFonts w:cs="Calibri"/>
          <w:szCs w:val="22"/>
        </w:rPr>
        <w:t>.</w:t>
      </w:r>
    </w:p>
    <w:p w14:paraId="7CF07618" w14:textId="1188D826" w:rsidR="00F12E1B" w:rsidRPr="001D1911" w:rsidRDefault="00F12E1B" w:rsidP="00F12E1B">
      <w:pPr>
        <w:pStyle w:val="Heading3"/>
      </w:pPr>
      <w:bookmarkStart w:id="155" w:name="_Toc204682628"/>
      <w:bookmarkStart w:id="156" w:name="_Toc204699882"/>
      <w:bookmarkStart w:id="157" w:name="_Toc204763332"/>
      <w:bookmarkStart w:id="158" w:name="_Toc204764900"/>
      <w:r w:rsidRPr="001D1911">
        <w:t>Methodology for cost-benefit analysis</w:t>
      </w:r>
      <w:bookmarkEnd w:id="155"/>
      <w:bookmarkEnd w:id="156"/>
      <w:bookmarkEnd w:id="157"/>
      <w:bookmarkEnd w:id="158"/>
      <w:r w:rsidRPr="001D1911">
        <w:t xml:space="preserve"> </w:t>
      </w:r>
    </w:p>
    <w:p w14:paraId="2FEF6B62" w14:textId="499FF43C" w:rsidR="00F12E1B" w:rsidRPr="006B296A" w:rsidRDefault="00F12E1B" w:rsidP="00F12E1B">
      <w:pPr>
        <w:rPr>
          <w:szCs w:val="22"/>
        </w:rPr>
      </w:pPr>
      <w:r w:rsidRPr="006B296A">
        <w:rPr>
          <w:szCs w:val="22"/>
        </w:rPr>
        <w:t>To evaluate Option 3 the CBA applied three key economic tools:</w:t>
      </w:r>
    </w:p>
    <w:p w14:paraId="0EF76167" w14:textId="570D9C09" w:rsidR="00F12E1B" w:rsidRPr="006B296A" w:rsidRDefault="00F12E1B" w:rsidP="006B296A">
      <w:pPr>
        <w:numPr>
          <w:ilvl w:val="0"/>
          <w:numId w:val="134"/>
        </w:numPr>
        <w:spacing w:after="0"/>
        <w:rPr>
          <w:szCs w:val="22"/>
        </w:rPr>
      </w:pPr>
      <w:r w:rsidRPr="006B296A">
        <w:rPr>
          <w:b/>
          <w:bCs/>
          <w:szCs w:val="22"/>
        </w:rPr>
        <w:t>Break-Even Analysis (BEA):</w:t>
      </w:r>
      <w:r w:rsidRPr="006B296A">
        <w:rPr>
          <w:szCs w:val="22"/>
        </w:rPr>
        <w:t xml:space="preserve"> Determines the minimum level of effectiveness required for benefits to equal </w:t>
      </w:r>
      <w:r w:rsidR="0051722D" w:rsidRPr="006B296A">
        <w:rPr>
          <w:szCs w:val="22"/>
        </w:rPr>
        <w:t>the</w:t>
      </w:r>
      <w:r w:rsidRPr="006B296A">
        <w:rPr>
          <w:szCs w:val="22"/>
        </w:rPr>
        <w:t xml:space="preserve"> costs. Any benefit beyond this threshold results in a net positive impact.</w:t>
      </w:r>
    </w:p>
    <w:p w14:paraId="0AE2FDD7" w14:textId="404C8521" w:rsidR="007665FD" w:rsidRPr="006B296A" w:rsidRDefault="00F12E1B" w:rsidP="006B296A">
      <w:pPr>
        <w:numPr>
          <w:ilvl w:val="0"/>
          <w:numId w:val="134"/>
        </w:numPr>
        <w:spacing w:after="0"/>
        <w:rPr>
          <w:szCs w:val="22"/>
        </w:rPr>
      </w:pPr>
      <w:r w:rsidRPr="006B296A">
        <w:rPr>
          <w:b/>
          <w:bCs/>
          <w:szCs w:val="22"/>
        </w:rPr>
        <w:t>Benefit-Cost Ratio (BCR):</w:t>
      </w:r>
      <w:r w:rsidRPr="006B296A">
        <w:rPr>
          <w:szCs w:val="22"/>
        </w:rPr>
        <w:t> Compares the value of benefits to costs. A BCR of 1 or greater indicates that benefits exceed costs</w:t>
      </w:r>
      <w:r w:rsidR="0051722D" w:rsidRPr="006B296A">
        <w:rPr>
          <w:szCs w:val="22"/>
        </w:rPr>
        <w:t xml:space="preserve"> (</w:t>
      </w:r>
      <w:r w:rsidRPr="006B296A">
        <w:rPr>
          <w:szCs w:val="22"/>
        </w:rPr>
        <w:t xml:space="preserve">for example, a BCR of 1.2 means that </w:t>
      </w:r>
      <w:r w:rsidR="0051722D" w:rsidRPr="006B296A">
        <w:rPr>
          <w:szCs w:val="22"/>
        </w:rPr>
        <w:t>for</w:t>
      </w:r>
      <w:r w:rsidRPr="006B296A">
        <w:rPr>
          <w:szCs w:val="22"/>
        </w:rPr>
        <w:t xml:space="preserve"> every $1 spent yields $1.20 in benefits</w:t>
      </w:r>
      <w:r w:rsidR="0051722D" w:rsidRPr="006B296A">
        <w:rPr>
          <w:szCs w:val="22"/>
        </w:rPr>
        <w:t>)</w:t>
      </w:r>
      <w:r w:rsidRPr="006B296A">
        <w:rPr>
          <w:szCs w:val="22"/>
        </w:rPr>
        <w:t>.</w:t>
      </w:r>
    </w:p>
    <w:p w14:paraId="4EACED15" w14:textId="1D77CC25" w:rsidR="000330E5" w:rsidRPr="006B296A" w:rsidRDefault="00F12E1B" w:rsidP="00DD4830">
      <w:pPr>
        <w:numPr>
          <w:ilvl w:val="0"/>
          <w:numId w:val="134"/>
        </w:numPr>
        <w:rPr>
          <w:szCs w:val="22"/>
        </w:rPr>
      </w:pPr>
      <w:r w:rsidRPr="007665FD">
        <w:rPr>
          <w:b/>
          <w:bCs/>
          <w:szCs w:val="22"/>
        </w:rPr>
        <w:t>Net Present Value (NPV):</w:t>
      </w:r>
      <w:r w:rsidRPr="007665FD">
        <w:rPr>
          <w:szCs w:val="22"/>
        </w:rPr>
        <w:t> Calculates the total economic value by converting future costs and benefits into present-day dollars.</w:t>
      </w:r>
    </w:p>
    <w:p w14:paraId="302B78EA" w14:textId="2B0B513A" w:rsidR="005D4E1F" w:rsidRPr="006B296A" w:rsidRDefault="00F12E1B" w:rsidP="00F12E1B">
      <w:pPr>
        <w:rPr>
          <w:szCs w:val="22"/>
        </w:rPr>
      </w:pPr>
      <w:r w:rsidRPr="006B296A">
        <w:rPr>
          <w:szCs w:val="22"/>
        </w:rPr>
        <w:t xml:space="preserve">Together these tools provide a comprehensive assessment of the financial viability of implementing the </w:t>
      </w:r>
      <w:r w:rsidR="008743F1" w:rsidRPr="006B296A">
        <w:rPr>
          <w:szCs w:val="22"/>
        </w:rPr>
        <w:t>National Code</w:t>
      </w:r>
      <w:r w:rsidR="00456C9A" w:rsidRPr="006B296A">
        <w:rPr>
          <w:szCs w:val="22"/>
        </w:rPr>
        <w:t>:</w:t>
      </w:r>
    </w:p>
    <w:p w14:paraId="5BC6F473" w14:textId="070C5884" w:rsidR="00456C9A" w:rsidRPr="00DD4830" w:rsidRDefault="00F12E1B" w:rsidP="00DD4830">
      <w:pPr>
        <w:pStyle w:val="ListParagraph"/>
        <w:numPr>
          <w:ilvl w:val="0"/>
          <w:numId w:val="199"/>
        </w:numPr>
        <w:rPr>
          <w:rFonts w:eastAsia="Aptos"/>
          <w:szCs w:val="22"/>
        </w:rPr>
      </w:pPr>
      <w:r w:rsidRPr="00DD4830">
        <w:rPr>
          <w:b/>
          <w:szCs w:val="22"/>
        </w:rPr>
        <w:t xml:space="preserve">BEA identifies the point at which the </w:t>
      </w:r>
      <w:r w:rsidR="008743F1" w:rsidRPr="00DD4830">
        <w:rPr>
          <w:b/>
          <w:szCs w:val="22"/>
        </w:rPr>
        <w:t>National Code</w:t>
      </w:r>
      <w:r w:rsidRPr="00DD4830">
        <w:rPr>
          <w:b/>
          <w:szCs w:val="22"/>
        </w:rPr>
        <w:t xml:space="preserve"> begins to deliver net benefits</w:t>
      </w:r>
      <w:r w:rsidR="005A762F" w:rsidRPr="001A543A">
        <w:rPr>
          <w:szCs w:val="22"/>
        </w:rPr>
        <w:t xml:space="preserve"> (this is considered in </w:t>
      </w:r>
      <w:r w:rsidR="006136B1">
        <w:rPr>
          <w:szCs w:val="22"/>
        </w:rPr>
        <w:t>C</w:t>
      </w:r>
      <w:r w:rsidR="005A762F" w:rsidRPr="001A543A">
        <w:rPr>
          <w:szCs w:val="22"/>
        </w:rPr>
        <w:t xml:space="preserve">hapter 4.3.7.1 </w:t>
      </w:r>
      <w:r w:rsidR="005A762F" w:rsidRPr="001A543A">
        <w:rPr>
          <w:i/>
          <w:szCs w:val="22"/>
        </w:rPr>
        <w:t>Benefits of prevention of GBV</w:t>
      </w:r>
      <w:r w:rsidR="005A762F" w:rsidRPr="00DD4830">
        <w:rPr>
          <w:szCs w:val="22"/>
        </w:rPr>
        <w:t>)</w:t>
      </w:r>
      <w:r w:rsidR="001C6877">
        <w:rPr>
          <w:szCs w:val="22"/>
        </w:rPr>
        <w:t>.</w:t>
      </w:r>
    </w:p>
    <w:p w14:paraId="43BD7BDD" w14:textId="5B673D0A" w:rsidR="00456C9A" w:rsidRPr="003B20A8" w:rsidRDefault="00F12E1B" w:rsidP="003B20A8">
      <w:pPr>
        <w:pStyle w:val="ListParagraph"/>
        <w:numPr>
          <w:ilvl w:val="0"/>
          <w:numId w:val="178"/>
        </w:numPr>
        <w:rPr>
          <w:szCs w:val="22"/>
        </w:rPr>
      </w:pPr>
      <w:r w:rsidRPr="00DD4830">
        <w:rPr>
          <w:b/>
          <w:szCs w:val="22"/>
        </w:rPr>
        <w:t>BCR quantifies the return on investment</w:t>
      </w:r>
      <w:r w:rsidR="005A762F">
        <w:rPr>
          <w:szCs w:val="22"/>
        </w:rPr>
        <w:t xml:space="preserve"> (this is considered in c</w:t>
      </w:r>
      <w:r w:rsidR="005A762F" w:rsidRPr="003B20A8">
        <w:rPr>
          <w:szCs w:val="22"/>
        </w:rPr>
        <w:t xml:space="preserve">hapters </w:t>
      </w:r>
      <w:r w:rsidR="009A75F4" w:rsidRPr="003B20A8">
        <w:rPr>
          <w:szCs w:val="22"/>
        </w:rPr>
        <w:t xml:space="preserve">4.3.7 </w:t>
      </w:r>
      <w:r w:rsidR="009A75F4" w:rsidRPr="003B20A8">
        <w:rPr>
          <w:i/>
          <w:iCs/>
          <w:szCs w:val="22"/>
        </w:rPr>
        <w:t>Benefits of the National Code as new regulation</w:t>
      </w:r>
      <w:r w:rsidR="009A75F4" w:rsidRPr="003B20A8">
        <w:rPr>
          <w:szCs w:val="22"/>
        </w:rPr>
        <w:t xml:space="preserve"> and 4.3.9 </w:t>
      </w:r>
      <w:r w:rsidR="009A75F4" w:rsidRPr="003B20A8">
        <w:rPr>
          <w:i/>
          <w:iCs/>
          <w:szCs w:val="22"/>
        </w:rPr>
        <w:t>Net benefits of the National Code</w:t>
      </w:r>
      <w:r w:rsidR="009A75F4" w:rsidRPr="003B20A8">
        <w:rPr>
          <w:szCs w:val="22"/>
        </w:rPr>
        <w:t xml:space="preserve">). </w:t>
      </w:r>
    </w:p>
    <w:p w14:paraId="5E5A4381" w14:textId="64A1B73E" w:rsidR="00456C9A" w:rsidRPr="006B296A" w:rsidRDefault="00F12E1B" w:rsidP="008D4824">
      <w:pPr>
        <w:pStyle w:val="ListParagraph"/>
        <w:numPr>
          <w:ilvl w:val="0"/>
          <w:numId w:val="178"/>
        </w:numPr>
        <w:rPr>
          <w:szCs w:val="22"/>
        </w:rPr>
      </w:pPr>
      <w:r w:rsidRPr="00DD4830">
        <w:rPr>
          <w:b/>
          <w:szCs w:val="22"/>
        </w:rPr>
        <w:t>NPV evaluates long-term economic value</w:t>
      </w:r>
      <w:r w:rsidR="009A75F4">
        <w:rPr>
          <w:szCs w:val="22"/>
        </w:rPr>
        <w:t xml:space="preserve"> (this is considered throughout </w:t>
      </w:r>
      <w:r w:rsidR="006136B1">
        <w:rPr>
          <w:szCs w:val="22"/>
        </w:rPr>
        <w:t>C</w:t>
      </w:r>
      <w:r w:rsidR="009A75F4">
        <w:rPr>
          <w:szCs w:val="22"/>
        </w:rPr>
        <w:t xml:space="preserve">hapter 4.3 and is represented </w:t>
      </w:r>
      <w:r w:rsidR="005D4E1F">
        <w:rPr>
          <w:szCs w:val="22"/>
        </w:rPr>
        <w:t xml:space="preserve">as </w:t>
      </w:r>
      <w:r w:rsidR="005D4E1F">
        <w:rPr>
          <w:i/>
          <w:iCs/>
          <w:szCs w:val="22"/>
        </w:rPr>
        <w:t>present value</w:t>
      </w:r>
      <w:r w:rsidR="005D4E1F">
        <w:rPr>
          <w:szCs w:val="22"/>
        </w:rPr>
        <w:t xml:space="preserve"> or </w:t>
      </w:r>
      <w:r w:rsidR="005D4E1F">
        <w:rPr>
          <w:i/>
          <w:iCs/>
          <w:szCs w:val="22"/>
        </w:rPr>
        <w:t>present value over ten years</w:t>
      </w:r>
      <w:r w:rsidR="005D4E1F">
        <w:rPr>
          <w:szCs w:val="22"/>
        </w:rPr>
        <w:t xml:space="preserve">). </w:t>
      </w:r>
    </w:p>
    <w:p w14:paraId="15B81AC0" w14:textId="37379976" w:rsidR="00F12E1B" w:rsidRPr="00D74105" w:rsidRDefault="00F12E1B" w:rsidP="00F12E1B">
      <w:pPr>
        <w:rPr>
          <w:rFonts w:eastAsia="Aptos"/>
          <w:szCs w:val="22"/>
        </w:rPr>
      </w:pPr>
      <w:r w:rsidRPr="006B296A">
        <w:rPr>
          <w:szCs w:val="22"/>
        </w:rPr>
        <w:t xml:space="preserve">BEA is particularly useful when the impact of the </w:t>
      </w:r>
      <w:r w:rsidR="008743F1" w:rsidRPr="006B296A">
        <w:rPr>
          <w:szCs w:val="22"/>
        </w:rPr>
        <w:t>National Code</w:t>
      </w:r>
      <w:r w:rsidRPr="006B296A">
        <w:rPr>
          <w:szCs w:val="22"/>
        </w:rPr>
        <w:t xml:space="preserve"> is uncertain</w:t>
      </w:r>
      <w:r w:rsidR="00204D71" w:rsidRPr="006B296A">
        <w:rPr>
          <w:szCs w:val="22"/>
        </w:rPr>
        <w:t xml:space="preserve"> (for example</w:t>
      </w:r>
      <w:r w:rsidRPr="006B296A">
        <w:rPr>
          <w:szCs w:val="22"/>
        </w:rPr>
        <w:t xml:space="preserve"> if the break-even point is considered achievable, the benefits of the </w:t>
      </w:r>
      <w:r w:rsidR="008743F1" w:rsidRPr="006B296A">
        <w:rPr>
          <w:szCs w:val="22"/>
        </w:rPr>
        <w:t>National Code</w:t>
      </w:r>
      <w:r w:rsidRPr="006B296A">
        <w:rPr>
          <w:szCs w:val="22"/>
        </w:rPr>
        <w:t xml:space="preserve"> are more defensible despite any uncertainty</w:t>
      </w:r>
      <w:r w:rsidR="00204D71" w:rsidRPr="006B296A">
        <w:rPr>
          <w:szCs w:val="22"/>
        </w:rPr>
        <w:t>).</w:t>
      </w:r>
      <w:r w:rsidR="00182906">
        <w:rPr>
          <w:szCs w:val="22"/>
        </w:rPr>
        <w:t xml:space="preserve"> </w:t>
      </w:r>
    </w:p>
    <w:p w14:paraId="52E6F544" w14:textId="22086A45" w:rsidR="00F12E1B" w:rsidRPr="006B296A" w:rsidRDefault="00F12E1B" w:rsidP="00F12E1B">
      <w:pPr>
        <w:rPr>
          <w:szCs w:val="22"/>
        </w:rPr>
      </w:pPr>
      <w:r w:rsidRPr="006B296A">
        <w:rPr>
          <w:szCs w:val="22"/>
        </w:rPr>
        <w:t xml:space="preserve">All assessments are benchmarked against Option 1 </w:t>
      </w:r>
      <w:r w:rsidR="00204D71" w:rsidRPr="006B296A">
        <w:rPr>
          <w:szCs w:val="22"/>
        </w:rPr>
        <w:t>- S</w:t>
      </w:r>
      <w:r w:rsidRPr="006B296A">
        <w:rPr>
          <w:szCs w:val="22"/>
        </w:rPr>
        <w:t xml:space="preserve">tatus quo, which reflects current legal and policy obligations. Under Option 1, HEPs are already subject to legislative requirements related to education and workplace health and safety, and many have internal safety policies that may include </w:t>
      </w:r>
      <w:r w:rsidR="008223FC" w:rsidRPr="006B296A">
        <w:rPr>
          <w:szCs w:val="22"/>
        </w:rPr>
        <w:t>GBV</w:t>
      </w:r>
      <w:r w:rsidRPr="006B296A">
        <w:rPr>
          <w:szCs w:val="22"/>
        </w:rPr>
        <w:t>. Therefore, the costs attributed to Option 3 represent only the incremental costs incurred beyond existing practices.</w:t>
      </w:r>
    </w:p>
    <w:p w14:paraId="015C106B" w14:textId="40987BDF" w:rsidR="00F12E1B" w:rsidRPr="006B296A" w:rsidRDefault="00F12E1B" w:rsidP="00F12E1B">
      <w:pPr>
        <w:rPr>
          <w:szCs w:val="22"/>
        </w:rPr>
      </w:pPr>
      <w:r w:rsidRPr="006B296A">
        <w:rPr>
          <w:szCs w:val="22"/>
        </w:rPr>
        <w:t xml:space="preserve">Each standard within the </w:t>
      </w:r>
      <w:r w:rsidR="008743F1" w:rsidRPr="006B296A">
        <w:rPr>
          <w:szCs w:val="22"/>
        </w:rPr>
        <w:t>National Code</w:t>
      </w:r>
      <w:r w:rsidRPr="006B296A">
        <w:rPr>
          <w:szCs w:val="22"/>
        </w:rPr>
        <w:t xml:space="preserve"> has been individually costed in relation to key stakeholder groups. These costs are then aggregated and compared to the overall benefits of the </w:t>
      </w:r>
      <w:r w:rsidR="008743F1" w:rsidRPr="006B296A">
        <w:rPr>
          <w:szCs w:val="22"/>
        </w:rPr>
        <w:t>National Code</w:t>
      </w:r>
      <w:r w:rsidRPr="006B296A">
        <w:rPr>
          <w:szCs w:val="22"/>
        </w:rPr>
        <w:t xml:space="preserve">, recognising that the standards are designed to operate collectively to achieve sector-wide improvements. The difference between the </w:t>
      </w:r>
      <w:r w:rsidR="008743F1" w:rsidRPr="006B296A">
        <w:rPr>
          <w:szCs w:val="22"/>
        </w:rPr>
        <w:t>National Code</w:t>
      </w:r>
      <w:r w:rsidRPr="006B296A">
        <w:rPr>
          <w:szCs w:val="22"/>
        </w:rPr>
        <w:t>’s benefits</w:t>
      </w:r>
      <w:r w:rsidR="00E307FF" w:rsidRPr="006B296A">
        <w:rPr>
          <w:szCs w:val="22"/>
        </w:rPr>
        <w:t xml:space="preserve">, </w:t>
      </w:r>
      <w:r w:rsidRPr="006B296A">
        <w:rPr>
          <w:szCs w:val="22"/>
        </w:rPr>
        <w:t>such as enhanced safety and wellbeing</w:t>
      </w:r>
      <w:r w:rsidR="00E307FF" w:rsidRPr="006B296A">
        <w:rPr>
          <w:szCs w:val="22"/>
        </w:rPr>
        <w:t xml:space="preserve">, </w:t>
      </w:r>
      <w:r w:rsidRPr="006B296A">
        <w:rPr>
          <w:szCs w:val="22"/>
        </w:rPr>
        <w:t>and the additional time, effort, and resources required for implementation is measured using both NPV and BCR.</w:t>
      </w:r>
    </w:p>
    <w:p w14:paraId="43EE7CC3" w14:textId="0EFC23AC" w:rsidR="00F12E1B" w:rsidRPr="006B296A" w:rsidRDefault="00F12E1B" w:rsidP="00F12E1B">
      <w:pPr>
        <w:rPr>
          <w:szCs w:val="22"/>
        </w:rPr>
      </w:pPr>
      <w:r w:rsidRPr="006B296A">
        <w:rPr>
          <w:szCs w:val="22"/>
        </w:rPr>
        <w:lastRenderedPageBreak/>
        <w:t>Where feasible, costs and benefits have been monetised. All financial figures are presented in real (current) dollar terms.</w:t>
      </w:r>
      <w:r w:rsidRPr="006B296A">
        <w:rPr>
          <w:rStyle w:val="FootnoteReference"/>
          <w:szCs w:val="22"/>
        </w:rPr>
        <w:footnoteReference w:id="131"/>
      </w:r>
      <w:r w:rsidRPr="006B296A">
        <w:rPr>
          <w:szCs w:val="22"/>
        </w:rPr>
        <w:t xml:space="preserve">  In line with Australian regulatory impact guidelines, the CBA models costs and benefits over a ten-year period using NPV methodology.</w:t>
      </w:r>
      <w:r w:rsidRPr="006B296A">
        <w:rPr>
          <w:rStyle w:val="FootnoteReference"/>
          <w:szCs w:val="22"/>
        </w:rPr>
        <w:footnoteReference w:id="132"/>
      </w:r>
      <w:r w:rsidRPr="006B296A">
        <w:rPr>
          <w:szCs w:val="22"/>
        </w:rPr>
        <w:t xml:space="preserve">  This approach ensures that future values are appropriately discounted at a real rate of 7</w:t>
      </w:r>
      <w:r w:rsidR="003F715B">
        <w:rPr>
          <w:szCs w:val="22"/>
        </w:rPr>
        <w:t>%</w:t>
      </w:r>
      <w:r w:rsidRPr="006B296A">
        <w:rPr>
          <w:szCs w:val="22"/>
        </w:rPr>
        <w:t>.</w:t>
      </w:r>
      <w:r w:rsidRPr="006B296A">
        <w:rPr>
          <w:rStyle w:val="FootnoteReference"/>
          <w:szCs w:val="22"/>
        </w:rPr>
        <w:footnoteReference w:id="133"/>
      </w:r>
      <w:r w:rsidRPr="006B296A">
        <w:rPr>
          <w:szCs w:val="22"/>
        </w:rPr>
        <w:t xml:space="preserve">  Sensitivity analysis has been conducted on this discount rate and other key assumptions to account for uncertainty and assess the robustness of the results.</w:t>
      </w:r>
      <w:r w:rsidRPr="006B296A">
        <w:rPr>
          <w:rStyle w:val="FootnoteReference"/>
          <w:szCs w:val="22"/>
        </w:rPr>
        <w:footnoteReference w:id="134"/>
      </w:r>
    </w:p>
    <w:p w14:paraId="2D9736F6" w14:textId="5615FDA3" w:rsidR="001F02CF" w:rsidRPr="001F02CF" w:rsidRDefault="001F02CF" w:rsidP="001F02CF">
      <w:pPr>
        <w:pStyle w:val="Heading3"/>
      </w:pPr>
      <w:bookmarkStart w:id="159" w:name="_Toc204682629"/>
      <w:bookmarkStart w:id="160" w:name="_Toc204699883"/>
      <w:bookmarkStart w:id="161" w:name="_Toc204763333"/>
      <w:bookmarkStart w:id="162" w:name="_Toc204764901"/>
      <w:r w:rsidRPr="001F02CF">
        <w:t xml:space="preserve">Methodology of costs assessed in the </w:t>
      </w:r>
      <w:bookmarkEnd w:id="159"/>
      <w:bookmarkEnd w:id="160"/>
      <w:r w:rsidR="007C51FF">
        <w:t>cost-benefit analysis</w:t>
      </w:r>
      <w:bookmarkEnd w:id="161"/>
      <w:bookmarkEnd w:id="162"/>
      <w:r w:rsidR="007C51FF">
        <w:t xml:space="preserve"> </w:t>
      </w:r>
    </w:p>
    <w:p w14:paraId="1D2449AB" w14:textId="7223CAB2" w:rsidR="001F02CF" w:rsidRPr="006B296A" w:rsidRDefault="001F02CF" w:rsidP="001F02CF">
      <w:pPr>
        <w:rPr>
          <w:szCs w:val="22"/>
        </w:rPr>
      </w:pPr>
      <w:r w:rsidRPr="006B296A">
        <w:rPr>
          <w:szCs w:val="22"/>
        </w:rPr>
        <w:t xml:space="preserve">The costs associated with each proposed standard reflect the additional resources stakeholders must allocate for both the initial implementation and ongoing compliance with the </w:t>
      </w:r>
      <w:r w:rsidR="008743F1" w:rsidRPr="006B296A">
        <w:rPr>
          <w:szCs w:val="22"/>
        </w:rPr>
        <w:t>National Code</w:t>
      </w:r>
      <w:r w:rsidRPr="006B296A">
        <w:rPr>
          <w:szCs w:val="22"/>
        </w:rPr>
        <w:t>. These include:</w:t>
      </w:r>
    </w:p>
    <w:p w14:paraId="142AF7D8" w14:textId="70540F54" w:rsidR="001F02CF" w:rsidRPr="006B296A" w:rsidRDefault="00CD3778" w:rsidP="008D4824">
      <w:pPr>
        <w:pStyle w:val="ListParagraph"/>
        <w:numPr>
          <w:ilvl w:val="0"/>
          <w:numId w:val="135"/>
        </w:numPr>
        <w:rPr>
          <w:szCs w:val="22"/>
        </w:rPr>
      </w:pPr>
      <w:r w:rsidRPr="006B296A">
        <w:rPr>
          <w:szCs w:val="22"/>
        </w:rPr>
        <w:t>s</w:t>
      </w:r>
      <w:r w:rsidR="001F02CF" w:rsidRPr="006B296A">
        <w:rPr>
          <w:szCs w:val="22"/>
        </w:rPr>
        <w:t>taff time (opportunity cost)</w:t>
      </w:r>
    </w:p>
    <w:p w14:paraId="4F72E153" w14:textId="2D91DA38" w:rsidR="001F02CF" w:rsidRPr="006B296A" w:rsidRDefault="00CD3778" w:rsidP="008D4824">
      <w:pPr>
        <w:pStyle w:val="ListParagraph"/>
        <w:numPr>
          <w:ilvl w:val="0"/>
          <w:numId w:val="135"/>
        </w:numPr>
        <w:rPr>
          <w:szCs w:val="22"/>
        </w:rPr>
      </w:pPr>
      <w:r w:rsidRPr="006B296A">
        <w:rPr>
          <w:szCs w:val="22"/>
        </w:rPr>
        <w:t>r</w:t>
      </w:r>
      <w:r w:rsidR="001F02CF" w:rsidRPr="006B296A">
        <w:rPr>
          <w:szCs w:val="22"/>
        </w:rPr>
        <w:t>esource allocation for new activities</w:t>
      </w:r>
    </w:p>
    <w:p w14:paraId="053B0E6A" w14:textId="31EEC9D8" w:rsidR="001F02CF" w:rsidRPr="006B296A" w:rsidRDefault="00CD3778" w:rsidP="008D4824">
      <w:pPr>
        <w:pStyle w:val="ListParagraph"/>
        <w:numPr>
          <w:ilvl w:val="0"/>
          <w:numId w:val="135"/>
        </w:numPr>
        <w:rPr>
          <w:szCs w:val="22"/>
        </w:rPr>
      </w:pPr>
      <w:r w:rsidRPr="006B296A">
        <w:rPr>
          <w:szCs w:val="22"/>
        </w:rPr>
        <w:t>f</w:t>
      </w:r>
      <w:r w:rsidR="001F02CF" w:rsidRPr="006B296A">
        <w:rPr>
          <w:szCs w:val="22"/>
        </w:rPr>
        <w:t>inancial and capital investment in updating systems and processes</w:t>
      </w:r>
    </w:p>
    <w:p w14:paraId="45A4A324" w14:textId="32D2840C" w:rsidR="001F02CF" w:rsidRPr="006B296A" w:rsidRDefault="00CD3778" w:rsidP="008D4824">
      <w:pPr>
        <w:pStyle w:val="ListParagraph"/>
        <w:numPr>
          <w:ilvl w:val="0"/>
          <w:numId w:val="135"/>
        </w:numPr>
        <w:rPr>
          <w:szCs w:val="22"/>
        </w:rPr>
      </w:pPr>
      <w:r w:rsidRPr="006B296A">
        <w:rPr>
          <w:szCs w:val="22"/>
        </w:rPr>
        <w:t>o</w:t>
      </w:r>
      <w:r w:rsidR="001F02CF" w:rsidRPr="006B296A">
        <w:rPr>
          <w:szCs w:val="22"/>
        </w:rPr>
        <w:t>perating and administrative expenses, including recruitment to meet new expertise requirements</w:t>
      </w:r>
      <w:r w:rsidRPr="006B296A">
        <w:rPr>
          <w:szCs w:val="22"/>
        </w:rPr>
        <w:t>.</w:t>
      </w:r>
    </w:p>
    <w:p w14:paraId="5813837A" w14:textId="3AE0875C" w:rsidR="001F02CF" w:rsidRPr="006B296A" w:rsidRDefault="001F02CF" w:rsidP="001F02CF">
      <w:pPr>
        <w:rPr>
          <w:szCs w:val="22"/>
        </w:rPr>
      </w:pPr>
      <w:r w:rsidRPr="006B296A">
        <w:rPr>
          <w:szCs w:val="22"/>
        </w:rPr>
        <w:t xml:space="preserve">All costs are considered incremental, meaning they are incurred in addition to those already required under the current regulatory environment </w:t>
      </w:r>
      <w:r w:rsidR="00CD3778" w:rsidRPr="006B296A">
        <w:rPr>
          <w:szCs w:val="22"/>
        </w:rPr>
        <w:t xml:space="preserve">of </w:t>
      </w:r>
      <w:r w:rsidRPr="006B296A">
        <w:rPr>
          <w:szCs w:val="22"/>
        </w:rPr>
        <w:t>Option 1</w:t>
      </w:r>
      <w:r w:rsidR="00CD3778" w:rsidRPr="006B296A">
        <w:rPr>
          <w:szCs w:val="22"/>
        </w:rPr>
        <w:t xml:space="preserve"> – Status quo. </w:t>
      </w:r>
    </w:p>
    <w:p w14:paraId="30194530" w14:textId="2D1F28BE" w:rsidR="007815BF" w:rsidRPr="006B296A" w:rsidRDefault="007815BF" w:rsidP="007815BF">
      <w:pPr>
        <w:rPr>
          <w:szCs w:val="22"/>
        </w:rPr>
      </w:pPr>
      <w:r w:rsidRPr="006B296A">
        <w:rPr>
          <w:szCs w:val="22"/>
        </w:rPr>
        <w:t>It is important to note that the CBA only considers the direct cost implications of introducing the National Code. While this CBA estimates the cost to community organisations to be $0, it is acknowledged that if the National Code successfully results in an increase in GBV reporting that more victim-survivors (and potentially perpetrators) will seek support that would result in increased pressure and ultimately costs for external GBV and broader mental and physical health support services.</w:t>
      </w:r>
      <w:r w:rsidR="00BA35CD">
        <w:rPr>
          <w:rStyle w:val="FootnoteReference"/>
          <w:szCs w:val="22"/>
        </w:rPr>
        <w:footnoteReference w:id="135"/>
      </w:r>
      <w:r w:rsidRPr="006B296A">
        <w:rPr>
          <w:szCs w:val="22"/>
        </w:rPr>
        <w:t xml:space="preserve"> </w:t>
      </w:r>
    </w:p>
    <w:p w14:paraId="49F56546" w14:textId="77777777" w:rsidR="007815BF" w:rsidRPr="006B296A" w:rsidRDefault="007815BF" w:rsidP="001F02CF">
      <w:pPr>
        <w:rPr>
          <w:szCs w:val="22"/>
        </w:rPr>
      </w:pPr>
      <w:r w:rsidRPr="006B296A">
        <w:rPr>
          <w:szCs w:val="22"/>
        </w:rPr>
        <w:t>Noting that impacts on community organisations would be secondary or indirect impacts, they are considered challenging to estimate with confidence prior to implementation of the National Code and are not included in the CBA.</w:t>
      </w:r>
    </w:p>
    <w:p w14:paraId="7FA7D2A2" w14:textId="35FB4AB2" w:rsidR="001F02CF" w:rsidRPr="001F02CF" w:rsidRDefault="000D180A" w:rsidP="001F02CF">
      <w:pPr>
        <w:pStyle w:val="Heading4"/>
      </w:pPr>
      <w:r>
        <w:t>Methodology of c</w:t>
      </w:r>
      <w:r w:rsidR="001F02CF" w:rsidRPr="001F02CF">
        <w:t>osts to HEPs</w:t>
      </w:r>
    </w:p>
    <w:p w14:paraId="64487F98" w14:textId="2AAD1521" w:rsidR="001F02CF" w:rsidRPr="00AB6DB1" w:rsidRDefault="00CD3778" w:rsidP="001F02CF">
      <w:r>
        <w:t>C</w:t>
      </w:r>
      <w:r w:rsidR="001F02CF" w:rsidRPr="00AB6DB1">
        <w:t>osts</w:t>
      </w:r>
      <w:r>
        <w:t xml:space="preserve"> for</w:t>
      </w:r>
      <w:r w:rsidR="001F02CF" w:rsidRPr="00AB6DB1">
        <w:t xml:space="preserve"> HEPs are categorised as follows:</w:t>
      </w:r>
    </w:p>
    <w:p w14:paraId="4C53D60A" w14:textId="6D49D1F7" w:rsidR="001F02CF" w:rsidRPr="006B296A" w:rsidRDefault="001F02CF" w:rsidP="008D4824">
      <w:pPr>
        <w:pStyle w:val="ListParagraph"/>
        <w:numPr>
          <w:ilvl w:val="0"/>
          <w:numId w:val="136"/>
        </w:numPr>
        <w:rPr>
          <w:szCs w:val="22"/>
        </w:rPr>
      </w:pPr>
      <w:r w:rsidRPr="006B296A">
        <w:rPr>
          <w:b/>
          <w:bCs/>
          <w:szCs w:val="22"/>
        </w:rPr>
        <w:t>One-off transition</w:t>
      </w:r>
      <w:r w:rsidR="00CD3778" w:rsidRPr="006B296A">
        <w:rPr>
          <w:b/>
          <w:bCs/>
          <w:szCs w:val="22"/>
        </w:rPr>
        <w:t>al</w:t>
      </w:r>
      <w:r w:rsidRPr="006B296A">
        <w:rPr>
          <w:b/>
          <w:bCs/>
          <w:szCs w:val="22"/>
        </w:rPr>
        <w:t xml:space="preserve"> costs</w:t>
      </w:r>
      <w:r w:rsidRPr="006B296A">
        <w:rPr>
          <w:szCs w:val="22"/>
        </w:rPr>
        <w:t xml:space="preserve">, such as staff time to interpret and implement the </w:t>
      </w:r>
      <w:r w:rsidR="008743F1" w:rsidRPr="006B296A">
        <w:rPr>
          <w:szCs w:val="22"/>
        </w:rPr>
        <w:t>National Code</w:t>
      </w:r>
      <w:r w:rsidRPr="006B296A">
        <w:rPr>
          <w:szCs w:val="22"/>
        </w:rPr>
        <w:t>, and to develop or update systems for incident data and reporting</w:t>
      </w:r>
      <w:r w:rsidR="00111D39" w:rsidRPr="006B296A">
        <w:rPr>
          <w:szCs w:val="22"/>
        </w:rPr>
        <w:t>.</w:t>
      </w:r>
      <w:r w:rsidRPr="006B296A">
        <w:rPr>
          <w:szCs w:val="22"/>
        </w:rPr>
        <w:t xml:space="preserve"> </w:t>
      </w:r>
    </w:p>
    <w:p w14:paraId="47472615" w14:textId="0FC3D9F2" w:rsidR="001F02CF" w:rsidRPr="006B296A" w:rsidRDefault="001F02CF" w:rsidP="008D4824">
      <w:pPr>
        <w:pStyle w:val="ListParagraph"/>
        <w:numPr>
          <w:ilvl w:val="0"/>
          <w:numId w:val="136"/>
        </w:numPr>
        <w:rPr>
          <w:szCs w:val="22"/>
        </w:rPr>
      </w:pPr>
      <w:r w:rsidRPr="006B296A">
        <w:rPr>
          <w:b/>
          <w:bCs/>
          <w:szCs w:val="22"/>
        </w:rPr>
        <w:t>Ongoing annual costs</w:t>
      </w:r>
      <w:r w:rsidRPr="006B296A">
        <w:rPr>
          <w:szCs w:val="22"/>
        </w:rPr>
        <w:t> for compliance, monitoring, and reporting</w:t>
      </w:r>
      <w:r w:rsidR="00CD3778" w:rsidRPr="006B296A">
        <w:rPr>
          <w:szCs w:val="22"/>
        </w:rPr>
        <w:t>.</w:t>
      </w:r>
    </w:p>
    <w:p w14:paraId="0F8CD56A" w14:textId="1EB95F8F" w:rsidR="001F02CF" w:rsidRPr="006B296A" w:rsidRDefault="001F02CF" w:rsidP="001F02CF">
      <w:pPr>
        <w:rPr>
          <w:szCs w:val="22"/>
        </w:rPr>
      </w:pPr>
      <w:r w:rsidRPr="006B296A">
        <w:rPr>
          <w:szCs w:val="22"/>
        </w:rPr>
        <w:t xml:space="preserve">These costs vary </w:t>
      </w:r>
      <w:r w:rsidR="00111D39" w:rsidRPr="006B296A">
        <w:rPr>
          <w:szCs w:val="22"/>
        </w:rPr>
        <w:t>per HEP</w:t>
      </w:r>
      <w:r w:rsidRPr="006B296A">
        <w:rPr>
          <w:szCs w:val="22"/>
        </w:rPr>
        <w:t xml:space="preserve"> depending on:</w:t>
      </w:r>
    </w:p>
    <w:p w14:paraId="28E3F88F" w14:textId="63DB3279" w:rsidR="001F02CF" w:rsidRPr="006B296A" w:rsidRDefault="00111D39" w:rsidP="008D4824">
      <w:pPr>
        <w:pStyle w:val="ListParagraph"/>
        <w:numPr>
          <w:ilvl w:val="0"/>
          <w:numId w:val="137"/>
        </w:numPr>
        <w:rPr>
          <w:szCs w:val="22"/>
        </w:rPr>
      </w:pPr>
      <w:r w:rsidRPr="006B296A">
        <w:rPr>
          <w:szCs w:val="22"/>
        </w:rPr>
        <w:t>t</w:t>
      </w:r>
      <w:r w:rsidR="001F02CF" w:rsidRPr="006B296A">
        <w:rPr>
          <w:szCs w:val="22"/>
        </w:rPr>
        <w:t>he specific standard being implemented</w:t>
      </w:r>
    </w:p>
    <w:p w14:paraId="4CC35081" w14:textId="1BA0E785" w:rsidR="001F02CF" w:rsidRPr="006B296A" w:rsidRDefault="00111D39" w:rsidP="008D4824">
      <w:pPr>
        <w:pStyle w:val="ListParagraph"/>
        <w:numPr>
          <w:ilvl w:val="0"/>
          <w:numId w:val="137"/>
        </w:numPr>
        <w:rPr>
          <w:szCs w:val="22"/>
        </w:rPr>
      </w:pPr>
      <w:r w:rsidRPr="006B296A">
        <w:rPr>
          <w:szCs w:val="22"/>
        </w:rPr>
        <w:t>t</w:t>
      </w:r>
      <w:r w:rsidR="001F02CF" w:rsidRPr="006B296A">
        <w:rPr>
          <w:szCs w:val="22"/>
        </w:rPr>
        <w:t>he volume of disclosures or formal reports received</w:t>
      </w:r>
    </w:p>
    <w:p w14:paraId="7BF4346F" w14:textId="250AFF8E" w:rsidR="001F02CF" w:rsidRPr="006B296A" w:rsidRDefault="00111D39" w:rsidP="008D4824">
      <w:pPr>
        <w:pStyle w:val="ListParagraph"/>
        <w:numPr>
          <w:ilvl w:val="0"/>
          <w:numId w:val="137"/>
        </w:numPr>
        <w:rPr>
          <w:szCs w:val="22"/>
        </w:rPr>
      </w:pPr>
      <w:r w:rsidRPr="006B296A">
        <w:rPr>
          <w:szCs w:val="22"/>
        </w:rPr>
        <w:t>t</w:t>
      </w:r>
      <w:r w:rsidR="001F02CF" w:rsidRPr="006B296A">
        <w:rPr>
          <w:szCs w:val="22"/>
        </w:rPr>
        <w:t>he size and resource capacity of the HEP</w:t>
      </w:r>
    </w:p>
    <w:p w14:paraId="628C82C7" w14:textId="7B332F39" w:rsidR="001F02CF" w:rsidRPr="006B296A" w:rsidRDefault="00111D39" w:rsidP="008D4824">
      <w:pPr>
        <w:pStyle w:val="ListParagraph"/>
        <w:numPr>
          <w:ilvl w:val="0"/>
          <w:numId w:val="137"/>
        </w:numPr>
        <w:rPr>
          <w:szCs w:val="22"/>
        </w:rPr>
      </w:pPr>
      <w:r w:rsidRPr="006B296A">
        <w:rPr>
          <w:szCs w:val="22"/>
        </w:rPr>
        <w:t>t</w:t>
      </w:r>
      <w:r w:rsidR="001F02CF" w:rsidRPr="006B296A">
        <w:rPr>
          <w:szCs w:val="22"/>
        </w:rPr>
        <w:t xml:space="preserve">he level of existing in-house expertise related to </w:t>
      </w:r>
      <w:r w:rsidR="00B7771B" w:rsidRPr="006B296A">
        <w:rPr>
          <w:szCs w:val="22"/>
        </w:rPr>
        <w:t>GBV</w:t>
      </w:r>
      <w:r w:rsidRPr="006B296A">
        <w:rPr>
          <w:szCs w:val="22"/>
        </w:rPr>
        <w:t>.</w:t>
      </w:r>
    </w:p>
    <w:p w14:paraId="07303880" w14:textId="465AFF34" w:rsidR="00F12E1B" w:rsidRPr="006B296A" w:rsidRDefault="004A4048" w:rsidP="007D7485">
      <w:pPr>
        <w:rPr>
          <w:szCs w:val="22"/>
        </w:rPr>
      </w:pPr>
      <w:r w:rsidRPr="006B296A">
        <w:rPr>
          <w:szCs w:val="22"/>
        </w:rPr>
        <w:lastRenderedPageBreak/>
        <w:t>See</w:t>
      </w:r>
      <w:r w:rsidR="00111D39" w:rsidRPr="006B296A">
        <w:rPr>
          <w:szCs w:val="22"/>
        </w:rPr>
        <w:t xml:space="preserve"> below table for how costs have been calculated for HEPs:</w:t>
      </w:r>
    </w:p>
    <w:p w14:paraId="0A817E00" w14:textId="5362B58F" w:rsidR="004A4048" w:rsidRPr="00731031" w:rsidRDefault="004A4048" w:rsidP="004A4048">
      <w:pPr>
        <w:pStyle w:val="CaptionFigure"/>
        <w:numPr>
          <w:ilvl w:val="8"/>
          <w:numId w:val="0"/>
        </w:numPr>
      </w:pPr>
      <w:r w:rsidRPr="00731031">
        <w:t>Transition costs to HEPs</w:t>
      </w:r>
      <w:r w:rsidR="004C705C">
        <w:rPr>
          <w:rStyle w:val="FootnoteReference"/>
        </w:rPr>
        <w:footnoteReference w:id="136"/>
      </w:r>
    </w:p>
    <w:p w14:paraId="24CB871D" w14:textId="77777777" w:rsidR="004A4048" w:rsidRPr="00731031" w:rsidRDefault="004A4048" w:rsidP="004A4048">
      <w:pPr>
        <w:pStyle w:val="Caption"/>
        <w:jc w:val="center"/>
      </w:pPr>
      <w:r w:rsidRPr="00731031">
        <w:rPr>
          <w:noProof/>
          <w:lang w:eastAsia="en-AU"/>
        </w:rPr>
        <w:drawing>
          <wp:inline distT="0" distB="0" distL="0" distR="0" wp14:anchorId="5C5B47C3" wp14:editId="34DCEFE3">
            <wp:extent cx="4928891" cy="1148400"/>
            <wp:effectExtent l="0" t="0" r="5080" b="0"/>
            <wp:docPr id="1531655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8891" cy="1148400"/>
                    </a:xfrm>
                    <a:prstGeom prst="rect">
                      <a:avLst/>
                    </a:prstGeom>
                    <a:noFill/>
                    <a:ln>
                      <a:noFill/>
                    </a:ln>
                  </pic:spPr>
                </pic:pic>
              </a:graphicData>
            </a:graphic>
          </wp:inline>
        </w:drawing>
      </w:r>
    </w:p>
    <w:p w14:paraId="2F0B3775" w14:textId="77777777" w:rsidR="004A4048" w:rsidRPr="00731031" w:rsidRDefault="004A4048" w:rsidP="004A4048">
      <w:pPr>
        <w:pStyle w:val="Source"/>
      </w:pPr>
      <w:r w:rsidRPr="00731031">
        <w:t>Source: Deloitte Access Economics, 2025.</w:t>
      </w:r>
    </w:p>
    <w:p w14:paraId="08F4FAF8" w14:textId="3784B296" w:rsidR="00444B7D" w:rsidRPr="00731031" w:rsidRDefault="00444B7D" w:rsidP="00444B7D">
      <w:pPr>
        <w:pStyle w:val="CaptionFigure"/>
        <w:numPr>
          <w:ilvl w:val="8"/>
          <w:numId w:val="0"/>
        </w:numPr>
      </w:pPr>
      <w:bookmarkStart w:id="163" w:name="_Ref194335453"/>
      <w:r w:rsidRPr="00731031">
        <w:t>Ongoing costs to HEPs</w:t>
      </w:r>
      <w:bookmarkEnd w:id="163"/>
      <w:r w:rsidR="00014C13">
        <w:rPr>
          <w:rStyle w:val="FootnoteReference"/>
        </w:rPr>
        <w:footnoteReference w:id="137"/>
      </w:r>
    </w:p>
    <w:p w14:paraId="394CB4AA" w14:textId="77777777" w:rsidR="00444B7D" w:rsidRPr="00826C83" w:rsidRDefault="00444B7D" w:rsidP="00444B7D">
      <w:pPr>
        <w:pStyle w:val="Source"/>
      </w:pPr>
      <w:r w:rsidRPr="00731031">
        <w:rPr>
          <w:noProof/>
          <w:lang w:eastAsia="en-AU"/>
        </w:rPr>
        <w:drawing>
          <wp:inline distT="0" distB="0" distL="0" distR="0" wp14:anchorId="4EBBBCEB" wp14:editId="134B5113">
            <wp:extent cx="5731510" cy="1132840"/>
            <wp:effectExtent l="0" t="0" r="2540" b="0"/>
            <wp:docPr id="102224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132840"/>
                    </a:xfrm>
                    <a:prstGeom prst="rect">
                      <a:avLst/>
                    </a:prstGeom>
                    <a:noFill/>
                    <a:ln>
                      <a:noFill/>
                    </a:ln>
                  </pic:spPr>
                </pic:pic>
              </a:graphicData>
            </a:graphic>
          </wp:inline>
        </w:drawing>
      </w:r>
      <w:r w:rsidRPr="00731031">
        <w:t>Source: Deloitte Access Economics, 2025.</w:t>
      </w:r>
    </w:p>
    <w:p w14:paraId="142C81F0" w14:textId="43E01983" w:rsidR="004A4048" w:rsidRDefault="000D180A" w:rsidP="00B21949">
      <w:pPr>
        <w:pStyle w:val="Heading4"/>
      </w:pPr>
      <w:r>
        <w:t>Methodology of c</w:t>
      </w:r>
      <w:r w:rsidR="00B21949">
        <w:t>ost to staff</w:t>
      </w:r>
    </w:p>
    <w:p w14:paraId="20B5DBDA" w14:textId="77777777" w:rsidR="00C57960" w:rsidRPr="006B296A" w:rsidRDefault="00C57960" w:rsidP="00C57960">
      <w:pPr>
        <w:rPr>
          <w:szCs w:val="22"/>
        </w:rPr>
      </w:pPr>
      <w:r w:rsidRPr="006B296A">
        <w:rPr>
          <w:szCs w:val="22"/>
        </w:rPr>
        <w:t>The CBA uses data from the Australian Bureau of Statistics and the Fair Work Ombudsman to estimate labour costs in the higher education sector. The model assumes:</w:t>
      </w:r>
    </w:p>
    <w:p w14:paraId="7BC00199" w14:textId="7F0DE7D7" w:rsidR="00C57960" w:rsidRPr="006B296A" w:rsidRDefault="00111D39" w:rsidP="006B296A">
      <w:pPr>
        <w:numPr>
          <w:ilvl w:val="0"/>
          <w:numId w:val="139"/>
        </w:numPr>
        <w:spacing w:after="0"/>
        <w:rPr>
          <w:szCs w:val="22"/>
        </w:rPr>
      </w:pPr>
      <w:r w:rsidRPr="006B296A">
        <w:rPr>
          <w:b/>
          <w:bCs/>
          <w:szCs w:val="22"/>
        </w:rPr>
        <w:t>s</w:t>
      </w:r>
      <w:r w:rsidR="00C57960" w:rsidRPr="006B296A">
        <w:rPr>
          <w:b/>
          <w:bCs/>
          <w:szCs w:val="22"/>
        </w:rPr>
        <w:t>pecialised staff</w:t>
      </w:r>
      <w:r w:rsidR="00C57960" w:rsidRPr="006B296A">
        <w:rPr>
          <w:szCs w:val="22"/>
        </w:rPr>
        <w:t>: $100/hour base rate, adjusted to $175/hour with on-costs and overheads</w:t>
      </w:r>
    </w:p>
    <w:p w14:paraId="100A4EC2" w14:textId="0EE798F9" w:rsidR="00C57960" w:rsidRDefault="00111D39" w:rsidP="006B296A">
      <w:pPr>
        <w:numPr>
          <w:ilvl w:val="0"/>
          <w:numId w:val="139"/>
        </w:numPr>
        <w:spacing w:after="0"/>
        <w:rPr>
          <w:szCs w:val="22"/>
        </w:rPr>
      </w:pPr>
      <w:r w:rsidRPr="006B296A">
        <w:rPr>
          <w:b/>
          <w:bCs/>
          <w:szCs w:val="22"/>
        </w:rPr>
        <w:t>o</w:t>
      </w:r>
      <w:r w:rsidR="00C57960" w:rsidRPr="006B296A">
        <w:rPr>
          <w:b/>
          <w:bCs/>
          <w:szCs w:val="22"/>
        </w:rPr>
        <w:t>ther staff</w:t>
      </w:r>
      <w:r w:rsidR="00C57960" w:rsidRPr="006B296A">
        <w:rPr>
          <w:szCs w:val="22"/>
        </w:rPr>
        <w:t>: $55/hour base rate, adjusted to $80/hour with on-costs and overheads</w:t>
      </w:r>
      <w:r w:rsidRPr="006B296A">
        <w:rPr>
          <w:szCs w:val="22"/>
        </w:rPr>
        <w:t>.</w:t>
      </w:r>
    </w:p>
    <w:p w14:paraId="095657B8" w14:textId="77777777" w:rsidR="00014C13" w:rsidRPr="006B296A" w:rsidRDefault="00014C13" w:rsidP="00014C13">
      <w:pPr>
        <w:spacing w:after="0"/>
        <w:ind w:left="720"/>
        <w:rPr>
          <w:szCs w:val="22"/>
        </w:rPr>
      </w:pPr>
    </w:p>
    <w:p w14:paraId="767C2BD6" w14:textId="43143686" w:rsidR="00C57960" w:rsidRPr="006B296A" w:rsidRDefault="00C57960" w:rsidP="00C57960">
      <w:pPr>
        <w:rPr>
          <w:szCs w:val="22"/>
        </w:rPr>
      </w:pPr>
      <w:r w:rsidRPr="006B296A">
        <w:rPr>
          <w:szCs w:val="22"/>
        </w:rPr>
        <w:t xml:space="preserve">These figures represent the opportunity cost of staff time spent on activities required by the </w:t>
      </w:r>
      <w:r w:rsidR="008743F1" w:rsidRPr="006B296A">
        <w:rPr>
          <w:szCs w:val="22"/>
        </w:rPr>
        <w:t>National Code</w:t>
      </w:r>
      <w:r w:rsidRPr="006B296A">
        <w:rPr>
          <w:szCs w:val="22"/>
        </w:rPr>
        <w:t xml:space="preserve">, such as training, consultations, and background checks. The rates were validated against market rates for external </w:t>
      </w:r>
      <w:r w:rsidR="008223FC" w:rsidRPr="006B296A">
        <w:rPr>
          <w:szCs w:val="22"/>
        </w:rPr>
        <w:t>GBV</w:t>
      </w:r>
      <w:r w:rsidRPr="006B296A">
        <w:rPr>
          <w:szCs w:val="22"/>
        </w:rPr>
        <w:t xml:space="preserve"> training providers.</w:t>
      </w:r>
    </w:p>
    <w:p w14:paraId="14AA95E6" w14:textId="719EF38F" w:rsidR="00C57960" w:rsidRPr="006B296A" w:rsidRDefault="00C57960" w:rsidP="00C57960">
      <w:pPr>
        <w:rPr>
          <w:szCs w:val="22"/>
        </w:rPr>
      </w:pPr>
      <w:r w:rsidRPr="006B296A">
        <w:rPr>
          <w:szCs w:val="22"/>
        </w:rPr>
        <w:t xml:space="preserve">The model also accounts for variations in staffing needs across </w:t>
      </w:r>
      <w:r w:rsidR="00EF1218" w:rsidRPr="006B296A">
        <w:rPr>
          <w:szCs w:val="22"/>
        </w:rPr>
        <w:t>HEPs</w:t>
      </w:r>
      <w:r w:rsidRPr="006B296A">
        <w:rPr>
          <w:szCs w:val="22"/>
        </w:rPr>
        <w:t xml:space="preserve"> of different sizes (small, medium, large). All ongoing staff-related costs are ultimately borne by HEPs, as they reflect the time required for compliance activities.</w:t>
      </w:r>
    </w:p>
    <w:p w14:paraId="6F45546B" w14:textId="2644EA43" w:rsidR="00C57960" w:rsidRPr="006B296A" w:rsidRDefault="00C57960" w:rsidP="00C57960">
      <w:pPr>
        <w:rPr>
          <w:szCs w:val="22"/>
        </w:rPr>
      </w:pPr>
      <w:r w:rsidRPr="006B296A">
        <w:rPr>
          <w:szCs w:val="22"/>
        </w:rPr>
        <w:t>Staff will be required to undertake a range of additional tasks</w:t>
      </w:r>
      <w:r w:rsidR="00EF1218" w:rsidRPr="006B296A">
        <w:rPr>
          <w:szCs w:val="22"/>
        </w:rPr>
        <w:t xml:space="preserve"> under the National Code</w:t>
      </w:r>
      <w:r w:rsidRPr="006B296A">
        <w:rPr>
          <w:szCs w:val="22"/>
        </w:rPr>
        <w:t xml:space="preserve"> including:</w:t>
      </w:r>
    </w:p>
    <w:p w14:paraId="51C49218" w14:textId="6EC06F0D" w:rsidR="00C57960" w:rsidRPr="006B296A" w:rsidRDefault="00EF1218" w:rsidP="00D83EEB">
      <w:pPr>
        <w:numPr>
          <w:ilvl w:val="0"/>
          <w:numId w:val="140"/>
        </w:numPr>
        <w:spacing w:after="0"/>
        <w:rPr>
          <w:szCs w:val="22"/>
        </w:rPr>
      </w:pPr>
      <w:r w:rsidRPr="006B296A">
        <w:rPr>
          <w:szCs w:val="22"/>
        </w:rPr>
        <w:t>c</w:t>
      </w:r>
      <w:r w:rsidR="00C57960" w:rsidRPr="006B296A">
        <w:rPr>
          <w:szCs w:val="22"/>
        </w:rPr>
        <w:t xml:space="preserve">ontributing to the development of the prevention and response plan, </w:t>
      </w:r>
      <w:r w:rsidR="008223FC" w:rsidRPr="006B296A">
        <w:rPr>
          <w:szCs w:val="22"/>
        </w:rPr>
        <w:t>GBV</w:t>
      </w:r>
      <w:r w:rsidR="00C57960" w:rsidRPr="006B296A">
        <w:rPr>
          <w:szCs w:val="22"/>
        </w:rPr>
        <w:t xml:space="preserve"> policy, and education and training</w:t>
      </w:r>
    </w:p>
    <w:p w14:paraId="7D257B0E" w14:textId="7D5580B5" w:rsidR="00C57960" w:rsidRPr="006B296A" w:rsidRDefault="00EF1218" w:rsidP="00D83EEB">
      <w:pPr>
        <w:numPr>
          <w:ilvl w:val="0"/>
          <w:numId w:val="140"/>
        </w:numPr>
        <w:spacing w:after="0"/>
        <w:rPr>
          <w:szCs w:val="22"/>
        </w:rPr>
      </w:pPr>
      <w:r w:rsidRPr="006B296A">
        <w:rPr>
          <w:szCs w:val="22"/>
        </w:rPr>
        <w:t>p</w:t>
      </w:r>
      <w:r w:rsidR="00C57960" w:rsidRPr="006B296A">
        <w:rPr>
          <w:szCs w:val="22"/>
        </w:rPr>
        <w:t xml:space="preserve">articipating in mandatory </w:t>
      </w:r>
      <w:r w:rsidR="008223FC" w:rsidRPr="006B296A">
        <w:rPr>
          <w:szCs w:val="22"/>
        </w:rPr>
        <w:t>GBV</w:t>
      </w:r>
      <w:r w:rsidR="00C57960" w:rsidRPr="006B296A">
        <w:rPr>
          <w:szCs w:val="22"/>
        </w:rPr>
        <w:t xml:space="preserve"> education and specialised disclosure training</w:t>
      </w:r>
    </w:p>
    <w:p w14:paraId="21EECE36" w14:textId="0A317C2D" w:rsidR="00C57960" w:rsidRPr="006B296A" w:rsidRDefault="00EF1218" w:rsidP="008D4824">
      <w:pPr>
        <w:numPr>
          <w:ilvl w:val="0"/>
          <w:numId w:val="140"/>
        </w:numPr>
        <w:rPr>
          <w:szCs w:val="22"/>
        </w:rPr>
      </w:pPr>
      <w:r w:rsidRPr="006B296A">
        <w:rPr>
          <w:szCs w:val="22"/>
        </w:rPr>
        <w:t>c</w:t>
      </w:r>
      <w:r w:rsidR="00C57960" w:rsidRPr="006B296A">
        <w:rPr>
          <w:szCs w:val="22"/>
        </w:rPr>
        <w:t xml:space="preserve">ompleting safety checks, including </w:t>
      </w:r>
      <w:r w:rsidR="008223FC" w:rsidRPr="006B296A">
        <w:rPr>
          <w:szCs w:val="22"/>
        </w:rPr>
        <w:t>GBV</w:t>
      </w:r>
      <w:r w:rsidR="00C57960" w:rsidRPr="006B296A">
        <w:rPr>
          <w:szCs w:val="22"/>
        </w:rPr>
        <w:t xml:space="preserve"> background checks and conflict of interest declarations</w:t>
      </w:r>
      <w:r w:rsidR="00607648" w:rsidRPr="006B296A">
        <w:rPr>
          <w:szCs w:val="22"/>
        </w:rPr>
        <w:t>.</w:t>
      </w:r>
    </w:p>
    <w:p w14:paraId="6169A67C" w14:textId="77777777" w:rsidR="00C57960" w:rsidRPr="006B296A" w:rsidRDefault="00C57960" w:rsidP="00C57960">
      <w:pPr>
        <w:rPr>
          <w:szCs w:val="22"/>
        </w:rPr>
      </w:pPr>
      <w:r w:rsidRPr="006B296A">
        <w:rPr>
          <w:szCs w:val="22"/>
        </w:rPr>
        <w:lastRenderedPageBreak/>
        <w:t>To calculate total costs relative to the base case, incremental costs were estimated per staff member based on:</w:t>
      </w:r>
    </w:p>
    <w:p w14:paraId="2D24DE15" w14:textId="636B622C" w:rsidR="00C57960" w:rsidRPr="006B296A" w:rsidRDefault="00607648" w:rsidP="00D83EEB">
      <w:pPr>
        <w:numPr>
          <w:ilvl w:val="0"/>
          <w:numId w:val="141"/>
        </w:numPr>
        <w:spacing w:after="0"/>
        <w:rPr>
          <w:szCs w:val="22"/>
        </w:rPr>
      </w:pPr>
      <w:r w:rsidRPr="006B296A">
        <w:rPr>
          <w:szCs w:val="22"/>
        </w:rPr>
        <w:t>t</w:t>
      </w:r>
      <w:r w:rsidR="00C57960" w:rsidRPr="006B296A">
        <w:rPr>
          <w:szCs w:val="22"/>
        </w:rPr>
        <w:t>he number of staff involved in each activity</w:t>
      </w:r>
    </w:p>
    <w:p w14:paraId="7A6888D8" w14:textId="4D0A9D04" w:rsidR="00C57960" w:rsidRPr="006B296A" w:rsidRDefault="00607648" w:rsidP="00D83EEB">
      <w:pPr>
        <w:numPr>
          <w:ilvl w:val="0"/>
          <w:numId w:val="141"/>
        </w:numPr>
        <w:spacing w:after="0"/>
        <w:rPr>
          <w:szCs w:val="22"/>
        </w:rPr>
      </w:pPr>
      <w:r w:rsidRPr="006B296A">
        <w:rPr>
          <w:szCs w:val="22"/>
        </w:rPr>
        <w:t>t</w:t>
      </w:r>
      <w:r w:rsidR="00C57960" w:rsidRPr="006B296A">
        <w:rPr>
          <w:szCs w:val="22"/>
        </w:rPr>
        <w:t>he duration of consultations and training</w:t>
      </w:r>
    </w:p>
    <w:p w14:paraId="1756AFAC" w14:textId="0EA91D81" w:rsidR="00C57960" w:rsidRPr="006B296A" w:rsidRDefault="00607648" w:rsidP="008D4824">
      <w:pPr>
        <w:numPr>
          <w:ilvl w:val="0"/>
          <w:numId w:val="141"/>
        </w:numPr>
        <w:rPr>
          <w:szCs w:val="22"/>
        </w:rPr>
      </w:pPr>
      <w:r w:rsidRPr="006B296A">
        <w:rPr>
          <w:szCs w:val="22"/>
        </w:rPr>
        <w:t>t</w:t>
      </w:r>
      <w:r w:rsidR="00C57960" w:rsidRPr="006B296A">
        <w:rPr>
          <w:szCs w:val="22"/>
        </w:rPr>
        <w:t>he time required to complete safety checks</w:t>
      </w:r>
      <w:r w:rsidRPr="006B296A">
        <w:rPr>
          <w:szCs w:val="22"/>
        </w:rPr>
        <w:t>.</w:t>
      </w:r>
    </w:p>
    <w:p w14:paraId="739E0DDB" w14:textId="04C9EDCC" w:rsidR="00C57960" w:rsidRPr="006B296A" w:rsidRDefault="00C57960" w:rsidP="00C57960">
      <w:pPr>
        <w:rPr>
          <w:szCs w:val="22"/>
        </w:rPr>
      </w:pPr>
      <w:r w:rsidRPr="006B296A">
        <w:rPr>
          <w:szCs w:val="22"/>
        </w:rPr>
        <w:t>Where activities are already partially in place at some HEPs (</w:t>
      </w:r>
      <w:r w:rsidR="00607648" w:rsidRPr="006B296A">
        <w:rPr>
          <w:szCs w:val="22"/>
        </w:rPr>
        <w:t>for example</w:t>
      </w:r>
      <w:r w:rsidRPr="006B296A">
        <w:rPr>
          <w:szCs w:val="22"/>
        </w:rPr>
        <w:t xml:space="preserve"> existing safety checks</w:t>
      </w:r>
      <w:r w:rsidR="00607648" w:rsidRPr="006B296A">
        <w:rPr>
          <w:szCs w:val="22"/>
        </w:rPr>
        <w:t xml:space="preserve"> like Working </w:t>
      </w:r>
      <w:r w:rsidR="004748F1">
        <w:rPr>
          <w:szCs w:val="22"/>
        </w:rPr>
        <w:t>w</w:t>
      </w:r>
      <w:r w:rsidR="00607648" w:rsidRPr="006B296A">
        <w:rPr>
          <w:szCs w:val="22"/>
        </w:rPr>
        <w:t>ith Children’s Checks</w:t>
      </w:r>
      <w:r w:rsidRPr="006B296A">
        <w:rPr>
          <w:szCs w:val="22"/>
        </w:rPr>
        <w:t>), only the additional time required was included in the cost estimates.</w:t>
      </w:r>
    </w:p>
    <w:p w14:paraId="01F6EA64" w14:textId="1C48C710" w:rsidR="00B21949" w:rsidRPr="006B296A" w:rsidRDefault="00B21949" w:rsidP="00C57960">
      <w:pPr>
        <w:rPr>
          <w:szCs w:val="22"/>
        </w:rPr>
      </w:pPr>
      <w:r w:rsidRPr="006B296A">
        <w:rPr>
          <w:szCs w:val="22"/>
        </w:rPr>
        <w:t xml:space="preserve">Standards 1, 2, and 3 require HEPs to engage staff in developing key components of the </w:t>
      </w:r>
      <w:r w:rsidR="008743F1" w:rsidRPr="006B296A">
        <w:rPr>
          <w:szCs w:val="22"/>
        </w:rPr>
        <w:t>National Code</w:t>
      </w:r>
      <w:r w:rsidRPr="006B296A">
        <w:rPr>
          <w:szCs w:val="22"/>
        </w:rPr>
        <w:t xml:space="preserve">. While the </w:t>
      </w:r>
      <w:r w:rsidR="008743F1" w:rsidRPr="006B296A">
        <w:rPr>
          <w:szCs w:val="22"/>
        </w:rPr>
        <w:t>National Code</w:t>
      </w:r>
      <w:r w:rsidRPr="006B296A">
        <w:rPr>
          <w:szCs w:val="22"/>
        </w:rPr>
        <w:t xml:space="preserve"> does not prescribe the number of staff to be involved, the analysis assumes a representative sample will participate:</w:t>
      </w:r>
    </w:p>
    <w:p w14:paraId="788AA97C" w14:textId="6E6B0EB0" w:rsidR="00B21949" w:rsidRPr="006B296A" w:rsidRDefault="00B21949" w:rsidP="008D4824">
      <w:pPr>
        <w:pStyle w:val="ListParagraph"/>
        <w:numPr>
          <w:ilvl w:val="0"/>
          <w:numId w:val="138"/>
        </w:numPr>
        <w:rPr>
          <w:szCs w:val="22"/>
        </w:rPr>
      </w:pPr>
      <w:r w:rsidRPr="006B296A">
        <w:rPr>
          <w:szCs w:val="22"/>
        </w:rPr>
        <w:t>1</w:t>
      </w:r>
      <w:r w:rsidR="00D31CFE">
        <w:rPr>
          <w:szCs w:val="22"/>
        </w:rPr>
        <w:t>5</w:t>
      </w:r>
      <w:r w:rsidRPr="006B296A">
        <w:rPr>
          <w:szCs w:val="22"/>
        </w:rPr>
        <w:t>% of staff are expected to participate in the first year to support the development of action items</w:t>
      </w:r>
    </w:p>
    <w:p w14:paraId="7A94EBDD" w14:textId="7B342A68" w:rsidR="00B21949" w:rsidRPr="006B296A" w:rsidRDefault="00D31CFE" w:rsidP="008D4824">
      <w:pPr>
        <w:pStyle w:val="ListParagraph"/>
        <w:numPr>
          <w:ilvl w:val="0"/>
          <w:numId w:val="138"/>
        </w:numPr>
        <w:rPr>
          <w:szCs w:val="22"/>
        </w:rPr>
      </w:pPr>
      <w:r>
        <w:rPr>
          <w:szCs w:val="22"/>
        </w:rPr>
        <w:t>10</w:t>
      </w:r>
      <w:r w:rsidR="00B21949" w:rsidRPr="006B296A">
        <w:rPr>
          <w:szCs w:val="22"/>
        </w:rPr>
        <w:t xml:space="preserve">% of staff are expected to participate annually in subsequent years as the </w:t>
      </w:r>
      <w:r w:rsidR="008743F1" w:rsidRPr="006B296A">
        <w:rPr>
          <w:szCs w:val="22"/>
        </w:rPr>
        <w:t>National Code</w:t>
      </w:r>
      <w:r w:rsidR="00B21949" w:rsidRPr="006B296A">
        <w:rPr>
          <w:szCs w:val="22"/>
        </w:rPr>
        <w:t xml:space="preserve"> is reviewed and updated</w:t>
      </w:r>
      <w:r w:rsidR="00607648" w:rsidRPr="006B296A">
        <w:rPr>
          <w:szCs w:val="22"/>
        </w:rPr>
        <w:t>.</w:t>
      </w:r>
    </w:p>
    <w:p w14:paraId="3E296AC1" w14:textId="42D4B662" w:rsidR="00B21949" w:rsidRPr="006B296A" w:rsidRDefault="00EA04D4" w:rsidP="00C57960">
      <w:pPr>
        <w:rPr>
          <w:szCs w:val="22"/>
        </w:rPr>
      </w:pPr>
      <w:r w:rsidRPr="006B296A">
        <w:rPr>
          <w:szCs w:val="22"/>
        </w:rPr>
        <w:t>For the purposes of this IA, it is assumed that each</w:t>
      </w:r>
      <w:r w:rsidR="00B21949" w:rsidRPr="006B296A">
        <w:rPr>
          <w:szCs w:val="22"/>
        </w:rPr>
        <w:t xml:space="preserve"> consultation </w:t>
      </w:r>
      <w:r w:rsidRPr="006B296A">
        <w:rPr>
          <w:szCs w:val="22"/>
        </w:rPr>
        <w:t xml:space="preserve">will </w:t>
      </w:r>
      <w:r w:rsidR="00B21949" w:rsidRPr="006B296A">
        <w:rPr>
          <w:szCs w:val="22"/>
        </w:rPr>
        <w:t>require</w:t>
      </w:r>
      <w:r w:rsidRPr="006B296A">
        <w:rPr>
          <w:szCs w:val="22"/>
        </w:rPr>
        <w:t xml:space="preserve"> </w:t>
      </w:r>
      <w:r w:rsidR="00B21949" w:rsidRPr="006B296A">
        <w:rPr>
          <w:szCs w:val="22"/>
        </w:rPr>
        <w:t xml:space="preserve">one hour </w:t>
      </w:r>
      <w:r w:rsidRPr="006B296A">
        <w:rPr>
          <w:szCs w:val="22"/>
        </w:rPr>
        <w:t xml:space="preserve">of time </w:t>
      </w:r>
      <w:r w:rsidR="00B21949" w:rsidRPr="006B296A">
        <w:rPr>
          <w:szCs w:val="22"/>
        </w:rPr>
        <w:t xml:space="preserve">per </w:t>
      </w:r>
      <w:r w:rsidRPr="006B296A">
        <w:rPr>
          <w:szCs w:val="22"/>
        </w:rPr>
        <w:t>participating staff member. While the exact time commitment may differ by HEP and method, the overall time and effort required is expected to be broadly comparable across the sector</w:t>
      </w:r>
      <w:r w:rsidR="00B21949" w:rsidRPr="006B296A">
        <w:rPr>
          <w:szCs w:val="22"/>
        </w:rPr>
        <w:t>. Engagement methods may vary across institutions</w:t>
      </w:r>
      <w:r w:rsidR="00607648" w:rsidRPr="006B296A">
        <w:rPr>
          <w:szCs w:val="22"/>
        </w:rPr>
        <w:t xml:space="preserve"> (</w:t>
      </w:r>
      <w:r w:rsidR="00B21949" w:rsidRPr="006B296A">
        <w:rPr>
          <w:szCs w:val="22"/>
        </w:rPr>
        <w:t>from in-depth interviews and working groups to broader formats such as surveys</w:t>
      </w:r>
      <w:r w:rsidR="00607648" w:rsidRPr="006B296A">
        <w:rPr>
          <w:szCs w:val="22"/>
        </w:rPr>
        <w:t xml:space="preserve">). </w:t>
      </w:r>
      <w:r w:rsidR="00B21949" w:rsidRPr="006B296A">
        <w:rPr>
          <w:szCs w:val="22"/>
        </w:rPr>
        <w:t xml:space="preserve"> The one-hour estimate reflects an average across these approaches.</w:t>
      </w:r>
    </w:p>
    <w:p w14:paraId="18CB60E0" w14:textId="6048ED90" w:rsidR="003019F7" w:rsidRPr="006B296A" w:rsidRDefault="00CC6E58" w:rsidP="005B5CC6">
      <w:pPr>
        <w:rPr>
          <w:szCs w:val="22"/>
        </w:rPr>
      </w:pPr>
      <w:r w:rsidRPr="006B296A">
        <w:rPr>
          <w:szCs w:val="22"/>
        </w:rPr>
        <w:t xml:space="preserve">Staff costs are often phrased as </w:t>
      </w:r>
      <w:r w:rsidRPr="006B296A">
        <w:rPr>
          <w:b/>
          <w:szCs w:val="22"/>
        </w:rPr>
        <w:t>opportunity costs</w:t>
      </w:r>
      <w:r w:rsidR="0018782D" w:rsidRPr="006B296A">
        <w:rPr>
          <w:szCs w:val="22"/>
        </w:rPr>
        <w:t xml:space="preserve"> referring to what a staff member could have produced or contributed to if they were</w:t>
      </w:r>
      <w:r w:rsidR="00B11B6C">
        <w:rPr>
          <w:szCs w:val="22"/>
        </w:rPr>
        <w:t xml:space="preserve"> </w:t>
      </w:r>
      <w:r w:rsidR="0018782D" w:rsidRPr="006B296A">
        <w:rPr>
          <w:szCs w:val="22"/>
        </w:rPr>
        <w:t>n</w:t>
      </w:r>
      <w:r w:rsidR="00B11B6C">
        <w:rPr>
          <w:szCs w:val="22"/>
        </w:rPr>
        <w:t>o</w:t>
      </w:r>
      <w:r w:rsidR="0018782D" w:rsidRPr="006B296A">
        <w:rPr>
          <w:szCs w:val="22"/>
        </w:rPr>
        <w:t>t spending time on regulatory compliance</w:t>
      </w:r>
      <w:r w:rsidR="00563B70" w:rsidRPr="006B296A">
        <w:rPr>
          <w:szCs w:val="22"/>
        </w:rPr>
        <w:t xml:space="preserve">. </w:t>
      </w:r>
      <w:r w:rsidR="00AB0A4C" w:rsidRPr="006B296A">
        <w:rPr>
          <w:szCs w:val="22"/>
        </w:rPr>
        <w:t>It is estimated in wages for</w:t>
      </w:r>
      <w:r w:rsidR="00C15279" w:rsidRPr="006B296A">
        <w:rPr>
          <w:szCs w:val="22"/>
        </w:rPr>
        <w:t xml:space="preserve"> </w:t>
      </w:r>
      <w:r w:rsidR="003C795A" w:rsidRPr="006B296A">
        <w:rPr>
          <w:szCs w:val="22"/>
        </w:rPr>
        <w:t>example</w:t>
      </w:r>
      <w:r w:rsidR="00C15279" w:rsidRPr="006B296A">
        <w:rPr>
          <w:szCs w:val="22"/>
        </w:rPr>
        <w:t xml:space="preserve"> </w:t>
      </w:r>
      <w:r w:rsidR="003C795A" w:rsidRPr="006B296A">
        <w:rPr>
          <w:szCs w:val="22"/>
        </w:rPr>
        <w:t>if a staff member spends an hour on regulatory compliance, the wage cost is used to estimate the economic value of the output that was foregone.</w:t>
      </w:r>
      <w:r w:rsidR="00822990" w:rsidRPr="006B296A">
        <w:rPr>
          <w:szCs w:val="22"/>
        </w:rPr>
        <w:t xml:space="preserve"> </w:t>
      </w:r>
    </w:p>
    <w:p w14:paraId="2BA27949" w14:textId="7D95DF87" w:rsidR="00EA04D4" w:rsidRPr="006B296A" w:rsidRDefault="00EA04D4" w:rsidP="00EA04D4">
      <w:pPr>
        <w:rPr>
          <w:szCs w:val="22"/>
        </w:rPr>
      </w:pPr>
      <w:r w:rsidRPr="006B296A">
        <w:rPr>
          <w:szCs w:val="22"/>
        </w:rPr>
        <w:t>See below table for how costs have been calculated for staff:</w:t>
      </w:r>
    </w:p>
    <w:p w14:paraId="31978B20" w14:textId="27DD5E51" w:rsidR="0088131F" w:rsidRPr="00731031" w:rsidRDefault="0088131F" w:rsidP="1119FA1A">
      <w:pPr>
        <w:pStyle w:val="CaptionFigure"/>
      </w:pPr>
      <w:r w:rsidRPr="00731031" w:rsidDel="00F16CCA">
        <w:t xml:space="preserve">Ongoing compliance costs to staff of </w:t>
      </w:r>
      <w:r w:rsidRPr="00731031">
        <w:t xml:space="preserve">compliant </w:t>
      </w:r>
      <w:r w:rsidRPr="00731031" w:rsidDel="00F16CCA">
        <w:t>HEPs</w:t>
      </w:r>
      <w:r w:rsidR="006D6178">
        <w:rPr>
          <w:rStyle w:val="FootnoteReference"/>
        </w:rPr>
        <w:footnoteReference w:id="138"/>
      </w:r>
      <w:r w:rsidRPr="00731031">
        <w:rPr>
          <w:rFonts w:cs="Calibri Light"/>
        </w:rPr>
        <w:t xml:space="preserve"> </w:t>
      </w:r>
      <w:bookmarkStart w:id="164" w:name="_Ref198134461"/>
      <w:r w:rsidRPr="00731031">
        <w:rPr>
          <w:noProof/>
          <w:lang w:eastAsia="en-AU"/>
        </w:rPr>
        <w:drawing>
          <wp:inline distT="0" distB="0" distL="0" distR="0" wp14:anchorId="1502A205" wp14:editId="210E4953">
            <wp:extent cx="5731510" cy="1123315"/>
            <wp:effectExtent l="0" t="0" r="2540" b="635"/>
            <wp:docPr id="1745931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123315"/>
                    </a:xfrm>
                    <a:prstGeom prst="rect">
                      <a:avLst/>
                    </a:prstGeom>
                    <a:noFill/>
                    <a:ln>
                      <a:noFill/>
                    </a:ln>
                  </pic:spPr>
                </pic:pic>
              </a:graphicData>
            </a:graphic>
          </wp:inline>
        </w:drawing>
      </w:r>
      <w:bookmarkEnd w:id="164"/>
    </w:p>
    <w:p w14:paraId="1DC12058" w14:textId="77777777" w:rsidR="0088131F" w:rsidRPr="00731031" w:rsidRDefault="0088131F" w:rsidP="0088131F">
      <w:pPr>
        <w:pStyle w:val="Source"/>
      </w:pPr>
      <w:r w:rsidRPr="00731031">
        <w:t>Source: Deloitte Access Economics, 2025.</w:t>
      </w:r>
    </w:p>
    <w:p w14:paraId="5D5A506E" w14:textId="0F77CD4B" w:rsidR="00997F4D" w:rsidRDefault="000D180A" w:rsidP="00594C16">
      <w:pPr>
        <w:pStyle w:val="Heading4"/>
      </w:pPr>
      <w:r>
        <w:t>Methodology of c</w:t>
      </w:r>
      <w:r w:rsidR="00594C16">
        <w:t xml:space="preserve">osts to students </w:t>
      </w:r>
    </w:p>
    <w:p w14:paraId="4F232C03" w14:textId="5154AC8A" w:rsidR="0041777E" w:rsidRPr="006B296A" w:rsidRDefault="001D0A3C" w:rsidP="0076525B">
      <w:pPr>
        <w:rPr>
          <w:szCs w:val="22"/>
        </w:rPr>
      </w:pPr>
      <w:r w:rsidRPr="006B296A">
        <w:rPr>
          <w:szCs w:val="22"/>
        </w:rPr>
        <w:t xml:space="preserve">Students have ongoing costs </w:t>
      </w:r>
      <w:r w:rsidR="00B05EA3" w:rsidRPr="006B296A">
        <w:rPr>
          <w:szCs w:val="22"/>
        </w:rPr>
        <w:t xml:space="preserve">under the National Code </w:t>
      </w:r>
      <w:r w:rsidR="00D94B6D" w:rsidRPr="006B296A">
        <w:rPr>
          <w:szCs w:val="22"/>
        </w:rPr>
        <w:t xml:space="preserve">arising from the </w:t>
      </w:r>
      <w:r w:rsidR="0041777E" w:rsidRPr="006B296A">
        <w:rPr>
          <w:szCs w:val="22"/>
        </w:rPr>
        <w:t xml:space="preserve">implementation </w:t>
      </w:r>
      <w:r w:rsidR="000861FF" w:rsidRPr="006B296A">
        <w:rPr>
          <w:szCs w:val="22"/>
        </w:rPr>
        <w:t xml:space="preserve">across the </w:t>
      </w:r>
      <w:r w:rsidR="0041777E" w:rsidRPr="006B296A">
        <w:rPr>
          <w:szCs w:val="22"/>
        </w:rPr>
        <w:t>seven standards. These costs are based on the additional time students are expected to spend on the following activities:</w:t>
      </w:r>
    </w:p>
    <w:p w14:paraId="135C41F7" w14:textId="21FE2359" w:rsidR="0041777E" w:rsidRPr="006B296A" w:rsidRDefault="000861FF" w:rsidP="00DD4830">
      <w:pPr>
        <w:numPr>
          <w:ilvl w:val="0"/>
          <w:numId w:val="145"/>
        </w:numPr>
        <w:spacing w:after="0"/>
        <w:rPr>
          <w:szCs w:val="22"/>
        </w:rPr>
      </w:pPr>
      <w:r w:rsidRPr="006B296A">
        <w:rPr>
          <w:szCs w:val="22"/>
        </w:rPr>
        <w:lastRenderedPageBreak/>
        <w:t>c</w:t>
      </w:r>
      <w:r w:rsidR="0041777E" w:rsidRPr="006B296A">
        <w:rPr>
          <w:szCs w:val="22"/>
        </w:rPr>
        <w:t xml:space="preserve">ontributing to the development of the prevention and response plan, </w:t>
      </w:r>
      <w:r w:rsidR="00B7771B" w:rsidRPr="006B296A">
        <w:rPr>
          <w:szCs w:val="22"/>
        </w:rPr>
        <w:t>GBV</w:t>
      </w:r>
      <w:r w:rsidR="0041777E" w:rsidRPr="006B296A">
        <w:rPr>
          <w:szCs w:val="22"/>
        </w:rPr>
        <w:t xml:space="preserve"> policy, and training</w:t>
      </w:r>
    </w:p>
    <w:p w14:paraId="555B5029" w14:textId="41121772" w:rsidR="0041777E" w:rsidRPr="006B296A" w:rsidRDefault="000861FF" w:rsidP="00DD4830">
      <w:pPr>
        <w:numPr>
          <w:ilvl w:val="0"/>
          <w:numId w:val="145"/>
        </w:numPr>
        <w:spacing w:after="0"/>
        <w:rPr>
          <w:szCs w:val="22"/>
        </w:rPr>
      </w:pPr>
      <w:r w:rsidRPr="006B296A">
        <w:rPr>
          <w:szCs w:val="22"/>
        </w:rPr>
        <w:t>p</w:t>
      </w:r>
      <w:r w:rsidR="0041777E" w:rsidRPr="006B296A">
        <w:rPr>
          <w:szCs w:val="22"/>
        </w:rPr>
        <w:t xml:space="preserve">articipating in </w:t>
      </w:r>
      <w:r w:rsidR="00B7771B" w:rsidRPr="006B296A">
        <w:rPr>
          <w:szCs w:val="22"/>
        </w:rPr>
        <w:t>GBV</w:t>
      </w:r>
      <w:r w:rsidR="0041777E" w:rsidRPr="006B296A">
        <w:rPr>
          <w:szCs w:val="22"/>
        </w:rPr>
        <w:t xml:space="preserve"> prevention education (all students)</w:t>
      </w:r>
    </w:p>
    <w:p w14:paraId="2B1F0DE9" w14:textId="00F5D8EB" w:rsidR="0041777E" w:rsidRPr="006B296A" w:rsidRDefault="000861FF" w:rsidP="008D4824">
      <w:pPr>
        <w:numPr>
          <w:ilvl w:val="0"/>
          <w:numId w:val="145"/>
        </w:numPr>
        <w:rPr>
          <w:szCs w:val="22"/>
        </w:rPr>
      </w:pPr>
      <w:r w:rsidRPr="006B296A">
        <w:rPr>
          <w:szCs w:val="22"/>
        </w:rPr>
        <w:t>c</w:t>
      </w:r>
      <w:r w:rsidR="0041777E" w:rsidRPr="006B296A">
        <w:rPr>
          <w:szCs w:val="22"/>
        </w:rPr>
        <w:t>ompleting specialised disclosure training (student leaders only)</w:t>
      </w:r>
    </w:p>
    <w:p w14:paraId="61657564" w14:textId="77777777" w:rsidR="0041777E" w:rsidRPr="006B296A" w:rsidRDefault="0041777E" w:rsidP="0076525B">
      <w:pPr>
        <w:rPr>
          <w:szCs w:val="22"/>
        </w:rPr>
      </w:pPr>
      <w:r w:rsidRPr="006B296A">
        <w:rPr>
          <w:szCs w:val="22"/>
        </w:rPr>
        <w:t>As with staff, student costs were calculated on a per-student basis. Key assumptions included:</w:t>
      </w:r>
    </w:p>
    <w:p w14:paraId="0C555DB0" w14:textId="03B2DAC8" w:rsidR="0041777E" w:rsidRPr="006B296A" w:rsidRDefault="000861FF" w:rsidP="00DD4830">
      <w:pPr>
        <w:numPr>
          <w:ilvl w:val="0"/>
          <w:numId w:val="146"/>
        </w:numPr>
        <w:spacing w:after="0"/>
        <w:rPr>
          <w:szCs w:val="22"/>
        </w:rPr>
      </w:pPr>
      <w:r w:rsidRPr="006B296A">
        <w:rPr>
          <w:szCs w:val="22"/>
        </w:rPr>
        <w:t>t</w:t>
      </w:r>
      <w:r w:rsidR="0041777E" w:rsidRPr="006B296A">
        <w:rPr>
          <w:szCs w:val="22"/>
        </w:rPr>
        <w:t>he number of students involved in each activity</w:t>
      </w:r>
    </w:p>
    <w:p w14:paraId="41F7F30B" w14:textId="68DDFFFC" w:rsidR="0041777E" w:rsidRPr="006B296A" w:rsidRDefault="000861FF" w:rsidP="00DD4830">
      <w:pPr>
        <w:numPr>
          <w:ilvl w:val="0"/>
          <w:numId w:val="146"/>
        </w:numPr>
        <w:spacing w:after="0"/>
        <w:rPr>
          <w:szCs w:val="22"/>
        </w:rPr>
      </w:pPr>
      <w:r w:rsidRPr="006B296A">
        <w:rPr>
          <w:szCs w:val="22"/>
        </w:rPr>
        <w:t>t</w:t>
      </w:r>
      <w:r w:rsidR="0041777E" w:rsidRPr="006B296A">
        <w:rPr>
          <w:szCs w:val="22"/>
        </w:rPr>
        <w:t>he duration of consultations and training</w:t>
      </w:r>
    </w:p>
    <w:p w14:paraId="6033B91F" w14:textId="41CD7BFE" w:rsidR="0041777E" w:rsidRPr="006B296A" w:rsidRDefault="000861FF" w:rsidP="008D4824">
      <w:pPr>
        <w:numPr>
          <w:ilvl w:val="0"/>
          <w:numId w:val="146"/>
        </w:numPr>
        <w:rPr>
          <w:szCs w:val="22"/>
        </w:rPr>
      </w:pPr>
      <w:r w:rsidRPr="006B296A">
        <w:rPr>
          <w:szCs w:val="22"/>
        </w:rPr>
        <w:t>t</w:t>
      </w:r>
      <w:r w:rsidR="0041777E" w:rsidRPr="006B296A">
        <w:rPr>
          <w:szCs w:val="22"/>
        </w:rPr>
        <w:t>he average number of student leaders across HEPs of varying sizes (excluding students employed by the HEP)</w:t>
      </w:r>
      <w:r w:rsidRPr="006B296A">
        <w:rPr>
          <w:szCs w:val="22"/>
        </w:rPr>
        <w:t>.</w:t>
      </w:r>
    </w:p>
    <w:p w14:paraId="3B51C915" w14:textId="1FCE0FA5" w:rsidR="0041777E" w:rsidRPr="006B296A" w:rsidRDefault="0041777E" w:rsidP="0076525B">
      <w:pPr>
        <w:rPr>
          <w:szCs w:val="22"/>
        </w:rPr>
      </w:pPr>
      <w:r w:rsidRPr="006B296A">
        <w:rPr>
          <w:szCs w:val="22"/>
        </w:rPr>
        <w:t>To express these costs in monetary terms, the estimated time commitment was multiplied by the value of leisure time</w:t>
      </w:r>
      <w:r w:rsidR="000861FF" w:rsidRPr="006B296A">
        <w:rPr>
          <w:szCs w:val="22"/>
        </w:rPr>
        <w:t xml:space="preserve">, </w:t>
      </w:r>
      <w:r w:rsidRPr="006B296A">
        <w:rPr>
          <w:szCs w:val="22"/>
        </w:rPr>
        <w:t>set at $37 per hour</w:t>
      </w:r>
      <w:r w:rsidR="000861FF" w:rsidRPr="006B296A">
        <w:rPr>
          <w:szCs w:val="22"/>
        </w:rPr>
        <w:t xml:space="preserve">, </w:t>
      </w:r>
      <w:r w:rsidRPr="006B296A">
        <w:rPr>
          <w:szCs w:val="22"/>
        </w:rPr>
        <w:t>and applied to the number of students.</w:t>
      </w:r>
      <w:r w:rsidR="00454894" w:rsidRPr="006B296A">
        <w:rPr>
          <w:rStyle w:val="FootnoteReference"/>
          <w:rFonts w:cs="Calibri Light"/>
          <w:szCs w:val="22"/>
        </w:rPr>
        <w:t xml:space="preserve"> </w:t>
      </w:r>
    </w:p>
    <w:p w14:paraId="4B9BF6E8" w14:textId="356F7D50" w:rsidR="0041777E" w:rsidRPr="006B296A" w:rsidRDefault="0041777E" w:rsidP="0076525B">
      <w:pPr>
        <w:rPr>
          <w:szCs w:val="22"/>
        </w:rPr>
      </w:pPr>
      <w:r w:rsidRPr="006B296A">
        <w:rPr>
          <w:szCs w:val="22"/>
        </w:rPr>
        <w:t xml:space="preserve">Where student engagement is required to support the development of key elements of the </w:t>
      </w:r>
      <w:r w:rsidR="008743F1" w:rsidRPr="006B296A">
        <w:rPr>
          <w:szCs w:val="22"/>
        </w:rPr>
        <w:t>National Code</w:t>
      </w:r>
      <w:r w:rsidRPr="006B296A">
        <w:rPr>
          <w:szCs w:val="22"/>
        </w:rPr>
        <w:t>, the following participation rates were assumed:</w:t>
      </w:r>
    </w:p>
    <w:p w14:paraId="395BF8AD" w14:textId="77777777" w:rsidR="0041777E" w:rsidRPr="006B296A" w:rsidRDefault="0041777E" w:rsidP="00DD4830">
      <w:pPr>
        <w:numPr>
          <w:ilvl w:val="0"/>
          <w:numId w:val="147"/>
        </w:numPr>
        <w:spacing w:after="0"/>
        <w:rPr>
          <w:szCs w:val="22"/>
        </w:rPr>
      </w:pPr>
      <w:r w:rsidRPr="006B296A">
        <w:rPr>
          <w:szCs w:val="22"/>
        </w:rPr>
        <w:t>2% of students will participate in the first year</w:t>
      </w:r>
    </w:p>
    <w:p w14:paraId="185FC8E3" w14:textId="3C4DF8E0" w:rsidR="0041777E" w:rsidRPr="006B296A" w:rsidRDefault="0041777E" w:rsidP="008D4824">
      <w:pPr>
        <w:numPr>
          <w:ilvl w:val="0"/>
          <w:numId w:val="147"/>
        </w:numPr>
        <w:rPr>
          <w:szCs w:val="22"/>
        </w:rPr>
      </w:pPr>
      <w:r w:rsidRPr="006B296A">
        <w:rPr>
          <w:szCs w:val="22"/>
        </w:rPr>
        <w:t>1% annually will participate in subsequent years for evaluations and updates</w:t>
      </w:r>
      <w:r w:rsidR="000861FF" w:rsidRPr="006B296A">
        <w:rPr>
          <w:szCs w:val="22"/>
        </w:rPr>
        <w:t>.</w:t>
      </w:r>
    </w:p>
    <w:p w14:paraId="2DAA5D3F" w14:textId="77777777" w:rsidR="0041777E" w:rsidRPr="006B296A" w:rsidRDefault="0041777E" w:rsidP="0076525B">
      <w:pPr>
        <w:rPr>
          <w:szCs w:val="22"/>
        </w:rPr>
      </w:pPr>
      <w:r w:rsidRPr="006B296A">
        <w:rPr>
          <w:szCs w:val="22"/>
        </w:rPr>
        <w:t>Each consultation is estimated to require 30 minutes per student, reflecting activities such as completing a survey or participating in a brief interview.</w:t>
      </w:r>
    </w:p>
    <w:p w14:paraId="2F7A2B95" w14:textId="77777777" w:rsidR="0041777E" w:rsidRPr="006B296A" w:rsidRDefault="0041777E" w:rsidP="0076525B">
      <w:pPr>
        <w:rPr>
          <w:szCs w:val="22"/>
        </w:rPr>
      </w:pPr>
      <w:r w:rsidRPr="006B296A">
        <w:rPr>
          <w:szCs w:val="22"/>
        </w:rPr>
        <w:t>As with staff, consultation methods will vary across institutions. Some HEPs may engage a smaller number of students in more in-depth activities (interviews or workshops), while others may reach a broader group through lower-burden methods (surveys). The 30-minute estimate represents an average across these approaches, balancing depth and scale to provide a reasonable, sector-wide estimate of student time and effort.</w:t>
      </w:r>
    </w:p>
    <w:p w14:paraId="0C1003D9" w14:textId="1C177A7D" w:rsidR="00680F47" w:rsidRPr="006B296A" w:rsidRDefault="00680F47" w:rsidP="00680F47">
      <w:pPr>
        <w:rPr>
          <w:szCs w:val="22"/>
        </w:rPr>
      </w:pPr>
      <w:bookmarkStart w:id="165" w:name="_Ref194395943"/>
      <w:r w:rsidRPr="006B296A">
        <w:rPr>
          <w:szCs w:val="22"/>
        </w:rPr>
        <w:t>See below table for how costs have been calculated for students:</w:t>
      </w:r>
    </w:p>
    <w:p w14:paraId="61D7F588" w14:textId="34B9259C" w:rsidR="00F00394" w:rsidRPr="00731031" w:rsidRDefault="00F00394" w:rsidP="2CDCCC3C">
      <w:pPr>
        <w:pStyle w:val="CaptionFigure"/>
      </w:pPr>
      <w:r w:rsidRPr="00731031">
        <w:t>Ongoing costs to students of compliant HEPs</w:t>
      </w:r>
      <w:bookmarkEnd w:id="165"/>
      <w:r w:rsidR="004E33D7">
        <w:rPr>
          <w:rStyle w:val="FootnoteReference"/>
        </w:rPr>
        <w:footnoteReference w:id="139"/>
      </w:r>
    </w:p>
    <w:p w14:paraId="34F347DC" w14:textId="77777777" w:rsidR="00F00394" w:rsidRPr="00731031" w:rsidRDefault="00F00394" w:rsidP="00F00394">
      <w:pPr>
        <w:jc w:val="center"/>
      </w:pPr>
      <w:r w:rsidRPr="00731031">
        <w:rPr>
          <w:noProof/>
          <w:lang w:eastAsia="en-AU"/>
        </w:rPr>
        <w:drawing>
          <wp:inline distT="0" distB="0" distL="0" distR="0" wp14:anchorId="6EEC7A64" wp14:editId="05B3209A">
            <wp:extent cx="5455920" cy="2547224"/>
            <wp:effectExtent l="0" t="0" r="0" b="5715"/>
            <wp:docPr id="1628616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8351" cy="2548359"/>
                    </a:xfrm>
                    <a:prstGeom prst="rect">
                      <a:avLst/>
                    </a:prstGeom>
                    <a:noFill/>
                    <a:ln>
                      <a:noFill/>
                    </a:ln>
                  </pic:spPr>
                </pic:pic>
              </a:graphicData>
            </a:graphic>
          </wp:inline>
        </w:drawing>
      </w:r>
    </w:p>
    <w:p w14:paraId="74189A83" w14:textId="77777777" w:rsidR="00F00394" w:rsidRPr="00731031" w:rsidRDefault="00F00394" w:rsidP="00F00394">
      <w:pPr>
        <w:pStyle w:val="Source"/>
      </w:pPr>
      <w:r w:rsidRPr="00731031">
        <w:lastRenderedPageBreak/>
        <w:t>Source: Deloitte Access Economics, 2025.</w:t>
      </w:r>
    </w:p>
    <w:p w14:paraId="2E87282F" w14:textId="77777777" w:rsidR="00423A78" w:rsidRPr="00BA4669" w:rsidRDefault="00423A78" w:rsidP="00423A78">
      <w:r>
        <w:rPr>
          <w:szCs w:val="22"/>
        </w:rPr>
        <w:t>The cost-benefit analysis has not identified that costs may be passed on to students in the form of increased student fees. Given the IA has an estimated annual regulatory burden of $173.2 million, and sector-wide expenses for 2023-2024 were $39.8 billion (see chapter 4.3.3) passing costs onto students should not be necessary.</w:t>
      </w:r>
      <w:r>
        <w:rPr>
          <w:rStyle w:val="FootnoteReference"/>
          <w:szCs w:val="22"/>
        </w:rPr>
        <w:footnoteReference w:id="140"/>
      </w:r>
      <w:r>
        <w:rPr>
          <w:szCs w:val="22"/>
        </w:rPr>
        <w:t xml:space="preserve"> However, it is ultimately a matter for each individual institution how they manage their finances.</w:t>
      </w:r>
    </w:p>
    <w:p w14:paraId="73C93A07" w14:textId="16BDE8BB" w:rsidR="00DC502A" w:rsidRPr="00B21949" w:rsidRDefault="000D180A" w:rsidP="00DC502A">
      <w:pPr>
        <w:pStyle w:val="Heading4"/>
      </w:pPr>
      <w:r>
        <w:t>Methodology of c</w:t>
      </w:r>
      <w:r w:rsidR="00DC502A">
        <w:t>osts to Volunteers</w:t>
      </w:r>
    </w:p>
    <w:p w14:paraId="09C40C3E" w14:textId="77777777" w:rsidR="00DC502A" w:rsidRPr="006B296A" w:rsidRDefault="00DC502A" w:rsidP="00DC502A">
      <w:pPr>
        <w:rPr>
          <w:rFonts w:eastAsiaTheme="majorEastAsia" w:cstheme="majorBidi"/>
          <w:color w:val="000000" w:themeColor="text1"/>
          <w:szCs w:val="22"/>
        </w:rPr>
      </w:pPr>
      <w:r w:rsidRPr="006B296A">
        <w:rPr>
          <w:rFonts w:eastAsiaTheme="majorEastAsia" w:cstheme="majorBidi"/>
          <w:color w:val="000000" w:themeColor="text1"/>
          <w:szCs w:val="22"/>
        </w:rPr>
        <w:t>Under the </w:t>
      </w:r>
      <w:r w:rsidRPr="006B296A">
        <w:rPr>
          <w:rFonts w:eastAsiaTheme="majorEastAsia" w:cstheme="majorBidi"/>
          <w:i/>
          <w:iCs/>
          <w:color w:val="000000" w:themeColor="text1"/>
          <w:szCs w:val="22"/>
        </w:rPr>
        <w:t>Work Health and Safety Act 2011</w:t>
      </w:r>
      <w:r w:rsidRPr="006B296A">
        <w:rPr>
          <w:rFonts w:eastAsiaTheme="majorEastAsia" w:cstheme="majorBidi"/>
          <w:color w:val="000000" w:themeColor="text1"/>
          <w:szCs w:val="22"/>
        </w:rPr>
        <w:t>, volunteers are considered workers when performing tasks for an organisation in any capacity. As such, volunteers within HEPs are required to comply with the National Code, resulting in ongoing costs. Similar to staff, these costs reflect the opportunity cost of volunteer time and are ultimately borne by HEPs.</w:t>
      </w:r>
    </w:p>
    <w:p w14:paraId="41165701" w14:textId="77777777" w:rsidR="00DC502A" w:rsidRPr="006B296A" w:rsidRDefault="00DC502A" w:rsidP="00DC502A">
      <w:pPr>
        <w:rPr>
          <w:rFonts w:eastAsiaTheme="majorEastAsia" w:cstheme="majorBidi"/>
          <w:color w:val="000000" w:themeColor="text1"/>
          <w:szCs w:val="22"/>
        </w:rPr>
      </w:pPr>
      <w:r w:rsidRPr="006B296A">
        <w:rPr>
          <w:rFonts w:eastAsiaTheme="majorEastAsia" w:cstheme="majorBidi"/>
          <w:color w:val="000000" w:themeColor="text1"/>
          <w:szCs w:val="22"/>
        </w:rPr>
        <w:t>The CBA considers three categories of volunteers:</w:t>
      </w:r>
    </w:p>
    <w:p w14:paraId="111488D9" w14:textId="77777777" w:rsidR="00DC502A" w:rsidRPr="006B296A" w:rsidRDefault="00DC502A" w:rsidP="00DD4830">
      <w:pPr>
        <w:numPr>
          <w:ilvl w:val="0"/>
          <w:numId w:val="142"/>
        </w:numPr>
        <w:spacing w:after="0"/>
        <w:rPr>
          <w:rFonts w:eastAsiaTheme="majorEastAsia" w:cstheme="majorBidi"/>
          <w:color w:val="000000" w:themeColor="text1"/>
          <w:szCs w:val="22"/>
        </w:rPr>
      </w:pPr>
      <w:r w:rsidRPr="006B296A">
        <w:rPr>
          <w:rFonts w:eastAsiaTheme="majorEastAsia" w:cstheme="majorBidi"/>
          <w:b/>
          <w:bCs/>
          <w:color w:val="000000" w:themeColor="text1"/>
          <w:szCs w:val="22"/>
        </w:rPr>
        <w:t>Staff volunteers</w:t>
      </w:r>
      <w:r w:rsidRPr="006B296A">
        <w:rPr>
          <w:rFonts w:eastAsiaTheme="majorEastAsia" w:cstheme="majorBidi"/>
          <w:color w:val="000000" w:themeColor="text1"/>
          <w:szCs w:val="22"/>
        </w:rPr>
        <w:t>: HEP employees who also perform unpaid volunteer roles within their institution.</w:t>
      </w:r>
    </w:p>
    <w:p w14:paraId="5BD2AB3F" w14:textId="7392D5C4" w:rsidR="00DC502A" w:rsidRPr="006B296A" w:rsidRDefault="00DC502A" w:rsidP="00DD4830">
      <w:pPr>
        <w:numPr>
          <w:ilvl w:val="0"/>
          <w:numId w:val="142"/>
        </w:numPr>
        <w:spacing w:after="0"/>
        <w:rPr>
          <w:rFonts w:eastAsiaTheme="majorEastAsia" w:cstheme="majorBidi"/>
          <w:color w:val="000000" w:themeColor="text1"/>
          <w:szCs w:val="22"/>
        </w:rPr>
      </w:pPr>
      <w:r w:rsidRPr="006B296A">
        <w:rPr>
          <w:rFonts w:eastAsiaTheme="majorEastAsia" w:cstheme="majorBidi"/>
          <w:b/>
          <w:bCs/>
          <w:color w:val="000000" w:themeColor="text1"/>
          <w:szCs w:val="22"/>
        </w:rPr>
        <w:t>Student volunteers</w:t>
      </w:r>
      <w:r w:rsidRPr="006B296A">
        <w:rPr>
          <w:rFonts w:eastAsiaTheme="majorEastAsia" w:cstheme="majorBidi"/>
          <w:color w:val="000000" w:themeColor="text1"/>
          <w:szCs w:val="22"/>
        </w:rPr>
        <w:t>: Enrolled students who undertake unpaid volunteering activities or services for their HEP</w:t>
      </w:r>
      <w:r w:rsidR="00B7395D">
        <w:rPr>
          <w:rFonts w:eastAsiaTheme="majorEastAsia" w:cstheme="majorBidi"/>
          <w:color w:val="000000" w:themeColor="text1"/>
          <w:szCs w:val="22"/>
        </w:rPr>
        <w:t>.</w:t>
      </w:r>
    </w:p>
    <w:p w14:paraId="3C00757D" w14:textId="77777777" w:rsidR="00DC502A" w:rsidRPr="006B296A" w:rsidRDefault="00DC502A" w:rsidP="008D4824">
      <w:pPr>
        <w:numPr>
          <w:ilvl w:val="0"/>
          <w:numId w:val="142"/>
        </w:numPr>
        <w:rPr>
          <w:rFonts w:eastAsiaTheme="majorEastAsia" w:cstheme="majorBidi"/>
          <w:color w:val="000000" w:themeColor="text1"/>
          <w:szCs w:val="22"/>
        </w:rPr>
      </w:pPr>
      <w:r w:rsidRPr="006B296A">
        <w:rPr>
          <w:rFonts w:eastAsiaTheme="majorEastAsia" w:cstheme="majorBidi"/>
          <w:b/>
          <w:bCs/>
          <w:color w:val="000000" w:themeColor="text1"/>
          <w:szCs w:val="22"/>
        </w:rPr>
        <w:t>Community volunteers</w:t>
      </w:r>
      <w:r w:rsidRPr="006B296A">
        <w:rPr>
          <w:rFonts w:eastAsiaTheme="majorEastAsia" w:cstheme="majorBidi"/>
          <w:color w:val="000000" w:themeColor="text1"/>
          <w:szCs w:val="22"/>
        </w:rPr>
        <w:t>: Individuals who engage in unpaid activities or services for a HEP but are not enrolled as students at that institution.</w:t>
      </w:r>
    </w:p>
    <w:p w14:paraId="78A821EF" w14:textId="77777777" w:rsidR="006B296A" w:rsidRDefault="00DC502A" w:rsidP="00DC502A">
      <w:pPr>
        <w:rPr>
          <w:rFonts w:eastAsiaTheme="majorEastAsia" w:cstheme="majorBidi"/>
          <w:color w:val="000000" w:themeColor="text1"/>
          <w:szCs w:val="22"/>
        </w:rPr>
      </w:pPr>
      <w:r w:rsidRPr="006B296A">
        <w:rPr>
          <w:rFonts w:eastAsiaTheme="majorEastAsia" w:cstheme="majorBidi"/>
          <w:color w:val="000000" w:themeColor="text1"/>
          <w:szCs w:val="22"/>
        </w:rPr>
        <w:t xml:space="preserve">Staff volunteers are assumed to have already fulfilled their obligations and requirements under the National Code through their employment, and their costs are captured within the general staff costs. As such, staff volunteer costs are excluded from volunteer costs overall. </w:t>
      </w:r>
    </w:p>
    <w:p w14:paraId="7CE6BB6E" w14:textId="7FB2469D" w:rsidR="00DC502A" w:rsidRPr="006B296A" w:rsidRDefault="00DC502A" w:rsidP="00DC502A">
      <w:pPr>
        <w:rPr>
          <w:rFonts w:eastAsiaTheme="majorEastAsia" w:cstheme="majorBidi"/>
          <w:color w:val="000000" w:themeColor="text1"/>
          <w:szCs w:val="22"/>
        </w:rPr>
      </w:pPr>
      <w:r w:rsidRPr="006B296A">
        <w:rPr>
          <w:rFonts w:eastAsiaTheme="majorEastAsia" w:cstheme="majorBidi"/>
          <w:color w:val="000000" w:themeColor="text1"/>
          <w:szCs w:val="22"/>
        </w:rPr>
        <w:t>Student volunteers are required to meet the same compliance obligations as staff, including background checks and GBV training, but some compliance costs are already captured under general student obligations, therefore, only additional volunteer-related costs are included</w:t>
      </w:r>
      <w:r w:rsidR="00157F0C" w:rsidRPr="006B296A">
        <w:rPr>
          <w:rFonts w:eastAsiaTheme="majorEastAsia" w:cstheme="majorBidi"/>
          <w:color w:val="000000" w:themeColor="text1"/>
          <w:szCs w:val="22"/>
        </w:rPr>
        <w:t xml:space="preserve">. </w:t>
      </w:r>
    </w:p>
    <w:p w14:paraId="275D60CB" w14:textId="0688ED83" w:rsidR="007A16D0" w:rsidRDefault="007A16D0" w:rsidP="00DC502A">
      <w:pPr>
        <w:rPr>
          <w:rFonts w:eastAsiaTheme="majorEastAsia" w:cstheme="majorBidi"/>
          <w:color w:val="000000" w:themeColor="text1"/>
          <w:szCs w:val="22"/>
        </w:rPr>
      </w:pPr>
    </w:p>
    <w:p w14:paraId="5A6CE9A7" w14:textId="4E0C787B" w:rsidR="007A16D0" w:rsidRDefault="007A16D0" w:rsidP="00DC502A">
      <w:pPr>
        <w:rPr>
          <w:rFonts w:eastAsiaTheme="majorEastAsia" w:cstheme="majorBidi"/>
          <w:color w:val="000000" w:themeColor="text1"/>
          <w:szCs w:val="22"/>
        </w:rPr>
      </w:pPr>
      <w:r w:rsidRPr="00731031">
        <w:rPr>
          <w:noProof/>
          <w:lang w:eastAsia="en-AU"/>
        </w:rPr>
        <w:drawing>
          <wp:anchor distT="0" distB="0" distL="114300" distR="114300" simplePos="0" relativeHeight="251658243" behindDoc="0" locked="0" layoutInCell="1" allowOverlap="1" wp14:anchorId="534511D9" wp14:editId="4F76E1DF">
            <wp:simplePos x="0" y="0"/>
            <wp:positionH relativeFrom="margin">
              <wp:align>left</wp:align>
            </wp:positionH>
            <wp:positionV relativeFrom="paragraph">
              <wp:posOffset>-391795</wp:posOffset>
            </wp:positionV>
            <wp:extent cx="4196080" cy="1347470"/>
            <wp:effectExtent l="0" t="0" r="0" b="5080"/>
            <wp:wrapNone/>
            <wp:docPr id="1824978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608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461C7" w14:textId="77777777" w:rsidR="007A16D0" w:rsidRDefault="007A16D0" w:rsidP="00DC502A">
      <w:pPr>
        <w:rPr>
          <w:rFonts w:eastAsiaTheme="majorEastAsia" w:cstheme="majorBidi"/>
          <w:color w:val="000000" w:themeColor="text1"/>
          <w:szCs w:val="22"/>
        </w:rPr>
      </w:pPr>
    </w:p>
    <w:p w14:paraId="7A2E010E" w14:textId="77777777" w:rsidR="007A16D0" w:rsidRDefault="007A16D0" w:rsidP="00DC502A">
      <w:pPr>
        <w:rPr>
          <w:rFonts w:eastAsiaTheme="majorEastAsia" w:cstheme="majorBidi"/>
          <w:color w:val="000000" w:themeColor="text1"/>
          <w:szCs w:val="22"/>
        </w:rPr>
      </w:pPr>
    </w:p>
    <w:p w14:paraId="36E3CC38" w14:textId="77777777" w:rsidR="00DC502A" w:rsidRPr="006B296A" w:rsidRDefault="00DC502A" w:rsidP="00DC502A">
      <w:pPr>
        <w:rPr>
          <w:rFonts w:eastAsiaTheme="majorEastAsia" w:cstheme="majorBidi"/>
          <w:color w:val="000000" w:themeColor="text1"/>
          <w:szCs w:val="22"/>
        </w:rPr>
      </w:pPr>
      <w:r w:rsidRPr="006B296A">
        <w:rPr>
          <w:rFonts w:eastAsiaTheme="majorEastAsia" w:cstheme="majorBidi"/>
          <w:color w:val="000000" w:themeColor="text1"/>
          <w:szCs w:val="22"/>
        </w:rPr>
        <w:t>Costs for community and student volunteers are based on the time required to complete the following activities:</w:t>
      </w:r>
    </w:p>
    <w:p w14:paraId="5C1E4A39" w14:textId="77777777" w:rsidR="00DC502A" w:rsidRPr="006B296A" w:rsidRDefault="00DC502A" w:rsidP="007A16D0">
      <w:pPr>
        <w:numPr>
          <w:ilvl w:val="0"/>
          <w:numId w:val="143"/>
        </w:numPr>
        <w:spacing w:after="0"/>
        <w:rPr>
          <w:rFonts w:eastAsiaTheme="majorEastAsia" w:cstheme="majorBidi"/>
          <w:color w:val="000000" w:themeColor="text1"/>
          <w:szCs w:val="22"/>
        </w:rPr>
      </w:pPr>
      <w:r w:rsidRPr="006B296A">
        <w:rPr>
          <w:rFonts w:eastAsiaTheme="majorEastAsia" w:cstheme="majorBidi"/>
          <w:color w:val="000000" w:themeColor="text1"/>
          <w:szCs w:val="22"/>
        </w:rPr>
        <w:t>contributing to the development of GBV policies and training (community volunteers only, as student perspectives are captured through broader staff/student consultations)</w:t>
      </w:r>
    </w:p>
    <w:p w14:paraId="11124A4C" w14:textId="77777777" w:rsidR="00DC502A" w:rsidRPr="006B296A" w:rsidRDefault="00DC502A" w:rsidP="007A16D0">
      <w:pPr>
        <w:numPr>
          <w:ilvl w:val="0"/>
          <w:numId w:val="143"/>
        </w:numPr>
        <w:spacing w:after="0"/>
        <w:rPr>
          <w:rFonts w:eastAsiaTheme="majorEastAsia" w:cstheme="majorBidi"/>
          <w:color w:val="000000" w:themeColor="text1"/>
          <w:szCs w:val="22"/>
        </w:rPr>
      </w:pPr>
      <w:r w:rsidRPr="006B296A">
        <w:rPr>
          <w:rFonts w:eastAsiaTheme="majorEastAsia" w:cstheme="majorBidi"/>
          <w:color w:val="000000" w:themeColor="text1"/>
          <w:szCs w:val="22"/>
        </w:rPr>
        <w:t>attending mandatory GBV education and specialised disclosure training</w:t>
      </w:r>
    </w:p>
    <w:p w14:paraId="05B8F412" w14:textId="77777777" w:rsidR="00DC502A" w:rsidRPr="006B296A" w:rsidRDefault="00DC502A" w:rsidP="008D4824">
      <w:pPr>
        <w:numPr>
          <w:ilvl w:val="0"/>
          <w:numId w:val="143"/>
        </w:numPr>
        <w:rPr>
          <w:rFonts w:eastAsiaTheme="majorEastAsia" w:cstheme="majorBidi"/>
          <w:color w:val="000000" w:themeColor="text1"/>
          <w:szCs w:val="22"/>
        </w:rPr>
      </w:pPr>
      <w:r w:rsidRPr="006B296A">
        <w:rPr>
          <w:rFonts w:eastAsiaTheme="majorEastAsia" w:cstheme="majorBidi"/>
          <w:color w:val="000000" w:themeColor="text1"/>
          <w:szCs w:val="22"/>
        </w:rPr>
        <w:t>completing safety checks, including Working with Children Checks, GBV background checks, and conflict of interest declarations.</w:t>
      </w:r>
    </w:p>
    <w:p w14:paraId="2377FB55" w14:textId="77777777" w:rsidR="00DC502A" w:rsidRPr="006B296A" w:rsidRDefault="00DC502A" w:rsidP="00DC502A">
      <w:pPr>
        <w:rPr>
          <w:rFonts w:eastAsiaTheme="majorEastAsia" w:cstheme="majorBidi"/>
          <w:color w:val="000000" w:themeColor="text1"/>
          <w:szCs w:val="22"/>
        </w:rPr>
      </w:pPr>
      <w:r w:rsidRPr="006B296A">
        <w:rPr>
          <w:rFonts w:eastAsiaTheme="majorEastAsia" w:cstheme="majorBidi"/>
          <w:color w:val="000000" w:themeColor="text1"/>
          <w:szCs w:val="22"/>
        </w:rPr>
        <w:lastRenderedPageBreak/>
        <w:t>To estimate total costs relative to the base case, incremental costs were calculated per volunteer. Key assumptions included:</w:t>
      </w:r>
    </w:p>
    <w:p w14:paraId="4CF1A679" w14:textId="77777777" w:rsidR="00DC502A" w:rsidRPr="006B296A" w:rsidRDefault="00DC502A" w:rsidP="007A16D0">
      <w:pPr>
        <w:numPr>
          <w:ilvl w:val="0"/>
          <w:numId w:val="144"/>
        </w:numPr>
        <w:spacing w:after="0"/>
        <w:rPr>
          <w:rFonts w:eastAsiaTheme="majorEastAsia" w:cstheme="majorBidi"/>
          <w:color w:val="000000" w:themeColor="text1"/>
          <w:szCs w:val="22"/>
        </w:rPr>
      </w:pPr>
      <w:r w:rsidRPr="006B296A">
        <w:rPr>
          <w:rFonts w:eastAsiaTheme="majorEastAsia" w:cstheme="majorBidi"/>
          <w:color w:val="000000" w:themeColor="text1"/>
          <w:szCs w:val="22"/>
        </w:rPr>
        <w:t>the duration of training and safety checks</w:t>
      </w:r>
    </w:p>
    <w:p w14:paraId="6D8C4B71" w14:textId="77777777" w:rsidR="00DC502A" w:rsidRPr="006B296A" w:rsidRDefault="00DC502A" w:rsidP="008D4824">
      <w:pPr>
        <w:numPr>
          <w:ilvl w:val="0"/>
          <w:numId w:val="144"/>
        </w:numPr>
        <w:rPr>
          <w:rFonts w:eastAsiaTheme="majorEastAsia" w:cstheme="majorBidi"/>
          <w:color w:val="000000" w:themeColor="text1"/>
          <w:szCs w:val="22"/>
        </w:rPr>
      </w:pPr>
      <w:r w:rsidRPr="006B296A">
        <w:rPr>
          <w:rFonts w:eastAsiaTheme="majorEastAsia" w:cstheme="majorBidi"/>
          <w:color w:val="000000" w:themeColor="text1"/>
          <w:szCs w:val="22"/>
        </w:rPr>
        <w:t>the additional time required beyond existing obligations (for example student volunteers may already complete some checks as part of enrolment).</w:t>
      </w:r>
    </w:p>
    <w:p w14:paraId="3A3725F0" w14:textId="77777777" w:rsidR="00DC502A" w:rsidRPr="006B296A" w:rsidRDefault="00DC502A" w:rsidP="00DC502A">
      <w:pPr>
        <w:rPr>
          <w:rFonts w:eastAsiaTheme="majorEastAsia" w:cstheme="majorBidi"/>
          <w:color w:val="000000" w:themeColor="text1"/>
          <w:szCs w:val="22"/>
        </w:rPr>
      </w:pPr>
      <w:r w:rsidRPr="006B296A">
        <w:rPr>
          <w:rFonts w:eastAsiaTheme="majorEastAsia" w:cstheme="majorBidi"/>
          <w:color w:val="000000" w:themeColor="text1"/>
          <w:szCs w:val="22"/>
        </w:rPr>
        <w:t>Student volunteers are expected to undertake more extensive checks and training than typical students, reflecting their dual role. Their incremental cost is calculated by subtracting the general student cost from the equivalent staff cost, ensuring only the additional cost attributable to their volunteer role is captured.</w:t>
      </w:r>
    </w:p>
    <w:p w14:paraId="70B733A3" w14:textId="16F72A51" w:rsidR="00DC502A" w:rsidRPr="006B296A" w:rsidRDefault="00DC502A" w:rsidP="00DC502A">
      <w:pPr>
        <w:rPr>
          <w:rFonts w:eastAsiaTheme="majorEastAsia" w:cstheme="majorBidi"/>
          <w:color w:val="000000" w:themeColor="text1"/>
          <w:szCs w:val="22"/>
        </w:rPr>
      </w:pPr>
      <w:r w:rsidRPr="006B296A">
        <w:rPr>
          <w:rFonts w:eastAsiaTheme="majorEastAsia" w:cstheme="majorBidi"/>
          <w:color w:val="000000" w:themeColor="text1"/>
          <w:szCs w:val="22"/>
        </w:rPr>
        <w:t>As volunteer roles are unpaid, the opportunity cost of their time is valued at $37 per hour, representing the value of leisure time.</w:t>
      </w:r>
    </w:p>
    <w:p w14:paraId="3F44F10C" w14:textId="77777777" w:rsidR="00DC502A" w:rsidRPr="006B296A" w:rsidRDefault="00DC502A" w:rsidP="00DC502A">
      <w:pPr>
        <w:rPr>
          <w:szCs w:val="22"/>
        </w:rPr>
      </w:pPr>
      <w:r w:rsidRPr="006B296A">
        <w:rPr>
          <w:szCs w:val="22"/>
        </w:rPr>
        <w:t>See below table for how costs have been calculated for student and community volunteers:</w:t>
      </w:r>
    </w:p>
    <w:p w14:paraId="52E02483" w14:textId="61056958" w:rsidR="00DC502A" w:rsidRPr="00731031" w:rsidRDefault="00DC502A" w:rsidP="00DC502A">
      <w:pPr>
        <w:pStyle w:val="CaptionFigure"/>
        <w:numPr>
          <w:ilvl w:val="8"/>
          <w:numId w:val="0"/>
        </w:numPr>
      </w:pPr>
      <w:r w:rsidRPr="00731031" w:rsidDel="00F16CCA">
        <w:t xml:space="preserve">Ongoing compliance costs to </w:t>
      </w:r>
      <w:r w:rsidRPr="00731031">
        <w:t>community volunteers</w:t>
      </w:r>
      <w:r w:rsidRPr="00731031" w:rsidDel="00F16CCA">
        <w:t xml:space="preserve"> of </w:t>
      </w:r>
      <w:r w:rsidRPr="00731031">
        <w:t xml:space="preserve">compliant </w:t>
      </w:r>
      <w:r w:rsidRPr="00731031" w:rsidDel="00F16CCA">
        <w:t>HEPs</w:t>
      </w:r>
      <w:r w:rsidR="00893ED6">
        <w:rPr>
          <w:rStyle w:val="FootnoteReference"/>
        </w:rPr>
        <w:footnoteReference w:id="141"/>
      </w:r>
    </w:p>
    <w:p w14:paraId="7BE5968B" w14:textId="77777777" w:rsidR="00DC502A" w:rsidRPr="00731031" w:rsidRDefault="00DC502A" w:rsidP="00DC502A">
      <w:pPr>
        <w:jc w:val="center"/>
        <w:rPr>
          <w:rFonts w:cs="Calibri Light"/>
        </w:rPr>
      </w:pPr>
      <w:r w:rsidRPr="00731031">
        <w:rPr>
          <w:noProof/>
          <w:lang w:eastAsia="en-AU"/>
        </w:rPr>
        <w:drawing>
          <wp:inline distT="0" distB="0" distL="0" distR="0" wp14:anchorId="7239AA27" wp14:editId="7D1AE9F2">
            <wp:extent cx="5608320" cy="1102278"/>
            <wp:effectExtent l="0" t="0" r="0" b="3175"/>
            <wp:docPr id="10395713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0656" cy="1116495"/>
                    </a:xfrm>
                    <a:prstGeom prst="rect">
                      <a:avLst/>
                    </a:prstGeom>
                    <a:noFill/>
                    <a:ln>
                      <a:noFill/>
                    </a:ln>
                  </pic:spPr>
                </pic:pic>
              </a:graphicData>
            </a:graphic>
          </wp:inline>
        </w:drawing>
      </w:r>
    </w:p>
    <w:p w14:paraId="31CD5459" w14:textId="77777777" w:rsidR="00DC502A" w:rsidRPr="00731031" w:rsidRDefault="00DC502A" w:rsidP="00DC502A">
      <w:pPr>
        <w:pStyle w:val="Source"/>
      </w:pPr>
      <w:r w:rsidRPr="00731031">
        <w:t>Source: Deloitte Access Economics, 2025.</w:t>
      </w:r>
    </w:p>
    <w:p w14:paraId="32B59BE2" w14:textId="484283FE" w:rsidR="00DC502A" w:rsidRPr="00731031" w:rsidRDefault="00DC502A" w:rsidP="007A16D0">
      <w:pPr>
        <w:pStyle w:val="CaptionFigure"/>
        <w:numPr>
          <w:ilvl w:val="8"/>
          <w:numId w:val="0"/>
        </w:numPr>
        <w:rPr>
          <w:rFonts w:cs="Calibri Light"/>
        </w:rPr>
      </w:pPr>
      <w:r w:rsidRPr="00731031">
        <w:t xml:space="preserve"> </w:t>
      </w:r>
      <w:bookmarkStart w:id="166" w:name="_Ref198131635"/>
      <w:r w:rsidRPr="00731031" w:rsidDel="00F16CCA">
        <w:t xml:space="preserve">Ongoing compliance costs to </w:t>
      </w:r>
      <w:r w:rsidRPr="00731031">
        <w:t>student volunteers</w:t>
      </w:r>
      <w:r w:rsidRPr="00731031" w:rsidDel="00F16CCA">
        <w:t xml:space="preserve"> of </w:t>
      </w:r>
      <w:r w:rsidRPr="00731031">
        <w:t xml:space="preserve">compliant </w:t>
      </w:r>
      <w:r w:rsidRPr="00731031" w:rsidDel="00F16CCA">
        <w:t>HEPs</w:t>
      </w:r>
      <w:bookmarkEnd w:id="166"/>
      <w:r w:rsidR="006C59B6">
        <w:rPr>
          <w:rStyle w:val="FootnoteReference"/>
        </w:rPr>
        <w:footnoteReference w:id="142"/>
      </w:r>
    </w:p>
    <w:p w14:paraId="0487A2A7" w14:textId="2F4B5737" w:rsidR="00D413E4" w:rsidRDefault="00D413E4" w:rsidP="00F00394">
      <w:pPr>
        <w:pStyle w:val="Heading4"/>
      </w:pPr>
      <w:r>
        <w:t>Methodology of costs to student accommodation providers</w:t>
      </w:r>
    </w:p>
    <w:p w14:paraId="30D1A2A6" w14:textId="77777777" w:rsidR="00F46B5B" w:rsidRDefault="00D413E4" w:rsidP="00290C3F">
      <w:pPr>
        <w:rPr>
          <w:szCs w:val="22"/>
        </w:rPr>
      </w:pPr>
      <w:r w:rsidRPr="00DD4830">
        <w:rPr>
          <w:szCs w:val="22"/>
        </w:rPr>
        <w:t>Standard 7 of the National Code makes requirements for student accommodation providers (SAPs)</w:t>
      </w:r>
      <w:r w:rsidR="001F40E1" w:rsidRPr="00DD4830">
        <w:rPr>
          <w:szCs w:val="22"/>
        </w:rPr>
        <w:t xml:space="preserve"> that are </w:t>
      </w:r>
      <w:r w:rsidR="00E62BFD" w:rsidRPr="00DD4830">
        <w:rPr>
          <w:szCs w:val="22"/>
        </w:rPr>
        <w:t>o</w:t>
      </w:r>
      <w:r w:rsidR="009D209B" w:rsidRPr="00DD4830">
        <w:rPr>
          <w:szCs w:val="22"/>
        </w:rPr>
        <w:t>wned, operated, managed, under the control of, or affiliated with HEPs</w:t>
      </w:r>
      <w:r w:rsidR="005E1D2D">
        <w:rPr>
          <w:szCs w:val="22"/>
        </w:rPr>
        <w:t xml:space="preserve">, and therefore costs to SAPs must be considered. </w:t>
      </w:r>
    </w:p>
    <w:p w14:paraId="5D8DAB80" w14:textId="74165E5D" w:rsidR="006E1148" w:rsidRDefault="009A10DF" w:rsidP="00290C3F">
      <w:pPr>
        <w:rPr>
          <w:szCs w:val="22"/>
        </w:rPr>
      </w:pPr>
      <w:r>
        <w:rPr>
          <w:szCs w:val="22"/>
        </w:rPr>
        <w:t xml:space="preserve">Under standard 7 it is </w:t>
      </w:r>
      <w:r w:rsidR="00EE09C3">
        <w:rPr>
          <w:szCs w:val="22"/>
        </w:rPr>
        <w:t>HEPs</w:t>
      </w:r>
      <w:r>
        <w:rPr>
          <w:szCs w:val="22"/>
        </w:rPr>
        <w:t xml:space="preserve"> that</w:t>
      </w:r>
      <w:r w:rsidR="00EE09C3">
        <w:rPr>
          <w:szCs w:val="22"/>
        </w:rPr>
        <w:t xml:space="preserve"> are ultimately responsible for </w:t>
      </w:r>
      <w:r w:rsidR="00E631BD" w:rsidRPr="00DD4830">
        <w:rPr>
          <w:szCs w:val="22"/>
        </w:rPr>
        <w:t>ensuring that</w:t>
      </w:r>
      <w:r w:rsidR="00F3251B" w:rsidRPr="00DD4830">
        <w:rPr>
          <w:szCs w:val="22"/>
        </w:rPr>
        <w:t xml:space="preserve"> </w:t>
      </w:r>
      <w:r w:rsidR="00EE09C3">
        <w:rPr>
          <w:szCs w:val="22"/>
        </w:rPr>
        <w:t xml:space="preserve">their </w:t>
      </w:r>
      <w:r w:rsidR="00F3251B" w:rsidRPr="00DD4830">
        <w:rPr>
          <w:szCs w:val="22"/>
        </w:rPr>
        <w:t xml:space="preserve">SAPs </w:t>
      </w:r>
      <w:r w:rsidR="00CF0EE1" w:rsidRPr="00DD4830">
        <w:rPr>
          <w:szCs w:val="22"/>
        </w:rPr>
        <w:t xml:space="preserve">are </w:t>
      </w:r>
      <w:r w:rsidR="00E631BD" w:rsidRPr="00DD4830">
        <w:rPr>
          <w:szCs w:val="22"/>
        </w:rPr>
        <w:t>complying with the</w:t>
      </w:r>
      <w:r w:rsidR="00CF0EE1" w:rsidRPr="00DD4830">
        <w:rPr>
          <w:szCs w:val="22"/>
        </w:rPr>
        <w:t xml:space="preserve"> </w:t>
      </w:r>
      <w:r w:rsidR="00E631BD" w:rsidRPr="00DD4830">
        <w:rPr>
          <w:szCs w:val="22"/>
        </w:rPr>
        <w:t xml:space="preserve">National </w:t>
      </w:r>
      <w:r w:rsidR="00EE09C3">
        <w:rPr>
          <w:szCs w:val="22"/>
        </w:rPr>
        <w:t>Code</w:t>
      </w:r>
      <w:r w:rsidR="0049709D">
        <w:rPr>
          <w:szCs w:val="22"/>
        </w:rPr>
        <w:t xml:space="preserve">, </w:t>
      </w:r>
      <w:r w:rsidR="008628C3">
        <w:rPr>
          <w:szCs w:val="22"/>
        </w:rPr>
        <w:t xml:space="preserve">and </w:t>
      </w:r>
      <w:r w:rsidR="00985195">
        <w:rPr>
          <w:szCs w:val="22"/>
        </w:rPr>
        <w:t>whether</w:t>
      </w:r>
      <w:r w:rsidR="008628C3">
        <w:rPr>
          <w:szCs w:val="22"/>
        </w:rPr>
        <w:t xml:space="preserve"> the </w:t>
      </w:r>
      <w:r w:rsidR="00985195">
        <w:rPr>
          <w:szCs w:val="22"/>
        </w:rPr>
        <w:t xml:space="preserve">costs </w:t>
      </w:r>
      <w:r w:rsidR="001841DC">
        <w:rPr>
          <w:szCs w:val="22"/>
        </w:rPr>
        <w:t>of this standard</w:t>
      </w:r>
      <w:r w:rsidR="00985195">
        <w:rPr>
          <w:szCs w:val="22"/>
        </w:rPr>
        <w:t xml:space="preserve"> fall on the SAPs or HEP and in what proportion</w:t>
      </w:r>
      <w:r w:rsidR="001841DC">
        <w:rPr>
          <w:szCs w:val="22"/>
        </w:rPr>
        <w:t>,</w:t>
      </w:r>
      <w:r w:rsidR="00985195">
        <w:rPr>
          <w:szCs w:val="22"/>
        </w:rPr>
        <w:t xml:space="preserve"> </w:t>
      </w:r>
      <w:r w:rsidR="0049709D">
        <w:rPr>
          <w:szCs w:val="22"/>
        </w:rPr>
        <w:t xml:space="preserve">will depend on their legal relationship and arrangements. </w:t>
      </w:r>
      <w:r w:rsidR="001841DC">
        <w:rPr>
          <w:szCs w:val="22"/>
        </w:rPr>
        <w:t xml:space="preserve">Given this, the </w:t>
      </w:r>
      <w:r w:rsidR="00EE481B">
        <w:rPr>
          <w:szCs w:val="22"/>
        </w:rPr>
        <w:t>CBA considers</w:t>
      </w:r>
      <w:r w:rsidR="00DD1860">
        <w:rPr>
          <w:szCs w:val="22"/>
        </w:rPr>
        <w:t xml:space="preserve"> the </w:t>
      </w:r>
      <w:r w:rsidR="00EA72AF">
        <w:rPr>
          <w:szCs w:val="22"/>
        </w:rPr>
        <w:t>costs to HEPs</w:t>
      </w:r>
      <w:r w:rsidR="001841DC">
        <w:rPr>
          <w:szCs w:val="22"/>
        </w:rPr>
        <w:t xml:space="preserve"> and </w:t>
      </w:r>
      <w:r w:rsidR="00EA72AF">
        <w:rPr>
          <w:szCs w:val="22"/>
        </w:rPr>
        <w:t xml:space="preserve">SAPs </w:t>
      </w:r>
      <w:r w:rsidR="00DD1860">
        <w:rPr>
          <w:szCs w:val="22"/>
        </w:rPr>
        <w:t>collectively</w:t>
      </w:r>
      <w:r w:rsidR="006E1148">
        <w:rPr>
          <w:szCs w:val="22"/>
        </w:rPr>
        <w:t>.</w:t>
      </w:r>
    </w:p>
    <w:p w14:paraId="71FFB85E" w14:textId="134C9353" w:rsidR="0089101F" w:rsidRDefault="006E1148" w:rsidP="00290C3F">
      <w:pPr>
        <w:rPr>
          <w:szCs w:val="22"/>
        </w:rPr>
      </w:pPr>
      <w:r>
        <w:rPr>
          <w:szCs w:val="22"/>
        </w:rPr>
        <w:t>O</w:t>
      </w:r>
      <w:r w:rsidR="001B7B34">
        <w:rPr>
          <w:szCs w:val="22"/>
        </w:rPr>
        <w:t>pportunity</w:t>
      </w:r>
      <w:r w:rsidR="00DD1860">
        <w:rPr>
          <w:szCs w:val="22"/>
        </w:rPr>
        <w:t xml:space="preserve"> costs to the staff of SAPs </w:t>
      </w:r>
      <w:r w:rsidR="009371B2">
        <w:rPr>
          <w:szCs w:val="22"/>
        </w:rPr>
        <w:t>are</w:t>
      </w:r>
      <w:r w:rsidR="00DD1860">
        <w:rPr>
          <w:szCs w:val="22"/>
        </w:rPr>
        <w:t xml:space="preserve"> considered separately</w:t>
      </w:r>
      <w:r w:rsidR="00A17EC4">
        <w:rPr>
          <w:szCs w:val="22"/>
        </w:rPr>
        <w:t>,</w:t>
      </w:r>
      <w:r w:rsidR="00DD1860">
        <w:rPr>
          <w:szCs w:val="22"/>
        </w:rPr>
        <w:t xml:space="preserve"> </w:t>
      </w:r>
      <w:r w:rsidR="001B7B34">
        <w:rPr>
          <w:szCs w:val="22"/>
        </w:rPr>
        <w:t xml:space="preserve">as they will be required to undertake additional activities to support compliance with the National Code. </w:t>
      </w:r>
    </w:p>
    <w:p w14:paraId="141AC3D8" w14:textId="71DB48E0" w:rsidR="00F00394" w:rsidRPr="0041777E" w:rsidRDefault="000D180A" w:rsidP="00F00394">
      <w:pPr>
        <w:pStyle w:val="Heading4"/>
      </w:pPr>
      <w:r>
        <w:t>Methodology of c</w:t>
      </w:r>
      <w:r w:rsidR="00F00394">
        <w:t xml:space="preserve">osts to Australian Government </w:t>
      </w:r>
    </w:p>
    <w:p w14:paraId="6D633A4D" w14:textId="2F78C916" w:rsidR="00353FBD" w:rsidRPr="006B296A" w:rsidRDefault="00353FBD" w:rsidP="00353FBD">
      <w:pPr>
        <w:rPr>
          <w:rFonts w:eastAsiaTheme="majorEastAsia" w:cstheme="majorBidi"/>
          <w:color w:val="000000" w:themeColor="text1"/>
          <w:szCs w:val="22"/>
        </w:rPr>
      </w:pPr>
      <w:r w:rsidRPr="006B296A">
        <w:rPr>
          <w:rFonts w:eastAsiaTheme="majorEastAsia" w:cstheme="majorBidi"/>
          <w:color w:val="000000" w:themeColor="text1"/>
          <w:szCs w:val="22"/>
        </w:rPr>
        <w:t xml:space="preserve">To estimate the </w:t>
      </w:r>
      <w:r w:rsidR="00680F47" w:rsidRPr="006B296A">
        <w:rPr>
          <w:rFonts w:eastAsiaTheme="majorEastAsia" w:cstheme="majorBidi"/>
          <w:color w:val="000000" w:themeColor="text1"/>
          <w:szCs w:val="22"/>
        </w:rPr>
        <w:t>costs to the Australian Government</w:t>
      </w:r>
      <w:r w:rsidRPr="006B296A">
        <w:rPr>
          <w:rFonts w:eastAsiaTheme="majorEastAsia" w:cstheme="majorBidi"/>
          <w:color w:val="000000" w:themeColor="text1"/>
          <w:szCs w:val="22"/>
        </w:rPr>
        <w:t xml:space="preserve"> of implementing the </w:t>
      </w:r>
      <w:r w:rsidR="008743F1" w:rsidRPr="006B296A">
        <w:rPr>
          <w:rFonts w:eastAsiaTheme="majorEastAsia" w:cstheme="majorBidi"/>
          <w:color w:val="000000" w:themeColor="text1"/>
          <w:szCs w:val="22"/>
        </w:rPr>
        <w:t>National Code</w:t>
      </w:r>
      <w:r w:rsidR="00680F47" w:rsidRPr="006B296A">
        <w:rPr>
          <w:rFonts w:eastAsiaTheme="majorEastAsia" w:cstheme="majorBidi"/>
          <w:color w:val="000000" w:themeColor="text1"/>
          <w:szCs w:val="22"/>
        </w:rPr>
        <w:t>,</w:t>
      </w:r>
      <w:r w:rsidR="005976B5" w:rsidRPr="006B296A">
        <w:rPr>
          <w:rFonts w:eastAsiaTheme="majorEastAsia" w:cstheme="majorBidi"/>
          <w:color w:val="000000" w:themeColor="text1"/>
          <w:szCs w:val="22"/>
        </w:rPr>
        <w:t xml:space="preserve"> the CBA </w:t>
      </w:r>
      <w:r w:rsidRPr="006B296A">
        <w:rPr>
          <w:rFonts w:eastAsiaTheme="majorEastAsia" w:cstheme="majorBidi"/>
          <w:color w:val="000000" w:themeColor="text1"/>
          <w:szCs w:val="22"/>
        </w:rPr>
        <w:t>incorporated staffing and expenditure data includ</w:t>
      </w:r>
      <w:r w:rsidR="006E3BE2" w:rsidRPr="006B296A">
        <w:rPr>
          <w:rFonts w:eastAsiaTheme="majorEastAsia" w:cstheme="majorBidi"/>
          <w:color w:val="000000" w:themeColor="text1"/>
          <w:szCs w:val="22"/>
        </w:rPr>
        <w:t>ing</w:t>
      </w:r>
      <w:r w:rsidRPr="006B296A">
        <w:rPr>
          <w:rFonts w:eastAsiaTheme="majorEastAsia" w:cstheme="majorBidi"/>
          <w:color w:val="000000" w:themeColor="text1"/>
          <w:szCs w:val="22"/>
        </w:rPr>
        <w:t>:</w:t>
      </w:r>
    </w:p>
    <w:p w14:paraId="12C08AF2" w14:textId="021BC9BF" w:rsidR="00353FBD" w:rsidRPr="006B296A" w:rsidRDefault="00F8479C" w:rsidP="007A16D0">
      <w:pPr>
        <w:numPr>
          <w:ilvl w:val="0"/>
          <w:numId w:val="148"/>
        </w:numPr>
        <w:spacing w:after="0"/>
        <w:rPr>
          <w:rFonts w:eastAsiaTheme="majorEastAsia" w:cstheme="majorBidi"/>
          <w:color w:val="000000" w:themeColor="text1"/>
          <w:szCs w:val="22"/>
        </w:rPr>
      </w:pPr>
      <w:r w:rsidRPr="006B296A">
        <w:rPr>
          <w:rFonts w:eastAsiaTheme="majorEastAsia" w:cstheme="majorBidi"/>
          <w:color w:val="000000" w:themeColor="text1"/>
          <w:szCs w:val="22"/>
        </w:rPr>
        <w:t>s</w:t>
      </w:r>
      <w:r w:rsidR="00353FBD" w:rsidRPr="006B296A">
        <w:rPr>
          <w:rFonts w:eastAsiaTheme="majorEastAsia" w:cstheme="majorBidi"/>
          <w:color w:val="000000" w:themeColor="text1"/>
          <w:szCs w:val="22"/>
        </w:rPr>
        <w:t>taff salaries and full-time equivalent (FTE) numbers across APS4–6, EL1–2, and SES-1 classifications</w:t>
      </w:r>
    </w:p>
    <w:p w14:paraId="7F9F19D6" w14:textId="6B7E5C60" w:rsidR="00353FBD" w:rsidRPr="006B296A" w:rsidRDefault="00F8479C" w:rsidP="007A16D0">
      <w:pPr>
        <w:numPr>
          <w:ilvl w:val="0"/>
          <w:numId w:val="148"/>
        </w:numPr>
        <w:spacing w:after="0"/>
        <w:rPr>
          <w:rFonts w:eastAsiaTheme="majorEastAsia" w:cstheme="majorBidi"/>
          <w:color w:val="000000" w:themeColor="text1"/>
          <w:szCs w:val="22"/>
        </w:rPr>
      </w:pPr>
      <w:r w:rsidRPr="006B296A">
        <w:rPr>
          <w:rFonts w:eastAsiaTheme="majorEastAsia" w:cstheme="majorBidi"/>
          <w:color w:val="000000" w:themeColor="text1"/>
          <w:szCs w:val="22"/>
        </w:rPr>
        <w:t>a</w:t>
      </w:r>
      <w:r w:rsidR="00353FBD" w:rsidRPr="006B296A">
        <w:rPr>
          <w:rFonts w:eastAsiaTheme="majorEastAsia" w:cstheme="majorBidi"/>
          <w:color w:val="000000" w:themeColor="text1"/>
          <w:szCs w:val="22"/>
        </w:rPr>
        <w:t>ssociated overheads and on-costs</w:t>
      </w:r>
    </w:p>
    <w:p w14:paraId="15AF223A" w14:textId="7CA4CC65" w:rsidR="00353FBD" w:rsidRPr="006B296A" w:rsidRDefault="00F8479C" w:rsidP="00DD4830">
      <w:pPr>
        <w:numPr>
          <w:ilvl w:val="0"/>
          <w:numId w:val="148"/>
        </w:numPr>
        <w:rPr>
          <w:rFonts w:eastAsiaTheme="majorEastAsia" w:cstheme="majorBidi"/>
          <w:color w:val="000000" w:themeColor="text1"/>
          <w:szCs w:val="22"/>
        </w:rPr>
      </w:pPr>
      <w:r w:rsidRPr="006B296A">
        <w:rPr>
          <w:rFonts w:eastAsiaTheme="majorEastAsia" w:cstheme="majorBidi"/>
          <w:color w:val="000000" w:themeColor="text1"/>
          <w:szCs w:val="22"/>
        </w:rPr>
        <w:lastRenderedPageBreak/>
        <w:t>r</w:t>
      </w:r>
      <w:r w:rsidR="00353FBD" w:rsidRPr="006B296A">
        <w:rPr>
          <w:rFonts w:eastAsiaTheme="majorEastAsia" w:cstheme="majorBidi"/>
          <w:color w:val="000000" w:themeColor="text1"/>
          <w:szCs w:val="22"/>
        </w:rPr>
        <w:t>oles required to administer, enforce, and deliver training, including the upskilling of existing personnel</w:t>
      </w:r>
      <w:r w:rsidRPr="006B296A">
        <w:rPr>
          <w:rFonts w:eastAsiaTheme="majorEastAsia" w:cstheme="majorBidi"/>
          <w:color w:val="000000" w:themeColor="text1"/>
          <w:szCs w:val="22"/>
        </w:rPr>
        <w:t>.</w:t>
      </w:r>
    </w:p>
    <w:p w14:paraId="7AC0CBBB" w14:textId="20EA449D" w:rsidR="00353FBD" w:rsidRPr="006B296A" w:rsidRDefault="00353FBD" w:rsidP="00353FBD">
      <w:pPr>
        <w:rPr>
          <w:rFonts w:eastAsiaTheme="majorEastAsia" w:cstheme="majorBidi"/>
          <w:color w:val="000000" w:themeColor="text1"/>
          <w:szCs w:val="22"/>
        </w:rPr>
      </w:pPr>
      <w:r w:rsidRPr="006B296A">
        <w:rPr>
          <w:rFonts w:eastAsiaTheme="majorEastAsia" w:cstheme="majorBidi"/>
          <w:color w:val="000000" w:themeColor="text1"/>
          <w:szCs w:val="22"/>
        </w:rPr>
        <w:t xml:space="preserve">Labour costs were treated as ongoing within the model. </w:t>
      </w:r>
      <w:r w:rsidR="00F8479C" w:rsidRPr="006B296A">
        <w:rPr>
          <w:rFonts w:eastAsiaTheme="majorEastAsia" w:cstheme="majorBidi"/>
          <w:color w:val="000000" w:themeColor="text1"/>
          <w:szCs w:val="22"/>
        </w:rPr>
        <w:t>Cost</w:t>
      </w:r>
      <w:r w:rsidRPr="006B296A">
        <w:rPr>
          <w:rFonts w:eastAsiaTheme="majorEastAsia" w:cstheme="majorBidi"/>
          <w:color w:val="000000" w:themeColor="text1"/>
          <w:szCs w:val="22"/>
        </w:rPr>
        <w:t xml:space="preserve"> projections </w:t>
      </w:r>
      <w:r w:rsidR="00F8479C" w:rsidRPr="006B296A">
        <w:rPr>
          <w:rFonts w:eastAsiaTheme="majorEastAsia" w:cstheme="majorBidi"/>
          <w:color w:val="000000" w:themeColor="text1"/>
          <w:szCs w:val="22"/>
        </w:rPr>
        <w:t>were included in the CBA until</w:t>
      </w:r>
      <w:r w:rsidRPr="006B296A">
        <w:rPr>
          <w:rFonts w:eastAsiaTheme="majorEastAsia" w:cstheme="majorBidi"/>
          <w:color w:val="000000" w:themeColor="text1"/>
          <w:szCs w:val="22"/>
        </w:rPr>
        <w:t xml:space="preserve"> 2027–28, after which a real wage growth rate of 3% per annum was applied from 2028 onwards.</w:t>
      </w:r>
      <w:r w:rsidR="005976B5" w:rsidRPr="006B296A">
        <w:rPr>
          <w:rStyle w:val="FootnoteReference"/>
          <w:szCs w:val="22"/>
        </w:rPr>
        <w:t xml:space="preserve"> </w:t>
      </w:r>
    </w:p>
    <w:p w14:paraId="32AF37C4" w14:textId="2E539450" w:rsidR="00353FBD" w:rsidRPr="006B296A" w:rsidRDefault="002D5831" w:rsidP="002D5831">
      <w:pPr>
        <w:rPr>
          <w:rFonts w:eastAsiaTheme="majorEastAsia" w:cstheme="majorBidi"/>
          <w:color w:val="000000" w:themeColor="text1"/>
          <w:szCs w:val="22"/>
        </w:rPr>
      </w:pPr>
      <w:r w:rsidRPr="006B296A">
        <w:rPr>
          <w:rFonts w:eastAsiaTheme="majorEastAsia" w:cstheme="majorBidi"/>
          <w:color w:val="000000" w:themeColor="text1"/>
          <w:szCs w:val="22"/>
        </w:rPr>
        <w:t>I</w:t>
      </w:r>
      <w:r w:rsidR="00353FBD" w:rsidRPr="006B296A">
        <w:rPr>
          <w:rFonts w:eastAsiaTheme="majorEastAsia" w:cstheme="majorBidi"/>
          <w:color w:val="000000" w:themeColor="text1"/>
          <w:szCs w:val="22"/>
        </w:rPr>
        <w:t>nformation on</w:t>
      </w:r>
      <w:r w:rsidRPr="006B296A">
        <w:rPr>
          <w:rFonts w:eastAsiaTheme="majorEastAsia" w:cstheme="majorBidi"/>
          <w:color w:val="000000" w:themeColor="text1"/>
          <w:szCs w:val="22"/>
        </w:rPr>
        <w:t xml:space="preserve"> current departmental activities including </w:t>
      </w:r>
      <w:r w:rsidR="00353FBD" w:rsidRPr="006B296A">
        <w:rPr>
          <w:rFonts w:eastAsiaTheme="majorEastAsia" w:cstheme="majorBidi"/>
          <w:color w:val="000000" w:themeColor="text1"/>
          <w:szCs w:val="22"/>
        </w:rPr>
        <w:t>IT infrastructure and system upgrades</w:t>
      </w:r>
      <w:r w:rsidRPr="006B296A">
        <w:rPr>
          <w:rFonts w:eastAsiaTheme="majorEastAsia" w:cstheme="majorBidi"/>
          <w:color w:val="000000" w:themeColor="text1"/>
          <w:szCs w:val="22"/>
        </w:rPr>
        <w:t xml:space="preserve"> and e</w:t>
      </w:r>
      <w:r w:rsidR="00353FBD" w:rsidRPr="006B296A">
        <w:rPr>
          <w:rFonts w:eastAsiaTheme="majorEastAsia" w:cstheme="majorBidi"/>
          <w:color w:val="000000" w:themeColor="text1"/>
          <w:szCs w:val="22"/>
        </w:rPr>
        <w:t>ducation and communication activities</w:t>
      </w:r>
      <w:r w:rsidRPr="006B296A">
        <w:rPr>
          <w:rFonts w:eastAsiaTheme="majorEastAsia" w:cstheme="majorBidi"/>
          <w:color w:val="000000" w:themeColor="text1"/>
          <w:szCs w:val="22"/>
        </w:rPr>
        <w:t xml:space="preserve"> were also included. </w:t>
      </w:r>
    </w:p>
    <w:p w14:paraId="06FB17B9" w14:textId="77777777" w:rsidR="00353FBD" w:rsidRPr="00353FBD" w:rsidRDefault="00353FBD" w:rsidP="00353FBD">
      <w:pPr>
        <w:rPr>
          <w:rFonts w:eastAsiaTheme="majorEastAsia" w:cstheme="majorBidi"/>
          <w:color w:val="000000" w:themeColor="text1"/>
        </w:rPr>
      </w:pPr>
      <w:r w:rsidRPr="006B296A">
        <w:rPr>
          <w:rFonts w:eastAsiaTheme="majorEastAsia" w:cstheme="majorBidi"/>
          <w:color w:val="000000" w:themeColor="text1"/>
          <w:szCs w:val="22"/>
        </w:rPr>
        <w:t>These elements were incorporated into the model as either transition costs or ongoing costs, depending on the timing and nature of the expenditure.</w:t>
      </w:r>
    </w:p>
    <w:p w14:paraId="689DDEFE" w14:textId="124975C4" w:rsidR="009E49D3" w:rsidRDefault="000D180A" w:rsidP="005976B5">
      <w:pPr>
        <w:pStyle w:val="Heading4"/>
      </w:pPr>
      <w:r>
        <w:t>Methodology of c</w:t>
      </w:r>
      <w:r w:rsidR="005976B5">
        <w:t xml:space="preserve">alculating total cumulative costs </w:t>
      </w:r>
    </w:p>
    <w:p w14:paraId="79A48B36" w14:textId="7BCD3FB9" w:rsidR="00CA1520" w:rsidRPr="006B296A" w:rsidRDefault="00CA1520" w:rsidP="00CA1520">
      <w:pPr>
        <w:rPr>
          <w:szCs w:val="22"/>
        </w:rPr>
      </w:pPr>
      <w:r w:rsidRPr="006B296A">
        <w:rPr>
          <w:szCs w:val="22"/>
        </w:rPr>
        <w:t xml:space="preserve">To estimate the total cost of implementing the </w:t>
      </w:r>
      <w:r w:rsidR="008743F1" w:rsidRPr="006B296A">
        <w:rPr>
          <w:szCs w:val="22"/>
        </w:rPr>
        <w:t>National Code</w:t>
      </w:r>
      <w:r w:rsidRPr="006B296A">
        <w:rPr>
          <w:szCs w:val="22"/>
        </w:rPr>
        <w:t xml:space="preserve">, </w:t>
      </w:r>
      <w:r w:rsidR="00DC42E0" w:rsidRPr="006B296A">
        <w:rPr>
          <w:szCs w:val="22"/>
        </w:rPr>
        <w:t>the CBA</w:t>
      </w:r>
      <w:r w:rsidRPr="006B296A">
        <w:rPr>
          <w:szCs w:val="22"/>
        </w:rPr>
        <w:t xml:space="preserve"> model calculates per-HEP, per-student, and per-staff member costs</w:t>
      </w:r>
      <w:r w:rsidR="00207212" w:rsidRPr="006B296A">
        <w:rPr>
          <w:szCs w:val="22"/>
        </w:rPr>
        <w:t xml:space="preserve"> (</w:t>
      </w:r>
      <w:r w:rsidRPr="006B296A">
        <w:rPr>
          <w:szCs w:val="22"/>
        </w:rPr>
        <w:t>which are then extrapolated based on the total number of affected stakeholders</w:t>
      </w:r>
      <w:r w:rsidR="00207212" w:rsidRPr="006B296A">
        <w:rPr>
          <w:szCs w:val="22"/>
        </w:rPr>
        <w:t>) and must make various assumptions</w:t>
      </w:r>
      <w:r w:rsidR="0047502E" w:rsidRPr="006B296A">
        <w:rPr>
          <w:szCs w:val="22"/>
        </w:rPr>
        <w:t xml:space="preserve"> (that are outlined below).</w:t>
      </w:r>
      <w:r w:rsidRPr="006B296A">
        <w:rPr>
          <w:szCs w:val="22"/>
        </w:rPr>
        <w:t xml:space="preserve"> The model also incorporates key variables, including:</w:t>
      </w:r>
    </w:p>
    <w:p w14:paraId="387D9014" w14:textId="7140C6E1" w:rsidR="00CA1520" w:rsidRPr="006B296A" w:rsidRDefault="000D180A" w:rsidP="000937AE">
      <w:pPr>
        <w:numPr>
          <w:ilvl w:val="0"/>
          <w:numId w:val="149"/>
        </w:numPr>
        <w:spacing w:after="0"/>
        <w:rPr>
          <w:szCs w:val="22"/>
        </w:rPr>
      </w:pPr>
      <w:r w:rsidRPr="006B296A">
        <w:rPr>
          <w:szCs w:val="22"/>
        </w:rPr>
        <w:t>t</w:t>
      </w:r>
      <w:r w:rsidR="00CA1520" w:rsidRPr="006B296A">
        <w:rPr>
          <w:szCs w:val="22"/>
        </w:rPr>
        <w:t xml:space="preserve">he volume of </w:t>
      </w:r>
      <w:r w:rsidR="008223FC" w:rsidRPr="006B296A">
        <w:rPr>
          <w:szCs w:val="22"/>
        </w:rPr>
        <w:t>GBV</w:t>
      </w:r>
      <w:r w:rsidR="00CA1520" w:rsidRPr="006B296A">
        <w:rPr>
          <w:szCs w:val="22"/>
        </w:rPr>
        <w:t xml:space="preserve"> exposure</w:t>
      </w:r>
    </w:p>
    <w:p w14:paraId="440D13AD" w14:textId="71E51115" w:rsidR="00CA1520" w:rsidRPr="006B296A" w:rsidRDefault="000D180A" w:rsidP="000937AE">
      <w:pPr>
        <w:numPr>
          <w:ilvl w:val="0"/>
          <w:numId w:val="149"/>
        </w:numPr>
        <w:spacing w:after="0"/>
        <w:rPr>
          <w:szCs w:val="22"/>
        </w:rPr>
      </w:pPr>
      <w:r w:rsidRPr="006B296A">
        <w:rPr>
          <w:szCs w:val="22"/>
        </w:rPr>
        <w:t>u</w:t>
      </w:r>
      <w:r w:rsidR="00CA1520" w:rsidRPr="006B296A">
        <w:rPr>
          <w:szCs w:val="22"/>
        </w:rPr>
        <w:t>nderreporting rates</w:t>
      </w:r>
    </w:p>
    <w:p w14:paraId="44B8A778" w14:textId="11A29328" w:rsidR="00CA1520" w:rsidRPr="006B296A" w:rsidRDefault="00CA1520" w:rsidP="00DD4830">
      <w:pPr>
        <w:numPr>
          <w:ilvl w:val="0"/>
          <w:numId w:val="149"/>
        </w:numPr>
        <w:rPr>
          <w:szCs w:val="22"/>
        </w:rPr>
      </w:pPr>
      <w:r w:rsidRPr="006B296A">
        <w:rPr>
          <w:szCs w:val="22"/>
        </w:rPr>
        <w:t xml:space="preserve">HEP compliance levels with the </w:t>
      </w:r>
      <w:r w:rsidR="008743F1" w:rsidRPr="006B296A">
        <w:rPr>
          <w:szCs w:val="22"/>
        </w:rPr>
        <w:t>National Code</w:t>
      </w:r>
    </w:p>
    <w:p w14:paraId="7F89C03F" w14:textId="643969C2" w:rsidR="00336B34" w:rsidRPr="006B296A" w:rsidRDefault="00336B34" w:rsidP="00336B34">
      <w:pPr>
        <w:rPr>
          <w:szCs w:val="22"/>
        </w:rPr>
      </w:pPr>
      <w:r w:rsidRPr="006B296A">
        <w:rPr>
          <w:szCs w:val="22"/>
        </w:rPr>
        <w:t>Other key variables and estimates that were used include:</w:t>
      </w:r>
    </w:p>
    <w:p w14:paraId="34A5CAC9" w14:textId="6FFF7D18" w:rsidR="00336B34" w:rsidRPr="006B296A" w:rsidRDefault="00336B34" w:rsidP="008D4824">
      <w:pPr>
        <w:pStyle w:val="ListParagraph"/>
        <w:numPr>
          <w:ilvl w:val="0"/>
          <w:numId w:val="181"/>
        </w:numPr>
        <w:rPr>
          <w:szCs w:val="22"/>
        </w:rPr>
      </w:pPr>
      <w:r w:rsidRPr="006B296A">
        <w:rPr>
          <w:szCs w:val="22"/>
        </w:rPr>
        <w:t>HEP size and sector</w:t>
      </w:r>
      <w:r w:rsidR="00495D36">
        <w:rPr>
          <w:szCs w:val="22"/>
        </w:rPr>
        <w:t>-</w:t>
      </w:r>
      <w:r w:rsidRPr="006B296A">
        <w:rPr>
          <w:szCs w:val="22"/>
        </w:rPr>
        <w:t xml:space="preserve">wide cost estimates </w:t>
      </w:r>
    </w:p>
    <w:p w14:paraId="7D49D9E5" w14:textId="4F431808" w:rsidR="00336B34" w:rsidRPr="006B296A" w:rsidRDefault="00336B34" w:rsidP="008D4824">
      <w:pPr>
        <w:pStyle w:val="ListParagraph"/>
        <w:numPr>
          <w:ilvl w:val="0"/>
          <w:numId w:val="181"/>
        </w:numPr>
        <w:rPr>
          <w:szCs w:val="22"/>
        </w:rPr>
      </w:pPr>
      <w:r w:rsidRPr="006B296A">
        <w:rPr>
          <w:szCs w:val="22"/>
        </w:rPr>
        <w:t>Staff estimates and growth</w:t>
      </w:r>
    </w:p>
    <w:p w14:paraId="163BAE59" w14:textId="274C0343" w:rsidR="00336B34" w:rsidRPr="006B296A" w:rsidRDefault="00336B34" w:rsidP="008D4824">
      <w:pPr>
        <w:pStyle w:val="ListParagraph"/>
        <w:numPr>
          <w:ilvl w:val="0"/>
          <w:numId w:val="181"/>
        </w:numPr>
        <w:rPr>
          <w:szCs w:val="22"/>
        </w:rPr>
      </w:pPr>
      <w:r w:rsidRPr="006B296A">
        <w:rPr>
          <w:szCs w:val="22"/>
        </w:rPr>
        <w:t>Compliance assumptions</w:t>
      </w:r>
    </w:p>
    <w:p w14:paraId="57BEE1A2" w14:textId="0F31B5B1" w:rsidR="00336B34" w:rsidRPr="006B296A" w:rsidRDefault="00336B34" w:rsidP="008D4824">
      <w:pPr>
        <w:pStyle w:val="ListParagraph"/>
        <w:numPr>
          <w:ilvl w:val="0"/>
          <w:numId w:val="181"/>
        </w:numPr>
        <w:rPr>
          <w:szCs w:val="22"/>
        </w:rPr>
      </w:pPr>
      <w:r w:rsidRPr="006B296A">
        <w:rPr>
          <w:szCs w:val="22"/>
        </w:rPr>
        <w:t xml:space="preserve">Scope of GBV </w:t>
      </w:r>
    </w:p>
    <w:p w14:paraId="1B0ED15C" w14:textId="7126E713" w:rsidR="001802B3" w:rsidRPr="006B296A" w:rsidRDefault="001802B3" w:rsidP="008D4824">
      <w:pPr>
        <w:pStyle w:val="ListParagraph"/>
        <w:numPr>
          <w:ilvl w:val="0"/>
          <w:numId w:val="181"/>
        </w:numPr>
        <w:rPr>
          <w:szCs w:val="22"/>
        </w:rPr>
      </w:pPr>
      <w:r w:rsidRPr="006B296A">
        <w:rPr>
          <w:szCs w:val="22"/>
        </w:rPr>
        <w:t>Estimating GBV disclosures and reports</w:t>
      </w:r>
    </w:p>
    <w:p w14:paraId="1168C024" w14:textId="77777777" w:rsidR="00210A36" w:rsidRPr="006B296A" w:rsidRDefault="00210A36" w:rsidP="00210A36">
      <w:pPr>
        <w:rPr>
          <w:szCs w:val="22"/>
        </w:rPr>
      </w:pPr>
      <w:r w:rsidRPr="006B296A">
        <w:rPr>
          <w:szCs w:val="22"/>
        </w:rPr>
        <w:t>HEPs are categorised by size to estimate cumulative sector-wide costs:</w:t>
      </w:r>
    </w:p>
    <w:p w14:paraId="7A9FE8A9" w14:textId="77777777" w:rsidR="00210A36" w:rsidRPr="006B296A" w:rsidRDefault="00210A36" w:rsidP="000937AE">
      <w:pPr>
        <w:numPr>
          <w:ilvl w:val="0"/>
          <w:numId w:val="150"/>
        </w:numPr>
        <w:spacing w:after="0"/>
        <w:rPr>
          <w:szCs w:val="22"/>
        </w:rPr>
      </w:pPr>
      <w:r w:rsidRPr="006B296A">
        <w:rPr>
          <w:szCs w:val="22"/>
        </w:rPr>
        <w:t>Small HEPs: &lt;1% of the sector’s student population (~146,552 students)</w:t>
      </w:r>
    </w:p>
    <w:p w14:paraId="63AD9573" w14:textId="77777777" w:rsidR="00210A36" w:rsidRPr="006B296A" w:rsidRDefault="00210A36" w:rsidP="000937AE">
      <w:pPr>
        <w:numPr>
          <w:ilvl w:val="0"/>
          <w:numId w:val="150"/>
        </w:numPr>
        <w:spacing w:after="0"/>
        <w:rPr>
          <w:szCs w:val="22"/>
        </w:rPr>
      </w:pPr>
      <w:r w:rsidRPr="006B296A">
        <w:rPr>
          <w:szCs w:val="22"/>
        </w:rPr>
        <w:t>Medium HEPs: 1–2% (~631,062 students)</w:t>
      </w:r>
    </w:p>
    <w:p w14:paraId="154B58F0" w14:textId="5621C07E" w:rsidR="00210A36" w:rsidRPr="006B296A" w:rsidRDefault="00210A36" w:rsidP="00DD4830">
      <w:pPr>
        <w:numPr>
          <w:ilvl w:val="0"/>
          <w:numId w:val="150"/>
        </w:numPr>
        <w:rPr>
          <w:szCs w:val="22"/>
        </w:rPr>
      </w:pPr>
      <w:r w:rsidRPr="006B296A">
        <w:rPr>
          <w:szCs w:val="22"/>
        </w:rPr>
        <w:t>Large HEPs: ≥3% (~822,949 students)</w:t>
      </w:r>
    </w:p>
    <w:p w14:paraId="069FA1D8" w14:textId="3C0F256D" w:rsidR="00210A36" w:rsidRPr="006B296A" w:rsidRDefault="00210A36" w:rsidP="00210A36">
      <w:pPr>
        <w:rPr>
          <w:szCs w:val="22"/>
        </w:rPr>
      </w:pPr>
      <w:r w:rsidRPr="006B296A">
        <w:rPr>
          <w:szCs w:val="22"/>
        </w:rPr>
        <w:t>According to TEQSA data</w:t>
      </w:r>
      <w:r w:rsidR="00E930E5">
        <w:rPr>
          <w:szCs w:val="22"/>
        </w:rPr>
        <w:t>,</w:t>
      </w:r>
      <w:r w:rsidRPr="006B296A">
        <w:rPr>
          <w:szCs w:val="22"/>
        </w:rPr>
        <w:t xml:space="preserve"> there are 211 HEPs in Australia</w:t>
      </w:r>
      <w:r w:rsidR="009A1B4D" w:rsidRPr="006B296A">
        <w:rPr>
          <w:szCs w:val="22"/>
        </w:rPr>
        <w:t xml:space="preserve"> including</w:t>
      </w:r>
      <w:r w:rsidRPr="006B296A">
        <w:rPr>
          <w:szCs w:val="22"/>
        </w:rPr>
        <w:t xml:space="preserve"> 14 large, 25 medium, and 172 small.</w:t>
      </w:r>
      <w:r w:rsidR="00D41533">
        <w:rPr>
          <w:rStyle w:val="FootnoteReference"/>
          <w:szCs w:val="22"/>
        </w:rPr>
        <w:footnoteReference w:id="143"/>
      </w:r>
      <w:r w:rsidRPr="006B296A">
        <w:rPr>
          <w:szCs w:val="22"/>
        </w:rPr>
        <w:t xml:space="preserve"> The model assumes no growth in the number of HEPs over the 10-year period. However, student population growth is conservatively estimated at 2.5% per year per HEP, meaning the benefits presented may understate the full potential impact.</w:t>
      </w:r>
    </w:p>
    <w:p w14:paraId="0317145F" w14:textId="77777777" w:rsidR="0004358D" w:rsidRPr="006B296A" w:rsidRDefault="0004358D" w:rsidP="0004358D">
      <w:pPr>
        <w:rPr>
          <w:szCs w:val="22"/>
        </w:rPr>
      </w:pPr>
      <w:r w:rsidRPr="006B296A">
        <w:rPr>
          <w:szCs w:val="22"/>
        </w:rPr>
        <w:t>Based on data from the Workplace Gender Equality Agency, the sector employs approximately 259,865 staff, distributed as follows:</w:t>
      </w:r>
    </w:p>
    <w:p w14:paraId="2775400E" w14:textId="77777777" w:rsidR="0004358D" w:rsidRPr="006B296A" w:rsidRDefault="0004358D" w:rsidP="000937AE">
      <w:pPr>
        <w:numPr>
          <w:ilvl w:val="0"/>
          <w:numId w:val="153"/>
        </w:numPr>
        <w:spacing w:after="0"/>
        <w:rPr>
          <w:szCs w:val="22"/>
        </w:rPr>
      </w:pPr>
      <w:r w:rsidRPr="006B296A">
        <w:rPr>
          <w:szCs w:val="22"/>
        </w:rPr>
        <w:t>Large HEPs: 136,717 staff</w:t>
      </w:r>
    </w:p>
    <w:p w14:paraId="58270DC3" w14:textId="77777777" w:rsidR="0004358D" w:rsidRPr="006B296A" w:rsidRDefault="0004358D" w:rsidP="000937AE">
      <w:pPr>
        <w:numPr>
          <w:ilvl w:val="0"/>
          <w:numId w:val="153"/>
        </w:numPr>
        <w:spacing w:after="0"/>
        <w:rPr>
          <w:szCs w:val="22"/>
        </w:rPr>
      </w:pPr>
      <w:r w:rsidRPr="006B296A">
        <w:rPr>
          <w:szCs w:val="22"/>
        </w:rPr>
        <w:t>Medium HEPs: 95,934 staff</w:t>
      </w:r>
    </w:p>
    <w:p w14:paraId="6D47D6EA" w14:textId="77777777" w:rsidR="0004358D" w:rsidRPr="006B296A" w:rsidRDefault="0004358D" w:rsidP="00DD4830">
      <w:pPr>
        <w:numPr>
          <w:ilvl w:val="0"/>
          <w:numId w:val="153"/>
        </w:numPr>
        <w:rPr>
          <w:szCs w:val="22"/>
        </w:rPr>
      </w:pPr>
      <w:r w:rsidRPr="006B296A">
        <w:rPr>
          <w:szCs w:val="22"/>
        </w:rPr>
        <w:t>Small HEPs: 27,214 staff</w:t>
      </w:r>
    </w:p>
    <w:p w14:paraId="780CD07B" w14:textId="160925DB" w:rsidR="0004358D" w:rsidRPr="006B296A" w:rsidRDefault="0004358D" w:rsidP="0004358D">
      <w:pPr>
        <w:rPr>
          <w:szCs w:val="22"/>
        </w:rPr>
      </w:pPr>
      <w:r w:rsidRPr="006B296A">
        <w:rPr>
          <w:szCs w:val="22"/>
        </w:rPr>
        <w:lastRenderedPageBreak/>
        <w:t>Staff growth is projected at 3% annually per HEP. For standards that apply to new hires (Standard 4), the model assumes 5% of staff are new employees each year, equating to approximately 12,993 new hires across the sector annually.</w:t>
      </w:r>
    </w:p>
    <w:p w14:paraId="51577705" w14:textId="465B91C6" w:rsidR="00591718" w:rsidRPr="006B296A" w:rsidRDefault="00591718" w:rsidP="00591718">
      <w:pPr>
        <w:rPr>
          <w:szCs w:val="22"/>
        </w:rPr>
      </w:pPr>
      <w:r w:rsidRPr="006B296A">
        <w:rPr>
          <w:szCs w:val="22"/>
        </w:rPr>
        <w:t xml:space="preserve">Compliance with the </w:t>
      </w:r>
      <w:r w:rsidR="008743F1" w:rsidRPr="006B296A">
        <w:rPr>
          <w:szCs w:val="22"/>
        </w:rPr>
        <w:t>National Code</w:t>
      </w:r>
      <w:r w:rsidRPr="006B296A">
        <w:rPr>
          <w:szCs w:val="22"/>
        </w:rPr>
        <w:t xml:space="preserve"> is expected to increase over time, reflecting varying levels of institutional readiness:</w:t>
      </w:r>
    </w:p>
    <w:p w14:paraId="237DD794" w14:textId="77777777" w:rsidR="00591718" w:rsidRPr="006B296A" w:rsidRDefault="00591718" w:rsidP="000937AE">
      <w:pPr>
        <w:numPr>
          <w:ilvl w:val="0"/>
          <w:numId w:val="154"/>
        </w:numPr>
        <w:spacing w:after="0"/>
        <w:rPr>
          <w:szCs w:val="22"/>
        </w:rPr>
      </w:pPr>
      <w:r w:rsidRPr="006B296A">
        <w:rPr>
          <w:szCs w:val="22"/>
        </w:rPr>
        <w:t>Year 1: 60% of large HEPs, 40% of medium, and 30% of small</w:t>
      </w:r>
    </w:p>
    <w:p w14:paraId="2DC41DA9" w14:textId="77777777" w:rsidR="00591718" w:rsidRPr="006B296A" w:rsidRDefault="00591718" w:rsidP="000937AE">
      <w:pPr>
        <w:numPr>
          <w:ilvl w:val="0"/>
          <w:numId w:val="154"/>
        </w:numPr>
        <w:spacing w:after="0"/>
        <w:rPr>
          <w:szCs w:val="22"/>
        </w:rPr>
      </w:pPr>
      <w:r w:rsidRPr="006B296A">
        <w:rPr>
          <w:szCs w:val="22"/>
        </w:rPr>
        <w:t>Annual increase: 10%</w:t>
      </w:r>
    </w:p>
    <w:p w14:paraId="57B2AE84" w14:textId="3E977658" w:rsidR="00591718" w:rsidRPr="006B296A" w:rsidRDefault="00591718" w:rsidP="00DD4830">
      <w:pPr>
        <w:numPr>
          <w:ilvl w:val="0"/>
          <w:numId w:val="154"/>
        </w:numPr>
        <w:rPr>
          <w:szCs w:val="22"/>
        </w:rPr>
      </w:pPr>
      <w:r w:rsidRPr="006B296A">
        <w:rPr>
          <w:szCs w:val="22"/>
        </w:rPr>
        <w:t>By Year 5: Large HEPs reach 100% compliance</w:t>
      </w:r>
      <w:r w:rsidR="009B06B4" w:rsidRPr="006B296A">
        <w:rPr>
          <w:szCs w:val="22"/>
        </w:rPr>
        <w:t>,</w:t>
      </w:r>
      <w:r w:rsidRPr="006B296A">
        <w:rPr>
          <w:szCs w:val="22"/>
        </w:rPr>
        <w:t xml:space="preserve"> medium and small HEPs plateau at 77% and 69%, respectively</w:t>
      </w:r>
    </w:p>
    <w:p w14:paraId="7CDDDAC9" w14:textId="77777777" w:rsidR="00591718" w:rsidRPr="006B296A" w:rsidRDefault="00591718" w:rsidP="00591718">
      <w:pPr>
        <w:rPr>
          <w:szCs w:val="22"/>
        </w:rPr>
      </w:pPr>
      <w:r w:rsidRPr="006B296A">
        <w:rPr>
          <w:szCs w:val="22"/>
        </w:rPr>
        <w:t>These assumptions account for resource constraints in smaller institutions. A sensitivity analysis explores the impact of full compliance across all HEP sizes.</w:t>
      </w:r>
    </w:p>
    <w:p w14:paraId="03B61734" w14:textId="400486A7" w:rsidR="0054357D" w:rsidRDefault="0054357D" w:rsidP="0054357D">
      <w:pPr>
        <w:rPr>
          <w:szCs w:val="22"/>
        </w:rPr>
      </w:pPr>
      <w:r w:rsidRPr="006B296A">
        <w:rPr>
          <w:szCs w:val="22"/>
        </w:rPr>
        <w:t xml:space="preserve">The model focuses on </w:t>
      </w:r>
      <w:r w:rsidR="008223FC" w:rsidRPr="006B296A">
        <w:rPr>
          <w:szCs w:val="22"/>
        </w:rPr>
        <w:t>GBV</w:t>
      </w:r>
      <w:r w:rsidRPr="006B296A">
        <w:rPr>
          <w:szCs w:val="22"/>
        </w:rPr>
        <w:t xml:space="preserve"> experienced by female students and staff, consistent with national data sources such as the ABS. While </w:t>
      </w:r>
      <w:r w:rsidR="008223FC" w:rsidRPr="006B296A">
        <w:rPr>
          <w:szCs w:val="22"/>
        </w:rPr>
        <w:t>GBV</w:t>
      </w:r>
      <w:r w:rsidRPr="006B296A">
        <w:rPr>
          <w:szCs w:val="22"/>
        </w:rPr>
        <w:t xml:space="preserve"> affects individuals of all genders, prevalence is significantly higher among women.</w:t>
      </w:r>
      <w:r w:rsidR="003D3FCF" w:rsidRPr="006B296A">
        <w:rPr>
          <w:rStyle w:val="FootnoteReference"/>
          <w:szCs w:val="22"/>
        </w:rPr>
        <w:t xml:space="preserve"> </w:t>
      </w:r>
      <w:r w:rsidR="003D3FCF" w:rsidRPr="006B296A">
        <w:rPr>
          <w:rStyle w:val="FootnoteReference"/>
          <w:szCs w:val="22"/>
        </w:rPr>
        <w:footnoteReference w:id="144"/>
      </w:r>
      <w:r w:rsidR="003D3FCF" w:rsidRPr="006B296A">
        <w:rPr>
          <w:szCs w:val="22"/>
        </w:rPr>
        <w:t xml:space="preserve">  </w:t>
      </w:r>
      <w:r w:rsidRPr="006B296A">
        <w:rPr>
          <w:szCs w:val="22"/>
        </w:rPr>
        <w:t xml:space="preserve">The model adopts this focus to align with the definition of </w:t>
      </w:r>
      <w:r w:rsidR="008223FC" w:rsidRPr="006B296A">
        <w:rPr>
          <w:szCs w:val="22"/>
        </w:rPr>
        <w:t>GBV</w:t>
      </w:r>
      <w:r w:rsidRPr="006B296A">
        <w:rPr>
          <w:szCs w:val="22"/>
        </w:rPr>
        <w:t xml:space="preserve"> as violence predominantly perpetrated by men against women, and to reflect the scope of most national prevalence studies.</w:t>
      </w:r>
    </w:p>
    <w:p w14:paraId="2A9E0E69" w14:textId="77777777" w:rsidR="00797D7C" w:rsidRDefault="00797D7C" w:rsidP="0054357D">
      <w:pPr>
        <w:rPr>
          <w:szCs w:val="22"/>
        </w:rPr>
      </w:pPr>
    </w:p>
    <w:p w14:paraId="4889B218" w14:textId="77777777" w:rsidR="00797D7C" w:rsidRPr="006B296A" w:rsidRDefault="00797D7C" w:rsidP="0054357D">
      <w:pPr>
        <w:rPr>
          <w:szCs w:val="22"/>
        </w:rPr>
      </w:pPr>
    </w:p>
    <w:p w14:paraId="7BA4C5CF" w14:textId="77777777" w:rsidR="0054357D" w:rsidRPr="006B296A" w:rsidRDefault="0054357D" w:rsidP="0054357D">
      <w:pPr>
        <w:rPr>
          <w:szCs w:val="22"/>
        </w:rPr>
      </w:pPr>
      <w:r w:rsidRPr="006B296A">
        <w:rPr>
          <w:szCs w:val="22"/>
        </w:rPr>
        <w:t>To avoid overestimation, the model assumes:</w:t>
      </w:r>
    </w:p>
    <w:p w14:paraId="7B457E92" w14:textId="41EB5421" w:rsidR="0054357D" w:rsidRPr="006B296A" w:rsidRDefault="0054357D" w:rsidP="008D4824">
      <w:pPr>
        <w:numPr>
          <w:ilvl w:val="0"/>
          <w:numId w:val="155"/>
        </w:numPr>
        <w:rPr>
          <w:szCs w:val="22"/>
        </w:rPr>
      </w:pPr>
      <w:r w:rsidRPr="006B296A">
        <w:rPr>
          <w:szCs w:val="22"/>
        </w:rPr>
        <w:t>50% of staff and 60% of students identify as female</w:t>
      </w:r>
      <w:r w:rsidR="00E85ABE" w:rsidRPr="006B296A">
        <w:rPr>
          <w:rStyle w:val="FootnoteReference"/>
          <w:szCs w:val="22"/>
        </w:rPr>
        <w:footnoteReference w:id="145"/>
      </w:r>
    </w:p>
    <w:p w14:paraId="7DBC9A64" w14:textId="25A52DF7" w:rsidR="00B40DC1" w:rsidRPr="006B296A" w:rsidRDefault="0047502E" w:rsidP="00B40DC1">
      <w:pPr>
        <w:rPr>
          <w:szCs w:val="22"/>
        </w:rPr>
      </w:pPr>
      <w:r w:rsidRPr="006B296A">
        <w:rPr>
          <w:szCs w:val="22"/>
        </w:rPr>
        <w:t>T</w:t>
      </w:r>
      <w:r w:rsidR="00B40DC1" w:rsidRPr="006B296A">
        <w:rPr>
          <w:szCs w:val="22"/>
        </w:rPr>
        <w:t xml:space="preserve">he model assumes that 20% of female students and staff experience </w:t>
      </w:r>
      <w:r w:rsidR="00B7771B" w:rsidRPr="006B296A">
        <w:rPr>
          <w:szCs w:val="22"/>
        </w:rPr>
        <w:t>GBV</w:t>
      </w:r>
      <w:r w:rsidR="00207212" w:rsidRPr="006B296A">
        <w:rPr>
          <w:rStyle w:val="FootnoteReference"/>
          <w:szCs w:val="22"/>
        </w:rPr>
        <w:footnoteReference w:id="146"/>
      </w:r>
      <w:r w:rsidR="00207212" w:rsidRPr="006B296A">
        <w:rPr>
          <w:szCs w:val="22"/>
        </w:rPr>
        <w:t xml:space="preserve"> </w:t>
      </w:r>
      <w:r w:rsidR="00B40DC1" w:rsidRPr="006B296A">
        <w:rPr>
          <w:szCs w:val="22"/>
        </w:rPr>
        <w:t xml:space="preserve"> based on national prevalence data and sector-specific research. Key sources include:</w:t>
      </w:r>
    </w:p>
    <w:p w14:paraId="477BDCD9" w14:textId="77777777" w:rsidR="00B40DC1" w:rsidRPr="006B296A" w:rsidRDefault="00B40DC1" w:rsidP="000937AE">
      <w:pPr>
        <w:numPr>
          <w:ilvl w:val="0"/>
          <w:numId w:val="156"/>
        </w:numPr>
        <w:spacing w:after="0"/>
        <w:rPr>
          <w:szCs w:val="22"/>
        </w:rPr>
      </w:pPr>
      <w:r w:rsidRPr="006B296A">
        <w:rPr>
          <w:szCs w:val="22"/>
        </w:rPr>
        <w:t>2021 National Student Safety Survey (NSSS)</w:t>
      </w:r>
    </w:p>
    <w:p w14:paraId="75D45336" w14:textId="77777777" w:rsidR="00B40DC1" w:rsidRPr="006B296A" w:rsidRDefault="00B40DC1" w:rsidP="000937AE">
      <w:pPr>
        <w:numPr>
          <w:ilvl w:val="0"/>
          <w:numId w:val="156"/>
        </w:numPr>
        <w:spacing w:after="0"/>
        <w:rPr>
          <w:szCs w:val="22"/>
        </w:rPr>
      </w:pPr>
      <w:r w:rsidRPr="006B296A">
        <w:rPr>
          <w:szCs w:val="22"/>
        </w:rPr>
        <w:t>2024 Unlocking the Prevention Potential report</w:t>
      </w:r>
    </w:p>
    <w:p w14:paraId="6D892B69" w14:textId="77777777" w:rsidR="00B40DC1" w:rsidRPr="006B296A" w:rsidRDefault="00B40DC1" w:rsidP="000937AE">
      <w:pPr>
        <w:numPr>
          <w:ilvl w:val="0"/>
          <w:numId w:val="156"/>
        </w:numPr>
        <w:spacing w:after="0"/>
        <w:rPr>
          <w:szCs w:val="22"/>
        </w:rPr>
      </w:pPr>
      <w:r w:rsidRPr="006B296A">
        <w:rPr>
          <w:szCs w:val="22"/>
        </w:rPr>
        <w:t>2023 NTEU Sexual Harassment in the Workplace study</w:t>
      </w:r>
    </w:p>
    <w:p w14:paraId="42535175" w14:textId="77777777" w:rsidR="00B40DC1" w:rsidRPr="006B296A" w:rsidRDefault="00B40DC1" w:rsidP="000937AE">
      <w:pPr>
        <w:numPr>
          <w:ilvl w:val="0"/>
          <w:numId w:val="156"/>
        </w:numPr>
        <w:spacing w:after="0"/>
        <w:rPr>
          <w:szCs w:val="22"/>
        </w:rPr>
      </w:pPr>
      <w:r w:rsidRPr="006B296A">
        <w:rPr>
          <w:szCs w:val="22"/>
        </w:rPr>
        <w:t>ABS Personal Safety Survey</w:t>
      </w:r>
    </w:p>
    <w:p w14:paraId="1168C827" w14:textId="6B3AFF1D" w:rsidR="00B40DC1" w:rsidRPr="006B296A" w:rsidRDefault="00B40DC1" w:rsidP="008D4824">
      <w:pPr>
        <w:numPr>
          <w:ilvl w:val="0"/>
          <w:numId w:val="156"/>
        </w:numPr>
        <w:rPr>
          <w:szCs w:val="22"/>
        </w:rPr>
      </w:pPr>
      <w:r w:rsidRPr="006B296A">
        <w:rPr>
          <w:szCs w:val="22"/>
        </w:rPr>
        <w:t>A</w:t>
      </w:r>
      <w:r w:rsidR="00A54CE3">
        <w:rPr>
          <w:szCs w:val="22"/>
        </w:rPr>
        <w:t>ustralian Institute of H</w:t>
      </w:r>
      <w:r w:rsidR="00795573">
        <w:rPr>
          <w:szCs w:val="22"/>
        </w:rPr>
        <w:t>ealth and Welfare</w:t>
      </w:r>
      <w:r w:rsidRPr="006B296A">
        <w:rPr>
          <w:szCs w:val="22"/>
        </w:rPr>
        <w:t xml:space="preserve"> reports and literature reviews</w:t>
      </w:r>
    </w:p>
    <w:p w14:paraId="099FB2AF" w14:textId="5B34868E" w:rsidR="000937AE" w:rsidRPr="006B296A" w:rsidRDefault="00B40DC1" w:rsidP="00B40DC1">
      <w:pPr>
        <w:rPr>
          <w:szCs w:val="22"/>
        </w:rPr>
      </w:pPr>
      <w:r w:rsidRPr="006B296A">
        <w:rPr>
          <w:szCs w:val="22"/>
        </w:rPr>
        <w:t xml:space="preserve">To avoid double-counting, the model conservatively applies a 20% prevalence rate, accounting for overlapping forms of </w:t>
      </w:r>
      <w:r w:rsidR="008223FC" w:rsidRPr="006B296A">
        <w:rPr>
          <w:szCs w:val="22"/>
        </w:rPr>
        <w:t>GBV</w:t>
      </w:r>
      <w:r w:rsidRPr="006B296A">
        <w:rPr>
          <w:szCs w:val="22"/>
        </w:rPr>
        <w:t xml:space="preserve"> such as domestic violence, stalking, coercion, and technology-facilitated abuse.</w:t>
      </w:r>
    </w:p>
    <w:p w14:paraId="53DC6529" w14:textId="44997894" w:rsidR="00CA1520" w:rsidRDefault="00E83995" w:rsidP="0047387E">
      <w:pPr>
        <w:pStyle w:val="Heading3"/>
      </w:pPr>
      <w:bookmarkStart w:id="167" w:name="_Toc204699884"/>
      <w:bookmarkStart w:id="168" w:name="_Toc204763334"/>
      <w:bookmarkStart w:id="169" w:name="_Toc204764902"/>
      <w:r>
        <w:t>Total</w:t>
      </w:r>
      <w:r w:rsidR="0047387E">
        <w:t xml:space="preserve"> costs and regulatory burden of the </w:t>
      </w:r>
      <w:r w:rsidR="008743F1">
        <w:t>National Code</w:t>
      </w:r>
      <w:bookmarkEnd w:id="167"/>
      <w:bookmarkEnd w:id="168"/>
      <w:bookmarkEnd w:id="169"/>
    </w:p>
    <w:p w14:paraId="23A145CB" w14:textId="4121A07E" w:rsidR="00E75099" w:rsidRDefault="00723825" w:rsidP="00DA0B94">
      <w:pPr>
        <w:pStyle w:val="NormalWeb"/>
        <w:spacing w:before="0" w:beforeAutospacing="0" w:after="160" w:afterAutospacing="0" w:line="278" w:lineRule="auto"/>
        <w:rPr>
          <w:rFonts w:asciiTheme="minorHAnsi" w:hAnsiTheme="minorHAnsi" w:cs="Calibri"/>
          <w:b/>
          <w:szCs w:val="22"/>
        </w:rPr>
      </w:pPr>
      <w:r w:rsidRPr="006B296A">
        <w:rPr>
          <w:rFonts w:asciiTheme="minorHAnsi" w:hAnsiTheme="minorHAnsi" w:cs="Segoe UI"/>
          <w:color w:val="000000" w:themeColor="text1"/>
          <w:szCs w:val="22"/>
        </w:rPr>
        <w:t>Cost estimates were calculated using the methodology detailed in Chapter</w:t>
      </w:r>
      <w:r w:rsidR="00D904BC" w:rsidRPr="006B296A">
        <w:rPr>
          <w:rFonts w:asciiTheme="minorHAnsi" w:hAnsiTheme="minorHAnsi" w:cs="Segoe UI"/>
          <w:color w:val="000000" w:themeColor="text1"/>
          <w:szCs w:val="22"/>
        </w:rPr>
        <w:t>s 4.3.1</w:t>
      </w:r>
      <w:r w:rsidR="00EF0774" w:rsidRPr="006B296A">
        <w:rPr>
          <w:rFonts w:asciiTheme="minorHAnsi" w:hAnsiTheme="minorHAnsi" w:cs="Segoe UI"/>
          <w:color w:val="000000" w:themeColor="text1"/>
          <w:szCs w:val="22"/>
        </w:rPr>
        <w:t xml:space="preserve"> to </w:t>
      </w:r>
      <w:r w:rsidR="00D904BC" w:rsidRPr="006B296A">
        <w:rPr>
          <w:rFonts w:asciiTheme="minorHAnsi" w:hAnsiTheme="minorHAnsi" w:cs="Segoe UI"/>
          <w:color w:val="000000" w:themeColor="text1"/>
          <w:szCs w:val="22"/>
        </w:rPr>
        <w:t>4.3.3</w:t>
      </w:r>
      <w:r w:rsidR="00EF0774" w:rsidRPr="006B296A">
        <w:rPr>
          <w:rFonts w:asciiTheme="minorHAnsi" w:hAnsiTheme="minorHAnsi" w:cs="Segoe UI"/>
          <w:color w:val="000000" w:themeColor="text1"/>
          <w:szCs w:val="22"/>
        </w:rPr>
        <w:t xml:space="preserve"> inclusive</w:t>
      </w:r>
      <w:r w:rsidRPr="006B296A">
        <w:rPr>
          <w:rFonts w:asciiTheme="minorHAnsi" w:hAnsiTheme="minorHAnsi" w:cs="Segoe UI"/>
          <w:color w:val="000000" w:themeColor="text1"/>
          <w:szCs w:val="22"/>
        </w:rPr>
        <w:t>.</w:t>
      </w:r>
      <w:r w:rsidR="00DA586B" w:rsidRPr="006B296A">
        <w:rPr>
          <w:rFonts w:asciiTheme="minorHAnsi" w:hAnsiTheme="minorHAnsi" w:cs="Segoe UI"/>
          <w:color w:val="000000" w:themeColor="text1"/>
          <w:szCs w:val="22"/>
        </w:rPr>
        <w:t xml:space="preserve"> </w:t>
      </w:r>
      <w:r w:rsidR="00DA586B" w:rsidRPr="006B296A">
        <w:rPr>
          <w:rFonts w:asciiTheme="minorHAnsi" w:hAnsiTheme="minorHAnsi" w:cs="Calibri"/>
          <w:szCs w:val="22"/>
        </w:rPr>
        <w:t xml:space="preserve">In total, across all standards, the introduction of the National Code is expected to </w:t>
      </w:r>
      <w:r w:rsidR="00DA586B" w:rsidRPr="006B296A">
        <w:rPr>
          <w:rFonts w:asciiTheme="minorHAnsi" w:hAnsiTheme="minorHAnsi" w:cs="Calibri"/>
          <w:szCs w:val="22"/>
        </w:rPr>
        <w:lastRenderedPageBreak/>
        <w:t>impose</w:t>
      </w:r>
      <w:r w:rsidR="0014105F" w:rsidRPr="006B296A">
        <w:rPr>
          <w:rFonts w:asciiTheme="minorHAnsi" w:hAnsiTheme="minorHAnsi" w:cs="Calibri"/>
          <w:szCs w:val="22"/>
        </w:rPr>
        <w:t xml:space="preserve"> </w:t>
      </w:r>
      <w:r w:rsidR="00DA586B" w:rsidRPr="006B296A">
        <w:rPr>
          <w:rFonts w:asciiTheme="minorHAnsi" w:hAnsiTheme="minorHAnsi" w:cs="Calibri"/>
          <w:b/>
          <w:szCs w:val="22"/>
        </w:rPr>
        <w:t>$1.2 billion in costs across all stakeholders over 10 years</w:t>
      </w:r>
      <w:r w:rsidR="00BB0DE0">
        <w:rPr>
          <w:rFonts w:asciiTheme="minorHAnsi" w:hAnsiTheme="minorHAnsi" w:cs="Calibri"/>
          <w:bCs/>
          <w:szCs w:val="22"/>
        </w:rPr>
        <w:t>, with t</w:t>
      </w:r>
      <w:r w:rsidR="00010D44">
        <w:rPr>
          <w:rFonts w:asciiTheme="minorHAnsi" w:hAnsiTheme="minorHAnsi" w:cs="Calibri"/>
          <w:bCs/>
          <w:szCs w:val="22"/>
        </w:rPr>
        <w:t xml:space="preserve">he </w:t>
      </w:r>
      <w:r w:rsidR="00010D44" w:rsidRPr="00AF4033">
        <w:rPr>
          <w:rFonts w:asciiTheme="minorHAnsi" w:hAnsiTheme="minorHAnsi" w:cs="Calibri"/>
          <w:b/>
          <w:szCs w:val="22"/>
        </w:rPr>
        <w:t>average annual regulatory burden</w:t>
      </w:r>
      <w:r w:rsidR="00010D44">
        <w:rPr>
          <w:rFonts w:asciiTheme="minorHAnsi" w:hAnsiTheme="minorHAnsi" w:cs="Calibri"/>
          <w:b/>
          <w:szCs w:val="22"/>
        </w:rPr>
        <w:t xml:space="preserve"> </w:t>
      </w:r>
      <w:r w:rsidR="00010D44">
        <w:rPr>
          <w:rFonts w:asciiTheme="minorHAnsi" w:hAnsiTheme="minorHAnsi" w:cs="Calibri"/>
          <w:bCs/>
          <w:szCs w:val="22"/>
        </w:rPr>
        <w:t xml:space="preserve">of the National Code </w:t>
      </w:r>
      <w:r w:rsidR="001157D8">
        <w:rPr>
          <w:rFonts w:asciiTheme="minorHAnsi" w:hAnsiTheme="minorHAnsi" w:cs="Calibri"/>
          <w:bCs/>
          <w:szCs w:val="22"/>
        </w:rPr>
        <w:t xml:space="preserve">estimated at </w:t>
      </w:r>
      <w:r w:rsidR="004821BC">
        <w:rPr>
          <w:rFonts w:asciiTheme="minorHAnsi" w:hAnsiTheme="minorHAnsi" w:cs="Calibri"/>
          <w:b/>
          <w:szCs w:val="22"/>
        </w:rPr>
        <w:t>$173.2 million</w:t>
      </w:r>
      <w:r w:rsidR="00C91FC5">
        <w:rPr>
          <w:rFonts w:asciiTheme="minorHAnsi" w:hAnsiTheme="minorHAnsi" w:cs="Calibri"/>
          <w:b/>
          <w:szCs w:val="22"/>
        </w:rPr>
        <w:t xml:space="preserve"> per year.</w:t>
      </w:r>
      <w:r w:rsidR="007B6193">
        <w:rPr>
          <w:rFonts w:asciiTheme="minorHAnsi" w:hAnsiTheme="minorHAnsi" w:cs="Calibri"/>
          <w:b/>
          <w:szCs w:val="22"/>
        </w:rPr>
        <w:t xml:space="preserve"> </w:t>
      </w:r>
    </w:p>
    <w:p w14:paraId="2DF6ED9C" w14:textId="3813CC81" w:rsidR="007B6193" w:rsidRDefault="007B6193" w:rsidP="007B6193">
      <w:pPr>
        <w:pStyle w:val="NormalWeb"/>
        <w:spacing w:before="0" w:beforeAutospacing="0" w:after="160" w:afterAutospacing="0" w:line="278" w:lineRule="auto"/>
        <w:rPr>
          <w:rFonts w:asciiTheme="minorHAnsi" w:hAnsiTheme="minorHAnsi" w:cs="Calibri"/>
          <w:bCs/>
          <w:szCs w:val="22"/>
        </w:rPr>
      </w:pPr>
      <w:r w:rsidRPr="009E701B">
        <w:rPr>
          <w:rFonts w:asciiTheme="minorHAnsi" w:eastAsiaTheme="majorEastAsia" w:hAnsiTheme="minorHAnsi" w:cs="Calibri"/>
          <w:szCs w:val="22"/>
        </w:rPr>
        <w:t xml:space="preserve">The OIA Regulatory Burden Measurement Framework defines regulatory burden as including costs to individuals, </w:t>
      </w:r>
      <w:r w:rsidR="00157F0C" w:rsidRPr="009E701B">
        <w:rPr>
          <w:rFonts w:asciiTheme="minorHAnsi" w:eastAsiaTheme="majorEastAsia" w:hAnsiTheme="minorHAnsi" w:cs="Calibri"/>
          <w:szCs w:val="22"/>
        </w:rPr>
        <w:t>communities,</w:t>
      </w:r>
      <w:r w:rsidRPr="009E701B">
        <w:rPr>
          <w:rFonts w:asciiTheme="minorHAnsi" w:eastAsiaTheme="majorEastAsia" w:hAnsiTheme="minorHAnsi" w:cs="Calibri"/>
          <w:szCs w:val="22"/>
        </w:rPr>
        <w:t xml:space="preserve"> and businesses only, as such Australian Government costs of $4.7</w:t>
      </w:r>
      <w:r>
        <w:rPr>
          <w:rFonts w:asciiTheme="minorHAnsi" w:hAnsiTheme="minorHAnsi" w:cs="Calibri"/>
          <w:bCs/>
          <w:szCs w:val="22"/>
        </w:rPr>
        <w:t xml:space="preserve"> million </w:t>
      </w:r>
      <w:r w:rsidR="005C2600">
        <w:rPr>
          <w:rFonts w:asciiTheme="minorHAnsi" w:hAnsiTheme="minorHAnsi" w:cs="Calibri"/>
          <w:bCs/>
          <w:szCs w:val="22"/>
        </w:rPr>
        <w:t>on average per year</w:t>
      </w:r>
      <w:r>
        <w:rPr>
          <w:rFonts w:asciiTheme="minorHAnsi" w:hAnsiTheme="minorHAnsi" w:cs="Calibri"/>
          <w:bCs/>
          <w:szCs w:val="22"/>
        </w:rPr>
        <w:t xml:space="preserve"> </w:t>
      </w:r>
      <w:r w:rsidRPr="009E701B">
        <w:rPr>
          <w:rFonts w:asciiTheme="minorHAnsi" w:eastAsiaTheme="majorEastAsia" w:hAnsiTheme="minorHAnsi" w:cs="Calibri"/>
          <w:szCs w:val="22"/>
        </w:rPr>
        <w:t>have been omitted from the regulatory burden estimates.</w:t>
      </w:r>
    </w:p>
    <w:p w14:paraId="1A98AC14" w14:textId="77777777" w:rsidR="00A85A4A" w:rsidRDefault="003B689F" w:rsidP="00DA0B94">
      <w:pPr>
        <w:pStyle w:val="NormalWeb"/>
        <w:spacing w:before="0" w:beforeAutospacing="0" w:after="160" w:afterAutospacing="0" w:line="278" w:lineRule="auto"/>
        <w:rPr>
          <w:rFonts w:asciiTheme="minorHAnsi" w:hAnsiTheme="minorHAnsi" w:cs="Calibri"/>
          <w:bCs/>
          <w:szCs w:val="22"/>
        </w:rPr>
      </w:pPr>
      <w:r>
        <w:rPr>
          <w:rFonts w:asciiTheme="minorHAnsi" w:hAnsiTheme="minorHAnsi" w:cs="Calibri"/>
          <w:bCs/>
          <w:szCs w:val="22"/>
        </w:rPr>
        <w:t xml:space="preserve">The total </w:t>
      </w:r>
      <w:r w:rsidR="008D26D3">
        <w:rPr>
          <w:rFonts w:asciiTheme="minorHAnsi" w:hAnsiTheme="minorHAnsi" w:cs="Calibri"/>
          <w:bCs/>
          <w:szCs w:val="22"/>
        </w:rPr>
        <w:t>annual average</w:t>
      </w:r>
      <w:r>
        <w:rPr>
          <w:rFonts w:asciiTheme="minorHAnsi" w:hAnsiTheme="minorHAnsi" w:cs="Calibri"/>
          <w:bCs/>
          <w:szCs w:val="22"/>
        </w:rPr>
        <w:t xml:space="preserve"> costs </w:t>
      </w:r>
      <w:r w:rsidR="005C2600">
        <w:rPr>
          <w:rFonts w:asciiTheme="minorHAnsi" w:hAnsiTheme="minorHAnsi" w:cs="Calibri"/>
          <w:bCs/>
          <w:szCs w:val="22"/>
        </w:rPr>
        <w:t>overall</w:t>
      </w:r>
      <w:r>
        <w:rPr>
          <w:rFonts w:asciiTheme="minorHAnsi" w:hAnsiTheme="minorHAnsi" w:cs="Calibri"/>
          <w:bCs/>
          <w:szCs w:val="22"/>
        </w:rPr>
        <w:t xml:space="preserve"> of the National Code, including costs to government</w:t>
      </w:r>
      <w:r w:rsidR="00C91FC5">
        <w:rPr>
          <w:rFonts w:asciiTheme="minorHAnsi" w:hAnsiTheme="minorHAnsi" w:cs="Calibri"/>
          <w:bCs/>
          <w:szCs w:val="22"/>
        </w:rPr>
        <w:t>,</w:t>
      </w:r>
      <w:r w:rsidR="008D26D3">
        <w:rPr>
          <w:rFonts w:asciiTheme="minorHAnsi" w:hAnsiTheme="minorHAnsi" w:cs="Calibri"/>
          <w:bCs/>
          <w:szCs w:val="22"/>
        </w:rPr>
        <w:t xml:space="preserve"> is</w:t>
      </w:r>
      <w:r>
        <w:rPr>
          <w:rFonts w:asciiTheme="minorHAnsi" w:hAnsiTheme="minorHAnsi" w:cs="Calibri"/>
          <w:bCs/>
          <w:szCs w:val="22"/>
        </w:rPr>
        <w:t xml:space="preserve"> </w:t>
      </w:r>
      <w:r>
        <w:rPr>
          <w:rFonts w:asciiTheme="minorHAnsi" w:hAnsiTheme="minorHAnsi" w:cs="Calibri"/>
          <w:b/>
          <w:szCs w:val="22"/>
        </w:rPr>
        <w:t>$177</w:t>
      </w:r>
      <w:r w:rsidR="00A94355">
        <w:rPr>
          <w:rFonts w:asciiTheme="minorHAnsi" w:hAnsiTheme="minorHAnsi" w:cs="Calibri"/>
          <w:b/>
          <w:szCs w:val="22"/>
        </w:rPr>
        <w:t xml:space="preserve">.9 million per year </w:t>
      </w:r>
      <w:r w:rsidR="00A94355">
        <w:rPr>
          <w:rFonts w:asciiTheme="minorHAnsi" w:hAnsiTheme="minorHAnsi" w:cs="Calibri"/>
          <w:bCs/>
          <w:szCs w:val="22"/>
        </w:rPr>
        <w:t xml:space="preserve">(this is the average annual regulatory burden of $173.2 million, plus the costs of $4.7 million </w:t>
      </w:r>
      <w:r w:rsidR="00CA0616">
        <w:rPr>
          <w:rFonts w:asciiTheme="minorHAnsi" w:hAnsiTheme="minorHAnsi" w:cs="Calibri"/>
          <w:bCs/>
          <w:szCs w:val="22"/>
        </w:rPr>
        <w:t>of the Australian Government).</w:t>
      </w:r>
    </w:p>
    <w:p w14:paraId="46ED3B2A" w14:textId="77777777" w:rsidR="00A05898" w:rsidRDefault="00A05898" w:rsidP="00A05898">
      <w:pPr>
        <w:pStyle w:val="NormalWeb"/>
        <w:spacing w:before="0" w:beforeAutospacing="0" w:after="160" w:afterAutospacing="0" w:line="278" w:lineRule="auto"/>
        <w:rPr>
          <w:rFonts w:asciiTheme="minorHAnsi" w:hAnsiTheme="minorHAnsi" w:cs="Calibri"/>
          <w:bCs/>
          <w:szCs w:val="22"/>
        </w:rPr>
      </w:pPr>
      <w:r>
        <w:rPr>
          <w:rFonts w:asciiTheme="minorHAnsi" w:hAnsiTheme="minorHAnsi" w:cs="Calibri"/>
          <w:bCs/>
          <w:szCs w:val="22"/>
        </w:rPr>
        <w:t xml:space="preserve">Although an annual regulatory burden of $173.2 million appears onerous, as a point of comparison, the total </w:t>
      </w:r>
      <w:r w:rsidRPr="008072E7">
        <w:rPr>
          <w:rFonts w:asciiTheme="minorHAnsi" w:hAnsiTheme="minorHAnsi" w:cs="Calibri"/>
          <w:bCs/>
          <w:szCs w:val="22"/>
        </w:rPr>
        <w:t>annual expenses of Australian Table A and Table B universities in the 2023/24 financial year, including academic and non-academic staff costs, was $39.8 billion</w:t>
      </w:r>
      <w:r w:rsidRPr="008072E7">
        <w:rPr>
          <w:rStyle w:val="FootnoteReference"/>
          <w:rFonts w:asciiTheme="minorHAnsi" w:hAnsiTheme="minorHAnsi" w:cs="Calibri"/>
          <w:bCs/>
          <w:szCs w:val="22"/>
        </w:rPr>
        <w:footnoteReference w:id="147"/>
      </w:r>
      <w:r>
        <w:rPr>
          <w:rFonts w:asciiTheme="minorHAnsi" w:hAnsiTheme="minorHAnsi" w:cs="Calibri"/>
          <w:bCs/>
          <w:szCs w:val="22"/>
        </w:rPr>
        <w:t xml:space="preserve"> Although these numbers are not directly comparable, what it does demonstrate is that the regulatory burden of $173.2 million per year in the context of the operational costs of the higher education sector is minimal.</w:t>
      </w:r>
      <w:r w:rsidRPr="008072E7">
        <w:rPr>
          <w:rFonts w:asciiTheme="minorHAnsi" w:hAnsiTheme="minorHAnsi" w:cs="Calibri"/>
          <w:bCs/>
          <w:szCs w:val="22"/>
        </w:rPr>
        <w:t xml:space="preserve"> </w:t>
      </w:r>
    </w:p>
    <w:p w14:paraId="692F2641" w14:textId="1C2E2999" w:rsidR="00F276F2" w:rsidRPr="006B296A" w:rsidRDefault="00DA0B94" w:rsidP="00DA0B94">
      <w:pPr>
        <w:pStyle w:val="NormalWeb"/>
        <w:spacing w:before="0" w:beforeAutospacing="0" w:after="160" w:afterAutospacing="0" w:line="278" w:lineRule="auto"/>
        <w:rPr>
          <w:rFonts w:asciiTheme="minorHAnsi" w:hAnsiTheme="minorHAnsi" w:cs="Calibri"/>
          <w:szCs w:val="22"/>
        </w:rPr>
      </w:pPr>
      <w:r w:rsidRPr="006B296A">
        <w:rPr>
          <w:rFonts w:asciiTheme="minorHAnsi" w:hAnsiTheme="minorHAnsi" w:cs="Calibri"/>
          <w:szCs w:val="22"/>
        </w:rPr>
        <w:t xml:space="preserve">The table below details the </w:t>
      </w:r>
      <w:r w:rsidRPr="00AF4033">
        <w:rPr>
          <w:rFonts w:asciiTheme="minorHAnsi" w:hAnsiTheme="minorHAnsi" w:cs="Calibri"/>
          <w:b/>
          <w:szCs w:val="22"/>
        </w:rPr>
        <w:t>total costs per year</w:t>
      </w:r>
      <w:r w:rsidR="00B62914" w:rsidRPr="00AF4033">
        <w:rPr>
          <w:rFonts w:asciiTheme="minorHAnsi" w:hAnsiTheme="minorHAnsi" w:cs="Calibri"/>
          <w:b/>
          <w:szCs w:val="22"/>
        </w:rPr>
        <w:t xml:space="preserve"> over </w:t>
      </w:r>
      <w:r w:rsidR="00B150B9">
        <w:rPr>
          <w:rFonts w:asciiTheme="minorHAnsi" w:hAnsiTheme="minorHAnsi" w:cs="Calibri"/>
          <w:b/>
          <w:bCs/>
          <w:szCs w:val="22"/>
        </w:rPr>
        <w:t>a</w:t>
      </w:r>
      <w:r w:rsidR="00B62914" w:rsidRPr="00AF4033">
        <w:rPr>
          <w:rFonts w:asciiTheme="minorHAnsi" w:hAnsiTheme="minorHAnsi" w:cs="Calibri"/>
          <w:b/>
          <w:szCs w:val="22"/>
        </w:rPr>
        <w:t xml:space="preserve"> 10-</w:t>
      </w:r>
      <w:r w:rsidR="00613A6F" w:rsidRPr="00AF4033">
        <w:rPr>
          <w:rFonts w:asciiTheme="minorHAnsi" w:hAnsiTheme="minorHAnsi" w:cs="Calibri"/>
          <w:b/>
          <w:szCs w:val="22"/>
        </w:rPr>
        <w:t>year</w:t>
      </w:r>
      <w:r w:rsidR="00B62914" w:rsidRPr="00AF4033">
        <w:rPr>
          <w:rFonts w:asciiTheme="minorHAnsi" w:hAnsiTheme="minorHAnsi" w:cs="Calibri"/>
          <w:b/>
          <w:szCs w:val="22"/>
        </w:rPr>
        <w:t xml:space="preserve"> period from 2026 to 2035</w:t>
      </w:r>
      <w:r w:rsidR="008D26D3">
        <w:rPr>
          <w:rFonts w:asciiTheme="minorHAnsi" w:hAnsiTheme="minorHAnsi" w:cs="Calibri"/>
          <w:szCs w:val="22"/>
        </w:rPr>
        <w:t xml:space="preserve"> (this includes government costs).</w:t>
      </w:r>
      <w:r w:rsidR="00B62914" w:rsidRPr="006B296A">
        <w:rPr>
          <w:rFonts w:asciiTheme="minorHAnsi" w:hAnsiTheme="minorHAnsi" w:cs="Calibri"/>
          <w:szCs w:val="22"/>
        </w:rPr>
        <w:t xml:space="preserve"> </w:t>
      </w:r>
      <w:r w:rsidR="00613A6F" w:rsidRPr="006B296A">
        <w:rPr>
          <w:rFonts w:asciiTheme="minorHAnsi" w:hAnsiTheme="minorHAnsi" w:cs="Calibri"/>
          <w:szCs w:val="22"/>
        </w:rPr>
        <w:t>Increases in</w:t>
      </w:r>
      <w:r w:rsidR="00613A6F" w:rsidRPr="006B296A">
        <w:rPr>
          <w:rFonts w:asciiTheme="minorHAnsi" w:eastAsia="Calibri" w:hAnsiTheme="minorHAnsi" w:cs="Calibri"/>
          <w:color w:val="000000" w:themeColor="text1"/>
          <w:szCs w:val="22"/>
        </w:rPr>
        <w:t xml:space="preserve"> costs over time are due to several factors including increases in compliance, in reporting of GBV, and numbers of students and staff</w:t>
      </w:r>
    </w:p>
    <w:tbl>
      <w:tblPr>
        <w:tblStyle w:val="TableGrid"/>
        <w:tblW w:w="0" w:type="auto"/>
        <w:tblInd w:w="-113" w:type="dxa"/>
        <w:tblLook w:val="04A0" w:firstRow="1" w:lastRow="0" w:firstColumn="1" w:lastColumn="0" w:noHBand="0" w:noVBand="1"/>
      </w:tblPr>
      <w:tblGrid>
        <w:gridCol w:w="4361"/>
        <w:gridCol w:w="4394"/>
      </w:tblGrid>
      <w:tr w:rsidR="00AD04F5" w14:paraId="7B76D327" w14:textId="77777777" w:rsidTr="00613A6F">
        <w:tc>
          <w:tcPr>
            <w:tcW w:w="8755" w:type="dxa"/>
            <w:gridSpan w:val="2"/>
            <w:tcBorders>
              <w:bottom w:val="nil"/>
            </w:tcBorders>
            <w:shd w:val="clear" w:color="auto" w:fill="000000" w:themeFill="text1"/>
          </w:tcPr>
          <w:p w14:paraId="017EE07D" w14:textId="54D7B6F3" w:rsidR="00AD04F5" w:rsidRPr="006B296A" w:rsidRDefault="00AD04F5" w:rsidP="008D0C7E">
            <w:pPr>
              <w:pStyle w:val="NormalWeb"/>
              <w:spacing w:before="0" w:beforeAutospacing="0" w:after="160" w:afterAutospacing="0" w:line="278" w:lineRule="auto"/>
              <w:jc w:val="center"/>
              <w:rPr>
                <w:rFonts w:asciiTheme="minorHAnsi" w:eastAsia="Aptos Narrow" w:hAnsiTheme="minorHAnsi" w:cs="Aptos Narrow"/>
                <w:color w:val="000000" w:themeColor="text1"/>
                <w:sz w:val="20"/>
                <w:szCs w:val="20"/>
              </w:rPr>
            </w:pPr>
            <w:r w:rsidRPr="006B296A">
              <w:rPr>
                <w:rFonts w:asciiTheme="minorHAnsi" w:eastAsia="Aptos Narrow" w:hAnsiTheme="minorHAnsi" w:cs="Aptos Narrow"/>
                <w:color w:val="FFFFFF" w:themeColor="background1"/>
                <w:sz w:val="20"/>
                <w:szCs w:val="20"/>
              </w:rPr>
              <w:t>Total costs of the National Code over a 10-year period (2026-2035)</w:t>
            </w:r>
          </w:p>
        </w:tc>
      </w:tr>
      <w:tr w:rsidR="008E16BD" w14:paraId="200DC825" w14:textId="77777777" w:rsidTr="00613A6F">
        <w:tc>
          <w:tcPr>
            <w:tcW w:w="4361" w:type="dxa"/>
            <w:tcBorders>
              <w:top w:val="nil"/>
              <w:left w:val="nil"/>
              <w:bottom w:val="nil"/>
              <w:right w:val="nil"/>
            </w:tcBorders>
            <w:shd w:val="clear" w:color="auto" w:fill="156082" w:themeFill="accent1"/>
          </w:tcPr>
          <w:p w14:paraId="3A17236F" w14:textId="0C39332C" w:rsidR="008E16BD" w:rsidRPr="006B296A" w:rsidRDefault="008E16BD" w:rsidP="008D0C7E">
            <w:pPr>
              <w:pStyle w:val="NormalWeb"/>
              <w:spacing w:before="0" w:beforeAutospacing="0" w:after="160" w:afterAutospacing="0" w:line="278" w:lineRule="auto"/>
              <w:jc w:val="center"/>
              <w:rPr>
                <w:rFonts w:asciiTheme="minorHAnsi" w:hAnsiTheme="minorHAnsi" w:cs="Calibri"/>
                <w:color w:val="FFFFFF" w:themeColor="background1"/>
                <w:sz w:val="20"/>
                <w:szCs w:val="20"/>
              </w:rPr>
            </w:pPr>
            <w:r w:rsidRPr="006B296A">
              <w:rPr>
                <w:rFonts w:asciiTheme="minorHAnsi" w:hAnsiTheme="minorHAnsi" w:cs="Calibri"/>
                <w:color w:val="FFFFFF" w:themeColor="background1"/>
                <w:sz w:val="20"/>
                <w:szCs w:val="20"/>
              </w:rPr>
              <w:t>Year</w:t>
            </w:r>
          </w:p>
        </w:tc>
        <w:tc>
          <w:tcPr>
            <w:tcW w:w="4394" w:type="dxa"/>
            <w:tcBorders>
              <w:top w:val="nil"/>
              <w:left w:val="nil"/>
              <w:bottom w:val="nil"/>
              <w:right w:val="nil"/>
            </w:tcBorders>
            <w:shd w:val="clear" w:color="auto" w:fill="156082" w:themeFill="accent1"/>
          </w:tcPr>
          <w:p w14:paraId="24B71E2F" w14:textId="42D8ABE9" w:rsidR="008E16BD" w:rsidRPr="006B296A" w:rsidRDefault="002C2F58" w:rsidP="008D0C7E">
            <w:pPr>
              <w:pStyle w:val="NormalWeb"/>
              <w:spacing w:before="0" w:beforeAutospacing="0" w:after="160" w:afterAutospacing="0" w:line="278" w:lineRule="auto"/>
              <w:jc w:val="center"/>
              <w:rPr>
                <w:rFonts w:asciiTheme="minorHAnsi" w:eastAsia="Aptos Narrow" w:hAnsiTheme="minorHAnsi" w:cs="Calibri"/>
                <w:color w:val="FFFFFF" w:themeColor="background1"/>
                <w:sz w:val="20"/>
                <w:szCs w:val="20"/>
              </w:rPr>
            </w:pPr>
            <w:r w:rsidRPr="006B296A">
              <w:rPr>
                <w:rFonts w:asciiTheme="minorHAnsi" w:eastAsia="Aptos Narrow" w:hAnsiTheme="minorHAnsi" w:cs="Calibri"/>
                <w:color w:val="FFFFFF" w:themeColor="background1"/>
                <w:sz w:val="20"/>
                <w:szCs w:val="20"/>
              </w:rPr>
              <w:t>Total costs</w:t>
            </w:r>
          </w:p>
        </w:tc>
      </w:tr>
      <w:tr w:rsidR="000961FE" w14:paraId="6EBAE132" w14:textId="77777777" w:rsidTr="00F54121">
        <w:tc>
          <w:tcPr>
            <w:tcW w:w="4361" w:type="dxa"/>
            <w:tcBorders>
              <w:top w:val="nil"/>
              <w:left w:val="nil"/>
              <w:bottom w:val="single" w:sz="4" w:space="0" w:color="auto"/>
              <w:right w:val="nil"/>
            </w:tcBorders>
          </w:tcPr>
          <w:p w14:paraId="6E073B2A" w14:textId="5CF2CD6F" w:rsidR="000961FE" w:rsidRPr="006B296A" w:rsidRDefault="000961FE"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2026</w:t>
            </w:r>
          </w:p>
        </w:tc>
        <w:tc>
          <w:tcPr>
            <w:tcW w:w="4394" w:type="dxa"/>
            <w:tcBorders>
              <w:top w:val="nil"/>
              <w:left w:val="nil"/>
              <w:bottom w:val="single" w:sz="4" w:space="0" w:color="auto"/>
              <w:right w:val="nil"/>
            </w:tcBorders>
          </w:tcPr>
          <w:p w14:paraId="2675A7CE" w14:textId="4C46CA0A" w:rsidR="000961FE" w:rsidRPr="006B296A" w:rsidRDefault="00D30797"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$124,251,683</w:t>
            </w:r>
          </w:p>
        </w:tc>
      </w:tr>
      <w:tr w:rsidR="000961FE" w14:paraId="74326ED2" w14:textId="77777777" w:rsidTr="00F54121">
        <w:tc>
          <w:tcPr>
            <w:tcW w:w="4361" w:type="dxa"/>
            <w:tcBorders>
              <w:top w:val="single" w:sz="4" w:space="0" w:color="auto"/>
              <w:left w:val="nil"/>
              <w:bottom w:val="single" w:sz="4" w:space="0" w:color="auto"/>
              <w:right w:val="nil"/>
            </w:tcBorders>
          </w:tcPr>
          <w:p w14:paraId="125E2890" w14:textId="689681E4" w:rsidR="000961FE" w:rsidRPr="006B296A" w:rsidRDefault="000961FE"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2027</w:t>
            </w:r>
          </w:p>
        </w:tc>
        <w:tc>
          <w:tcPr>
            <w:tcW w:w="4394" w:type="dxa"/>
            <w:tcBorders>
              <w:top w:val="single" w:sz="4" w:space="0" w:color="auto"/>
              <w:left w:val="nil"/>
              <w:bottom w:val="single" w:sz="4" w:space="0" w:color="auto"/>
              <w:right w:val="nil"/>
            </w:tcBorders>
          </w:tcPr>
          <w:p w14:paraId="4146D748" w14:textId="333244D7" w:rsidR="000961FE" w:rsidRPr="006B296A" w:rsidRDefault="00586EA6"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$103,405,073</w:t>
            </w:r>
          </w:p>
        </w:tc>
      </w:tr>
      <w:tr w:rsidR="000961FE" w14:paraId="75B5F672" w14:textId="77777777" w:rsidTr="00F54121">
        <w:tc>
          <w:tcPr>
            <w:tcW w:w="4361" w:type="dxa"/>
            <w:tcBorders>
              <w:top w:val="single" w:sz="4" w:space="0" w:color="auto"/>
              <w:left w:val="nil"/>
              <w:bottom w:val="single" w:sz="4" w:space="0" w:color="auto"/>
              <w:right w:val="nil"/>
            </w:tcBorders>
          </w:tcPr>
          <w:p w14:paraId="4DD25983" w14:textId="1DE6CE37" w:rsidR="000961FE" w:rsidRPr="006B296A" w:rsidRDefault="000961FE"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2028</w:t>
            </w:r>
          </w:p>
        </w:tc>
        <w:tc>
          <w:tcPr>
            <w:tcW w:w="4394" w:type="dxa"/>
            <w:tcBorders>
              <w:top w:val="single" w:sz="4" w:space="0" w:color="auto"/>
              <w:left w:val="nil"/>
              <w:bottom w:val="single" w:sz="4" w:space="0" w:color="auto"/>
              <w:right w:val="nil"/>
            </w:tcBorders>
          </w:tcPr>
          <w:p w14:paraId="19C0CDBC" w14:textId="73B2D9F2" w:rsidR="000961FE" w:rsidRPr="006B296A" w:rsidRDefault="00CE6CC1"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$124,755,789</w:t>
            </w:r>
          </w:p>
        </w:tc>
      </w:tr>
      <w:tr w:rsidR="000961FE" w14:paraId="2EA4A929" w14:textId="77777777" w:rsidTr="00F54121">
        <w:tc>
          <w:tcPr>
            <w:tcW w:w="4361" w:type="dxa"/>
            <w:tcBorders>
              <w:top w:val="single" w:sz="4" w:space="0" w:color="auto"/>
              <w:left w:val="nil"/>
              <w:bottom w:val="single" w:sz="4" w:space="0" w:color="auto"/>
              <w:right w:val="nil"/>
            </w:tcBorders>
          </w:tcPr>
          <w:p w14:paraId="60BC7138" w14:textId="19E7769E" w:rsidR="000961FE" w:rsidRPr="006B296A" w:rsidRDefault="000961FE"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2029</w:t>
            </w:r>
          </w:p>
        </w:tc>
        <w:tc>
          <w:tcPr>
            <w:tcW w:w="4394" w:type="dxa"/>
            <w:tcBorders>
              <w:top w:val="single" w:sz="4" w:space="0" w:color="auto"/>
              <w:left w:val="nil"/>
              <w:bottom w:val="single" w:sz="4" w:space="0" w:color="auto"/>
              <w:right w:val="nil"/>
            </w:tcBorders>
          </w:tcPr>
          <w:p w14:paraId="38504A49" w14:textId="1B32DC2E" w:rsidR="000961FE" w:rsidRPr="006B296A" w:rsidRDefault="000A4E95"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$153,350,182</w:t>
            </w:r>
          </w:p>
        </w:tc>
      </w:tr>
      <w:tr w:rsidR="000961FE" w14:paraId="7EA29C34" w14:textId="77777777" w:rsidTr="00F54121">
        <w:tc>
          <w:tcPr>
            <w:tcW w:w="4361" w:type="dxa"/>
            <w:tcBorders>
              <w:top w:val="single" w:sz="4" w:space="0" w:color="auto"/>
              <w:left w:val="nil"/>
              <w:bottom w:val="single" w:sz="4" w:space="0" w:color="auto"/>
              <w:right w:val="nil"/>
            </w:tcBorders>
          </w:tcPr>
          <w:p w14:paraId="7DFA6082" w14:textId="1C7190F4" w:rsidR="000961FE" w:rsidRPr="006B296A" w:rsidRDefault="000961FE"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2030</w:t>
            </w:r>
          </w:p>
        </w:tc>
        <w:tc>
          <w:tcPr>
            <w:tcW w:w="4394" w:type="dxa"/>
            <w:tcBorders>
              <w:top w:val="single" w:sz="4" w:space="0" w:color="auto"/>
              <w:left w:val="nil"/>
              <w:bottom w:val="single" w:sz="4" w:space="0" w:color="auto"/>
              <w:right w:val="nil"/>
            </w:tcBorders>
          </w:tcPr>
          <w:p w14:paraId="09555A89" w14:textId="19FEA06F" w:rsidR="000961FE" w:rsidRPr="006B296A" w:rsidRDefault="00AE1910"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$181,162,087</w:t>
            </w:r>
          </w:p>
        </w:tc>
      </w:tr>
      <w:tr w:rsidR="000961FE" w14:paraId="0DD27D82" w14:textId="77777777" w:rsidTr="00F54121">
        <w:tc>
          <w:tcPr>
            <w:tcW w:w="4361" w:type="dxa"/>
            <w:tcBorders>
              <w:top w:val="single" w:sz="4" w:space="0" w:color="auto"/>
              <w:left w:val="nil"/>
              <w:bottom w:val="single" w:sz="4" w:space="0" w:color="auto"/>
              <w:right w:val="nil"/>
            </w:tcBorders>
          </w:tcPr>
          <w:p w14:paraId="1ABC74EA" w14:textId="3ED08C81" w:rsidR="000961FE" w:rsidRPr="006B296A" w:rsidRDefault="000961FE"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2031</w:t>
            </w:r>
          </w:p>
        </w:tc>
        <w:tc>
          <w:tcPr>
            <w:tcW w:w="4394" w:type="dxa"/>
            <w:tcBorders>
              <w:top w:val="single" w:sz="4" w:space="0" w:color="auto"/>
              <w:left w:val="nil"/>
              <w:bottom w:val="single" w:sz="4" w:space="0" w:color="auto"/>
              <w:right w:val="nil"/>
            </w:tcBorders>
          </w:tcPr>
          <w:p w14:paraId="4ADDE556" w14:textId="410D60D6" w:rsidR="000961FE" w:rsidRPr="006B296A" w:rsidRDefault="00FD1A0B"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$193,400,355</w:t>
            </w:r>
          </w:p>
        </w:tc>
      </w:tr>
      <w:tr w:rsidR="000961FE" w14:paraId="17A0E6E7" w14:textId="77777777" w:rsidTr="00F54121">
        <w:tc>
          <w:tcPr>
            <w:tcW w:w="4361" w:type="dxa"/>
            <w:tcBorders>
              <w:top w:val="single" w:sz="4" w:space="0" w:color="auto"/>
              <w:left w:val="nil"/>
              <w:bottom w:val="single" w:sz="4" w:space="0" w:color="auto"/>
              <w:right w:val="nil"/>
            </w:tcBorders>
          </w:tcPr>
          <w:p w14:paraId="5F25AA6F" w14:textId="298A974B" w:rsidR="000961FE" w:rsidRPr="006B296A" w:rsidRDefault="000961FE"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2032</w:t>
            </w:r>
          </w:p>
        </w:tc>
        <w:tc>
          <w:tcPr>
            <w:tcW w:w="4394" w:type="dxa"/>
            <w:tcBorders>
              <w:top w:val="single" w:sz="4" w:space="0" w:color="auto"/>
              <w:left w:val="nil"/>
              <w:bottom w:val="single" w:sz="4" w:space="0" w:color="auto"/>
              <w:right w:val="nil"/>
            </w:tcBorders>
          </w:tcPr>
          <w:p w14:paraId="430845BB" w14:textId="369A5092" w:rsidR="000961FE" w:rsidRPr="006B296A" w:rsidRDefault="00616668"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$193,400,355</w:t>
            </w:r>
          </w:p>
        </w:tc>
      </w:tr>
      <w:tr w:rsidR="000961FE" w14:paraId="59F3B629" w14:textId="77777777" w:rsidTr="00F54121">
        <w:tc>
          <w:tcPr>
            <w:tcW w:w="4361" w:type="dxa"/>
            <w:tcBorders>
              <w:top w:val="single" w:sz="4" w:space="0" w:color="auto"/>
              <w:left w:val="nil"/>
              <w:bottom w:val="single" w:sz="4" w:space="0" w:color="auto"/>
              <w:right w:val="nil"/>
            </w:tcBorders>
          </w:tcPr>
          <w:p w14:paraId="12C6ED42" w14:textId="4D85A64C" w:rsidR="000961FE" w:rsidRPr="006B296A" w:rsidRDefault="008E16BD"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2033</w:t>
            </w:r>
          </w:p>
        </w:tc>
        <w:tc>
          <w:tcPr>
            <w:tcW w:w="4394" w:type="dxa"/>
            <w:tcBorders>
              <w:top w:val="single" w:sz="4" w:space="0" w:color="auto"/>
              <w:left w:val="nil"/>
              <w:bottom w:val="single" w:sz="4" w:space="0" w:color="auto"/>
              <w:right w:val="nil"/>
            </w:tcBorders>
          </w:tcPr>
          <w:p w14:paraId="7488BF6F" w14:textId="02F7DA7D" w:rsidR="000961FE" w:rsidRPr="006B296A" w:rsidRDefault="000D068B"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$219,434,430</w:t>
            </w:r>
          </w:p>
        </w:tc>
      </w:tr>
      <w:tr w:rsidR="000961FE" w14:paraId="22D1D587" w14:textId="77777777" w:rsidTr="00F54121">
        <w:tc>
          <w:tcPr>
            <w:tcW w:w="4361" w:type="dxa"/>
            <w:tcBorders>
              <w:top w:val="single" w:sz="4" w:space="0" w:color="auto"/>
              <w:left w:val="nil"/>
              <w:bottom w:val="single" w:sz="4" w:space="0" w:color="auto"/>
              <w:right w:val="nil"/>
            </w:tcBorders>
          </w:tcPr>
          <w:p w14:paraId="75C91915" w14:textId="4F85E080" w:rsidR="000961FE" w:rsidRPr="006B296A" w:rsidRDefault="000961FE"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2034</w:t>
            </w:r>
          </w:p>
        </w:tc>
        <w:tc>
          <w:tcPr>
            <w:tcW w:w="4394" w:type="dxa"/>
            <w:tcBorders>
              <w:top w:val="single" w:sz="4" w:space="0" w:color="auto"/>
              <w:left w:val="nil"/>
              <w:bottom w:val="single" w:sz="4" w:space="0" w:color="auto"/>
              <w:right w:val="nil"/>
            </w:tcBorders>
          </w:tcPr>
          <w:p w14:paraId="3ED42614" w14:textId="2B2FD1A8" w:rsidR="000961FE" w:rsidRPr="006B296A" w:rsidRDefault="0018520B"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$233,266,487</w:t>
            </w:r>
          </w:p>
        </w:tc>
      </w:tr>
      <w:tr w:rsidR="000961FE" w14:paraId="0C9BB61F" w14:textId="77777777" w:rsidTr="00F54121">
        <w:tc>
          <w:tcPr>
            <w:tcW w:w="4361" w:type="dxa"/>
            <w:tcBorders>
              <w:top w:val="single" w:sz="4" w:space="0" w:color="auto"/>
              <w:left w:val="nil"/>
              <w:bottom w:val="single" w:sz="4" w:space="0" w:color="auto"/>
              <w:right w:val="nil"/>
            </w:tcBorders>
          </w:tcPr>
          <w:p w14:paraId="66F96086" w14:textId="56CC915F" w:rsidR="000961FE" w:rsidRPr="006B296A" w:rsidRDefault="000961FE"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hAnsiTheme="minorHAnsi" w:cs="Calibri"/>
                <w:sz w:val="20"/>
                <w:szCs w:val="20"/>
              </w:rPr>
              <w:t>2035</w:t>
            </w:r>
          </w:p>
        </w:tc>
        <w:tc>
          <w:tcPr>
            <w:tcW w:w="4394" w:type="dxa"/>
            <w:tcBorders>
              <w:top w:val="single" w:sz="4" w:space="0" w:color="auto"/>
              <w:left w:val="nil"/>
              <w:bottom w:val="single" w:sz="4" w:space="0" w:color="auto"/>
              <w:right w:val="nil"/>
            </w:tcBorders>
          </w:tcPr>
          <w:p w14:paraId="07F8F5A3" w14:textId="3643A0F1" w:rsidR="000961FE" w:rsidRPr="006B296A" w:rsidRDefault="007D42C5" w:rsidP="008D0C7E">
            <w:pPr>
              <w:pStyle w:val="NormalWeb"/>
              <w:spacing w:before="0" w:beforeAutospacing="0" w:after="160" w:afterAutospacing="0" w:line="278" w:lineRule="auto"/>
              <w:jc w:val="center"/>
              <w:rPr>
                <w:rFonts w:asciiTheme="minorHAnsi" w:hAnsiTheme="minorHAnsi" w:cs="Calibri"/>
                <w:sz w:val="20"/>
                <w:szCs w:val="20"/>
              </w:rPr>
            </w:pPr>
            <w:r w:rsidRPr="006B296A">
              <w:rPr>
                <w:rFonts w:asciiTheme="minorHAnsi" w:eastAsia="Aptos Narrow" w:hAnsiTheme="minorHAnsi" w:cs="Calibri"/>
                <w:color w:val="000000" w:themeColor="text1"/>
                <w:sz w:val="20"/>
                <w:szCs w:val="20"/>
              </w:rPr>
              <w:t>$239,761,125</w:t>
            </w:r>
          </w:p>
        </w:tc>
      </w:tr>
      <w:tr w:rsidR="007D42C5" w14:paraId="43A8D5BB" w14:textId="77777777" w:rsidTr="00F54121">
        <w:tc>
          <w:tcPr>
            <w:tcW w:w="4361" w:type="dxa"/>
            <w:tcBorders>
              <w:top w:val="single" w:sz="4" w:space="0" w:color="auto"/>
              <w:left w:val="nil"/>
              <w:bottom w:val="single" w:sz="4" w:space="0" w:color="auto"/>
              <w:right w:val="nil"/>
            </w:tcBorders>
            <w:shd w:val="clear" w:color="auto" w:fill="156082" w:themeFill="accent1"/>
          </w:tcPr>
          <w:p w14:paraId="2919B6C7" w14:textId="142F1885" w:rsidR="007D42C5" w:rsidRPr="006B296A" w:rsidRDefault="007D42C5" w:rsidP="008D0C7E">
            <w:pPr>
              <w:pStyle w:val="NormalWeb"/>
              <w:spacing w:before="0" w:beforeAutospacing="0" w:after="160" w:afterAutospacing="0" w:line="278" w:lineRule="auto"/>
              <w:jc w:val="center"/>
              <w:rPr>
                <w:rFonts w:asciiTheme="minorHAnsi" w:hAnsiTheme="minorHAnsi" w:cs="Calibri"/>
                <w:color w:val="FFFFFF" w:themeColor="background1"/>
                <w:sz w:val="20"/>
                <w:szCs w:val="20"/>
              </w:rPr>
            </w:pPr>
            <w:r w:rsidRPr="006B296A">
              <w:rPr>
                <w:rFonts w:asciiTheme="minorHAnsi" w:hAnsiTheme="minorHAnsi" w:cs="Calibri"/>
                <w:color w:val="FFFFFF" w:themeColor="background1"/>
                <w:sz w:val="20"/>
                <w:szCs w:val="20"/>
              </w:rPr>
              <w:t>TOTAL (10-years</w:t>
            </w:r>
            <w:r w:rsidR="008E16BD" w:rsidRPr="006B296A">
              <w:rPr>
                <w:rFonts w:asciiTheme="minorHAnsi" w:hAnsiTheme="minorHAnsi" w:cs="Calibri"/>
                <w:color w:val="FFFFFF" w:themeColor="background1"/>
                <w:sz w:val="20"/>
                <w:szCs w:val="20"/>
              </w:rPr>
              <w:t xml:space="preserve"> undiscounted)</w:t>
            </w:r>
          </w:p>
        </w:tc>
        <w:tc>
          <w:tcPr>
            <w:tcW w:w="4394" w:type="dxa"/>
            <w:tcBorders>
              <w:top w:val="single" w:sz="4" w:space="0" w:color="auto"/>
              <w:left w:val="nil"/>
              <w:bottom w:val="single" w:sz="4" w:space="0" w:color="auto"/>
              <w:right w:val="nil"/>
            </w:tcBorders>
            <w:shd w:val="clear" w:color="auto" w:fill="156082" w:themeFill="accent1"/>
          </w:tcPr>
          <w:p w14:paraId="5A85C110" w14:textId="4EDDDADF" w:rsidR="007D42C5" w:rsidRPr="006B296A" w:rsidRDefault="00F6757C" w:rsidP="008D0C7E">
            <w:pPr>
              <w:pStyle w:val="NormalWeb"/>
              <w:spacing w:before="0" w:beforeAutospacing="0" w:after="160" w:afterAutospacing="0" w:line="278" w:lineRule="auto"/>
              <w:jc w:val="center"/>
              <w:rPr>
                <w:rFonts w:asciiTheme="minorHAnsi" w:eastAsia="Aptos Narrow" w:hAnsiTheme="minorHAnsi" w:cs="Calibri"/>
                <w:color w:val="FFFFFF" w:themeColor="background1"/>
                <w:sz w:val="20"/>
                <w:szCs w:val="20"/>
              </w:rPr>
            </w:pPr>
            <w:r w:rsidRPr="006B296A">
              <w:rPr>
                <w:rFonts w:asciiTheme="minorHAnsi" w:eastAsia="Aptos Narrow" w:hAnsiTheme="minorHAnsi" w:cs="Calibri"/>
                <w:color w:val="FFFFFF" w:themeColor="background1"/>
                <w:sz w:val="20"/>
                <w:szCs w:val="20"/>
              </w:rPr>
              <w:t>$1,778,939,413</w:t>
            </w:r>
          </w:p>
        </w:tc>
      </w:tr>
      <w:tr w:rsidR="007D42C5" w14:paraId="2E375B60" w14:textId="77777777" w:rsidTr="00F54121">
        <w:tc>
          <w:tcPr>
            <w:tcW w:w="4361" w:type="dxa"/>
            <w:tcBorders>
              <w:top w:val="single" w:sz="4" w:space="0" w:color="auto"/>
              <w:left w:val="nil"/>
              <w:bottom w:val="nil"/>
              <w:right w:val="nil"/>
            </w:tcBorders>
            <w:shd w:val="clear" w:color="auto" w:fill="156082" w:themeFill="accent1"/>
          </w:tcPr>
          <w:p w14:paraId="39F280A6" w14:textId="2CF9D260" w:rsidR="007D42C5" w:rsidRPr="006B296A" w:rsidRDefault="008E16BD" w:rsidP="008D0C7E">
            <w:pPr>
              <w:pStyle w:val="NormalWeb"/>
              <w:spacing w:before="0" w:beforeAutospacing="0" w:after="160" w:afterAutospacing="0" w:line="278" w:lineRule="auto"/>
              <w:jc w:val="center"/>
              <w:rPr>
                <w:rFonts w:asciiTheme="minorHAnsi" w:hAnsiTheme="minorHAnsi" w:cs="Calibri"/>
                <w:b/>
                <w:color w:val="FFFFFF" w:themeColor="background1"/>
                <w:sz w:val="20"/>
                <w:szCs w:val="20"/>
              </w:rPr>
            </w:pPr>
            <w:r w:rsidRPr="006B296A">
              <w:rPr>
                <w:rFonts w:asciiTheme="minorHAnsi" w:hAnsiTheme="minorHAnsi" w:cs="Calibri"/>
                <w:b/>
                <w:color w:val="FFFFFF" w:themeColor="background1"/>
                <w:sz w:val="20"/>
                <w:szCs w:val="20"/>
              </w:rPr>
              <w:t>AVERAGE (undiscounted)</w:t>
            </w:r>
          </w:p>
        </w:tc>
        <w:tc>
          <w:tcPr>
            <w:tcW w:w="4394" w:type="dxa"/>
            <w:tcBorders>
              <w:top w:val="single" w:sz="4" w:space="0" w:color="auto"/>
              <w:left w:val="nil"/>
              <w:bottom w:val="nil"/>
              <w:right w:val="nil"/>
            </w:tcBorders>
            <w:shd w:val="clear" w:color="auto" w:fill="156082" w:themeFill="accent1"/>
          </w:tcPr>
          <w:p w14:paraId="273E3619" w14:textId="6158B0E5" w:rsidR="007D42C5" w:rsidRPr="006B296A" w:rsidRDefault="008D0C7E" w:rsidP="008D0C7E">
            <w:pPr>
              <w:pStyle w:val="NormalWeb"/>
              <w:spacing w:before="0" w:beforeAutospacing="0" w:after="160" w:afterAutospacing="0" w:line="278" w:lineRule="auto"/>
              <w:jc w:val="center"/>
              <w:rPr>
                <w:rFonts w:asciiTheme="minorHAnsi" w:eastAsia="Aptos Narrow" w:hAnsiTheme="minorHAnsi" w:cs="Calibri"/>
                <w:b/>
                <w:color w:val="FFFFFF" w:themeColor="background1"/>
                <w:sz w:val="20"/>
                <w:szCs w:val="20"/>
              </w:rPr>
            </w:pPr>
            <w:r w:rsidRPr="006B296A">
              <w:rPr>
                <w:rFonts w:asciiTheme="minorHAnsi" w:eastAsia="Aptos Narrow" w:hAnsiTheme="minorHAnsi" w:cs="Calibri"/>
                <w:b/>
                <w:color w:val="FFFFFF" w:themeColor="background1"/>
                <w:sz w:val="20"/>
                <w:szCs w:val="20"/>
              </w:rPr>
              <w:t>$177,893,941</w:t>
            </w:r>
          </w:p>
        </w:tc>
      </w:tr>
    </w:tbl>
    <w:p w14:paraId="30E85EF8" w14:textId="77777777" w:rsidR="007A16D0" w:rsidRDefault="007A16D0" w:rsidP="001824C9">
      <w:pPr>
        <w:pStyle w:val="NormalWeb"/>
        <w:spacing w:before="0" w:beforeAutospacing="0" w:after="160" w:afterAutospacing="0" w:line="278" w:lineRule="auto"/>
        <w:rPr>
          <w:rFonts w:asciiTheme="minorHAnsi" w:hAnsiTheme="minorHAnsi" w:cs="Calibri"/>
        </w:rPr>
      </w:pPr>
    </w:p>
    <w:p w14:paraId="253B37C0" w14:textId="53964E3A" w:rsidR="00D03E5F" w:rsidRDefault="00D03E5F" w:rsidP="00007573">
      <w:pPr>
        <w:pStyle w:val="Heading4"/>
      </w:pPr>
      <w:r>
        <w:t>Total costs and regulatory bur</w:t>
      </w:r>
      <w:r w:rsidR="008B288E">
        <w:t>den</w:t>
      </w:r>
      <w:r>
        <w:t xml:space="preserve"> per stakeholder group</w:t>
      </w:r>
    </w:p>
    <w:p w14:paraId="0BA303D8" w14:textId="3D63783D" w:rsidR="00797D7C" w:rsidRPr="006B296A" w:rsidRDefault="00684F8B" w:rsidP="001824C9">
      <w:pPr>
        <w:pStyle w:val="NormalWeb"/>
        <w:spacing w:before="0" w:beforeAutospacing="0" w:after="160" w:afterAutospacing="0" w:line="278" w:lineRule="auto"/>
        <w:rPr>
          <w:rFonts w:asciiTheme="minorHAnsi" w:hAnsiTheme="minorHAnsi" w:cs="Calibri"/>
          <w:szCs w:val="22"/>
        </w:rPr>
      </w:pPr>
      <w:r w:rsidRPr="006B296A">
        <w:rPr>
          <w:rFonts w:asciiTheme="minorHAnsi" w:hAnsiTheme="minorHAnsi" w:cs="Calibri"/>
          <w:szCs w:val="22"/>
        </w:rPr>
        <w:t>The table below is the total</w:t>
      </w:r>
      <w:r w:rsidR="00DA586B" w:rsidRPr="006B296A">
        <w:rPr>
          <w:rFonts w:asciiTheme="minorHAnsi" w:hAnsiTheme="minorHAnsi" w:cs="Calibri"/>
          <w:szCs w:val="22"/>
        </w:rPr>
        <w:t xml:space="preserve"> costs </w:t>
      </w:r>
      <w:r w:rsidR="004A138D" w:rsidRPr="006B296A">
        <w:rPr>
          <w:rFonts w:asciiTheme="minorHAnsi" w:hAnsiTheme="minorHAnsi" w:cs="Calibri"/>
          <w:szCs w:val="22"/>
        </w:rPr>
        <w:t xml:space="preserve">and regulatory burden </w:t>
      </w:r>
      <w:r w:rsidR="00DA586B" w:rsidRPr="006B296A">
        <w:rPr>
          <w:rFonts w:asciiTheme="minorHAnsi" w:hAnsiTheme="minorHAnsi" w:cs="Calibri"/>
          <w:szCs w:val="22"/>
        </w:rPr>
        <w:t>to each stakeholder group</w:t>
      </w:r>
      <w:r w:rsidR="00E67A9C" w:rsidRPr="006B296A">
        <w:rPr>
          <w:rFonts w:asciiTheme="minorHAnsi" w:hAnsiTheme="minorHAnsi" w:cs="Calibri"/>
          <w:szCs w:val="22"/>
        </w:rPr>
        <w:t>.</w:t>
      </w:r>
    </w:p>
    <w:tbl>
      <w:tblPr>
        <w:tblStyle w:val="GridTable4"/>
        <w:tblpPr w:leftFromText="180" w:rightFromText="180" w:vertAnchor="text" w:horzAnchor="margin" w:tblpY="-5"/>
        <w:tblW w:w="5000" w:type="pct"/>
        <w:tblLook w:val="0660" w:firstRow="1" w:lastRow="1" w:firstColumn="0" w:lastColumn="0" w:noHBand="1" w:noVBand="1"/>
      </w:tblPr>
      <w:tblGrid>
        <w:gridCol w:w="4513"/>
        <w:gridCol w:w="4513"/>
      </w:tblGrid>
      <w:tr w:rsidR="00BC0086" w:rsidRPr="00ED2A6C" w14:paraId="3A88664E" w14:textId="77777777" w:rsidTr="00413559">
        <w:trPr>
          <w:cnfStyle w:val="100000000000" w:firstRow="1" w:lastRow="0" w:firstColumn="0" w:lastColumn="0" w:oddVBand="0" w:evenVBand="0" w:oddHBand="0" w:evenHBand="0" w:firstRowFirstColumn="0" w:firstRowLastColumn="0" w:lastRowFirstColumn="0" w:lastRowLastColumn="0"/>
          <w:trHeight w:val="350"/>
        </w:trPr>
        <w:tc>
          <w:tcPr>
            <w:tcW w:w="5000" w:type="pct"/>
            <w:gridSpan w:val="2"/>
            <w:tcBorders>
              <w:top w:val="single" w:sz="12" w:space="0" w:color="0E2841" w:themeColor="text2"/>
              <w:left w:val="nil"/>
              <w:bottom w:val="nil"/>
              <w:right w:val="nil"/>
            </w:tcBorders>
            <w:vAlign w:val="center"/>
          </w:tcPr>
          <w:p w14:paraId="0CF1FD20" w14:textId="0CA6749E" w:rsidR="00413559" w:rsidRPr="00741E09" w:rsidRDefault="00E83995" w:rsidP="00741E09">
            <w:pPr>
              <w:pStyle w:val="TBLHeading"/>
            </w:pPr>
            <w:r w:rsidRPr="00741E09">
              <w:lastRenderedPageBreak/>
              <w:t>Total costs to key stakeholders in p</w:t>
            </w:r>
            <w:r w:rsidR="00413559" w:rsidRPr="00741E09">
              <w:t>resent value over ten years per stakeholder group ($ million)</w:t>
            </w:r>
          </w:p>
        </w:tc>
      </w:tr>
      <w:tr w:rsidR="00413559" w:rsidRPr="00ED2A6C" w14:paraId="42720F3E" w14:textId="77777777" w:rsidTr="00413559">
        <w:trPr>
          <w:trHeight w:val="350"/>
        </w:trPr>
        <w:tc>
          <w:tcPr>
            <w:tcW w:w="2500" w:type="pct"/>
            <w:tcBorders>
              <w:top w:val="nil"/>
              <w:left w:val="nil"/>
              <w:bottom w:val="nil"/>
            </w:tcBorders>
            <w:shd w:val="clear" w:color="auto" w:fill="156082" w:themeFill="accent1"/>
            <w:vAlign w:val="center"/>
          </w:tcPr>
          <w:p w14:paraId="1DC98239" w14:textId="77777777" w:rsidR="00413559" w:rsidRPr="006B296A" w:rsidRDefault="00413559" w:rsidP="00413559">
            <w:pPr>
              <w:pStyle w:val="TBLText"/>
              <w:spacing w:before="120" w:after="120"/>
              <w:jc w:val="center"/>
              <w:rPr>
                <w:rFonts w:cs="Calibri"/>
                <w:color w:val="FFFFFF" w:themeColor="background1"/>
                <w:sz w:val="20"/>
                <w:szCs w:val="20"/>
              </w:rPr>
            </w:pPr>
            <w:r w:rsidRPr="006B296A">
              <w:rPr>
                <w:rFonts w:cs="Calibri"/>
                <w:color w:val="FFFFFF" w:themeColor="background1"/>
                <w:sz w:val="20"/>
                <w:szCs w:val="20"/>
              </w:rPr>
              <w:t>Stakeholder group</w:t>
            </w:r>
          </w:p>
        </w:tc>
        <w:tc>
          <w:tcPr>
            <w:tcW w:w="2500" w:type="pct"/>
            <w:tcBorders>
              <w:top w:val="nil"/>
              <w:bottom w:val="nil"/>
              <w:right w:val="nil"/>
            </w:tcBorders>
            <w:shd w:val="clear" w:color="auto" w:fill="156082" w:themeFill="accent1"/>
            <w:vAlign w:val="center"/>
          </w:tcPr>
          <w:p w14:paraId="56958DE9" w14:textId="77777777" w:rsidR="00413559" w:rsidRPr="006B296A" w:rsidRDefault="00413559" w:rsidP="00413559">
            <w:pPr>
              <w:pStyle w:val="TBLText"/>
              <w:spacing w:before="120" w:after="120"/>
              <w:jc w:val="center"/>
              <w:rPr>
                <w:rFonts w:cs="Calibri"/>
                <w:color w:val="FFFFFF" w:themeColor="background1"/>
                <w:sz w:val="20"/>
                <w:szCs w:val="20"/>
              </w:rPr>
            </w:pPr>
            <w:r w:rsidRPr="006B296A">
              <w:rPr>
                <w:rFonts w:cs="Calibri"/>
                <w:color w:val="FFFFFF" w:themeColor="background1"/>
                <w:sz w:val="20"/>
                <w:szCs w:val="20"/>
              </w:rPr>
              <w:t>Present value over ten years</w:t>
            </w:r>
          </w:p>
        </w:tc>
      </w:tr>
      <w:tr w:rsidR="00413559" w:rsidRPr="00ED2A6C" w14:paraId="7B4A4F13" w14:textId="77777777" w:rsidTr="00413559">
        <w:trPr>
          <w:trHeight w:val="350"/>
        </w:trPr>
        <w:tc>
          <w:tcPr>
            <w:tcW w:w="2500" w:type="pct"/>
            <w:tcBorders>
              <w:top w:val="nil"/>
              <w:left w:val="nil"/>
              <w:right w:val="nil"/>
            </w:tcBorders>
          </w:tcPr>
          <w:p w14:paraId="2CBF9112" w14:textId="77777777" w:rsidR="00413559" w:rsidRPr="006B296A" w:rsidRDefault="00413559" w:rsidP="00413559">
            <w:pPr>
              <w:pStyle w:val="TBLText"/>
              <w:spacing w:before="120" w:after="120"/>
              <w:rPr>
                <w:rFonts w:cs="Calibri"/>
                <w:b/>
                <w:sz w:val="20"/>
                <w:szCs w:val="20"/>
              </w:rPr>
            </w:pPr>
            <w:r w:rsidRPr="006B296A">
              <w:rPr>
                <w:rFonts w:cs="Calibri"/>
                <w:sz w:val="20"/>
                <w:szCs w:val="20"/>
              </w:rPr>
              <w:t>Higher education providers</w:t>
            </w:r>
          </w:p>
        </w:tc>
        <w:tc>
          <w:tcPr>
            <w:tcW w:w="2500" w:type="pct"/>
            <w:tcBorders>
              <w:top w:val="nil"/>
              <w:left w:val="nil"/>
              <w:right w:val="nil"/>
            </w:tcBorders>
          </w:tcPr>
          <w:p w14:paraId="4C2D2752" w14:textId="77777777" w:rsidR="00413559" w:rsidRPr="006B296A" w:rsidRDefault="00413559" w:rsidP="00413559">
            <w:pPr>
              <w:pStyle w:val="TBLText"/>
              <w:spacing w:before="120" w:after="120"/>
              <w:jc w:val="center"/>
              <w:rPr>
                <w:rFonts w:cs="Calibri"/>
                <w:sz w:val="20"/>
                <w:szCs w:val="20"/>
              </w:rPr>
            </w:pPr>
            <w:r w:rsidRPr="006B296A">
              <w:rPr>
                <w:rFonts w:cs="Calibri"/>
                <w:sz w:val="20"/>
                <w:szCs w:val="20"/>
              </w:rPr>
              <w:t>754.1</w:t>
            </w:r>
          </w:p>
        </w:tc>
      </w:tr>
      <w:tr w:rsidR="00413559" w:rsidRPr="00ED2A6C" w14:paraId="3A8B6E09" w14:textId="77777777" w:rsidTr="00413559">
        <w:trPr>
          <w:trHeight w:val="350"/>
        </w:trPr>
        <w:tc>
          <w:tcPr>
            <w:tcW w:w="2500" w:type="pct"/>
            <w:tcBorders>
              <w:left w:val="nil"/>
              <w:right w:val="nil"/>
            </w:tcBorders>
          </w:tcPr>
          <w:p w14:paraId="6CC88762" w14:textId="77777777" w:rsidR="00413559" w:rsidRPr="006B296A" w:rsidRDefault="00413559" w:rsidP="00413559">
            <w:pPr>
              <w:pStyle w:val="TBLText"/>
              <w:spacing w:before="120" w:after="120"/>
              <w:rPr>
                <w:rFonts w:cs="Calibri"/>
                <w:b/>
                <w:sz w:val="20"/>
                <w:szCs w:val="20"/>
              </w:rPr>
            </w:pPr>
            <w:r w:rsidRPr="006B296A">
              <w:rPr>
                <w:rFonts w:cs="Calibri"/>
                <w:sz w:val="20"/>
                <w:szCs w:val="20"/>
              </w:rPr>
              <w:t>Students</w:t>
            </w:r>
          </w:p>
        </w:tc>
        <w:tc>
          <w:tcPr>
            <w:tcW w:w="2500" w:type="pct"/>
            <w:tcBorders>
              <w:left w:val="nil"/>
              <w:right w:val="nil"/>
            </w:tcBorders>
          </w:tcPr>
          <w:p w14:paraId="63FEA1A0" w14:textId="77777777" w:rsidR="00413559" w:rsidRPr="006B296A" w:rsidRDefault="00413559" w:rsidP="00413559">
            <w:pPr>
              <w:pStyle w:val="TBLText"/>
              <w:spacing w:before="120" w:after="120"/>
              <w:jc w:val="center"/>
              <w:rPr>
                <w:rFonts w:cs="Calibri"/>
                <w:sz w:val="20"/>
                <w:szCs w:val="20"/>
              </w:rPr>
            </w:pPr>
            <w:r w:rsidRPr="006B296A">
              <w:rPr>
                <w:rFonts w:cs="Calibri"/>
                <w:sz w:val="20"/>
                <w:szCs w:val="20"/>
              </w:rPr>
              <w:t>71.7</w:t>
            </w:r>
          </w:p>
        </w:tc>
      </w:tr>
      <w:tr w:rsidR="00413559" w:rsidRPr="00ED2A6C" w14:paraId="2165571A" w14:textId="77777777" w:rsidTr="00413559">
        <w:trPr>
          <w:trHeight w:val="350"/>
        </w:trPr>
        <w:tc>
          <w:tcPr>
            <w:tcW w:w="2500" w:type="pct"/>
            <w:tcBorders>
              <w:left w:val="nil"/>
              <w:right w:val="nil"/>
            </w:tcBorders>
          </w:tcPr>
          <w:p w14:paraId="1209333A" w14:textId="77777777" w:rsidR="00413559" w:rsidRPr="006B296A" w:rsidRDefault="00413559" w:rsidP="00413559">
            <w:pPr>
              <w:pStyle w:val="TBLText"/>
              <w:spacing w:before="120" w:after="120"/>
              <w:rPr>
                <w:rFonts w:cs="Calibri"/>
                <w:b/>
                <w:sz w:val="20"/>
                <w:szCs w:val="20"/>
              </w:rPr>
            </w:pPr>
            <w:r w:rsidRPr="006B296A">
              <w:rPr>
                <w:rFonts w:cs="Calibri"/>
                <w:sz w:val="20"/>
                <w:szCs w:val="20"/>
              </w:rPr>
              <w:t>Higher education providers’ staff</w:t>
            </w:r>
          </w:p>
        </w:tc>
        <w:tc>
          <w:tcPr>
            <w:tcW w:w="2500" w:type="pct"/>
            <w:tcBorders>
              <w:left w:val="nil"/>
              <w:right w:val="nil"/>
            </w:tcBorders>
          </w:tcPr>
          <w:p w14:paraId="05FEF763" w14:textId="77777777" w:rsidR="00413559" w:rsidRPr="006B296A" w:rsidRDefault="00413559" w:rsidP="00413559">
            <w:pPr>
              <w:pStyle w:val="TBLText"/>
              <w:spacing w:before="120" w:after="120"/>
              <w:jc w:val="center"/>
              <w:rPr>
                <w:rFonts w:cs="Calibri"/>
                <w:sz w:val="20"/>
                <w:szCs w:val="20"/>
              </w:rPr>
            </w:pPr>
            <w:r w:rsidRPr="006B296A">
              <w:rPr>
                <w:rFonts w:cs="Calibri"/>
                <w:sz w:val="20"/>
                <w:szCs w:val="20"/>
              </w:rPr>
              <w:t>305.9</w:t>
            </w:r>
          </w:p>
        </w:tc>
      </w:tr>
      <w:tr w:rsidR="00413559" w:rsidRPr="00ED2A6C" w14:paraId="04FCDC4D" w14:textId="77777777" w:rsidTr="00413559">
        <w:trPr>
          <w:trHeight w:val="350"/>
        </w:trPr>
        <w:tc>
          <w:tcPr>
            <w:tcW w:w="2500" w:type="pct"/>
            <w:tcBorders>
              <w:left w:val="nil"/>
              <w:right w:val="nil"/>
            </w:tcBorders>
          </w:tcPr>
          <w:p w14:paraId="47CB3485" w14:textId="77777777" w:rsidR="00413559" w:rsidRPr="006B296A" w:rsidRDefault="00413559" w:rsidP="00413559">
            <w:pPr>
              <w:pStyle w:val="TBLText"/>
              <w:spacing w:before="120" w:after="120"/>
              <w:rPr>
                <w:rFonts w:cs="Calibri"/>
                <w:sz w:val="20"/>
                <w:szCs w:val="20"/>
              </w:rPr>
            </w:pPr>
            <w:r w:rsidRPr="006B296A">
              <w:rPr>
                <w:rFonts w:cs="Calibri"/>
                <w:sz w:val="20"/>
                <w:szCs w:val="20"/>
              </w:rPr>
              <w:t>Volunteers</w:t>
            </w:r>
          </w:p>
        </w:tc>
        <w:tc>
          <w:tcPr>
            <w:tcW w:w="2500" w:type="pct"/>
            <w:tcBorders>
              <w:left w:val="nil"/>
              <w:right w:val="nil"/>
            </w:tcBorders>
          </w:tcPr>
          <w:p w14:paraId="59AAB55F" w14:textId="77777777" w:rsidR="00413559" w:rsidRPr="006B296A" w:rsidRDefault="00413559" w:rsidP="00413559">
            <w:pPr>
              <w:pStyle w:val="TBLText"/>
              <w:spacing w:before="120" w:after="120"/>
              <w:jc w:val="center"/>
              <w:rPr>
                <w:rFonts w:cs="Calibri"/>
                <w:sz w:val="20"/>
                <w:szCs w:val="20"/>
              </w:rPr>
            </w:pPr>
            <w:r w:rsidRPr="006B296A">
              <w:rPr>
                <w:rFonts w:cs="Calibri"/>
                <w:sz w:val="20"/>
                <w:szCs w:val="20"/>
              </w:rPr>
              <w:t>23.7</w:t>
            </w:r>
          </w:p>
        </w:tc>
      </w:tr>
      <w:tr w:rsidR="00413559" w:rsidRPr="00ED2A6C" w14:paraId="08366DD2" w14:textId="77777777" w:rsidTr="00413559">
        <w:trPr>
          <w:trHeight w:val="350"/>
        </w:trPr>
        <w:tc>
          <w:tcPr>
            <w:tcW w:w="2500" w:type="pct"/>
            <w:tcBorders>
              <w:left w:val="nil"/>
              <w:bottom w:val="single" w:sz="12" w:space="0" w:color="0E2841" w:themeColor="text2"/>
              <w:right w:val="nil"/>
            </w:tcBorders>
          </w:tcPr>
          <w:p w14:paraId="739C20D4" w14:textId="77777777" w:rsidR="00413559" w:rsidRPr="006B296A" w:rsidRDefault="00413559" w:rsidP="00413559">
            <w:pPr>
              <w:pStyle w:val="TBLText"/>
              <w:spacing w:before="120" w:after="120"/>
              <w:rPr>
                <w:rFonts w:cs="Calibri"/>
                <w:b/>
                <w:sz w:val="20"/>
                <w:szCs w:val="20"/>
              </w:rPr>
            </w:pPr>
            <w:r w:rsidRPr="006B296A">
              <w:rPr>
                <w:rFonts w:cs="Calibri"/>
                <w:sz w:val="20"/>
                <w:szCs w:val="20"/>
              </w:rPr>
              <w:t>Australian Government</w:t>
            </w:r>
          </w:p>
        </w:tc>
        <w:tc>
          <w:tcPr>
            <w:tcW w:w="2500" w:type="pct"/>
            <w:tcBorders>
              <w:left w:val="nil"/>
              <w:bottom w:val="single" w:sz="12" w:space="0" w:color="0E2841" w:themeColor="text2"/>
              <w:right w:val="nil"/>
            </w:tcBorders>
          </w:tcPr>
          <w:p w14:paraId="47A46152" w14:textId="77777777" w:rsidR="00413559" w:rsidRPr="006B296A" w:rsidRDefault="00413559" w:rsidP="00413559">
            <w:pPr>
              <w:pStyle w:val="TBLText"/>
              <w:spacing w:before="120" w:after="120"/>
              <w:jc w:val="center"/>
              <w:rPr>
                <w:rFonts w:cs="Calibri"/>
                <w:sz w:val="20"/>
                <w:szCs w:val="20"/>
              </w:rPr>
            </w:pPr>
            <w:r w:rsidRPr="006B296A">
              <w:rPr>
                <w:rFonts w:cs="Calibri"/>
                <w:sz w:val="20"/>
                <w:szCs w:val="20"/>
              </w:rPr>
              <w:t>32.7</w:t>
            </w:r>
          </w:p>
        </w:tc>
      </w:tr>
      <w:tr w:rsidR="00413559" w:rsidRPr="00ED2A6C" w14:paraId="6FE50A6E" w14:textId="77777777" w:rsidTr="00413559">
        <w:trPr>
          <w:cnfStyle w:val="010000000000" w:firstRow="0" w:lastRow="1" w:firstColumn="0" w:lastColumn="0" w:oddVBand="0" w:evenVBand="0" w:oddHBand="0" w:evenHBand="0" w:firstRowFirstColumn="0" w:firstRowLastColumn="0" w:lastRowFirstColumn="0" w:lastRowLastColumn="0"/>
          <w:trHeight w:val="350"/>
        </w:trPr>
        <w:tc>
          <w:tcPr>
            <w:tcW w:w="2500" w:type="pct"/>
            <w:tcBorders>
              <w:top w:val="single" w:sz="12" w:space="0" w:color="0E2841" w:themeColor="text2"/>
              <w:left w:val="nil"/>
              <w:bottom w:val="single" w:sz="12" w:space="0" w:color="0E2841" w:themeColor="text2"/>
              <w:right w:val="nil"/>
            </w:tcBorders>
          </w:tcPr>
          <w:p w14:paraId="2B1FBB66" w14:textId="77777777" w:rsidR="00413559" w:rsidRPr="00741E09" w:rsidRDefault="00413559" w:rsidP="00741E09">
            <w:pPr>
              <w:pStyle w:val="TBLHeading"/>
            </w:pPr>
            <w:r w:rsidRPr="00741E09">
              <w:t>Total</w:t>
            </w:r>
          </w:p>
        </w:tc>
        <w:tc>
          <w:tcPr>
            <w:tcW w:w="2500" w:type="pct"/>
            <w:tcBorders>
              <w:top w:val="single" w:sz="12" w:space="0" w:color="0E2841" w:themeColor="text2"/>
              <w:left w:val="nil"/>
              <w:bottom w:val="single" w:sz="12" w:space="0" w:color="0E2841" w:themeColor="text2"/>
              <w:right w:val="nil"/>
            </w:tcBorders>
          </w:tcPr>
          <w:p w14:paraId="7B65150A" w14:textId="77777777" w:rsidR="00413559" w:rsidRPr="006B296A" w:rsidRDefault="00413559" w:rsidP="00413559">
            <w:pPr>
              <w:pStyle w:val="TBLText"/>
              <w:spacing w:before="120" w:after="120"/>
              <w:jc w:val="center"/>
              <w:rPr>
                <w:rFonts w:cs="Calibri"/>
                <w:b w:val="0"/>
                <w:sz w:val="20"/>
                <w:szCs w:val="20"/>
              </w:rPr>
            </w:pPr>
            <w:r w:rsidRPr="006B296A">
              <w:rPr>
                <w:rFonts w:cs="Calibri"/>
                <w:b w:val="0"/>
                <w:sz w:val="20"/>
                <w:szCs w:val="20"/>
              </w:rPr>
              <w:t>$1.2 billion</w:t>
            </w:r>
          </w:p>
        </w:tc>
      </w:tr>
    </w:tbl>
    <w:p w14:paraId="5F5E3BF5" w14:textId="77777777" w:rsidR="00797D7C" w:rsidRDefault="00797D7C" w:rsidP="00797D7C">
      <w:pPr>
        <w:pStyle w:val="Heading3"/>
        <w:numPr>
          <w:ilvl w:val="0"/>
          <w:numId w:val="0"/>
        </w:numPr>
      </w:pPr>
      <w:bookmarkStart w:id="170" w:name="_Toc204763335"/>
      <w:bookmarkStart w:id="171" w:name="_Toc204764903"/>
      <w:bookmarkStart w:id="172" w:name="_Toc204699885"/>
    </w:p>
    <w:p w14:paraId="50366656" w14:textId="77777777" w:rsidR="00797D7C" w:rsidRDefault="00797D7C" w:rsidP="00797D7C"/>
    <w:p w14:paraId="10DF02C9" w14:textId="77777777" w:rsidR="008677BB" w:rsidRDefault="008677BB" w:rsidP="00797D7C"/>
    <w:p w14:paraId="3707EED3" w14:textId="77777777" w:rsidR="008677BB" w:rsidRPr="00797D7C" w:rsidRDefault="008677BB" w:rsidP="00797D7C"/>
    <w:p w14:paraId="27032E53" w14:textId="2C088EE2" w:rsidR="00B76354" w:rsidRPr="000135B3" w:rsidRDefault="00B76354" w:rsidP="00B76354">
      <w:pPr>
        <w:pStyle w:val="Heading3"/>
      </w:pPr>
      <w:r w:rsidRPr="000135B3">
        <w:t xml:space="preserve">Costs to Australian Government for </w:t>
      </w:r>
      <w:r w:rsidR="00CD1C48">
        <w:t>N</w:t>
      </w:r>
      <w:r w:rsidRPr="000135B3">
        <w:t>ational Code</w:t>
      </w:r>
      <w:bookmarkEnd w:id="170"/>
      <w:bookmarkEnd w:id="171"/>
      <w:r w:rsidRPr="000135B3">
        <w:t xml:space="preserve"> </w:t>
      </w:r>
      <w:bookmarkEnd w:id="172"/>
    </w:p>
    <w:p w14:paraId="2258E01B" w14:textId="0F1467C1" w:rsidR="006A7C0E" w:rsidRDefault="00250B01" w:rsidP="008074B2">
      <w:pPr>
        <w:rPr>
          <w:rFonts w:cs="Calibri"/>
          <w:szCs w:val="22"/>
        </w:rPr>
      </w:pPr>
      <w:r w:rsidRPr="006B296A">
        <w:rPr>
          <w:rFonts w:cs="Calibri"/>
          <w:szCs w:val="22"/>
        </w:rPr>
        <w:t>The Australian Government will also incur costs</w:t>
      </w:r>
      <w:r>
        <w:rPr>
          <w:rFonts w:cs="Calibri"/>
          <w:szCs w:val="22"/>
        </w:rPr>
        <w:t xml:space="preserve"> </w:t>
      </w:r>
      <w:r w:rsidR="00E06C63">
        <w:rPr>
          <w:rFonts w:cs="Calibri"/>
          <w:szCs w:val="22"/>
        </w:rPr>
        <w:t xml:space="preserve">of </w:t>
      </w:r>
      <w:r w:rsidR="00E06C63" w:rsidRPr="006B296A">
        <w:rPr>
          <w:rFonts w:cs="Calibri"/>
          <w:b/>
          <w:szCs w:val="22"/>
        </w:rPr>
        <w:t>approximately</w:t>
      </w:r>
      <w:r w:rsidR="00E06C63" w:rsidRPr="00E373E6">
        <w:rPr>
          <w:rFonts w:cs="Calibri"/>
          <w:szCs w:val="22"/>
        </w:rPr>
        <w:t xml:space="preserve"> </w:t>
      </w:r>
      <w:r w:rsidR="00033C6C" w:rsidRPr="00E373E6">
        <w:rPr>
          <w:rFonts w:cs="Calibri"/>
          <w:b/>
          <w:szCs w:val="22"/>
        </w:rPr>
        <w:t>$32.7 million</w:t>
      </w:r>
      <w:r w:rsidR="007C2748" w:rsidRPr="00E373E6">
        <w:rPr>
          <w:rFonts w:cs="Calibri"/>
          <w:b/>
          <w:szCs w:val="22"/>
        </w:rPr>
        <w:t xml:space="preserve"> over </w:t>
      </w:r>
      <w:r w:rsidR="001C6877">
        <w:rPr>
          <w:rFonts w:cs="Calibri"/>
          <w:b/>
          <w:szCs w:val="22"/>
        </w:rPr>
        <w:t xml:space="preserve">ten </w:t>
      </w:r>
      <w:r w:rsidR="007C2748" w:rsidRPr="00E373E6">
        <w:rPr>
          <w:rFonts w:cs="Calibri"/>
          <w:b/>
          <w:szCs w:val="22"/>
        </w:rPr>
        <w:t>years</w:t>
      </w:r>
      <w:r w:rsidR="00157F0C">
        <w:rPr>
          <w:rFonts w:cs="Calibri"/>
          <w:b/>
          <w:szCs w:val="22"/>
        </w:rPr>
        <w:t xml:space="preserve">. </w:t>
      </w:r>
    </w:p>
    <w:p w14:paraId="4FFE2CDB" w14:textId="0C9822D4" w:rsidR="00250B01" w:rsidRPr="006B296A" w:rsidRDefault="00250B01" w:rsidP="008074B2">
      <w:pPr>
        <w:rPr>
          <w:rFonts w:cs="Calibri"/>
          <w:szCs w:val="22"/>
        </w:rPr>
      </w:pPr>
      <w:r w:rsidRPr="006B296A">
        <w:rPr>
          <w:rFonts w:cs="Calibri"/>
          <w:szCs w:val="22"/>
        </w:rPr>
        <w:t>This include</w:t>
      </w:r>
      <w:r>
        <w:rPr>
          <w:rFonts w:cs="Calibri"/>
          <w:szCs w:val="22"/>
        </w:rPr>
        <w:t xml:space="preserve">s </w:t>
      </w:r>
      <w:r w:rsidR="00BD4D88">
        <w:rPr>
          <w:rFonts w:cs="Calibri"/>
          <w:szCs w:val="22"/>
        </w:rPr>
        <w:t xml:space="preserve">an </w:t>
      </w:r>
      <w:r>
        <w:rPr>
          <w:rFonts w:cs="Calibri"/>
          <w:szCs w:val="22"/>
        </w:rPr>
        <w:t xml:space="preserve">estimated </w:t>
      </w:r>
      <w:r w:rsidR="00745164">
        <w:rPr>
          <w:rFonts w:cs="Calibri"/>
          <w:szCs w:val="22"/>
        </w:rPr>
        <w:t>average staffing level of 19.5</w:t>
      </w:r>
      <w:r w:rsidR="00404D25">
        <w:rPr>
          <w:rFonts w:cs="Calibri"/>
          <w:szCs w:val="22"/>
        </w:rPr>
        <w:t xml:space="preserve"> </w:t>
      </w:r>
      <w:r w:rsidR="00E373E6">
        <w:rPr>
          <w:rFonts w:cs="Calibri"/>
          <w:szCs w:val="22"/>
        </w:rPr>
        <w:t>(ranging from APS4-SES1)</w:t>
      </w:r>
      <w:r w:rsidR="00404D25">
        <w:rPr>
          <w:rFonts w:cs="Calibri"/>
          <w:szCs w:val="22"/>
        </w:rPr>
        <w:t xml:space="preserve"> over </w:t>
      </w:r>
      <w:r w:rsidR="00E6330B">
        <w:rPr>
          <w:rFonts w:cs="Calibri"/>
          <w:szCs w:val="22"/>
        </w:rPr>
        <w:t>the forward estimates</w:t>
      </w:r>
      <w:r w:rsidR="00404D25">
        <w:rPr>
          <w:rFonts w:cs="Calibri"/>
          <w:szCs w:val="22"/>
        </w:rPr>
        <w:t xml:space="preserve"> until 2028</w:t>
      </w:r>
      <w:r w:rsidR="00E6330B">
        <w:rPr>
          <w:rFonts w:cs="Calibri"/>
          <w:szCs w:val="22"/>
        </w:rPr>
        <w:t xml:space="preserve"> </w:t>
      </w:r>
      <w:r w:rsidRPr="006B296A">
        <w:rPr>
          <w:rFonts w:cs="Calibri"/>
          <w:szCs w:val="22"/>
        </w:rPr>
        <w:t>to administer the National Code</w:t>
      </w:r>
      <w:r w:rsidR="00E6330B">
        <w:rPr>
          <w:rFonts w:cs="Calibri"/>
          <w:szCs w:val="22"/>
        </w:rPr>
        <w:t>,</w:t>
      </w:r>
      <w:r w:rsidRPr="006B296A">
        <w:rPr>
          <w:rFonts w:cs="Calibri"/>
          <w:szCs w:val="22"/>
        </w:rPr>
        <w:t xml:space="preserve"> as well as necessary system upgrades</w:t>
      </w:r>
      <w:r w:rsidR="002B4A1B" w:rsidRPr="006B296A">
        <w:rPr>
          <w:rFonts w:cs="Calibri"/>
          <w:szCs w:val="22"/>
        </w:rPr>
        <w:t xml:space="preserve"> including:</w:t>
      </w:r>
    </w:p>
    <w:p w14:paraId="2E26B932" w14:textId="77777777" w:rsidR="0029596C" w:rsidRPr="006B296A" w:rsidRDefault="0029596C" w:rsidP="006B296A">
      <w:pPr>
        <w:pStyle w:val="ListParagraph"/>
        <w:numPr>
          <w:ilvl w:val="0"/>
          <w:numId w:val="185"/>
        </w:numPr>
        <w:spacing w:after="0"/>
        <w:contextualSpacing w:val="0"/>
        <w:rPr>
          <w:szCs w:val="22"/>
        </w:rPr>
      </w:pPr>
      <w:r w:rsidRPr="006B296A">
        <w:rPr>
          <w:b/>
          <w:szCs w:val="22"/>
        </w:rPr>
        <w:t>IT systems:</w:t>
      </w:r>
      <w:r w:rsidRPr="006B296A">
        <w:rPr>
          <w:szCs w:val="22"/>
        </w:rPr>
        <w:t xml:space="preserve"> $1.7 million over four years from 2024-25</w:t>
      </w:r>
    </w:p>
    <w:p w14:paraId="1E9B7D92" w14:textId="2C3634DF" w:rsidR="0029596C" w:rsidRPr="006B296A" w:rsidRDefault="0029596C" w:rsidP="006B296A">
      <w:pPr>
        <w:pStyle w:val="ListParagraph"/>
        <w:numPr>
          <w:ilvl w:val="0"/>
          <w:numId w:val="185"/>
        </w:numPr>
        <w:spacing w:after="0"/>
        <w:contextualSpacing w:val="0"/>
        <w:rPr>
          <w:szCs w:val="22"/>
        </w:rPr>
      </w:pPr>
      <w:r w:rsidRPr="006B296A">
        <w:rPr>
          <w:b/>
          <w:szCs w:val="22"/>
        </w:rPr>
        <w:t xml:space="preserve">travel costs </w:t>
      </w:r>
      <w:r w:rsidRPr="006B296A">
        <w:rPr>
          <w:szCs w:val="22"/>
        </w:rPr>
        <w:t xml:space="preserve">associated with having a physical presence at </w:t>
      </w:r>
      <w:r w:rsidR="00BB2527" w:rsidRPr="006B296A">
        <w:rPr>
          <w:szCs w:val="22"/>
        </w:rPr>
        <w:t>HEPs</w:t>
      </w:r>
      <w:r w:rsidRPr="006B296A">
        <w:rPr>
          <w:szCs w:val="22"/>
        </w:rPr>
        <w:t xml:space="preserve"> to educate and support the implementation of the Code: $0.3 million over four years from 2024-25 and $0.5 million over the medium term to 2034-35</w:t>
      </w:r>
    </w:p>
    <w:p w14:paraId="4E2D0BAD" w14:textId="151403A3" w:rsidR="0029596C" w:rsidRPr="006B296A" w:rsidRDefault="0029596C" w:rsidP="006B296A">
      <w:pPr>
        <w:pStyle w:val="ListParagraph"/>
        <w:numPr>
          <w:ilvl w:val="0"/>
          <w:numId w:val="185"/>
        </w:numPr>
        <w:spacing w:after="0"/>
        <w:contextualSpacing w:val="0"/>
        <w:rPr>
          <w:szCs w:val="22"/>
        </w:rPr>
      </w:pPr>
      <w:r w:rsidRPr="006B296A">
        <w:rPr>
          <w:b/>
          <w:szCs w:val="22"/>
        </w:rPr>
        <w:t xml:space="preserve">cost of sector transition support, communication, </w:t>
      </w:r>
      <w:r w:rsidR="00F568DE">
        <w:rPr>
          <w:b/>
          <w:szCs w:val="22"/>
        </w:rPr>
        <w:t>engagement, guidance, design and publishing of relevant tools and other educative materials as required</w:t>
      </w:r>
      <w:r w:rsidRPr="006B296A">
        <w:rPr>
          <w:szCs w:val="22"/>
        </w:rPr>
        <w:t>: $0.6 million over four years from 2024-25 and 1.1 million over the medium term to 2034-35</w:t>
      </w:r>
    </w:p>
    <w:p w14:paraId="17327DF8" w14:textId="1DC6EB7C" w:rsidR="00250B01" w:rsidRDefault="0029596C" w:rsidP="006B296A">
      <w:pPr>
        <w:pStyle w:val="ListParagraph"/>
        <w:numPr>
          <w:ilvl w:val="0"/>
          <w:numId w:val="185"/>
        </w:numPr>
        <w:spacing w:after="0"/>
        <w:contextualSpacing w:val="0"/>
        <w:rPr>
          <w:szCs w:val="22"/>
        </w:rPr>
      </w:pPr>
      <w:r w:rsidRPr="006B296A">
        <w:rPr>
          <w:b/>
          <w:szCs w:val="22"/>
        </w:rPr>
        <w:t>expert advice and specialist consultations:</w:t>
      </w:r>
      <w:r w:rsidRPr="006B296A">
        <w:rPr>
          <w:szCs w:val="22"/>
        </w:rPr>
        <w:t xml:space="preserve"> $1.9 million over four years from 2024-2025 and $1.5 million over the medium term to 2034-2035.</w:t>
      </w:r>
    </w:p>
    <w:p w14:paraId="3B85E27D" w14:textId="77777777" w:rsidR="00911E60" w:rsidRPr="006B296A" w:rsidRDefault="00911E60" w:rsidP="00911E60">
      <w:pPr>
        <w:pStyle w:val="ListParagraph"/>
        <w:spacing w:after="0"/>
        <w:ind w:left="360"/>
        <w:contextualSpacing w:val="0"/>
        <w:rPr>
          <w:szCs w:val="22"/>
        </w:rPr>
      </w:pPr>
    </w:p>
    <w:p w14:paraId="670DB6BE" w14:textId="0E3F15FC" w:rsidR="00A93941" w:rsidRPr="00ED2A6C" w:rsidRDefault="004F072A" w:rsidP="00E1048E">
      <w:pPr>
        <w:pStyle w:val="Heading3"/>
        <w:spacing w:before="0" w:after="160"/>
      </w:pPr>
      <w:bookmarkStart w:id="173" w:name="_Toc204763336"/>
      <w:bookmarkStart w:id="174" w:name="_Toc204764904"/>
      <w:bookmarkStart w:id="175" w:name="_Toc204699886"/>
      <w:r>
        <w:t xml:space="preserve">Costs of the </w:t>
      </w:r>
      <w:r w:rsidR="008743F1">
        <w:t>National Code</w:t>
      </w:r>
      <w:r>
        <w:t xml:space="preserve"> per standard</w:t>
      </w:r>
      <w:bookmarkEnd w:id="173"/>
      <w:bookmarkEnd w:id="174"/>
      <w:r>
        <w:t xml:space="preserve"> </w:t>
      </w:r>
      <w:bookmarkEnd w:id="175"/>
    </w:p>
    <w:p w14:paraId="3F1DB5EB" w14:textId="2D7358BF" w:rsidR="009E15DE" w:rsidRPr="006B296A" w:rsidRDefault="009E15DE" w:rsidP="009E15DE">
      <w:pPr>
        <w:rPr>
          <w:szCs w:val="22"/>
        </w:rPr>
      </w:pPr>
      <w:r w:rsidRPr="006B296A">
        <w:rPr>
          <w:szCs w:val="22"/>
        </w:rPr>
        <w:t>Each standard has been costed</w:t>
      </w:r>
      <w:r w:rsidR="00AE5A9F" w:rsidRPr="006B296A">
        <w:rPr>
          <w:szCs w:val="22"/>
        </w:rPr>
        <w:t xml:space="preserve"> against the key stakeholders being HEPs, staff of HEPs, </w:t>
      </w:r>
      <w:r w:rsidR="00013C45" w:rsidRPr="006B296A">
        <w:rPr>
          <w:szCs w:val="22"/>
        </w:rPr>
        <w:t xml:space="preserve">students and volunteers. The costs of the Australian Government </w:t>
      </w:r>
      <w:r w:rsidR="003F30E2" w:rsidRPr="006B296A">
        <w:rPr>
          <w:szCs w:val="22"/>
        </w:rPr>
        <w:t>are</w:t>
      </w:r>
      <w:r w:rsidR="00013C45" w:rsidRPr="006B296A">
        <w:rPr>
          <w:szCs w:val="22"/>
        </w:rPr>
        <w:t xml:space="preserve"> not included as they are responsible for the regulation of the National Code and not the implementation per standard. Costs for the Australian Government for regulating the National Code are detailed in </w:t>
      </w:r>
      <w:r w:rsidR="00A40E62" w:rsidRPr="006B296A">
        <w:rPr>
          <w:szCs w:val="22"/>
        </w:rPr>
        <w:t xml:space="preserve">the above </w:t>
      </w:r>
      <w:r w:rsidR="00E60E57">
        <w:rPr>
          <w:szCs w:val="22"/>
        </w:rPr>
        <w:t>C</w:t>
      </w:r>
      <w:r w:rsidR="00A40E62" w:rsidRPr="006B296A">
        <w:rPr>
          <w:szCs w:val="22"/>
        </w:rPr>
        <w:t>hapter 4.3.</w:t>
      </w:r>
      <w:r w:rsidR="0022708F" w:rsidRPr="006B296A">
        <w:rPr>
          <w:szCs w:val="22"/>
        </w:rPr>
        <w:t>4</w:t>
      </w:r>
      <w:r w:rsidR="00A40E62" w:rsidRPr="006B296A">
        <w:rPr>
          <w:szCs w:val="22"/>
        </w:rPr>
        <w:t>.</w:t>
      </w:r>
    </w:p>
    <w:p w14:paraId="7BC36EE6" w14:textId="20ADB100" w:rsidR="00E444C8" w:rsidRPr="00723825" w:rsidRDefault="004F072A" w:rsidP="00E1048E">
      <w:pPr>
        <w:pStyle w:val="Heading4"/>
        <w:spacing w:before="0" w:after="160"/>
      </w:pPr>
      <w:r>
        <w:lastRenderedPageBreak/>
        <w:t>Standard 1</w:t>
      </w:r>
      <w:r w:rsidR="00037D96">
        <w:t xml:space="preserve"> – Accountable leadership and governance </w:t>
      </w:r>
    </w:p>
    <w:p w14:paraId="574403A6" w14:textId="03CD0090" w:rsidR="002A3ABE" w:rsidRPr="00E1048E" w:rsidRDefault="002A3ABE" w:rsidP="00E1048E">
      <w:pPr>
        <w:rPr>
          <w:rFonts w:cs="Calibri"/>
          <w:b/>
        </w:rPr>
      </w:pPr>
      <w:r w:rsidRPr="00E1048E">
        <w:rPr>
          <w:rFonts w:cs="Calibri"/>
        </w:rPr>
        <w:t xml:space="preserve">In total it is estimated that Standard 1 will impose </w:t>
      </w:r>
      <w:r w:rsidR="009E15DE">
        <w:rPr>
          <w:rFonts w:cs="Calibri"/>
        </w:rPr>
        <w:t>costs of</w:t>
      </w:r>
      <w:r w:rsidRPr="00E1048E">
        <w:rPr>
          <w:rFonts w:cs="Calibri"/>
        </w:rPr>
        <w:t xml:space="preserve"> </w:t>
      </w:r>
      <w:r w:rsidRPr="002A3ABE">
        <w:rPr>
          <w:b/>
          <w:bCs/>
        </w:rPr>
        <w:t>$6</w:t>
      </w:r>
      <w:r w:rsidRPr="002A3ABE" w:rsidDel="00040A6D">
        <w:rPr>
          <w:b/>
          <w:bCs/>
        </w:rPr>
        <w:t>.</w:t>
      </w:r>
      <w:r w:rsidRPr="002A3ABE">
        <w:rPr>
          <w:b/>
          <w:bCs/>
        </w:rPr>
        <w:t>7 million (present value over ten years</w:t>
      </w:r>
      <w:r w:rsidRPr="00E1048E">
        <w:rPr>
          <w:b/>
          <w:bCs/>
        </w:rPr>
        <w:t>)</w:t>
      </w:r>
      <w:r w:rsidR="009E15DE">
        <w:rPr>
          <w:b/>
          <w:bCs/>
        </w:rPr>
        <w:t xml:space="preserve"> </w:t>
      </w:r>
      <w:r w:rsidR="009E15DE">
        <w:t>or</w:t>
      </w:r>
      <w:r>
        <w:t xml:space="preserve"> an </w:t>
      </w:r>
      <w:r w:rsidRPr="00E1048E">
        <w:rPr>
          <w:rFonts w:cs="Calibri"/>
          <w:b/>
        </w:rPr>
        <w:t>average annual cost of $956,000 (undiscounted).</w:t>
      </w:r>
    </w:p>
    <w:p w14:paraId="339787DD" w14:textId="2A81F8A8" w:rsidR="002A3ABE" w:rsidRPr="002A3ABE" w:rsidRDefault="002A3ABE" w:rsidP="00E1048E">
      <w:pPr>
        <w:pStyle w:val="Heading5"/>
        <w:spacing w:before="0" w:after="160"/>
      </w:pPr>
      <w:r>
        <w:t>Cost to HEPs</w:t>
      </w:r>
    </w:p>
    <w:p w14:paraId="6D3A1BF9" w14:textId="62E00482" w:rsidR="002F5FC8" w:rsidRPr="006B296A" w:rsidRDefault="002F5FC8" w:rsidP="002F5FC8">
      <w:pPr>
        <w:rPr>
          <w:szCs w:val="22"/>
        </w:rPr>
      </w:pPr>
      <w:r w:rsidRPr="006B296A">
        <w:rPr>
          <w:szCs w:val="22"/>
        </w:rPr>
        <w:t>Based on the number of HEPs, the total cost attributable to Standard 1 is estimated at $1.5 million (present value over a ten-year period), or approximately $202,000 per year (undiscounted).</w:t>
      </w:r>
    </w:p>
    <w:p w14:paraId="0082F4DD" w14:textId="2167C6E1" w:rsidR="002F5FC8" w:rsidRPr="006B296A" w:rsidRDefault="002F5FC8" w:rsidP="002F5FC8">
      <w:pPr>
        <w:rPr>
          <w:szCs w:val="22"/>
        </w:rPr>
      </w:pPr>
      <w:r w:rsidRPr="006B296A">
        <w:rPr>
          <w:szCs w:val="22"/>
        </w:rPr>
        <w:t xml:space="preserve">Under Standard 1 of the </w:t>
      </w:r>
      <w:r w:rsidR="008743F1" w:rsidRPr="006B296A">
        <w:rPr>
          <w:szCs w:val="22"/>
        </w:rPr>
        <w:t>National Code</w:t>
      </w:r>
      <w:r w:rsidRPr="006B296A">
        <w:rPr>
          <w:szCs w:val="22"/>
        </w:rPr>
        <w:t xml:space="preserve">, </w:t>
      </w:r>
      <w:r>
        <w:rPr>
          <w:szCs w:val="22"/>
        </w:rPr>
        <w:t>HEPs</w:t>
      </w:r>
      <w:r w:rsidRPr="006B296A">
        <w:rPr>
          <w:szCs w:val="22"/>
        </w:rPr>
        <w:t xml:space="preserve"> will incur significant transition costs primarily related to the development of a comprehensive, whole-of-organisation Prevention and Response Plan and an accompanying Outcomes Framework. This process will require a dedicated and skilled team with expertise in student and staff safety, familiarity with current </w:t>
      </w:r>
      <w:r w:rsidR="008223FC" w:rsidRPr="006B296A">
        <w:rPr>
          <w:szCs w:val="22"/>
        </w:rPr>
        <w:t>GBV</w:t>
      </w:r>
      <w:r w:rsidRPr="006B296A">
        <w:rPr>
          <w:szCs w:val="22"/>
        </w:rPr>
        <w:t xml:space="preserve"> strategies, and a thorough understanding of the </w:t>
      </w:r>
      <w:r w:rsidR="008743F1" w:rsidRPr="006B296A">
        <w:rPr>
          <w:szCs w:val="22"/>
        </w:rPr>
        <w:t>National Code</w:t>
      </w:r>
      <w:r w:rsidRPr="006B296A">
        <w:rPr>
          <w:szCs w:val="22"/>
        </w:rPr>
        <w:t>.</w:t>
      </w:r>
    </w:p>
    <w:p w14:paraId="3AF87E14" w14:textId="77777777" w:rsidR="002F5FC8" w:rsidRPr="006B296A" w:rsidRDefault="002F5FC8" w:rsidP="002F5FC8">
      <w:pPr>
        <w:rPr>
          <w:b/>
          <w:bCs/>
          <w:szCs w:val="22"/>
        </w:rPr>
      </w:pPr>
      <w:r w:rsidRPr="006B296A">
        <w:rPr>
          <w:szCs w:val="22"/>
        </w:rPr>
        <w:t>To meet these requirements, HEPs may need to recruit additional staff or upskill existing personnel. Further resources will be required to publicly communicate the Plan via the institution’s website and to engage stakeholders in its implementation.</w:t>
      </w:r>
    </w:p>
    <w:p w14:paraId="180DF040" w14:textId="77777777" w:rsidR="002F4F96" w:rsidRDefault="002F4F96" w:rsidP="002F5FC8">
      <w:pPr>
        <w:rPr>
          <w:szCs w:val="22"/>
        </w:rPr>
      </w:pPr>
    </w:p>
    <w:p w14:paraId="02DCCF84" w14:textId="77777777" w:rsidR="002F4F96" w:rsidRDefault="002F4F96" w:rsidP="002F5FC8">
      <w:pPr>
        <w:rPr>
          <w:szCs w:val="22"/>
        </w:rPr>
      </w:pPr>
    </w:p>
    <w:p w14:paraId="6A099D28" w14:textId="69C698B2" w:rsidR="002F5FC8" w:rsidRPr="006B296A" w:rsidRDefault="002F5FC8" w:rsidP="002F5FC8">
      <w:pPr>
        <w:rPr>
          <w:szCs w:val="22"/>
        </w:rPr>
      </w:pPr>
      <w:r w:rsidRPr="006B296A">
        <w:rPr>
          <w:szCs w:val="22"/>
        </w:rPr>
        <w:t>Ongoing costs will be incurred through:</w:t>
      </w:r>
    </w:p>
    <w:p w14:paraId="0DDEEF4F" w14:textId="77777777" w:rsidR="002F5FC8" w:rsidRPr="006B296A" w:rsidRDefault="002F5FC8" w:rsidP="006B296A">
      <w:pPr>
        <w:numPr>
          <w:ilvl w:val="0"/>
          <w:numId w:val="159"/>
        </w:numPr>
        <w:spacing w:after="0"/>
        <w:rPr>
          <w:szCs w:val="22"/>
        </w:rPr>
      </w:pPr>
      <w:r w:rsidRPr="006B296A">
        <w:rPr>
          <w:szCs w:val="22"/>
        </w:rPr>
        <w:t>Biannual internal reporting</w:t>
      </w:r>
    </w:p>
    <w:p w14:paraId="3C8F7321" w14:textId="3DCB4283" w:rsidR="002F5FC8" w:rsidRPr="006B296A" w:rsidRDefault="002F5FC8" w:rsidP="006B296A">
      <w:pPr>
        <w:numPr>
          <w:ilvl w:val="0"/>
          <w:numId w:val="159"/>
        </w:numPr>
        <w:spacing w:after="0"/>
        <w:rPr>
          <w:szCs w:val="22"/>
        </w:rPr>
      </w:pPr>
      <w:r w:rsidRPr="006B296A">
        <w:rPr>
          <w:szCs w:val="22"/>
        </w:rPr>
        <w:t xml:space="preserve">Biannual submissions to the Secretary of the </w:t>
      </w:r>
      <w:r w:rsidR="00AC61AB">
        <w:rPr>
          <w:szCs w:val="22"/>
        </w:rPr>
        <w:t>d</w:t>
      </w:r>
      <w:r w:rsidRPr="006B296A">
        <w:rPr>
          <w:szCs w:val="22"/>
        </w:rPr>
        <w:t>epartment</w:t>
      </w:r>
    </w:p>
    <w:p w14:paraId="5C074244" w14:textId="171D14A4" w:rsidR="00FB6709" w:rsidRPr="006B296A" w:rsidRDefault="002F5FC8" w:rsidP="002048B9">
      <w:pPr>
        <w:numPr>
          <w:ilvl w:val="0"/>
          <w:numId w:val="159"/>
        </w:numPr>
        <w:spacing w:after="0"/>
        <w:rPr>
          <w:szCs w:val="22"/>
        </w:rPr>
      </w:pPr>
      <w:r w:rsidRPr="006B296A">
        <w:rPr>
          <w:szCs w:val="22"/>
        </w:rPr>
        <w:t xml:space="preserve">A comprehensive review and update of the Plan and Outcomes Framework every four </w:t>
      </w:r>
      <w:r w:rsidR="003F30E2" w:rsidRPr="006B296A">
        <w:rPr>
          <w:szCs w:val="22"/>
        </w:rPr>
        <w:t>years</w:t>
      </w:r>
    </w:p>
    <w:p w14:paraId="5659202B" w14:textId="77777777" w:rsidR="002F5FC8" w:rsidRPr="006B296A" w:rsidRDefault="002F5FC8" w:rsidP="002F5FC8">
      <w:pPr>
        <w:rPr>
          <w:szCs w:val="22"/>
        </w:rPr>
      </w:pPr>
      <w:r w:rsidRPr="006B296A">
        <w:rPr>
          <w:szCs w:val="22"/>
        </w:rPr>
        <w:t>These reporting obligations will necessitate robust data analysis capabilities, which may require new hires or upgrades to IT systems to support effective data collection and analysis.</w:t>
      </w:r>
    </w:p>
    <w:p w14:paraId="04C3A22A" w14:textId="7269490B" w:rsidR="002F5FC8" w:rsidRPr="002F5FC8" w:rsidRDefault="002F5FC8" w:rsidP="00E1048E">
      <w:pPr>
        <w:pStyle w:val="Heading5"/>
        <w:spacing w:before="0" w:after="160"/>
      </w:pPr>
      <w:r>
        <w:t xml:space="preserve">Costs to </w:t>
      </w:r>
      <w:r w:rsidR="007A7DC2">
        <w:t>staff</w:t>
      </w:r>
    </w:p>
    <w:p w14:paraId="64DF365F" w14:textId="77777777" w:rsidR="00A7138E" w:rsidRPr="006B296A" w:rsidRDefault="00A7138E" w:rsidP="00F24276">
      <w:pPr>
        <w:rPr>
          <w:szCs w:val="22"/>
        </w:rPr>
      </w:pPr>
      <w:r w:rsidRPr="006B296A">
        <w:rPr>
          <w:rFonts w:cs="Calibri"/>
          <w:szCs w:val="22"/>
        </w:rPr>
        <w:t xml:space="preserve">The total costs to staff associated with Standard 1 is </w:t>
      </w:r>
      <w:r w:rsidRPr="006B296A">
        <w:rPr>
          <w:szCs w:val="22"/>
        </w:rPr>
        <w:t>$4.4 million (present value over ten years), or approximately $640,000 on average per year (undiscounted).</w:t>
      </w:r>
    </w:p>
    <w:p w14:paraId="3AB17607" w14:textId="77777777" w:rsidR="00F24276" w:rsidRPr="006B296A" w:rsidRDefault="00F24276" w:rsidP="00F24276">
      <w:pPr>
        <w:rPr>
          <w:szCs w:val="22"/>
        </w:rPr>
      </w:pPr>
      <w:r w:rsidRPr="006B296A">
        <w:rPr>
          <w:szCs w:val="22"/>
        </w:rPr>
        <w:t>Under Standard 1, staff costs arise from their involvement in the consultation process to develop the Prevention and Response Plan. A representative group of academic, support, and administrative staff—particularly those with relevant experience—will be required to contribute time and insights. These consultation-related costs are ultimately borne by the provider through increased staff time and workload.</w:t>
      </w:r>
    </w:p>
    <w:p w14:paraId="1ED177DD" w14:textId="3ACCA381" w:rsidR="007A7DC2" w:rsidRDefault="007A7DC2" w:rsidP="00F24276">
      <w:pPr>
        <w:pStyle w:val="Heading5"/>
        <w:spacing w:before="0" w:after="160"/>
      </w:pPr>
      <w:r>
        <w:t>Costs to students</w:t>
      </w:r>
    </w:p>
    <w:p w14:paraId="4C069A29" w14:textId="7C51AA67" w:rsidR="00A302C7" w:rsidRPr="006B296A" w:rsidRDefault="00A302C7" w:rsidP="00F24276">
      <w:pPr>
        <w:rPr>
          <w:szCs w:val="22"/>
        </w:rPr>
      </w:pPr>
      <w:r w:rsidRPr="006B296A">
        <w:rPr>
          <w:rFonts w:cs="Calibri"/>
          <w:szCs w:val="22"/>
        </w:rPr>
        <w:t xml:space="preserve">The total costs to students associated with Standard 1 is approximately </w:t>
      </w:r>
      <w:r w:rsidRPr="006B296A">
        <w:rPr>
          <w:szCs w:val="22"/>
        </w:rPr>
        <w:t>$698,000 (present value over ten years), or approximately $102,000 on average per year (undiscounted).</w:t>
      </w:r>
    </w:p>
    <w:p w14:paraId="596AF328" w14:textId="37F003E2" w:rsidR="00F24276" w:rsidRPr="006B296A" w:rsidRDefault="00F24276" w:rsidP="00F24276">
      <w:pPr>
        <w:rPr>
          <w:szCs w:val="22"/>
        </w:rPr>
      </w:pPr>
      <w:r w:rsidRPr="006B296A">
        <w:rPr>
          <w:szCs w:val="22"/>
        </w:rPr>
        <w:t xml:space="preserve">The only direct cost to students under Standard 1 stems from their participation in the development of the Plan. This includes consultation with a representative group of students, particularly those with lived experience of </w:t>
      </w:r>
      <w:r w:rsidR="00B7771B" w:rsidRPr="006B296A">
        <w:rPr>
          <w:szCs w:val="22"/>
        </w:rPr>
        <w:t>GBV</w:t>
      </w:r>
      <w:r w:rsidRPr="006B296A">
        <w:rPr>
          <w:szCs w:val="22"/>
        </w:rPr>
        <w:t xml:space="preserve">, to ensure the Plan is responsive to their </w:t>
      </w:r>
      <w:r w:rsidRPr="006B296A">
        <w:rPr>
          <w:szCs w:val="22"/>
        </w:rPr>
        <w:lastRenderedPageBreak/>
        <w:t>needs. A small proportion of students will be engaged each year, contributing time and effort to these consultations.</w:t>
      </w:r>
    </w:p>
    <w:p w14:paraId="1944F557" w14:textId="4E45DD1B" w:rsidR="007A7DC2" w:rsidRPr="002F5FC8" w:rsidRDefault="007A7DC2" w:rsidP="00F24276">
      <w:pPr>
        <w:pStyle w:val="Heading5"/>
        <w:spacing w:before="0" w:after="160"/>
      </w:pPr>
      <w:r>
        <w:t xml:space="preserve">Costs to volunteers </w:t>
      </w:r>
    </w:p>
    <w:p w14:paraId="6E65FF80" w14:textId="16771A34" w:rsidR="00B213E0" w:rsidRPr="006B296A" w:rsidRDefault="00B213E0" w:rsidP="00B213E0">
      <w:pPr>
        <w:rPr>
          <w:szCs w:val="22"/>
        </w:rPr>
      </w:pPr>
      <w:r w:rsidRPr="006B296A">
        <w:rPr>
          <w:szCs w:val="22"/>
        </w:rPr>
        <w:t>The total costs to volunteers associated with Standard 1 is estimated to be $82,000 (present value over ten years), or approximately $12,000 on average per year (undiscounted).</w:t>
      </w:r>
    </w:p>
    <w:p w14:paraId="2471A136" w14:textId="2C64FFBD" w:rsidR="001E603F" w:rsidRDefault="00C40EBE" w:rsidP="001E603F">
      <w:pPr>
        <w:pStyle w:val="NormalWeb"/>
        <w:spacing w:before="0" w:beforeAutospacing="0" w:after="160" w:afterAutospacing="0" w:line="278" w:lineRule="auto"/>
        <w:rPr>
          <w:rFonts w:asciiTheme="minorHAnsi" w:hAnsiTheme="minorHAnsi" w:cs="Segoe UI"/>
          <w:color w:val="000000" w:themeColor="text1"/>
          <w:szCs w:val="22"/>
        </w:rPr>
      </w:pPr>
      <w:r>
        <w:rPr>
          <w:rFonts w:asciiTheme="minorHAnsi" w:hAnsiTheme="minorHAnsi" w:cs="Segoe UI"/>
          <w:color w:val="000000" w:themeColor="text1"/>
          <w:szCs w:val="22"/>
        </w:rPr>
        <w:t xml:space="preserve">This is based on </w:t>
      </w:r>
      <w:r w:rsidRPr="006B296A">
        <w:rPr>
          <w:rFonts w:asciiTheme="minorHAnsi" w:hAnsiTheme="minorHAnsi" w:cs="Segoe UI"/>
          <w:color w:val="000000" w:themeColor="text1"/>
          <w:szCs w:val="22"/>
        </w:rPr>
        <w:t>participation assumption</w:t>
      </w:r>
      <w:r>
        <w:rPr>
          <w:rFonts w:asciiTheme="minorHAnsi" w:hAnsiTheme="minorHAnsi" w:cs="Segoe UI"/>
          <w:color w:val="000000" w:themeColor="text1"/>
          <w:szCs w:val="22"/>
        </w:rPr>
        <w:t xml:space="preserve">s of </w:t>
      </w:r>
      <w:r w:rsidRPr="006B296A">
        <w:rPr>
          <w:rFonts w:asciiTheme="minorHAnsi" w:hAnsiTheme="minorHAnsi" w:cs="Segoe UI"/>
          <w:color w:val="000000" w:themeColor="text1"/>
          <w:szCs w:val="22"/>
        </w:rPr>
        <w:t>10% of community volunteers in the initial years of implementation and 5% in subsequent years</w:t>
      </w:r>
      <w:r>
        <w:rPr>
          <w:rFonts w:asciiTheme="minorHAnsi" w:hAnsiTheme="minorHAnsi" w:cs="Segoe UI"/>
          <w:color w:val="000000" w:themeColor="text1"/>
          <w:szCs w:val="22"/>
        </w:rPr>
        <w:t>.</w:t>
      </w:r>
      <w:r w:rsidR="005E1369">
        <w:rPr>
          <w:rFonts w:asciiTheme="minorHAnsi" w:hAnsiTheme="minorHAnsi" w:cs="Segoe UI"/>
          <w:color w:val="000000" w:themeColor="text1"/>
          <w:szCs w:val="22"/>
        </w:rPr>
        <w:t xml:space="preserve"> </w:t>
      </w:r>
      <w:r w:rsidR="00AD0CDD">
        <w:rPr>
          <w:rFonts w:asciiTheme="minorHAnsi" w:hAnsiTheme="minorHAnsi" w:cs="Segoe UI"/>
          <w:color w:val="000000" w:themeColor="text1"/>
          <w:szCs w:val="22"/>
        </w:rPr>
        <w:t>These costs are</w:t>
      </w:r>
      <w:r w:rsidR="0015222A" w:rsidRPr="006B296A">
        <w:rPr>
          <w:rFonts w:asciiTheme="minorHAnsi" w:hAnsiTheme="minorHAnsi" w:cs="Segoe UI"/>
          <w:color w:val="000000" w:themeColor="text1"/>
          <w:szCs w:val="22"/>
        </w:rPr>
        <w:t xml:space="preserve"> for community volunteers, who are included under the </w:t>
      </w:r>
      <w:r w:rsidR="0015222A" w:rsidRPr="006B296A">
        <w:rPr>
          <w:rStyle w:val="Emphasis"/>
          <w:rFonts w:asciiTheme="minorHAnsi" w:eastAsiaTheme="majorEastAsia" w:hAnsiTheme="minorHAnsi" w:cs="Segoe UI"/>
          <w:color w:val="000000" w:themeColor="text1"/>
          <w:szCs w:val="22"/>
        </w:rPr>
        <w:t>Work Health and Safety Act 2011</w:t>
      </w:r>
      <w:r w:rsidR="0015222A" w:rsidRPr="006B296A">
        <w:rPr>
          <w:rFonts w:asciiTheme="minorHAnsi" w:hAnsiTheme="minorHAnsi" w:cs="Segoe UI"/>
          <w:color w:val="000000" w:themeColor="text1"/>
          <w:szCs w:val="22"/>
        </w:rPr>
        <w:t> as workers and therefore must be engaged in the development of the Plan</w:t>
      </w:r>
      <w:r w:rsidR="00356279">
        <w:rPr>
          <w:rFonts w:asciiTheme="minorHAnsi" w:hAnsiTheme="minorHAnsi" w:cs="Segoe UI"/>
          <w:color w:val="000000" w:themeColor="text1"/>
          <w:szCs w:val="22"/>
        </w:rPr>
        <w:t xml:space="preserve"> </w:t>
      </w:r>
      <w:r w:rsidR="001E603F">
        <w:rPr>
          <w:rFonts w:asciiTheme="minorHAnsi" w:hAnsiTheme="minorHAnsi" w:cs="Segoe UI"/>
          <w:color w:val="000000" w:themeColor="text1"/>
          <w:szCs w:val="22"/>
        </w:rPr>
        <w:t>(t</w:t>
      </w:r>
      <w:r w:rsidR="001E603F" w:rsidRPr="006B296A">
        <w:rPr>
          <w:rFonts w:asciiTheme="minorHAnsi" w:hAnsiTheme="minorHAnsi" w:cs="Segoe UI"/>
          <w:color w:val="000000" w:themeColor="text1"/>
          <w:szCs w:val="22"/>
        </w:rPr>
        <w:t xml:space="preserve">his </w:t>
      </w:r>
      <w:r w:rsidR="00356279">
        <w:rPr>
          <w:rFonts w:asciiTheme="minorHAnsi" w:hAnsiTheme="minorHAnsi" w:cs="Segoe UI"/>
          <w:color w:val="000000" w:themeColor="text1"/>
          <w:szCs w:val="22"/>
        </w:rPr>
        <w:t>cost</w:t>
      </w:r>
      <w:r w:rsidR="001E603F" w:rsidRPr="006B296A">
        <w:rPr>
          <w:rFonts w:asciiTheme="minorHAnsi" w:hAnsiTheme="minorHAnsi" w:cs="Segoe UI"/>
          <w:color w:val="000000" w:themeColor="text1"/>
          <w:szCs w:val="22"/>
        </w:rPr>
        <w:t xml:space="preserve"> focuses solely on </w:t>
      </w:r>
      <w:r w:rsidR="001E603F" w:rsidRPr="006B296A">
        <w:rPr>
          <w:rStyle w:val="Strong"/>
          <w:rFonts w:asciiTheme="minorHAnsi" w:eastAsiaTheme="majorEastAsia" w:hAnsiTheme="minorHAnsi" w:cs="Segoe UI"/>
          <w:b w:val="0"/>
          <w:bCs w:val="0"/>
          <w:color w:val="000000" w:themeColor="text1"/>
          <w:szCs w:val="22"/>
        </w:rPr>
        <w:t>community volunteers</w:t>
      </w:r>
      <w:r w:rsidR="001E603F" w:rsidRPr="006B296A">
        <w:rPr>
          <w:rFonts w:asciiTheme="minorHAnsi" w:hAnsiTheme="minorHAnsi" w:cs="Segoe UI"/>
          <w:color w:val="000000" w:themeColor="text1"/>
          <w:szCs w:val="22"/>
        </w:rPr>
        <w:t>, as the costs for student and staff volunteers are already captured under the above sections</w:t>
      </w:r>
      <w:r w:rsidR="00356279">
        <w:rPr>
          <w:rFonts w:asciiTheme="minorHAnsi" w:hAnsiTheme="minorHAnsi" w:cs="Segoe UI"/>
          <w:color w:val="000000" w:themeColor="text1"/>
          <w:szCs w:val="22"/>
        </w:rPr>
        <w:t>).</w:t>
      </w:r>
    </w:p>
    <w:p w14:paraId="13BAA488" w14:textId="59D1DAC1" w:rsidR="00B213E0" w:rsidRDefault="00B213E0" w:rsidP="00C40EBE">
      <w:pPr>
        <w:pStyle w:val="Heading4"/>
      </w:pPr>
      <w:r>
        <w:t xml:space="preserve">Standard 2 – Safe Environments </w:t>
      </w:r>
    </w:p>
    <w:p w14:paraId="3456E6E1" w14:textId="2337E1CF" w:rsidR="00CA2F4B" w:rsidRPr="006B296A" w:rsidRDefault="00CA2F4B" w:rsidP="00CA2F4B">
      <w:pPr>
        <w:rPr>
          <w:szCs w:val="22"/>
        </w:rPr>
      </w:pPr>
      <w:r w:rsidRPr="006B296A">
        <w:rPr>
          <w:rFonts w:cs="Calibri"/>
          <w:szCs w:val="22"/>
        </w:rPr>
        <w:t xml:space="preserve">In total it is estimated that Standard 2 will impose </w:t>
      </w:r>
      <w:r w:rsidR="00803566" w:rsidRPr="006B296A">
        <w:rPr>
          <w:rFonts w:cs="Calibri"/>
          <w:b/>
          <w:szCs w:val="22"/>
        </w:rPr>
        <w:t>costs of</w:t>
      </w:r>
      <w:r w:rsidRPr="006B296A">
        <w:rPr>
          <w:rFonts w:cs="Calibri"/>
          <w:b/>
          <w:szCs w:val="22"/>
        </w:rPr>
        <w:t xml:space="preserve"> </w:t>
      </w:r>
      <w:r w:rsidRPr="006B296A">
        <w:rPr>
          <w:b/>
          <w:szCs w:val="22"/>
        </w:rPr>
        <w:t>$263 million (present value over ten years</w:t>
      </w:r>
      <w:r w:rsidRPr="006B296A">
        <w:rPr>
          <w:b/>
          <w:bCs/>
          <w:szCs w:val="22"/>
        </w:rPr>
        <w:t>)</w:t>
      </w:r>
      <w:r w:rsidR="00803566" w:rsidRPr="006B296A">
        <w:rPr>
          <w:b/>
          <w:bCs/>
          <w:szCs w:val="22"/>
        </w:rPr>
        <w:t xml:space="preserve"> </w:t>
      </w:r>
      <w:r w:rsidR="00803566" w:rsidRPr="006B296A">
        <w:rPr>
          <w:b/>
          <w:szCs w:val="22"/>
        </w:rPr>
        <w:t>or</w:t>
      </w:r>
      <w:r w:rsidRPr="006B296A">
        <w:rPr>
          <w:b/>
          <w:szCs w:val="22"/>
        </w:rPr>
        <w:t xml:space="preserve"> average annual cost of $39 million (undiscounted).</w:t>
      </w:r>
    </w:p>
    <w:p w14:paraId="6C324E8B" w14:textId="77777777" w:rsidR="00B213E0" w:rsidRDefault="00B213E0" w:rsidP="00E1048E">
      <w:pPr>
        <w:pStyle w:val="Heading5"/>
        <w:spacing w:before="0" w:after="160"/>
      </w:pPr>
      <w:r>
        <w:t>Cost to HEPs</w:t>
      </w:r>
    </w:p>
    <w:p w14:paraId="4017462B" w14:textId="77777777" w:rsidR="00A716CB" w:rsidRPr="006B296A" w:rsidRDefault="00A716CB" w:rsidP="00A716CB">
      <w:pPr>
        <w:rPr>
          <w:szCs w:val="22"/>
        </w:rPr>
      </w:pPr>
      <w:r w:rsidRPr="006B296A">
        <w:rPr>
          <w:rFonts w:cs="Calibri"/>
          <w:szCs w:val="22"/>
        </w:rPr>
        <w:t xml:space="preserve">The total costs to HEPs associated with Standard 2 is approximately </w:t>
      </w:r>
      <w:r w:rsidRPr="006B296A">
        <w:rPr>
          <w:szCs w:val="22"/>
        </w:rPr>
        <w:t xml:space="preserve">$173.2 million (present value over the ten-year analysis period) or $26.0 million on average per year (undiscounted). </w:t>
      </w:r>
    </w:p>
    <w:p w14:paraId="46F1AA18" w14:textId="393C5C07" w:rsidR="00A716CB" w:rsidRPr="006B296A" w:rsidRDefault="006E277A" w:rsidP="00A716CB">
      <w:pPr>
        <w:rPr>
          <w:szCs w:val="22"/>
        </w:rPr>
      </w:pPr>
      <w:r w:rsidRPr="006B296A">
        <w:rPr>
          <w:szCs w:val="22"/>
        </w:rPr>
        <w:t xml:space="preserve">Standard 2 introduces significant transition and ongoing costs for HEPs, primarily related to the development, implementation, and maintenance of a comprehensive, </w:t>
      </w:r>
      <w:r w:rsidR="00FF1DCA" w:rsidRPr="006B296A">
        <w:rPr>
          <w:szCs w:val="22"/>
        </w:rPr>
        <w:t>whole-of-</w:t>
      </w:r>
      <w:r w:rsidRPr="006B296A">
        <w:rPr>
          <w:szCs w:val="22"/>
        </w:rPr>
        <w:t xml:space="preserve">organisation policy for preventing and responding to </w:t>
      </w:r>
      <w:r w:rsidR="00B7771B" w:rsidRPr="006B296A">
        <w:rPr>
          <w:szCs w:val="22"/>
        </w:rPr>
        <w:t>GBV</w:t>
      </w:r>
      <w:r w:rsidRPr="006B296A">
        <w:rPr>
          <w:szCs w:val="22"/>
        </w:rPr>
        <w:t>.</w:t>
      </w:r>
    </w:p>
    <w:p w14:paraId="1F120BA7" w14:textId="2509F773" w:rsidR="00AE3B5C" w:rsidRPr="006B296A" w:rsidRDefault="00AE3B5C" w:rsidP="00AE3B5C">
      <w:pPr>
        <w:rPr>
          <w:szCs w:val="22"/>
        </w:rPr>
      </w:pPr>
      <w:r w:rsidRPr="006B296A">
        <w:rPr>
          <w:szCs w:val="22"/>
        </w:rPr>
        <w:t xml:space="preserve">HEPs will need to develop a policy that aligns with the expectations of the </w:t>
      </w:r>
      <w:r w:rsidR="008743F1" w:rsidRPr="006B296A">
        <w:rPr>
          <w:szCs w:val="22"/>
        </w:rPr>
        <w:t>National Code</w:t>
      </w:r>
      <w:r w:rsidRPr="006B296A">
        <w:rPr>
          <w:szCs w:val="22"/>
        </w:rPr>
        <w:t xml:space="preserve">. This will require a skilled team with expertise in </w:t>
      </w:r>
      <w:r w:rsidR="008223FC" w:rsidRPr="006B296A">
        <w:rPr>
          <w:szCs w:val="22"/>
        </w:rPr>
        <w:t>GBV</w:t>
      </w:r>
      <w:r w:rsidRPr="006B296A">
        <w:rPr>
          <w:szCs w:val="22"/>
        </w:rPr>
        <w:t>, organisational operations, and trauma-informed practices. Transition costs may include:</w:t>
      </w:r>
    </w:p>
    <w:p w14:paraId="1255B7B9" w14:textId="0E9B1735" w:rsidR="00AE3B5C" w:rsidRPr="006B296A" w:rsidRDefault="00FF1DCA" w:rsidP="000937AE">
      <w:pPr>
        <w:numPr>
          <w:ilvl w:val="0"/>
          <w:numId w:val="160"/>
        </w:numPr>
        <w:spacing w:after="0"/>
        <w:rPr>
          <w:szCs w:val="22"/>
        </w:rPr>
      </w:pPr>
      <w:r w:rsidRPr="006B296A">
        <w:rPr>
          <w:szCs w:val="22"/>
        </w:rPr>
        <w:t>h</w:t>
      </w:r>
      <w:r w:rsidR="00AE3B5C" w:rsidRPr="006B296A">
        <w:rPr>
          <w:szCs w:val="22"/>
        </w:rPr>
        <w:t>iring new staff or upskilling existing personnel</w:t>
      </w:r>
    </w:p>
    <w:p w14:paraId="7D75F491" w14:textId="11B8C768" w:rsidR="00AE3B5C" w:rsidRPr="006B296A" w:rsidRDefault="00FF1DCA" w:rsidP="000937AE">
      <w:pPr>
        <w:numPr>
          <w:ilvl w:val="0"/>
          <w:numId w:val="160"/>
        </w:numPr>
        <w:spacing w:after="0"/>
        <w:rPr>
          <w:szCs w:val="22"/>
        </w:rPr>
      </w:pPr>
      <w:r w:rsidRPr="006B296A">
        <w:rPr>
          <w:szCs w:val="22"/>
        </w:rPr>
        <w:t>a</w:t>
      </w:r>
      <w:r w:rsidR="00AE3B5C" w:rsidRPr="006B296A">
        <w:rPr>
          <w:szCs w:val="22"/>
        </w:rPr>
        <w:t>llocating time and resources to draft and finalise the policy</w:t>
      </w:r>
    </w:p>
    <w:p w14:paraId="31346001" w14:textId="0F311DE2" w:rsidR="00AE3B5C" w:rsidRPr="006B296A" w:rsidRDefault="00FF1DCA" w:rsidP="00DD4830">
      <w:pPr>
        <w:numPr>
          <w:ilvl w:val="0"/>
          <w:numId w:val="160"/>
        </w:numPr>
        <w:rPr>
          <w:szCs w:val="22"/>
        </w:rPr>
      </w:pPr>
      <w:r w:rsidRPr="006B296A">
        <w:rPr>
          <w:szCs w:val="22"/>
        </w:rPr>
        <w:t>p</w:t>
      </w:r>
      <w:r w:rsidR="00AE3B5C" w:rsidRPr="006B296A">
        <w:rPr>
          <w:szCs w:val="22"/>
        </w:rPr>
        <w:t>ublicly communicating the policy and engaging stakeholders in its development</w:t>
      </w:r>
      <w:r w:rsidRPr="006B296A">
        <w:rPr>
          <w:szCs w:val="22"/>
        </w:rPr>
        <w:t>.</w:t>
      </w:r>
    </w:p>
    <w:p w14:paraId="75BA0C2E" w14:textId="77777777" w:rsidR="00AE3B5C" w:rsidRPr="006B296A" w:rsidRDefault="00AE3B5C" w:rsidP="00AE3B5C">
      <w:pPr>
        <w:rPr>
          <w:szCs w:val="22"/>
        </w:rPr>
      </w:pPr>
      <w:r w:rsidRPr="006B296A">
        <w:rPr>
          <w:szCs w:val="22"/>
        </w:rPr>
        <w:t>Ongoing costs will be incurred through:</w:t>
      </w:r>
    </w:p>
    <w:p w14:paraId="7D72361F" w14:textId="6B2A451E" w:rsidR="00AE3B5C" w:rsidRPr="006B296A" w:rsidRDefault="00FF1DCA" w:rsidP="000937AE">
      <w:pPr>
        <w:numPr>
          <w:ilvl w:val="0"/>
          <w:numId w:val="161"/>
        </w:numPr>
        <w:spacing w:after="0"/>
        <w:rPr>
          <w:szCs w:val="22"/>
        </w:rPr>
      </w:pPr>
      <w:r w:rsidRPr="006B296A">
        <w:rPr>
          <w:szCs w:val="22"/>
        </w:rPr>
        <w:t>p</w:t>
      </w:r>
      <w:r w:rsidR="00AE3B5C" w:rsidRPr="006B296A">
        <w:rPr>
          <w:szCs w:val="22"/>
        </w:rPr>
        <w:t xml:space="preserve">olicy </w:t>
      </w:r>
      <w:r w:rsidRPr="006B296A">
        <w:rPr>
          <w:szCs w:val="22"/>
        </w:rPr>
        <w:t>reviews</w:t>
      </w:r>
      <w:r w:rsidR="00AE3B5C" w:rsidRPr="006B296A">
        <w:rPr>
          <w:szCs w:val="22"/>
        </w:rPr>
        <w:t xml:space="preserve"> every three years, including stakeholder engagement with students, staff, subject matter experts, and individuals with lived experience</w:t>
      </w:r>
    </w:p>
    <w:p w14:paraId="21933561" w14:textId="39C37BA6" w:rsidR="00AE3B5C" w:rsidRPr="006B296A" w:rsidRDefault="00FF1DCA" w:rsidP="000937AE">
      <w:pPr>
        <w:numPr>
          <w:ilvl w:val="0"/>
          <w:numId w:val="161"/>
        </w:numPr>
        <w:spacing w:after="0"/>
        <w:rPr>
          <w:szCs w:val="22"/>
        </w:rPr>
      </w:pPr>
      <w:r w:rsidRPr="006B296A">
        <w:rPr>
          <w:szCs w:val="22"/>
        </w:rPr>
        <w:t>c</w:t>
      </w:r>
      <w:r w:rsidR="00AE3B5C" w:rsidRPr="006B296A">
        <w:rPr>
          <w:szCs w:val="22"/>
        </w:rPr>
        <w:t xml:space="preserve">ompliance reporting, if requested by the Secretary of the </w:t>
      </w:r>
      <w:r w:rsidR="00AC61AB">
        <w:rPr>
          <w:szCs w:val="22"/>
        </w:rPr>
        <w:t>d</w:t>
      </w:r>
      <w:r w:rsidR="00AE3B5C" w:rsidRPr="006B296A">
        <w:rPr>
          <w:szCs w:val="22"/>
        </w:rPr>
        <w:t>epartment</w:t>
      </w:r>
    </w:p>
    <w:p w14:paraId="2773964B" w14:textId="0C6DD72F" w:rsidR="00AE3B5C" w:rsidRPr="006B296A" w:rsidRDefault="00FF1DCA" w:rsidP="00DD4830">
      <w:pPr>
        <w:numPr>
          <w:ilvl w:val="0"/>
          <w:numId w:val="161"/>
        </w:numPr>
        <w:rPr>
          <w:szCs w:val="22"/>
        </w:rPr>
      </w:pPr>
      <w:r w:rsidRPr="006B296A">
        <w:rPr>
          <w:szCs w:val="22"/>
        </w:rPr>
        <w:t>s</w:t>
      </w:r>
      <w:r w:rsidR="00AE3B5C" w:rsidRPr="006B296A">
        <w:rPr>
          <w:szCs w:val="22"/>
        </w:rPr>
        <w:t xml:space="preserve">afety checks for staff, including </w:t>
      </w:r>
      <w:r w:rsidR="00B7771B" w:rsidRPr="006B296A">
        <w:rPr>
          <w:szCs w:val="22"/>
        </w:rPr>
        <w:t>GBV</w:t>
      </w:r>
      <w:r w:rsidR="00AE3B5C" w:rsidRPr="006B296A">
        <w:rPr>
          <w:szCs w:val="22"/>
        </w:rPr>
        <w:t>-related background checks and conflict-of-interest declarations</w:t>
      </w:r>
      <w:r w:rsidRPr="006B296A">
        <w:rPr>
          <w:szCs w:val="22"/>
        </w:rPr>
        <w:t>.</w:t>
      </w:r>
    </w:p>
    <w:p w14:paraId="550D7632" w14:textId="4E3D3DE4" w:rsidR="00AE3B5C" w:rsidRPr="006B296A" w:rsidRDefault="00AE3B5C" w:rsidP="00A716CB">
      <w:pPr>
        <w:rPr>
          <w:szCs w:val="22"/>
        </w:rPr>
      </w:pPr>
      <w:r w:rsidRPr="006B296A">
        <w:rPr>
          <w:szCs w:val="22"/>
        </w:rPr>
        <w:t>While some safety checks (</w:t>
      </w:r>
      <w:r w:rsidR="00FF1DCA" w:rsidRPr="006B296A">
        <w:rPr>
          <w:szCs w:val="22"/>
        </w:rPr>
        <w:t>for example</w:t>
      </w:r>
      <w:r w:rsidRPr="006B296A">
        <w:rPr>
          <w:szCs w:val="22"/>
        </w:rPr>
        <w:t xml:space="preserve"> Working with Children Checks) are already standard practice, additional resources may be required to ensure full compliance across the institution. These activities are expected to be absorbed within existing human resources functions, rather than requiring the establishment of specialist teams.</w:t>
      </w:r>
    </w:p>
    <w:p w14:paraId="6C276925" w14:textId="77777777" w:rsidR="00B213E0" w:rsidRDefault="00B213E0" w:rsidP="00E1048E">
      <w:pPr>
        <w:pStyle w:val="Heading5"/>
        <w:spacing w:before="0" w:after="160"/>
      </w:pPr>
      <w:r>
        <w:t>Cost to staff</w:t>
      </w:r>
    </w:p>
    <w:p w14:paraId="0DE22175" w14:textId="4AFD8F45" w:rsidR="00DA0BD3" w:rsidRPr="006B296A" w:rsidRDefault="00DA0BD3" w:rsidP="00E1048E">
      <w:pPr>
        <w:rPr>
          <w:szCs w:val="22"/>
        </w:rPr>
      </w:pPr>
      <w:r w:rsidRPr="006B296A">
        <w:rPr>
          <w:rFonts w:cs="Calibri"/>
          <w:szCs w:val="22"/>
        </w:rPr>
        <w:t>The total costs to staff associated with Standard 2 is approximately</w:t>
      </w:r>
      <w:r w:rsidRPr="006B296A">
        <w:rPr>
          <w:szCs w:val="22"/>
        </w:rPr>
        <w:t xml:space="preserve"> $85.8 million (present value over ten years), or approximately $12.8 million on average per year (undiscounted).</w:t>
      </w:r>
    </w:p>
    <w:p w14:paraId="6479D7E9" w14:textId="7B46F34C" w:rsidR="00324FA4" w:rsidRPr="006B296A" w:rsidRDefault="00324FA4" w:rsidP="00E1048E">
      <w:pPr>
        <w:rPr>
          <w:rFonts w:cs="Calibri"/>
          <w:szCs w:val="22"/>
        </w:rPr>
      </w:pPr>
      <w:r w:rsidRPr="006B296A">
        <w:rPr>
          <w:rFonts w:cs="Calibri"/>
          <w:szCs w:val="22"/>
        </w:rPr>
        <w:lastRenderedPageBreak/>
        <w:t xml:space="preserve">To comply with Standard 2, staff must complete a range of safety checks and declarations regarding past relationships or </w:t>
      </w:r>
      <w:r w:rsidR="00B7771B" w:rsidRPr="006B296A">
        <w:rPr>
          <w:rFonts w:cs="Calibri"/>
          <w:szCs w:val="22"/>
        </w:rPr>
        <w:t>GBV</w:t>
      </w:r>
      <w:r w:rsidRPr="006B296A">
        <w:rPr>
          <w:rFonts w:cs="Calibri"/>
          <w:szCs w:val="22"/>
        </w:rPr>
        <w:t xml:space="preserve">-related conduct. These activities require time and effort, representing an opportunity cost as staff are diverted from regular duties. Additionally, staff must be consulted during the development and review of the </w:t>
      </w:r>
      <w:r w:rsidR="00B7771B" w:rsidRPr="006B296A">
        <w:rPr>
          <w:rFonts w:cs="Calibri"/>
          <w:szCs w:val="22"/>
        </w:rPr>
        <w:t>GBV</w:t>
      </w:r>
      <w:r w:rsidRPr="006B296A">
        <w:rPr>
          <w:rFonts w:cs="Calibri"/>
          <w:szCs w:val="22"/>
        </w:rPr>
        <w:t xml:space="preserve"> policy, contributing time and expertise. A representative proportion of staff will be involved over time, resulting in cumulative opportunity costs borne by HEPs.</w:t>
      </w:r>
    </w:p>
    <w:p w14:paraId="5838AC90" w14:textId="77777777" w:rsidR="00B213E0" w:rsidRDefault="00B213E0" w:rsidP="00E1048E">
      <w:pPr>
        <w:pStyle w:val="Heading5"/>
        <w:spacing w:before="0" w:after="160"/>
      </w:pPr>
      <w:r>
        <w:t>Cost to students</w:t>
      </w:r>
    </w:p>
    <w:p w14:paraId="2EC4BB95" w14:textId="77777777" w:rsidR="00B90AD7" w:rsidRPr="00986437" w:rsidRDefault="00B90AD7" w:rsidP="00B90AD7">
      <w:pPr>
        <w:rPr>
          <w:szCs w:val="22"/>
        </w:rPr>
      </w:pPr>
      <w:r w:rsidRPr="006B296A">
        <w:rPr>
          <w:rFonts w:cs="Calibri"/>
          <w:szCs w:val="22"/>
        </w:rPr>
        <w:t xml:space="preserve">The total costs to students associated with Standard 2 is approximately </w:t>
      </w:r>
      <w:r w:rsidRPr="006B296A">
        <w:rPr>
          <w:szCs w:val="22"/>
        </w:rPr>
        <w:t xml:space="preserve">$698,000 (present value </w:t>
      </w:r>
      <w:r w:rsidRPr="00986437">
        <w:rPr>
          <w:szCs w:val="22"/>
        </w:rPr>
        <w:t>over ten years), or approximately $102,000 on average per year (undiscounted).</w:t>
      </w:r>
    </w:p>
    <w:p w14:paraId="5B82B5CB" w14:textId="217AA7C7" w:rsidR="00B213E0" w:rsidRPr="00986437" w:rsidRDefault="00866E60" w:rsidP="00986437">
      <w:pPr>
        <w:rPr>
          <w:szCs w:val="22"/>
        </w:rPr>
      </w:pPr>
      <w:r w:rsidRPr="00986437">
        <w:rPr>
          <w:szCs w:val="22"/>
        </w:rPr>
        <w:t xml:space="preserve">Standard 2 requires HEPs to engage students in the development and review of </w:t>
      </w:r>
      <w:r w:rsidR="00B7771B" w:rsidRPr="00986437">
        <w:rPr>
          <w:szCs w:val="22"/>
        </w:rPr>
        <w:t>GBV</w:t>
      </w:r>
      <w:r w:rsidRPr="00986437">
        <w:rPr>
          <w:szCs w:val="22"/>
        </w:rPr>
        <w:t xml:space="preserve"> policies. This involves consultation with a representative group of students, particularly during the initial implementation phase. Students contribute time and insights to ensure the policy reflects their needs and </w:t>
      </w:r>
      <w:r w:rsidR="00EE481B" w:rsidRPr="00986437">
        <w:rPr>
          <w:szCs w:val="22"/>
        </w:rPr>
        <w:t>experiences. Cost</w:t>
      </w:r>
      <w:r w:rsidR="00B213E0" w:rsidRPr="00986437">
        <w:rPr>
          <w:szCs w:val="22"/>
        </w:rPr>
        <w:t xml:space="preserve"> to volunteers </w:t>
      </w:r>
    </w:p>
    <w:p w14:paraId="551A8DF9" w14:textId="2483D69B" w:rsidR="00586C7A" w:rsidRPr="00986437" w:rsidRDefault="00586C7A" w:rsidP="00586C7A">
      <w:pPr>
        <w:rPr>
          <w:szCs w:val="22"/>
        </w:rPr>
      </w:pPr>
      <w:r w:rsidRPr="00986437">
        <w:rPr>
          <w:szCs w:val="22"/>
        </w:rPr>
        <w:t>The total costs to</w:t>
      </w:r>
      <w:r w:rsidRPr="00986437" w:rsidDel="00FA4260">
        <w:rPr>
          <w:szCs w:val="22"/>
        </w:rPr>
        <w:t xml:space="preserve"> </w:t>
      </w:r>
      <w:r w:rsidRPr="00986437">
        <w:rPr>
          <w:szCs w:val="22"/>
        </w:rPr>
        <w:t>student volunteers associated with Standard 2 is $1.5 million (present value over ten years), and the total costs to community volunteer associated with Standard 2 is $3.1 million (present value over ten years).</w:t>
      </w:r>
      <w:r w:rsidR="00243000" w:rsidRPr="00986437">
        <w:rPr>
          <w:szCs w:val="22"/>
        </w:rPr>
        <w:t xml:space="preserve"> Staff volunteers are not included in this costing as they have been included under the general staff costings above. </w:t>
      </w:r>
    </w:p>
    <w:p w14:paraId="1DD161C7" w14:textId="2564AC47" w:rsidR="00E1048E" w:rsidRPr="00986437" w:rsidRDefault="00E1048E" w:rsidP="00E1048E">
      <w:pPr>
        <w:rPr>
          <w:szCs w:val="22"/>
        </w:rPr>
      </w:pPr>
      <w:r w:rsidRPr="00986437">
        <w:rPr>
          <w:szCs w:val="22"/>
        </w:rPr>
        <w:t>Additionally, Standard 2 requires HEPs to consult with stakeholders</w:t>
      </w:r>
      <w:r w:rsidR="009E15DE" w:rsidRPr="00986437">
        <w:rPr>
          <w:szCs w:val="22"/>
        </w:rPr>
        <w:t xml:space="preserve">, </w:t>
      </w:r>
      <w:r w:rsidRPr="00986437">
        <w:rPr>
          <w:szCs w:val="22"/>
        </w:rPr>
        <w:t>including volunteers</w:t>
      </w:r>
      <w:r w:rsidR="009E15DE" w:rsidRPr="00986437">
        <w:rPr>
          <w:szCs w:val="22"/>
        </w:rPr>
        <w:t xml:space="preserve">, </w:t>
      </w:r>
      <w:r w:rsidRPr="00986437">
        <w:rPr>
          <w:szCs w:val="22"/>
        </w:rPr>
        <w:t>during policy development and review. While student volunteer consultation costs are captured under student costs</w:t>
      </w:r>
      <w:r w:rsidR="009E15DE" w:rsidRPr="00986437">
        <w:rPr>
          <w:szCs w:val="22"/>
        </w:rPr>
        <w:t>, c</w:t>
      </w:r>
      <w:r w:rsidRPr="00986437">
        <w:rPr>
          <w:szCs w:val="22"/>
        </w:rPr>
        <w:t>ommunity volunteers are assumed to participate separately. The opportunity cost per community volunteer for consultation is estimated at $37, based on one hour of time at the leisure rate.</w:t>
      </w:r>
    </w:p>
    <w:p w14:paraId="04A0C060" w14:textId="77777777" w:rsidR="00E1048E" w:rsidRPr="00986437" w:rsidRDefault="00E1048E" w:rsidP="00E1048E">
      <w:pPr>
        <w:rPr>
          <w:szCs w:val="22"/>
        </w:rPr>
      </w:pPr>
      <w:r w:rsidRPr="00986437">
        <w:rPr>
          <w:szCs w:val="22"/>
        </w:rPr>
        <w:t>The model accounts for potential overlap in consultation requirements under Standards 1 and 2, assuming HEPs may combine stakeholder engagement activities where appropriate.</w:t>
      </w:r>
    </w:p>
    <w:p w14:paraId="48341866" w14:textId="7D00CA0E" w:rsidR="00E1048E" w:rsidRPr="00586C7A" w:rsidRDefault="00E1048E">
      <w:pPr>
        <w:pStyle w:val="Heading4"/>
        <w:spacing w:before="0" w:after="160"/>
      </w:pPr>
      <w:r>
        <w:t xml:space="preserve">Standard 3 – knowledge and </w:t>
      </w:r>
      <w:r w:rsidR="00BF469E">
        <w:t>capability</w:t>
      </w:r>
      <w:r>
        <w:t xml:space="preserve"> </w:t>
      </w:r>
    </w:p>
    <w:p w14:paraId="6A0A1F34" w14:textId="6D688627" w:rsidR="00D75D1D" w:rsidRPr="006B296A" w:rsidRDefault="00D75D1D" w:rsidP="00D75D1D">
      <w:pPr>
        <w:rPr>
          <w:szCs w:val="22"/>
        </w:rPr>
      </w:pPr>
      <w:r w:rsidRPr="006B296A">
        <w:rPr>
          <w:rFonts w:cs="Calibri"/>
          <w:szCs w:val="22"/>
        </w:rPr>
        <w:t xml:space="preserve">In total it is estimated that Standard 3 will impose costs </w:t>
      </w:r>
      <w:r w:rsidRPr="006B296A">
        <w:rPr>
          <w:szCs w:val="22"/>
        </w:rPr>
        <w:t xml:space="preserve">of </w:t>
      </w:r>
      <w:r w:rsidRPr="006B296A">
        <w:rPr>
          <w:b/>
          <w:szCs w:val="22"/>
        </w:rPr>
        <w:t>$663.4 million (present value over ten years</w:t>
      </w:r>
      <w:r w:rsidRPr="006B296A">
        <w:rPr>
          <w:b/>
          <w:bCs/>
          <w:szCs w:val="22"/>
        </w:rPr>
        <w:t>)</w:t>
      </w:r>
      <w:r w:rsidR="002A01D2" w:rsidRPr="006B296A">
        <w:rPr>
          <w:b/>
          <w:bCs/>
          <w:szCs w:val="22"/>
        </w:rPr>
        <w:t xml:space="preserve"> </w:t>
      </w:r>
      <w:r w:rsidR="002A01D2" w:rsidRPr="006B296A">
        <w:rPr>
          <w:szCs w:val="22"/>
        </w:rPr>
        <w:t>or</w:t>
      </w:r>
      <w:r w:rsidRPr="006B296A">
        <w:rPr>
          <w:szCs w:val="22"/>
        </w:rPr>
        <w:t xml:space="preserve"> an </w:t>
      </w:r>
      <w:r w:rsidRPr="006B296A">
        <w:rPr>
          <w:b/>
          <w:szCs w:val="22"/>
        </w:rPr>
        <w:t>average annual cost of $97.5 million (undiscounted).</w:t>
      </w:r>
    </w:p>
    <w:p w14:paraId="2DB73F74" w14:textId="2B7C82E2" w:rsidR="00D75D1D" w:rsidRDefault="00FF0B31" w:rsidP="008846DB">
      <w:pPr>
        <w:pStyle w:val="Heading5"/>
        <w:spacing w:before="0" w:after="160"/>
      </w:pPr>
      <w:r>
        <w:t>Cost to HEPs</w:t>
      </w:r>
    </w:p>
    <w:p w14:paraId="29C4F0B9" w14:textId="397D4C2C" w:rsidR="00836070" w:rsidRPr="00731031" w:rsidRDefault="002A01D2" w:rsidP="00836070">
      <w:r>
        <w:t>It</w:t>
      </w:r>
      <w:r w:rsidR="00836070" w:rsidRPr="00731031">
        <w:t xml:space="preserve"> is estimated that Standard 3 will impose </w:t>
      </w:r>
      <w:r>
        <w:t>on HEPs</w:t>
      </w:r>
      <w:r w:rsidR="00836070" w:rsidRPr="00595D68">
        <w:t xml:space="preserve"> </w:t>
      </w:r>
      <w:r w:rsidR="00836070" w:rsidRPr="00731031">
        <w:t>costs of $375.6 million (present value over the ten-year analysis period) or $54.6 million on average per year (undiscounted).</w:t>
      </w:r>
    </w:p>
    <w:p w14:paraId="67285C0C" w14:textId="058254F0" w:rsidR="001D20E4" w:rsidRPr="006B296A" w:rsidRDefault="001D20E4" w:rsidP="00836070">
      <w:pPr>
        <w:rPr>
          <w:szCs w:val="22"/>
        </w:rPr>
      </w:pPr>
      <w:r w:rsidRPr="006B296A">
        <w:rPr>
          <w:szCs w:val="22"/>
        </w:rPr>
        <w:t xml:space="preserve">Standard 3 introduces significant transition and ongoing costs for HEPs as they build the knowledge and capability to effectively prevent and respond to </w:t>
      </w:r>
      <w:r w:rsidR="00B7771B" w:rsidRPr="006B296A">
        <w:rPr>
          <w:szCs w:val="22"/>
        </w:rPr>
        <w:t>GBV</w:t>
      </w:r>
      <w:r w:rsidRPr="006B296A">
        <w:rPr>
          <w:szCs w:val="22"/>
        </w:rPr>
        <w:t>. These costs are associated with the development, delivery, and evaluation of mandatory education and training programs.</w:t>
      </w:r>
    </w:p>
    <w:p w14:paraId="071AF805" w14:textId="77777777" w:rsidR="00DE113D" w:rsidRPr="006B296A" w:rsidRDefault="00DE113D" w:rsidP="00DE113D">
      <w:pPr>
        <w:rPr>
          <w:szCs w:val="22"/>
        </w:rPr>
      </w:pPr>
      <w:r w:rsidRPr="006B296A">
        <w:rPr>
          <w:szCs w:val="22"/>
        </w:rPr>
        <w:t>Initial implementation will require HEPs to:</w:t>
      </w:r>
    </w:p>
    <w:p w14:paraId="30A98659" w14:textId="79A83216" w:rsidR="00DE113D" w:rsidRPr="006B296A" w:rsidRDefault="00457525" w:rsidP="000937AE">
      <w:pPr>
        <w:numPr>
          <w:ilvl w:val="0"/>
          <w:numId w:val="162"/>
        </w:numPr>
        <w:spacing w:after="0"/>
        <w:rPr>
          <w:szCs w:val="22"/>
        </w:rPr>
      </w:pPr>
      <w:r w:rsidRPr="006B296A">
        <w:rPr>
          <w:szCs w:val="22"/>
        </w:rPr>
        <w:t>d</w:t>
      </w:r>
      <w:r w:rsidR="00DE113D" w:rsidRPr="006B296A">
        <w:rPr>
          <w:szCs w:val="22"/>
        </w:rPr>
        <w:t xml:space="preserve">evelop </w:t>
      </w:r>
      <w:r w:rsidR="008223FC" w:rsidRPr="006B296A">
        <w:rPr>
          <w:szCs w:val="22"/>
        </w:rPr>
        <w:t>GBV</w:t>
      </w:r>
      <w:r w:rsidR="00DE113D" w:rsidRPr="006B296A">
        <w:rPr>
          <w:szCs w:val="22"/>
        </w:rPr>
        <w:t xml:space="preserve"> prevention messaging and training content</w:t>
      </w:r>
    </w:p>
    <w:p w14:paraId="7293D673" w14:textId="591946BD" w:rsidR="00DE113D" w:rsidRPr="006B296A" w:rsidRDefault="00457525" w:rsidP="000937AE">
      <w:pPr>
        <w:numPr>
          <w:ilvl w:val="0"/>
          <w:numId w:val="162"/>
        </w:numPr>
        <w:spacing w:after="0"/>
        <w:rPr>
          <w:szCs w:val="22"/>
        </w:rPr>
      </w:pPr>
      <w:r w:rsidRPr="006B296A">
        <w:rPr>
          <w:szCs w:val="22"/>
        </w:rPr>
        <w:t>e</w:t>
      </w:r>
      <w:r w:rsidR="00DE113D" w:rsidRPr="006B296A">
        <w:rPr>
          <w:szCs w:val="22"/>
        </w:rPr>
        <w:t xml:space="preserve">stablish a dedicated team with specialist expertise in </w:t>
      </w:r>
      <w:r w:rsidR="008223FC" w:rsidRPr="006B296A">
        <w:rPr>
          <w:szCs w:val="22"/>
        </w:rPr>
        <w:t>GBV</w:t>
      </w:r>
      <w:r w:rsidR="00DE113D" w:rsidRPr="006B296A">
        <w:rPr>
          <w:szCs w:val="22"/>
        </w:rPr>
        <w:t>, education, and trauma-informed practice</w:t>
      </w:r>
    </w:p>
    <w:p w14:paraId="2C96FCFA" w14:textId="6E13E55E" w:rsidR="00DE113D" w:rsidRPr="006B296A" w:rsidRDefault="00457525" w:rsidP="000937AE">
      <w:pPr>
        <w:numPr>
          <w:ilvl w:val="0"/>
          <w:numId w:val="162"/>
        </w:numPr>
        <w:spacing w:after="0"/>
        <w:rPr>
          <w:szCs w:val="22"/>
        </w:rPr>
      </w:pPr>
      <w:r w:rsidRPr="006B296A">
        <w:rPr>
          <w:szCs w:val="22"/>
        </w:rPr>
        <w:t>h</w:t>
      </w:r>
      <w:r w:rsidR="00DE113D" w:rsidRPr="006B296A">
        <w:rPr>
          <w:szCs w:val="22"/>
        </w:rPr>
        <w:t>ire new staff, train existing personnel, or engage third-party experts</w:t>
      </w:r>
    </w:p>
    <w:p w14:paraId="3773DEC2" w14:textId="6D0E311B" w:rsidR="00DE113D" w:rsidRPr="006B296A" w:rsidRDefault="00457525" w:rsidP="000937AE">
      <w:pPr>
        <w:numPr>
          <w:ilvl w:val="0"/>
          <w:numId w:val="162"/>
        </w:numPr>
        <w:rPr>
          <w:szCs w:val="22"/>
        </w:rPr>
      </w:pPr>
      <w:r w:rsidRPr="006B296A">
        <w:rPr>
          <w:szCs w:val="22"/>
        </w:rPr>
        <w:lastRenderedPageBreak/>
        <w:t>c</w:t>
      </w:r>
      <w:r w:rsidR="00DE113D" w:rsidRPr="006B296A">
        <w:rPr>
          <w:szCs w:val="22"/>
        </w:rPr>
        <w:t>onduct stakeholder engagement to inform training design, adding time and coordination costs</w:t>
      </w:r>
    </w:p>
    <w:p w14:paraId="73358D71" w14:textId="77777777" w:rsidR="00DE113D" w:rsidRPr="006B296A" w:rsidRDefault="00DE113D" w:rsidP="00DE113D">
      <w:pPr>
        <w:rPr>
          <w:szCs w:val="22"/>
        </w:rPr>
      </w:pPr>
      <w:r w:rsidRPr="006B296A">
        <w:rPr>
          <w:szCs w:val="22"/>
        </w:rPr>
        <w:t>These activities represent substantial upfront investment in capability-building across the institution.</w:t>
      </w:r>
    </w:p>
    <w:p w14:paraId="6D913BAA" w14:textId="77777777" w:rsidR="00DE113D" w:rsidRPr="006B296A" w:rsidRDefault="00DE113D" w:rsidP="00DE113D">
      <w:pPr>
        <w:rPr>
          <w:szCs w:val="22"/>
        </w:rPr>
      </w:pPr>
      <w:r w:rsidRPr="006B296A">
        <w:rPr>
          <w:szCs w:val="22"/>
        </w:rPr>
        <w:t>Ongoing costs include:</w:t>
      </w:r>
    </w:p>
    <w:p w14:paraId="77AAD374" w14:textId="2BE5A5CE" w:rsidR="00DE113D" w:rsidRPr="006B296A" w:rsidRDefault="00457525" w:rsidP="000937AE">
      <w:pPr>
        <w:numPr>
          <w:ilvl w:val="0"/>
          <w:numId w:val="163"/>
        </w:numPr>
        <w:spacing w:after="0"/>
        <w:rPr>
          <w:szCs w:val="22"/>
        </w:rPr>
      </w:pPr>
      <w:r w:rsidRPr="006B296A">
        <w:rPr>
          <w:szCs w:val="22"/>
        </w:rPr>
        <w:t>d</w:t>
      </w:r>
      <w:r w:rsidR="00DE113D" w:rsidRPr="006B296A">
        <w:rPr>
          <w:szCs w:val="22"/>
        </w:rPr>
        <w:t xml:space="preserve">elivering mandatory training to all staff and students, which incurs opportunity costs as </w:t>
      </w:r>
      <w:r w:rsidR="003F30E2" w:rsidRPr="006B296A">
        <w:rPr>
          <w:szCs w:val="22"/>
        </w:rPr>
        <w:t>work,</w:t>
      </w:r>
      <w:r w:rsidR="00DE113D" w:rsidRPr="006B296A">
        <w:rPr>
          <w:szCs w:val="22"/>
        </w:rPr>
        <w:t xml:space="preserve"> and study time is redirected</w:t>
      </w:r>
    </w:p>
    <w:p w14:paraId="6F7EFC27" w14:textId="40694A6E" w:rsidR="00DE113D" w:rsidRPr="006B296A" w:rsidRDefault="00457525" w:rsidP="000937AE">
      <w:pPr>
        <w:numPr>
          <w:ilvl w:val="0"/>
          <w:numId w:val="163"/>
        </w:numPr>
        <w:spacing w:after="0"/>
        <w:rPr>
          <w:szCs w:val="22"/>
        </w:rPr>
      </w:pPr>
      <w:r w:rsidRPr="006B296A">
        <w:rPr>
          <w:szCs w:val="22"/>
        </w:rPr>
        <w:t>m</w:t>
      </w:r>
      <w:r w:rsidR="00DE113D" w:rsidRPr="006B296A">
        <w:rPr>
          <w:szCs w:val="22"/>
        </w:rPr>
        <w:t xml:space="preserve">aintaining teams to disseminate </w:t>
      </w:r>
      <w:r w:rsidR="00B7771B" w:rsidRPr="006B296A">
        <w:rPr>
          <w:szCs w:val="22"/>
        </w:rPr>
        <w:t>GBV</w:t>
      </w:r>
      <w:r w:rsidR="00DE113D" w:rsidRPr="006B296A">
        <w:rPr>
          <w:szCs w:val="22"/>
        </w:rPr>
        <w:t xml:space="preserve"> prevention messaging and run related initiatives</w:t>
      </w:r>
    </w:p>
    <w:p w14:paraId="759C5D79" w14:textId="54A75AAB" w:rsidR="00DE113D" w:rsidRPr="006B296A" w:rsidRDefault="00457525" w:rsidP="000937AE">
      <w:pPr>
        <w:numPr>
          <w:ilvl w:val="0"/>
          <w:numId w:val="163"/>
        </w:numPr>
        <w:spacing w:after="0"/>
        <w:rPr>
          <w:szCs w:val="22"/>
        </w:rPr>
      </w:pPr>
      <w:r w:rsidRPr="006B296A">
        <w:rPr>
          <w:szCs w:val="22"/>
        </w:rPr>
        <w:t>m</w:t>
      </w:r>
      <w:r w:rsidR="00DE113D" w:rsidRPr="006B296A">
        <w:rPr>
          <w:szCs w:val="22"/>
        </w:rPr>
        <w:t>onitoring and evaluating the effectiveness of training programs</w:t>
      </w:r>
    </w:p>
    <w:p w14:paraId="0ABAEE29" w14:textId="5A9FDB07" w:rsidR="00DE113D" w:rsidRPr="006B296A" w:rsidRDefault="00457525" w:rsidP="000937AE">
      <w:pPr>
        <w:numPr>
          <w:ilvl w:val="0"/>
          <w:numId w:val="163"/>
        </w:numPr>
        <w:rPr>
          <w:szCs w:val="22"/>
        </w:rPr>
      </w:pPr>
      <w:r w:rsidRPr="006B296A">
        <w:rPr>
          <w:szCs w:val="22"/>
        </w:rPr>
        <w:t>p</w:t>
      </w:r>
      <w:r w:rsidR="00DE113D" w:rsidRPr="006B296A">
        <w:rPr>
          <w:szCs w:val="22"/>
        </w:rPr>
        <w:t xml:space="preserve">roviding specialised training for staff involved in risk assessments and formal </w:t>
      </w:r>
      <w:r w:rsidR="008223FC" w:rsidRPr="006B296A">
        <w:rPr>
          <w:szCs w:val="22"/>
        </w:rPr>
        <w:t>GBV</w:t>
      </w:r>
      <w:r w:rsidR="00DE113D" w:rsidRPr="006B296A">
        <w:rPr>
          <w:szCs w:val="22"/>
        </w:rPr>
        <w:t>-related processes, which may require additional hires or external support</w:t>
      </w:r>
    </w:p>
    <w:p w14:paraId="5139998F" w14:textId="19882637" w:rsidR="00836070" w:rsidRPr="006B296A" w:rsidRDefault="00DE113D" w:rsidP="00836070">
      <w:pPr>
        <w:rPr>
          <w:szCs w:val="22"/>
        </w:rPr>
      </w:pPr>
      <w:r w:rsidRPr="006B296A">
        <w:rPr>
          <w:szCs w:val="22"/>
        </w:rPr>
        <w:t xml:space="preserve">These costs reflect the sustained effort required to embed </w:t>
      </w:r>
      <w:r w:rsidR="00B7771B" w:rsidRPr="006B296A">
        <w:rPr>
          <w:szCs w:val="22"/>
        </w:rPr>
        <w:t>GBV</w:t>
      </w:r>
      <w:r w:rsidRPr="006B296A">
        <w:rPr>
          <w:szCs w:val="22"/>
        </w:rPr>
        <w:t xml:space="preserve"> prevention and response capability across the sector.</w:t>
      </w:r>
    </w:p>
    <w:p w14:paraId="7835060C" w14:textId="58F9C764" w:rsidR="00FF0B31" w:rsidRDefault="00FF0B31" w:rsidP="008846DB">
      <w:pPr>
        <w:pStyle w:val="Heading5"/>
        <w:spacing w:before="0" w:after="160"/>
      </w:pPr>
      <w:r>
        <w:t>Cost to staff</w:t>
      </w:r>
    </w:p>
    <w:p w14:paraId="0454E3E9" w14:textId="5585C11F" w:rsidR="00871CC7" w:rsidRPr="006B296A" w:rsidRDefault="00871CC7" w:rsidP="00871CC7">
      <w:pPr>
        <w:rPr>
          <w:szCs w:val="22"/>
        </w:rPr>
      </w:pPr>
      <w:r w:rsidRPr="006B296A">
        <w:rPr>
          <w:szCs w:val="22"/>
        </w:rPr>
        <w:t xml:space="preserve">In total it is estimated that Standard 3 will impose costs </w:t>
      </w:r>
      <w:r w:rsidR="00B32F3A" w:rsidRPr="006B296A">
        <w:rPr>
          <w:szCs w:val="22"/>
        </w:rPr>
        <w:t>on staff</w:t>
      </w:r>
      <w:r w:rsidRPr="006B296A">
        <w:rPr>
          <w:szCs w:val="22"/>
        </w:rPr>
        <w:t xml:space="preserve"> of $205.9</w:t>
      </w:r>
      <w:r w:rsidR="003574F0">
        <w:rPr>
          <w:szCs w:val="22"/>
        </w:rPr>
        <w:t xml:space="preserve"> million</w:t>
      </w:r>
      <w:r w:rsidRPr="006B296A">
        <w:rPr>
          <w:szCs w:val="22"/>
        </w:rPr>
        <w:t xml:space="preserve"> (present value over ten years), or approximately $30.7 million on average per year (undiscounted).</w:t>
      </w:r>
    </w:p>
    <w:p w14:paraId="4AB1DF26" w14:textId="789BCFDA" w:rsidR="00D84BED" w:rsidRPr="006B296A" w:rsidRDefault="00D84BED" w:rsidP="00D84BED">
      <w:pPr>
        <w:rPr>
          <w:szCs w:val="22"/>
        </w:rPr>
      </w:pPr>
      <w:r w:rsidRPr="006B296A">
        <w:rPr>
          <w:szCs w:val="22"/>
        </w:rPr>
        <w:t xml:space="preserve">Standard 3 introduces ongoing opportunity costs for staff due to mandatory participation in two streams of </w:t>
      </w:r>
      <w:r w:rsidR="00B7771B" w:rsidRPr="006B296A">
        <w:rPr>
          <w:szCs w:val="22"/>
        </w:rPr>
        <w:t>GBV</w:t>
      </w:r>
      <w:r w:rsidRPr="006B296A">
        <w:rPr>
          <w:szCs w:val="22"/>
        </w:rPr>
        <w:t xml:space="preserve"> training:</w:t>
      </w:r>
    </w:p>
    <w:p w14:paraId="24CA9863" w14:textId="3D89E229" w:rsidR="00D84BED" w:rsidRPr="006B296A" w:rsidRDefault="00B32F3A" w:rsidP="000937AE">
      <w:pPr>
        <w:numPr>
          <w:ilvl w:val="0"/>
          <w:numId w:val="164"/>
        </w:numPr>
        <w:spacing w:after="0"/>
        <w:rPr>
          <w:szCs w:val="22"/>
        </w:rPr>
      </w:pPr>
      <w:r w:rsidRPr="006B296A">
        <w:rPr>
          <w:szCs w:val="22"/>
        </w:rPr>
        <w:t>g</w:t>
      </w:r>
      <w:r w:rsidR="00D84BED" w:rsidRPr="006B296A">
        <w:rPr>
          <w:szCs w:val="22"/>
        </w:rPr>
        <w:t>eneral prevention education</w:t>
      </w:r>
    </w:p>
    <w:p w14:paraId="0B44D0CE" w14:textId="7EAEACA7" w:rsidR="00D84BED" w:rsidRPr="006B296A" w:rsidRDefault="00B32F3A" w:rsidP="000937AE">
      <w:pPr>
        <w:numPr>
          <w:ilvl w:val="0"/>
          <w:numId w:val="164"/>
        </w:numPr>
        <w:rPr>
          <w:szCs w:val="22"/>
        </w:rPr>
      </w:pPr>
      <w:r w:rsidRPr="006B296A">
        <w:rPr>
          <w:szCs w:val="22"/>
        </w:rPr>
        <w:t>s</w:t>
      </w:r>
      <w:r w:rsidR="00D84BED" w:rsidRPr="006B296A">
        <w:rPr>
          <w:szCs w:val="22"/>
        </w:rPr>
        <w:t>pecialised training on disclosure responses</w:t>
      </w:r>
    </w:p>
    <w:p w14:paraId="6A0B2335" w14:textId="77777777" w:rsidR="00D84BED" w:rsidRPr="006B296A" w:rsidRDefault="00D84BED" w:rsidP="00D84BED">
      <w:pPr>
        <w:rPr>
          <w:szCs w:val="22"/>
        </w:rPr>
      </w:pPr>
      <w:r w:rsidRPr="006B296A">
        <w:rPr>
          <w:szCs w:val="22"/>
        </w:rPr>
        <w:t>Unlike students, all staff are required to complete both training streams. In addition, a representative portion of staff will contribute to the development and refinement of training programs. This involvement further increases opportunity costs, as time is redirected from core responsibilities to support training design and continuous improvement.</w:t>
      </w:r>
    </w:p>
    <w:p w14:paraId="204B5051" w14:textId="33BEFFC1" w:rsidR="00871CC7" w:rsidRPr="006B296A" w:rsidRDefault="00D84BED" w:rsidP="00871CC7">
      <w:pPr>
        <w:rPr>
          <w:szCs w:val="22"/>
        </w:rPr>
      </w:pPr>
      <w:r w:rsidRPr="006B296A">
        <w:rPr>
          <w:szCs w:val="22"/>
        </w:rPr>
        <w:t xml:space="preserve">These costs are borne by </w:t>
      </w:r>
      <w:r w:rsidR="00A53089" w:rsidRPr="006B296A">
        <w:rPr>
          <w:szCs w:val="22"/>
        </w:rPr>
        <w:t>HEPs</w:t>
      </w:r>
      <w:r w:rsidRPr="006B296A">
        <w:rPr>
          <w:szCs w:val="22"/>
        </w:rPr>
        <w:t xml:space="preserve"> and reflect the sustained investment in building institutional capability to prevent and respond to </w:t>
      </w:r>
      <w:r w:rsidR="00B7771B" w:rsidRPr="006B296A">
        <w:rPr>
          <w:szCs w:val="22"/>
        </w:rPr>
        <w:t>GBV</w:t>
      </w:r>
      <w:r w:rsidRPr="006B296A">
        <w:rPr>
          <w:szCs w:val="22"/>
        </w:rPr>
        <w:t>.</w:t>
      </w:r>
    </w:p>
    <w:p w14:paraId="549A2DAB" w14:textId="426CCC62" w:rsidR="00FF0B31" w:rsidRDefault="00FF0B31" w:rsidP="008846DB">
      <w:pPr>
        <w:pStyle w:val="Heading5"/>
        <w:spacing w:before="0" w:after="160"/>
      </w:pPr>
      <w:r>
        <w:t>Cost to Students</w:t>
      </w:r>
    </w:p>
    <w:p w14:paraId="0EB9982B" w14:textId="1C12FE4C" w:rsidR="00315297" w:rsidRPr="006B296A" w:rsidRDefault="00315297" w:rsidP="00315297">
      <w:pPr>
        <w:rPr>
          <w:szCs w:val="22"/>
        </w:rPr>
      </w:pPr>
      <w:r w:rsidRPr="006B296A">
        <w:rPr>
          <w:szCs w:val="22"/>
        </w:rPr>
        <w:t>The total costs to students associated with Standard 3 is $66.3 million (present value over ten years), or approximately $9.9</w:t>
      </w:r>
      <w:r w:rsidR="008B483D">
        <w:rPr>
          <w:szCs w:val="22"/>
        </w:rPr>
        <w:t xml:space="preserve"> </w:t>
      </w:r>
      <w:r w:rsidRPr="006B296A">
        <w:rPr>
          <w:szCs w:val="22"/>
        </w:rPr>
        <w:t>million on average per year (undiscounted).</w:t>
      </w:r>
    </w:p>
    <w:p w14:paraId="1D82FABC" w14:textId="6C529A3B" w:rsidR="002A307B" w:rsidRPr="006B296A" w:rsidRDefault="002A307B" w:rsidP="002A307B">
      <w:pPr>
        <w:rPr>
          <w:szCs w:val="22"/>
        </w:rPr>
      </w:pPr>
      <w:r w:rsidRPr="006B296A">
        <w:rPr>
          <w:szCs w:val="22"/>
        </w:rPr>
        <w:t xml:space="preserve">Standard 3 imposes ongoing opportunity costs on students due to mandatory participation in </w:t>
      </w:r>
      <w:r w:rsidR="00B7771B" w:rsidRPr="006B296A">
        <w:rPr>
          <w:szCs w:val="22"/>
        </w:rPr>
        <w:t>GBV</w:t>
      </w:r>
      <w:r w:rsidR="00867E81" w:rsidRPr="006B296A">
        <w:rPr>
          <w:szCs w:val="22"/>
        </w:rPr>
        <w:t xml:space="preserve"> prevention</w:t>
      </w:r>
      <w:r w:rsidRPr="006B296A">
        <w:rPr>
          <w:szCs w:val="22"/>
        </w:rPr>
        <w:t xml:space="preserve"> education</w:t>
      </w:r>
      <w:r w:rsidR="0062711A" w:rsidRPr="006B296A">
        <w:rPr>
          <w:szCs w:val="22"/>
        </w:rPr>
        <w:t xml:space="preserve"> and</w:t>
      </w:r>
      <w:r w:rsidRPr="006B296A">
        <w:rPr>
          <w:szCs w:val="22"/>
        </w:rPr>
        <w:t xml:space="preserve"> </w:t>
      </w:r>
      <w:r w:rsidR="0062711A" w:rsidRPr="006B296A">
        <w:rPr>
          <w:szCs w:val="22"/>
        </w:rPr>
        <w:t>i</w:t>
      </w:r>
      <w:r w:rsidRPr="006B296A">
        <w:rPr>
          <w:szCs w:val="22"/>
        </w:rPr>
        <w:t>n addition:</w:t>
      </w:r>
    </w:p>
    <w:p w14:paraId="44D9B0CC" w14:textId="1B77A766" w:rsidR="002A307B" w:rsidRPr="006B296A" w:rsidRDefault="0062711A" w:rsidP="006B296A">
      <w:pPr>
        <w:numPr>
          <w:ilvl w:val="0"/>
          <w:numId w:val="165"/>
        </w:numPr>
        <w:spacing w:after="0"/>
        <w:rPr>
          <w:szCs w:val="22"/>
        </w:rPr>
      </w:pPr>
      <w:r w:rsidRPr="006B296A">
        <w:rPr>
          <w:szCs w:val="22"/>
        </w:rPr>
        <w:t>s</w:t>
      </w:r>
      <w:r w:rsidR="002A307B" w:rsidRPr="006B296A">
        <w:rPr>
          <w:szCs w:val="22"/>
        </w:rPr>
        <w:t>tudent leaders are required to complete specialised training on responding to disclosures and reports</w:t>
      </w:r>
    </w:p>
    <w:p w14:paraId="6E606C48" w14:textId="1D824EDF" w:rsidR="002A307B" w:rsidRPr="006B296A" w:rsidRDefault="0062711A" w:rsidP="00D74105">
      <w:pPr>
        <w:numPr>
          <w:ilvl w:val="0"/>
          <w:numId w:val="165"/>
        </w:numPr>
        <w:rPr>
          <w:szCs w:val="22"/>
        </w:rPr>
      </w:pPr>
      <w:r w:rsidRPr="006B296A">
        <w:rPr>
          <w:szCs w:val="22"/>
        </w:rPr>
        <w:t>a</w:t>
      </w:r>
      <w:r w:rsidR="002A307B" w:rsidRPr="006B296A">
        <w:rPr>
          <w:szCs w:val="22"/>
        </w:rPr>
        <w:t> representative group of students is expected to contribute to the development and review of training programs</w:t>
      </w:r>
      <w:r w:rsidRPr="006B296A">
        <w:rPr>
          <w:szCs w:val="22"/>
        </w:rPr>
        <w:t>.</w:t>
      </w:r>
    </w:p>
    <w:p w14:paraId="6579DA53" w14:textId="353663DE" w:rsidR="00315297" w:rsidRPr="006B296A" w:rsidRDefault="002A307B" w:rsidP="00315297">
      <w:pPr>
        <w:rPr>
          <w:szCs w:val="22"/>
        </w:rPr>
      </w:pPr>
      <w:r w:rsidRPr="006B296A">
        <w:rPr>
          <w:szCs w:val="22"/>
        </w:rPr>
        <w:t xml:space="preserve">These activities require students to dedicate personal time, diverting attention from study and other responsibilities. The resulting opportunity costs are borne by students and reflect </w:t>
      </w:r>
      <w:r w:rsidRPr="006B296A">
        <w:rPr>
          <w:szCs w:val="22"/>
        </w:rPr>
        <w:lastRenderedPageBreak/>
        <w:t xml:space="preserve">their role in supporting the implementation and continuous improvement of </w:t>
      </w:r>
      <w:r w:rsidR="00B7771B" w:rsidRPr="006B296A">
        <w:rPr>
          <w:szCs w:val="22"/>
        </w:rPr>
        <w:t>GBV</w:t>
      </w:r>
      <w:r w:rsidRPr="006B296A">
        <w:rPr>
          <w:szCs w:val="22"/>
        </w:rPr>
        <w:t xml:space="preserve"> education across the sector.</w:t>
      </w:r>
    </w:p>
    <w:p w14:paraId="3A0C3FBF" w14:textId="78C91184" w:rsidR="00FF0B31" w:rsidRPr="00D75D1D" w:rsidRDefault="00FF0B31" w:rsidP="008846DB">
      <w:pPr>
        <w:pStyle w:val="Heading5"/>
        <w:spacing w:before="0" w:after="160"/>
      </w:pPr>
      <w:r>
        <w:t>Cost to Volunteers</w:t>
      </w:r>
    </w:p>
    <w:p w14:paraId="155C1F38" w14:textId="76C71C65" w:rsidR="003A0758" w:rsidRPr="006B296A" w:rsidRDefault="00A75604" w:rsidP="003A0758">
      <w:pPr>
        <w:rPr>
          <w:szCs w:val="22"/>
        </w:rPr>
      </w:pPr>
      <w:r w:rsidRPr="006B296A">
        <w:rPr>
          <w:szCs w:val="22"/>
        </w:rPr>
        <w:t>T</w:t>
      </w:r>
      <w:r w:rsidR="003A0758" w:rsidRPr="006B296A">
        <w:rPr>
          <w:szCs w:val="22"/>
        </w:rPr>
        <w:t xml:space="preserve">he total costs to </w:t>
      </w:r>
      <w:r w:rsidR="00803566" w:rsidRPr="006B296A">
        <w:rPr>
          <w:szCs w:val="22"/>
        </w:rPr>
        <w:t xml:space="preserve">student </w:t>
      </w:r>
      <w:r w:rsidR="003A0758" w:rsidRPr="006B296A">
        <w:rPr>
          <w:szCs w:val="22"/>
        </w:rPr>
        <w:t xml:space="preserve">volunteers associated with Standard 3 is $3.5 million (present value over </w:t>
      </w:r>
      <w:r w:rsidR="003A0758" w:rsidRPr="006B296A" w:rsidDel="00B10674">
        <w:rPr>
          <w:szCs w:val="22"/>
        </w:rPr>
        <w:t xml:space="preserve">ten </w:t>
      </w:r>
      <w:r w:rsidR="003A0758" w:rsidRPr="006B296A">
        <w:rPr>
          <w:szCs w:val="22"/>
        </w:rPr>
        <w:t>years), or approximately $512,000 on average per year (undiscounted).</w:t>
      </w:r>
    </w:p>
    <w:p w14:paraId="4D57F4B4" w14:textId="7718DDC1" w:rsidR="00803566" w:rsidRPr="006B296A" w:rsidRDefault="00803566" w:rsidP="006D7828">
      <w:pPr>
        <w:rPr>
          <w:szCs w:val="22"/>
        </w:rPr>
      </w:pPr>
      <w:r w:rsidRPr="006B296A">
        <w:rPr>
          <w:szCs w:val="22"/>
        </w:rPr>
        <w:t>Staff v</w:t>
      </w:r>
      <w:r w:rsidR="006D7828" w:rsidRPr="006B296A">
        <w:rPr>
          <w:szCs w:val="22"/>
        </w:rPr>
        <w:t xml:space="preserve">olunteers are expected to meet the same obligations as staff members, </w:t>
      </w:r>
      <w:r w:rsidRPr="006B296A">
        <w:rPr>
          <w:szCs w:val="22"/>
        </w:rPr>
        <w:t xml:space="preserve">which has already been costed for above. </w:t>
      </w:r>
    </w:p>
    <w:p w14:paraId="5C4CAD46" w14:textId="640B05A3" w:rsidR="00343980" w:rsidRPr="006B296A" w:rsidRDefault="00343980" w:rsidP="00343980">
      <w:pPr>
        <w:rPr>
          <w:szCs w:val="22"/>
        </w:rPr>
      </w:pPr>
      <w:r w:rsidRPr="006B296A">
        <w:rPr>
          <w:szCs w:val="22"/>
        </w:rPr>
        <w:t xml:space="preserve">Standard 3 imposes ongoing opportunity costs on </w:t>
      </w:r>
      <w:r w:rsidR="00803566" w:rsidRPr="006B296A">
        <w:rPr>
          <w:szCs w:val="22"/>
        </w:rPr>
        <w:t>student</w:t>
      </w:r>
      <w:r w:rsidRPr="006B296A">
        <w:rPr>
          <w:szCs w:val="22"/>
        </w:rPr>
        <w:t xml:space="preserve"> volunteers, who are expected to meet the same obligations as staff. These include:</w:t>
      </w:r>
    </w:p>
    <w:p w14:paraId="04A03046" w14:textId="34948BC6" w:rsidR="00343980" w:rsidRPr="006B296A" w:rsidRDefault="00A75604" w:rsidP="000937AE">
      <w:pPr>
        <w:numPr>
          <w:ilvl w:val="0"/>
          <w:numId w:val="166"/>
        </w:numPr>
        <w:spacing w:after="0"/>
        <w:rPr>
          <w:szCs w:val="22"/>
        </w:rPr>
      </w:pPr>
      <w:r w:rsidRPr="006B296A">
        <w:rPr>
          <w:szCs w:val="22"/>
        </w:rPr>
        <w:t>c</w:t>
      </w:r>
      <w:r w:rsidR="00343980" w:rsidRPr="006B296A">
        <w:rPr>
          <w:szCs w:val="22"/>
        </w:rPr>
        <w:t xml:space="preserve">ompleting mandatory </w:t>
      </w:r>
      <w:r w:rsidR="00B7771B" w:rsidRPr="006B296A">
        <w:rPr>
          <w:szCs w:val="22"/>
        </w:rPr>
        <w:t>GBV</w:t>
      </w:r>
      <w:r w:rsidR="00343980" w:rsidRPr="006B296A">
        <w:rPr>
          <w:szCs w:val="22"/>
        </w:rPr>
        <w:t xml:space="preserve"> prevention education</w:t>
      </w:r>
    </w:p>
    <w:p w14:paraId="106898BE" w14:textId="6E1CD375" w:rsidR="00343980" w:rsidRPr="006B296A" w:rsidRDefault="00A75604" w:rsidP="000937AE">
      <w:pPr>
        <w:numPr>
          <w:ilvl w:val="0"/>
          <w:numId w:val="166"/>
        </w:numPr>
        <w:spacing w:after="0"/>
        <w:rPr>
          <w:szCs w:val="22"/>
        </w:rPr>
      </w:pPr>
      <w:r w:rsidRPr="006B296A">
        <w:rPr>
          <w:szCs w:val="22"/>
        </w:rPr>
        <w:t>u</w:t>
      </w:r>
      <w:r w:rsidR="00343980" w:rsidRPr="006B296A">
        <w:rPr>
          <w:szCs w:val="22"/>
        </w:rPr>
        <w:t>ndertaking specialised training on responding to disclosures</w:t>
      </w:r>
    </w:p>
    <w:p w14:paraId="17B8640D" w14:textId="235FCC8A" w:rsidR="00343980" w:rsidRPr="006B296A" w:rsidRDefault="00A75604" w:rsidP="000937AE">
      <w:pPr>
        <w:numPr>
          <w:ilvl w:val="0"/>
          <w:numId w:val="166"/>
        </w:numPr>
        <w:rPr>
          <w:szCs w:val="22"/>
        </w:rPr>
      </w:pPr>
      <w:r w:rsidRPr="006B296A">
        <w:rPr>
          <w:szCs w:val="22"/>
        </w:rPr>
        <w:t>c</w:t>
      </w:r>
      <w:r w:rsidR="00343980" w:rsidRPr="006B296A">
        <w:rPr>
          <w:szCs w:val="22"/>
        </w:rPr>
        <w:t xml:space="preserve">ontributing insights to inform the development and periodic review of </w:t>
      </w:r>
      <w:r w:rsidR="00B7771B" w:rsidRPr="006B296A">
        <w:rPr>
          <w:szCs w:val="22"/>
        </w:rPr>
        <w:t>GBV</w:t>
      </w:r>
      <w:r w:rsidR="00343980" w:rsidRPr="006B296A">
        <w:rPr>
          <w:szCs w:val="22"/>
        </w:rPr>
        <w:t xml:space="preserve"> education and training programs</w:t>
      </w:r>
    </w:p>
    <w:p w14:paraId="1E71F8A2" w14:textId="4773F1C5" w:rsidR="003A0758" w:rsidRPr="006B296A" w:rsidRDefault="00343980" w:rsidP="003A0758">
      <w:pPr>
        <w:rPr>
          <w:szCs w:val="22"/>
        </w:rPr>
      </w:pPr>
      <w:r w:rsidRPr="006B296A">
        <w:rPr>
          <w:szCs w:val="22"/>
        </w:rPr>
        <w:t xml:space="preserve">These activities require volunteers to dedicate personal time, diverting them from other responsibilities. The resulting opportunity costs are borne by </w:t>
      </w:r>
      <w:r w:rsidR="00415FE3" w:rsidRPr="006B296A">
        <w:rPr>
          <w:szCs w:val="22"/>
        </w:rPr>
        <w:t>HEPs</w:t>
      </w:r>
      <w:r w:rsidRPr="006B296A">
        <w:rPr>
          <w:szCs w:val="22"/>
        </w:rPr>
        <w:t xml:space="preserve"> and reflect the sector’s commitment to ensuring all contributors are equipped to support </w:t>
      </w:r>
      <w:r w:rsidR="008223FC" w:rsidRPr="006B296A">
        <w:rPr>
          <w:szCs w:val="22"/>
        </w:rPr>
        <w:t>GBV</w:t>
      </w:r>
      <w:r w:rsidRPr="006B296A">
        <w:rPr>
          <w:szCs w:val="22"/>
        </w:rPr>
        <w:t xml:space="preserve"> prevention and response efforts.</w:t>
      </w:r>
    </w:p>
    <w:p w14:paraId="6E971040" w14:textId="77777777" w:rsidR="00C050E4" w:rsidRDefault="00E6040F" w:rsidP="00E6040F">
      <w:pPr>
        <w:pStyle w:val="Heading4"/>
        <w:spacing w:before="0" w:after="160"/>
      </w:pPr>
      <w:r w:rsidRPr="00E1048E">
        <w:t>Standard</w:t>
      </w:r>
      <w:r>
        <w:t xml:space="preserve"> 4 – </w:t>
      </w:r>
      <w:r w:rsidR="008846DB">
        <w:t>Safety and support</w:t>
      </w:r>
    </w:p>
    <w:p w14:paraId="34576402" w14:textId="57F7871D" w:rsidR="00C050E4" w:rsidRPr="006B296A" w:rsidRDefault="00C050E4" w:rsidP="00C050E4">
      <w:pPr>
        <w:rPr>
          <w:b/>
          <w:szCs w:val="22"/>
        </w:rPr>
      </w:pPr>
      <w:r w:rsidRPr="006B296A">
        <w:rPr>
          <w:rFonts w:cs="Calibri"/>
          <w:szCs w:val="22"/>
        </w:rPr>
        <w:t xml:space="preserve">In total it is estimated that Standard 4 will impose an average cost of </w:t>
      </w:r>
      <w:r w:rsidRPr="006B296A">
        <w:rPr>
          <w:szCs w:val="22"/>
        </w:rPr>
        <w:t>$</w:t>
      </w:r>
      <w:r w:rsidRPr="006B296A">
        <w:rPr>
          <w:b/>
          <w:szCs w:val="22"/>
        </w:rPr>
        <w:t>134.9 million (present value over ten years</w:t>
      </w:r>
      <w:r w:rsidRPr="006B296A">
        <w:rPr>
          <w:b/>
          <w:bCs/>
          <w:szCs w:val="22"/>
        </w:rPr>
        <w:t>)</w:t>
      </w:r>
      <w:r w:rsidR="003F590A" w:rsidRPr="006B296A">
        <w:rPr>
          <w:b/>
          <w:bCs/>
          <w:szCs w:val="22"/>
        </w:rPr>
        <w:t xml:space="preserve"> </w:t>
      </w:r>
      <w:r w:rsidR="003F590A" w:rsidRPr="006B296A">
        <w:rPr>
          <w:szCs w:val="22"/>
        </w:rPr>
        <w:t>or</w:t>
      </w:r>
      <w:r w:rsidRPr="006B296A">
        <w:rPr>
          <w:szCs w:val="22"/>
        </w:rPr>
        <w:t xml:space="preserve"> an </w:t>
      </w:r>
      <w:r w:rsidRPr="006B296A">
        <w:rPr>
          <w:b/>
          <w:szCs w:val="22"/>
        </w:rPr>
        <w:t>average annual cost of $22.0 million (undiscounted).</w:t>
      </w:r>
    </w:p>
    <w:p w14:paraId="4A6AE0F5" w14:textId="77777777" w:rsidR="00C050E4" w:rsidRDefault="00C050E4" w:rsidP="00595D68">
      <w:pPr>
        <w:pStyle w:val="Heading5"/>
        <w:spacing w:before="0" w:after="160"/>
      </w:pPr>
      <w:r>
        <w:t>Costs to HEPs</w:t>
      </w:r>
    </w:p>
    <w:p w14:paraId="5A7623A7" w14:textId="688FFED3" w:rsidR="000A7702" w:rsidRPr="006B296A" w:rsidRDefault="000A7702" w:rsidP="000A7702">
      <w:pPr>
        <w:rPr>
          <w:szCs w:val="22"/>
        </w:rPr>
      </w:pPr>
      <w:r w:rsidRPr="006B296A">
        <w:rPr>
          <w:rFonts w:cs="Calibri"/>
          <w:szCs w:val="22"/>
        </w:rPr>
        <w:t xml:space="preserve">The total costs to HEPs </w:t>
      </w:r>
      <w:r w:rsidR="003F590A" w:rsidRPr="006B296A">
        <w:rPr>
          <w:rFonts w:cs="Calibri"/>
          <w:szCs w:val="22"/>
        </w:rPr>
        <w:t>from</w:t>
      </w:r>
      <w:r w:rsidRPr="006B296A">
        <w:rPr>
          <w:rFonts w:cs="Calibri"/>
          <w:szCs w:val="22"/>
        </w:rPr>
        <w:t xml:space="preserve"> Standard 4 of the </w:t>
      </w:r>
      <w:r w:rsidR="008743F1" w:rsidRPr="006B296A">
        <w:rPr>
          <w:rFonts w:cs="Calibri"/>
          <w:szCs w:val="22"/>
        </w:rPr>
        <w:t>National Code</w:t>
      </w:r>
      <w:r w:rsidRPr="006B296A">
        <w:rPr>
          <w:rFonts w:cs="Calibri"/>
          <w:szCs w:val="22"/>
        </w:rPr>
        <w:t xml:space="preserve"> </w:t>
      </w:r>
      <w:r w:rsidR="003F30E2" w:rsidRPr="006B296A">
        <w:rPr>
          <w:rFonts w:cs="Calibri"/>
          <w:szCs w:val="22"/>
        </w:rPr>
        <w:t>are</w:t>
      </w:r>
      <w:r w:rsidRPr="006B296A">
        <w:rPr>
          <w:rFonts w:cs="Calibri"/>
          <w:szCs w:val="22"/>
        </w:rPr>
        <w:t xml:space="preserve"> </w:t>
      </w:r>
      <w:r w:rsidRPr="006B296A">
        <w:rPr>
          <w:szCs w:val="22"/>
        </w:rPr>
        <w:t>$134.9 million (present value over the ten-year analysis period) or $22.0 million on average per year (undiscounted).</w:t>
      </w:r>
    </w:p>
    <w:p w14:paraId="4A87E557" w14:textId="6430CED2" w:rsidR="000A7702" w:rsidRPr="006B296A" w:rsidRDefault="006C6BA9" w:rsidP="000A7702">
      <w:pPr>
        <w:rPr>
          <w:szCs w:val="22"/>
        </w:rPr>
      </w:pPr>
      <w:r w:rsidRPr="006B296A">
        <w:rPr>
          <w:szCs w:val="22"/>
        </w:rPr>
        <w:t xml:space="preserve">Standard 4 introduces significant transition and ongoing costs for HEPs as they implement trauma-informed practices, safety measures, and support services for both disclosers and respondents of </w:t>
      </w:r>
      <w:r w:rsidR="00B7771B" w:rsidRPr="006B296A">
        <w:rPr>
          <w:szCs w:val="22"/>
        </w:rPr>
        <w:t>GBV</w:t>
      </w:r>
      <w:r w:rsidRPr="006B296A">
        <w:rPr>
          <w:szCs w:val="22"/>
        </w:rPr>
        <w:t>.</w:t>
      </w:r>
    </w:p>
    <w:p w14:paraId="69377734" w14:textId="77777777" w:rsidR="00C83F12" w:rsidRPr="006B296A" w:rsidRDefault="00C83F12" w:rsidP="00C83F12">
      <w:pPr>
        <w:rPr>
          <w:szCs w:val="22"/>
        </w:rPr>
      </w:pPr>
      <w:r w:rsidRPr="006B296A">
        <w:rPr>
          <w:szCs w:val="22"/>
        </w:rPr>
        <w:t>To comply with this standard, HEPs must:</w:t>
      </w:r>
    </w:p>
    <w:p w14:paraId="0FE4F0AB" w14:textId="4A645946" w:rsidR="00C83F12" w:rsidRPr="006B296A" w:rsidRDefault="003F590A" w:rsidP="000937AE">
      <w:pPr>
        <w:numPr>
          <w:ilvl w:val="0"/>
          <w:numId w:val="167"/>
        </w:numPr>
        <w:spacing w:after="0"/>
        <w:rPr>
          <w:szCs w:val="22"/>
        </w:rPr>
      </w:pPr>
      <w:r w:rsidRPr="006B296A">
        <w:rPr>
          <w:szCs w:val="22"/>
        </w:rPr>
        <w:t>d</w:t>
      </w:r>
      <w:r w:rsidR="00C83F12" w:rsidRPr="006B296A">
        <w:rPr>
          <w:szCs w:val="22"/>
        </w:rPr>
        <w:t>evelop trauma-informed tools and procedures</w:t>
      </w:r>
    </w:p>
    <w:p w14:paraId="5CF17D60" w14:textId="508A32C3" w:rsidR="00C83F12" w:rsidRPr="006B296A" w:rsidRDefault="003F590A" w:rsidP="000937AE">
      <w:pPr>
        <w:numPr>
          <w:ilvl w:val="0"/>
          <w:numId w:val="167"/>
        </w:numPr>
        <w:spacing w:after="0"/>
        <w:rPr>
          <w:szCs w:val="22"/>
        </w:rPr>
      </w:pPr>
      <w:r w:rsidRPr="006B296A">
        <w:rPr>
          <w:szCs w:val="22"/>
        </w:rPr>
        <w:t>e</w:t>
      </w:r>
      <w:r w:rsidR="00C83F12" w:rsidRPr="006B296A">
        <w:rPr>
          <w:szCs w:val="22"/>
        </w:rPr>
        <w:t>stablish internal support services and referral pathways</w:t>
      </w:r>
    </w:p>
    <w:p w14:paraId="3763C0FD" w14:textId="49DA0D22" w:rsidR="00C83F12" w:rsidRPr="006B296A" w:rsidRDefault="003F590A" w:rsidP="000937AE">
      <w:pPr>
        <w:numPr>
          <w:ilvl w:val="0"/>
          <w:numId w:val="167"/>
        </w:numPr>
        <w:spacing w:after="0"/>
        <w:rPr>
          <w:szCs w:val="22"/>
        </w:rPr>
      </w:pPr>
      <w:r w:rsidRPr="006B296A">
        <w:rPr>
          <w:szCs w:val="22"/>
        </w:rPr>
        <w:t>h</w:t>
      </w:r>
      <w:r w:rsidR="00C83F12" w:rsidRPr="006B296A">
        <w:rPr>
          <w:szCs w:val="22"/>
        </w:rPr>
        <w:t xml:space="preserve">ire staff with specialised </w:t>
      </w:r>
      <w:r w:rsidR="008223FC" w:rsidRPr="006B296A">
        <w:rPr>
          <w:szCs w:val="22"/>
        </w:rPr>
        <w:t>GBV</w:t>
      </w:r>
      <w:r w:rsidR="00C83F12" w:rsidRPr="006B296A">
        <w:rPr>
          <w:szCs w:val="22"/>
        </w:rPr>
        <w:t xml:space="preserve"> expertise, train existing personnel, or engage external professionals</w:t>
      </w:r>
    </w:p>
    <w:p w14:paraId="08EF8015" w14:textId="449770E1" w:rsidR="00C83F12" w:rsidRPr="006B296A" w:rsidRDefault="003F590A" w:rsidP="000937AE">
      <w:pPr>
        <w:numPr>
          <w:ilvl w:val="0"/>
          <w:numId w:val="167"/>
        </w:numPr>
        <w:rPr>
          <w:szCs w:val="22"/>
        </w:rPr>
      </w:pPr>
      <w:r w:rsidRPr="006B296A">
        <w:rPr>
          <w:szCs w:val="22"/>
        </w:rPr>
        <w:t>c</w:t>
      </w:r>
      <w:r w:rsidR="00C83F12" w:rsidRPr="006B296A">
        <w:rPr>
          <w:szCs w:val="22"/>
        </w:rPr>
        <w:t>reate and disseminate accessible information on how students and staff can access internal and external support services</w:t>
      </w:r>
    </w:p>
    <w:p w14:paraId="671154C2" w14:textId="77777777" w:rsidR="00C83F12" w:rsidRPr="006B296A" w:rsidRDefault="00C83F12" w:rsidP="00C83F12">
      <w:pPr>
        <w:rPr>
          <w:szCs w:val="22"/>
        </w:rPr>
      </w:pPr>
      <w:r w:rsidRPr="006B296A">
        <w:rPr>
          <w:szCs w:val="22"/>
        </w:rPr>
        <w:t>While the communication component is expected to be less resource-intensive due to existing frameworks, the development of trauma-informed systems will require targeted investment in expertise and coordination.</w:t>
      </w:r>
    </w:p>
    <w:p w14:paraId="156D4C53" w14:textId="77777777" w:rsidR="004466F4" w:rsidRPr="006B296A" w:rsidRDefault="004466F4" w:rsidP="004466F4">
      <w:pPr>
        <w:rPr>
          <w:szCs w:val="22"/>
        </w:rPr>
      </w:pPr>
      <w:r w:rsidRPr="006B296A">
        <w:rPr>
          <w:szCs w:val="22"/>
        </w:rPr>
        <w:t>Ongoing costs under Standard 4 include:</w:t>
      </w:r>
    </w:p>
    <w:p w14:paraId="1D15C699" w14:textId="7252F64A" w:rsidR="004466F4" w:rsidRPr="006B296A" w:rsidRDefault="000A7CFF" w:rsidP="000937AE">
      <w:pPr>
        <w:numPr>
          <w:ilvl w:val="0"/>
          <w:numId w:val="168"/>
        </w:numPr>
        <w:spacing w:after="0"/>
        <w:rPr>
          <w:szCs w:val="22"/>
        </w:rPr>
      </w:pPr>
      <w:r w:rsidRPr="006B296A">
        <w:rPr>
          <w:szCs w:val="22"/>
        </w:rPr>
        <w:t>m</w:t>
      </w:r>
      <w:r w:rsidR="004466F4" w:rsidRPr="006B296A">
        <w:rPr>
          <w:szCs w:val="22"/>
        </w:rPr>
        <w:t>anaging disclosures and formal reports</w:t>
      </w:r>
    </w:p>
    <w:p w14:paraId="6770A921" w14:textId="1046DDFC" w:rsidR="004466F4" w:rsidRPr="006B296A" w:rsidRDefault="000A7CFF" w:rsidP="000937AE">
      <w:pPr>
        <w:numPr>
          <w:ilvl w:val="0"/>
          <w:numId w:val="168"/>
        </w:numPr>
        <w:spacing w:after="0"/>
        <w:rPr>
          <w:szCs w:val="22"/>
        </w:rPr>
      </w:pPr>
      <w:r w:rsidRPr="006B296A">
        <w:rPr>
          <w:szCs w:val="22"/>
        </w:rPr>
        <w:lastRenderedPageBreak/>
        <w:t>c</w:t>
      </w:r>
      <w:r w:rsidR="004466F4" w:rsidRPr="006B296A">
        <w:rPr>
          <w:szCs w:val="22"/>
        </w:rPr>
        <w:t>onducting risk assessments and delivering continuous risk management</w:t>
      </w:r>
    </w:p>
    <w:p w14:paraId="6815571D" w14:textId="773DE7D0" w:rsidR="004466F4" w:rsidRPr="006B296A" w:rsidRDefault="000A7CFF" w:rsidP="000937AE">
      <w:pPr>
        <w:numPr>
          <w:ilvl w:val="0"/>
          <w:numId w:val="168"/>
        </w:numPr>
        <w:spacing w:after="0"/>
        <w:rPr>
          <w:szCs w:val="22"/>
        </w:rPr>
      </w:pPr>
      <w:r w:rsidRPr="006B296A">
        <w:rPr>
          <w:szCs w:val="22"/>
        </w:rPr>
        <w:t>p</w:t>
      </w:r>
      <w:r w:rsidR="004466F4" w:rsidRPr="006B296A">
        <w:rPr>
          <w:szCs w:val="22"/>
        </w:rPr>
        <w:t>roviding trauma-informed support services</w:t>
      </w:r>
    </w:p>
    <w:p w14:paraId="15BBE49B" w14:textId="32D484F0" w:rsidR="004466F4" w:rsidRPr="006B296A" w:rsidRDefault="000A7CFF" w:rsidP="000937AE">
      <w:pPr>
        <w:numPr>
          <w:ilvl w:val="0"/>
          <w:numId w:val="168"/>
        </w:numPr>
        <w:spacing w:after="0"/>
        <w:rPr>
          <w:szCs w:val="22"/>
        </w:rPr>
      </w:pPr>
      <w:r w:rsidRPr="006B296A">
        <w:rPr>
          <w:szCs w:val="22"/>
        </w:rPr>
        <w:t>m</w:t>
      </w:r>
      <w:r w:rsidR="004466F4" w:rsidRPr="006B296A">
        <w:rPr>
          <w:szCs w:val="22"/>
        </w:rPr>
        <w:t xml:space="preserve">aintaining a dedicated, skilled team with expertise in </w:t>
      </w:r>
      <w:r w:rsidR="008223FC" w:rsidRPr="006B296A">
        <w:rPr>
          <w:szCs w:val="22"/>
        </w:rPr>
        <w:t>GBV</w:t>
      </w:r>
      <w:r w:rsidR="004466F4" w:rsidRPr="006B296A">
        <w:rPr>
          <w:szCs w:val="22"/>
        </w:rPr>
        <w:t xml:space="preserve"> policy and best practice</w:t>
      </w:r>
    </w:p>
    <w:p w14:paraId="643DC574" w14:textId="01DAF4DA" w:rsidR="004466F4" w:rsidRPr="006B296A" w:rsidRDefault="000A7CFF" w:rsidP="000937AE">
      <w:pPr>
        <w:numPr>
          <w:ilvl w:val="0"/>
          <w:numId w:val="168"/>
        </w:numPr>
        <w:spacing w:after="0"/>
        <w:rPr>
          <w:szCs w:val="22"/>
        </w:rPr>
      </w:pPr>
      <w:r w:rsidRPr="006B296A">
        <w:rPr>
          <w:szCs w:val="22"/>
        </w:rPr>
        <w:t>m</w:t>
      </w:r>
      <w:r w:rsidR="004466F4" w:rsidRPr="006B296A">
        <w:rPr>
          <w:szCs w:val="22"/>
        </w:rPr>
        <w:t>onitoring and evaluating the effectiveness of support services</w:t>
      </w:r>
    </w:p>
    <w:p w14:paraId="30CCE75B" w14:textId="1B6B63E7" w:rsidR="004466F4" w:rsidRPr="006B296A" w:rsidRDefault="000A7CFF" w:rsidP="008D4824">
      <w:pPr>
        <w:numPr>
          <w:ilvl w:val="0"/>
          <w:numId w:val="168"/>
        </w:numPr>
        <w:rPr>
          <w:szCs w:val="22"/>
        </w:rPr>
      </w:pPr>
      <w:r w:rsidRPr="006B296A">
        <w:rPr>
          <w:szCs w:val="22"/>
        </w:rPr>
        <w:t>r</w:t>
      </w:r>
      <w:r w:rsidR="004466F4" w:rsidRPr="006B296A">
        <w:rPr>
          <w:szCs w:val="22"/>
        </w:rPr>
        <w:t xml:space="preserve">eporting compliance outcomes to the Secretary of the </w:t>
      </w:r>
      <w:r w:rsidR="00AC61AB">
        <w:rPr>
          <w:szCs w:val="22"/>
        </w:rPr>
        <w:t>d</w:t>
      </w:r>
      <w:r w:rsidR="004466F4" w:rsidRPr="006B296A">
        <w:rPr>
          <w:szCs w:val="22"/>
        </w:rPr>
        <w:t>epartment, where required</w:t>
      </w:r>
      <w:r w:rsidRPr="006B296A">
        <w:rPr>
          <w:szCs w:val="22"/>
        </w:rPr>
        <w:t>.</w:t>
      </w:r>
    </w:p>
    <w:p w14:paraId="7008A4BB" w14:textId="3C70646D" w:rsidR="00C83F12" w:rsidRPr="006B296A" w:rsidRDefault="004466F4" w:rsidP="000A7702">
      <w:pPr>
        <w:rPr>
          <w:szCs w:val="22"/>
        </w:rPr>
      </w:pPr>
      <w:r w:rsidRPr="006B296A">
        <w:rPr>
          <w:szCs w:val="22"/>
        </w:rPr>
        <w:t>These functions represent a sustained operational commitment to ensuring safe, responsive, and accountable support systems across the sector.</w:t>
      </w:r>
    </w:p>
    <w:p w14:paraId="749B7683" w14:textId="4C787450" w:rsidR="00E6040F" w:rsidRDefault="00C050E4" w:rsidP="00595D68">
      <w:pPr>
        <w:pStyle w:val="Heading5"/>
        <w:spacing w:before="0" w:after="160"/>
      </w:pPr>
      <w:r>
        <w:t xml:space="preserve">Costs to staff, </w:t>
      </w:r>
      <w:r w:rsidR="00157F0C">
        <w:t>students,</w:t>
      </w:r>
      <w:r>
        <w:t xml:space="preserve"> and volunteers</w:t>
      </w:r>
      <w:r w:rsidR="008846DB">
        <w:t xml:space="preserve"> </w:t>
      </w:r>
    </w:p>
    <w:p w14:paraId="076793BE" w14:textId="7CE7BD94" w:rsidR="00E4316F" w:rsidRPr="006B296A" w:rsidRDefault="00E4316F" w:rsidP="00E4316F">
      <w:pPr>
        <w:rPr>
          <w:szCs w:val="22"/>
        </w:rPr>
      </w:pPr>
      <w:r w:rsidRPr="006B296A">
        <w:rPr>
          <w:rFonts w:cs="Calibri"/>
          <w:szCs w:val="22"/>
        </w:rPr>
        <w:t xml:space="preserve">Staff, </w:t>
      </w:r>
      <w:r w:rsidR="00157F0C" w:rsidRPr="006B296A">
        <w:rPr>
          <w:rFonts w:cs="Calibri"/>
          <w:szCs w:val="22"/>
        </w:rPr>
        <w:t>students,</w:t>
      </w:r>
      <w:r w:rsidRPr="006B296A">
        <w:rPr>
          <w:rFonts w:cs="Calibri"/>
          <w:szCs w:val="22"/>
        </w:rPr>
        <w:t xml:space="preserve"> and volunteers are not expected to incur any direct costs related to Standard 4 because it will not introduce requirements that necessitate their time, resources, or labour over and above the base case.</w:t>
      </w:r>
    </w:p>
    <w:p w14:paraId="2E6149BD" w14:textId="77777777" w:rsidR="00E36120" w:rsidRDefault="00E6040F" w:rsidP="00E6040F">
      <w:pPr>
        <w:pStyle w:val="Heading4"/>
        <w:spacing w:before="0" w:after="160"/>
      </w:pPr>
      <w:r w:rsidRPr="00E1048E">
        <w:t>Standard</w:t>
      </w:r>
      <w:r>
        <w:t xml:space="preserve"> 5 – </w:t>
      </w:r>
      <w:r w:rsidR="00E36120">
        <w:t>Safe processes</w:t>
      </w:r>
    </w:p>
    <w:p w14:paraId="4592F1FA" w14:textId="103101A6" w:rsidR="001C6DB7" w:rsidRPr="006B296A" w:rsidRDefault="001C6DB7" w:rsidP="001C6DB7">
      <w:pPr>
        <w:rPr>
          <w:b/>
          <w:szCs w:val="22"/>
        </w:rPr>
      </w:pPr>
      <w:r w:rsidRPr="006B296A">
        <w:rPr>
          <w:rFonts w:cs="Calibri"/>
          <w:szCs w:val="22"/>
        </w:rPr>
        <w:t xml:space="preserve">In total it is estimated that Standard 5 will impose </w:t>
      </w:r>
      <w:r w:rsidR="003628A9" w:rsidRPr="006B296A">
        <w:rPr>
          <w:rFonts w:cs="Calibri"/>
          <w:szCs w:val="22"/>
        </w:rPr>
        <w:t xml:space="preserve">costs of </w:t>
      </w:r>
      <w:r w:rsidRPr="006B296A">
        <w:rPr>
          <w:b/>
          <w:szCs w:val="22"/>
        </w:rPr>
        <w:t>$40.1 million (present value over ten years</w:t>
      </w:r>
      <w:r w:rsidRPr="006B296A">
        <w:rPr>
          <w:b/>
          <w:bCs/>
          <w:szCs w:val="22"/>
        </w:rPr>
        <w:t>)</w:t>
      </w:r>
      <w:r w:rsidR="003628A9" w:rsidRPr="006B296A">
        <w:rPr>
          <w:b/>
          <w:bCs/>
          <w:szCs w:val="22"/>
        </w:rPr>
        <w:t xml:space="preserve"> </w:t>
      </w:r>
      <w:r w:rsidR="003628A9" w:rsidRPr="006B296A">
        <w:rPr>
          <w:szCs w:val="22"/>
        </w:rPr>
        <w:t>or</w:t>
      </w:r>
      <w:r w:rsidRPr="006B296A">
        <w:rPr>
          <w:szCs w:val="22"/>
        </w:rPr>
        <w:t xml:space="preserve"> an </w:t>
      </w:r>
      <w:r w:rsidRPr="006B296A">
        <w:rPr>
          <w:b/>
          <w:szCs w:val="22"/>
        </w:rPr>
        <w:t>average annual cost of $6.4 million (undiscounted).</w:t>
      </w:r>
    </w:p>
    <w:p w14:paraId="3F291C27" w14:textId="77777777" w:rsidR="00E36120" w:rsidRDefault="00E36120" w:rsidP="00B80451">
      <w:pPr>
        <w:pStyle w:val="Heading5"/>
      </w:pPr>
      <w:r>
        <w:t>Costs to HEPs</w:t>
      </w:r>
    </w:p>
    <w:p w14:paraId="6EE91036" w14:textId="1C068329" w:rsidR="004207CD" w:rsidRPr="006B296A" w:rsidRDefault="004207CD" w:rsidP="004207CD">
      <w:pPr>
        <w:rPr>
          <w:szCs w:val="22"/>
        </w:rPr>
      </w:pPr>
      <w:r w:rsidRPr="006B296A">
        <w:rPr>
          <w:rFonts w:cs="Calibri"/>
          <w:szCs w:val="22"/>
        </w:rPr>
        <w:t xml:space="preserve">The total costs to HEPs </w:t>
      </w:r>
      <w:r w:rsidR="00B80451" w:rsidRPr="006B296A">
        <w:rPr>
          <w:rFonts w:cs="Calibri"/>
          <w:szCs w:val="22"/>
        </w:rPr>
        <w:t>from</w:t>
      </w:r>
      <w:r w:rsidRPr="006B296A">
        <w:rPr>
          <w:rFonts w:cs="Calibri"/>
          <w:szCs w:val="22"/>
        </w:rPr>
        <w:t xml:space="preserve"> Standard 5 of the </w:t>
      </w:r>
      <w:r w:rsidR="008743F1" w:rsidRPr="006B296A">
        <w:rPr>
          <w:rFonts w:cs="Calibri"/>
          <w:szCs w:val="22"/>
        </w:rPr>
        <w:t>National Code</w:t>
      </w:r>
      <w:r w:rsidRPr="006B296A">
        <w:rPr>
          <w:rFonts w:cs="Calibri"/>
          <w:szCs w:val="22"/>
        </w:rPr>
        <w:t xml:space="preserve"> </w:t>
      </w:r>
      <w:r w:rsidR="003F30E2" w:rsidRPr="006B296A">
        <w:rPr>
          <w:rFonts w:cs="Calibri"/>
          <w:szCs w:val="22"/>
        </w:rPr>
        <w:t>are</w:t>
      </w:r>
      <w:r w:rsidRPr="006B296A">
        <w:rPr>
          <w:rFonts w:cs="Calibri"/>
          <w:szCs w:val="22"/>
        </w:rPr>
        <w:t xml:space="preserve"> </w:t>
      </w:r>
      <w:r w:rsidRPr="006B296A">
        <w:rPr>
          <w:szCs w:val="22"/>
        </w:rPr>
        <w:t>$40.1 million (present value over the ten-year analysis period) or $6.4 million on average per year (undiscounted).</w:t>
      </w:r>
    </w:p>
    <w:p w14:paraId="28DC6CBB" w14:textId="778AB46F" w:rsidR="0011187F" w:rsidRPr="006B296A" w:rsidRDefault="0011187F" w:rsidP="004207CD">
      <w:pPr>
        <w:rPr>
          <w:szCs w:val="22"/>
        </w:rPr>
      </w:pPr>
      <w:r w:rsidRPr="006B296A">
        <w:rPr>
          <w:szCs w:val="22"/>
        </w:rPr>
        <w:t xml:space="preserve">Standard 5 introduces significant transition and ongoing costs for HEPs as they establish safe, accessible, and transparent systems for reporting and responding to </w:t>
      </w:r>
      <w:r w:rsidR="00B7771B" w:rsidRPr="006B296A">
        <w:rPr>
          <w:szCs w:val="22"/>
        </w:rPr>
        <w:t>GBV</w:t>
      </w:r>
      <w:r w:rsidRPr="006B296A">
        <w:rPr>
          <w:szCs w:val="22"/>
        </w:rPr>
        <w:t>.</w:t>
      </w:r>
    </w:p>
    <w:p w14:paraId="3BEFE555" w14:textId="7BE7EDC5" w:rsidR="00827A69" w:rsidRPr="006B296A" w:rsidRDefault="00827A69" w:rsidP="00827A69">
      <w:pPr>
        <w:rPr>
          <w:szCs w:val="22"/>
        </w:rPr>
      </w:pPr>
      <w:r w:rsidRPr="006B296A">
        <w:rPr>
          <w:szCs w:val="22"/>
        </w:rPr>
        <w:t>To meet the requirements of Standard 5, HEPs must implement diverse reporting mechanisms</w:t>
      </w:r>
      <w:r w:rsidR="00D51D76" w:rsidRPr="006B296A">
        <w:rPr>
          <w:szCs w:val="22"/>
        </w:rPr>
        <w:t xml:space="preserve"> and transition</w:t>
      </w:r>
      <w:r w:rsidRPr="006B296A">
        <w:rPr>
          <w:szCs w:val="22"/>
        </w:rPr>
        <w:t xml:space="preserve"> costs will include:</w:t>
      </w:r>
    </w:p>
    <w:p w14:paraId="7D3DC099" w14:textId="1C843EBC" w:rsidR="00827A69" w:rsidRPr="006B296A" w:rsidRDefault="00D51D76" w:rsidP="000937AE">
      <w:pPr>
        <w:numPr>
          <w:ilvl w:val="0"/>
          <w:numId w:val="169"/>
        </w:numPr>
        <w:spacing w:after="0"/>
        <w:rPr>
          <w:szCs w:val="22"/>
        </w:rPr>
      </w:pPr>
      <w:r w:rsidRPr="006B296A">
        <w:rPr>
          <w:szCs w:val="22"/>
        </w:rPr>
        <w:t>i</w:t>
      </w:r>
      <w:r w:rsidR="00827A69" w:rsidRPr="006B296A">
        <w:rPr>
          <w:szCs w:val="22"/>
        </w:rPr>
        <w:t>nvestment in IT infrastructure to support multiple reporting options</w:t>
      </w:r>
    </w:p>
    <w:p w14:paraId="45129BCD" w14:textId="566118EE" w:rsidR="00827A69" w:rsidRPr="006B296A" w:rsidRDefault="00D51D76" w:rsidP="008D4824">
      <w:pPr>
        <w:numPr>
          <w:ilvl w:val="0"/>
          <w:numId w:val="169"/>
        </w:numPr>
        <w:rPr>
          <w:szCs w:val="22"/>
        </w:rPr>
      </w:pPr>
      <w:r w:rsidRPr="006B296A">
        <w:rPr>
          <w:szCs w:val="22"/>
        </w:rPr>
        <w:t>p</w:t>
      </w:r>
      <w:r w:rsidR="00827A69" w:rsidRPr="006B296A">
        <w:rPr>
          <w:szCs w:val="22"/>
        </w:rPr>
        <w:t>urchase or upgrade of reporting platforms</w:t>
      </w:r>
    </w:p>
    <w:p w14:paraId="75EFE8CD" w14:textId="1A9CEC9E" w:rsidR="00827A69" w:rsidRPr="006B296A" w:rsidRDefault="00D51D76" w:rsidP="000937AE">
      <w:pPr>
        <w:numPr>
          <w:ilvl w:val="0"/>
          <w:numId w:val="169"/>
        </w:numPr>
        <w:spacing w:after="0"/>
        <w:rPr>
          <w:szCs w:val="22"/>
        </w:rPr>
      </w:pPr>
      <w:r w:rsidRPr="006B296A">
        <w:rPr>
          <w:szCs w:val="22"/>
        </w:rPr>
        <w:t>a</w:t>
      </w:r>
      <w:r w:rsidR="00827A69" w:rsidRPr="006B296A">
        <w:rPr>
          <w:szCs w:val="22"/>
        </w:rPr>
        <w:t>llocation of skilled staff to manage and monitor reporting systems</w:t>
      </w:r>
    </w:p>
    <w:p w14:paraId="0FC2FECE" w14:textId="342D0B7C" w:rsidR="00827A69" w:rsidRPr="006B296A" w:rsidRDefault="00D51D76" w:rsidP="008D4824">
      <w:pPr>
        <w:numPr>
          <w:ilvl w:val="0"/>
          <w:numId w:val="169"/>
        </w:numPr>
        <w:rPr>
          <w:szCs w:val="22"/>
        </w:rPr>
      </w:pPr>
      <w:r w:rsidRPr="006B296A">
        <w:rPr>
          <w:szCs w:val="22"/>
        </w:rPr>
        <w:t>p</w:t>
      </w:r>
      <w:r w:rsidR="00827A69" w:rsidRPr="006B296A">
        <w:rPr>
          <w:szCs w:val="22"/>
        </w:rPr>
        <w:t>otential hiring of new personnel, training of existing staff, or engagement of third-party specialists</w:t>
      </w:r>
    </w:p>
    <w:p w14:paraId="46B5E1E7" w14:textId="77777777" w:rsidR="00827A69" w:rsidRPr="006B296A" w:rsidRDefault="00827A69" w:rsidP="00827A69">
      <w:pPr>
        <w:rPr>
          <w:szCs w:val="22"/>
        </w:rPr>
      </w:pPr>
      <w:r w:rsidRPr="006B296A">
        <w:rPr>
          <w:szCs w:val="22"/>
        </w:rPr>
        <w:t>These activities represent a substantial upfront investment in building robust and responsive reporting systems.</w:t>
      </w:r>
    </w:p>
    <w:p w14:paraId="2BD468C8" w14:textId="77777777" w:rsidR="00827A69" w:rsidRPr="006B296A" w:rsidRDefault="00827A69" w:rsidP="00827A69">
      <w:pPr>
        <w:rPr>
          <w:szCs w:val="22"/>
        </w:rPr>
      </w:pPr>
      <w:r w:rsidRPr="006B296A">
        <w:rPr>
          <w:szCs w:val="22"/>
        </w:rPr>
        <w:t>Ongoing costs will be incurred through:</w:t>
      </w:r>
    </w:p>
    <w:p w14:paraId="0EC4842C" w14:textId="0A3CF3BD" w:rsidR="00827A69" w:rsidRPr="006B296A" w:rsidRDefault="00D51D76" w:rsidP="000937AE">
      <w:pPr>
        <w:numPr>
          <w:ilvl w:val="0"/>
          <w:numId w:val="170"/>
        </w:numPr>
        <w:spacing w:after="0"/>
        <w:rPr>
          <w:szCs w:val="22"/>
        </w:rPr>
      </w:pPr>
      <w:r w:rsidRPr="006B296A">
        <w:rPr>
          <w:szCs w:val="22"/>
        </w:rPr>
        <w:t>i</w:t>
      </w:r>
      <w:r w:rsidR="00827A69" w:rsidRPr="006B296A">
        <w:rPr>
          <w:szCs w:val="22"/>
        </w:rPr>
        <w:t>nvestigating reports and managing outcomes</w:t>
      </w:r>
    </w:p>
    <w:p w14:paraId="240F325A" w14:textId="685B0FA6" w:rsidR="00827A69" w:rsidRPr="006B296A" w:rsidRDefault="00D51D76" w:rsidP="000937AE">
      <w:pPr>
        <w:numPr>
          <w:ilvl w:val="0"/>
          <w:numId w:val="170"/>
        </w:numPr>
        <w:spacing w:after="0"/>
        <w:rPr>
          <w:szCs w:val="22"/>
        </w:rPr>
      </w:pPr>
      <w:r w:rsidRPr="006B296A">
        <w:rPr>
          <w:szCs w:val="22"/>
        </w:rPr>
        <w:t>a</w:t>
      </w:r>
      <w:r w:rsidR="00827A69" w:rsidRPr="006B296A">
        <w:rPr>
          <w:szCs w:val="22"/>
        </w:rPr>
        <w:t>dministering disciplinary processes and handling appeals</w:t>
      </w:r>
    </w:p>
    <w:p w14:paraId="760B5A2B" w14:textId="6F786DA2" w:rsidR="00827A69" w:rsidRPr="006B296A" w:rsidRDefault="00D51D76" w:rsidP="008D4824">
      <w:pPr>
        <w:numPr>
          <w:ilvl w:val="0"/>
          <w:numId w:val="170"/>
        </w:numPr>
        <w:rPr>
          <w:szCs w:val="22"/>
        </w:rPr>
      </w:pPr>
      <w:r w:rsidRPr="006B296A">
        <w:rPr>
          <w:szCs w:val="22"/>
        </w:rPr>
        <w:t>a</w:t>
      </w:r>
      <w:r w:rsidR="00827A69" w:rsidRPr="006B296A">
        <w:rPr>
          <w:szCs w:val="22"/>
        </w:rPr>
        <w:t>cting on anonymous reports by identifying patterns and risks to prevent future incidents</w:t>
      </w:r>
    </w:p>
    <w:p w14:paraId="04E561E4" w14:textId="23367F54" w:rsidR="004207CD" w:rsidRPr="006B296A" w:rsidRDefault="00827A69" w:rsidP="004207CD">
      <w:pPr>
        <w:rPr>
          <w:szCs w:val="22"/>
        </w:rPr>
      </w:pPr>
      <w:r w:rsidRPr="006B296A">
        <w:rPr>
          <w:szCs w:val="22"/>
        </w:rPr>
        <w:t>To meet these obligations, HEPs will require a dedicated, full-time team capable of ensuring timely responses and conducting thorough data analysis. These functions are essential to maintaining trust, accountability, and safety across the institution.</w:t>
      </w:r>
    </w:p>
    <w:p w14:paraId="0B1E6366" w14:textId="1044E010" w:rsidR="00E6040F" w:rsidRDefault="00E36120" w:rsidP="00B80451">
      <w:pPr>
        <w:pStyle w:val="Heading5"/>
      </w:pPr>
      <w:r>
        <w:lastRenderedPageBreak/>
        <w:t xml:space="preserve">Costs to staff, </w:t>
      </w:r>
      <w:r w:rsidR="00157F0C">
        <w:t>students,</w:t>
      </w:r>
      <w:r>
        <w:t xml:space="preserve"> and volunteers </w:t>
      </w:r>
      <w:r w:rsidR="00E6040F">
        <w:t xml:space="preserve"> </w:t>
      </w:r>
    </w:p>
    <w:p w14:paraId="703613C3" w14:textId="4D2856BA" w:rsidR="006D798E" w:rsidRPr="006B296A" w:rsidRDefault="006D798E" w:rsidP="00595D68">
      <w:pPr>
        <w:rPr>
          <w:rFonts w:cs="Calibri"/>
          <w:szCs w:val="22"/>
        </w:rPr>
      </w:pPr>
      <w:r w:rsidRPr="006B296A">
        <w:rPr>
          <w:rFonts w:cs="Calibri"/>
          <w:szCs w:val="22"/>
        </w:rPr>
        <w:t>Staff</w:t>
      </w:r>
      <w:r w:rsidR="003F590A" w:rsidRPr="006B296A">
        <w:rPr>
          <w:rFonts w:cs="Calibri"/>
          <w:szCs w:val="22"/>
        </w:rPr>
        <w:t xml:space="preserve">, </w:t>
      </w:r>
      <w:r w:rsidR="00157F0C" w:rsidRPr="006B296A">
        <w:rPr>
          <w:rFonts w:cs="Calibri"/>
          <w:szCs w:val="22"/>
        </w:rPr>
        <w:t>students,</w:t>
      </w:r>
      <w:r w:rsidRPr="006B296A">
        <w:rPr>
          <w:rFonts w:cs="Calibri"/>
          <w:szCs w:val="22"/>
        </w:rPr>
        <w:t xml:space="preserve"> and volunteers are not expected to incur any direct costs related to Standard 5 because it will not introduce requirements that necessitate their time, resources, or labour over and above the base case.</w:t>
      </w:r>
    </w:p>
    <w:p w14:paraId="4D32F037" w14:textId="103272A9" w:rsidR="006D798E" w:rsidRPr="006D798E" w:rsidRDefault="00E6040F" w:rsidP="006D798E">
      <w:pPr>
        <w:pStyle w:val="Heading4"/>
        <w:spacing w:before="0" w:after="160"/>
      </w:pPr>
      <w:r>
        <w:t xml:space="preserve"> Standard 6 </w:t>
      </w:r>
      <w:r w:rsidR="006D798E">
        <w:t>–</w:t>
      </w:r>
      <w:r>
        <w:t xml:space="preserve"> </w:t>
      </w:r>
      <w:r w:rsidR="006D798E">
        <w:t xml:space="preserve">Data, </w:t>
      </w:r>
      <w:r w:rsidR="00157F0C">
        <w:t>evidence,</w:t>
      </w:r>
      <w:r w:rsidR="006D798E">
        <w:t xml:space="preserve"> and impact </w:t>
      </w:r>
    </w:p>
    <w:p w14:paraId="2F0D6DC1" w14:textId="43277223" w:rsidR="00616813" w:rsidRPr="006B296A" w:rsidRDefault="00616813" w:rsidP="00616813">
      <w:pPr>
        <w:rPr>
          <w:b/>
          <w:szCs w:val="22"/>
        </w:rPr>
      </w:pPr>
      <w:r w:rsidRPr="006B296A">
        <w:rPr>
          <w:rFonts w:cs="Calibri"/>
          <w:szCs w:val="22"/>
        </w:rPr>
        <w:t xml:space="preserve">In total it is estimated that Standard 6 will impose costs of </w:t>
      </w:r>
      <w:r w:rsidRPr="006B296A">
        <w:rPr>
          <w:b/>
          <w:szCs w:val="22"/>
        </w:rPr>
        <w:t>$11.3 million (present value over ten years</w:t>
      </w:r>
      <w:r w:rsidRPr="006B296A">
        <w:rPr>
          <w:b/>
          <w:bCs/>
          <w:szCs w:val="22"/>
        </w:rPr>
        <w:t>)</w:t>
      </w:r>
      <w:r w:rsidR="002B0175" w:rsidRPr="006B296A">
        <w:rPr>
          <w:szCs w:val="22"/>
        </w:rPr>
        <w:t xml:space="preserve"> or</w:t>
      </w:r>
      <w:r w:rsidRPr="006B296A">
        <w:rPr>
          <w:szCs w:val="22"/>
        </w:rPr>
        <w:t xml:space="preserve"> an </w:t>
      </w:r>
      <w:r w:rsidRPr="006B296A">
        <w:rPr>
          <w:b/>
          <w:szCs w:val="22"/>
        </w:rPr>
        <w:t>average annual cost of $1.5 million (undiscounted).</w:t>
      </w:r>
    </w:p>
    <w:p w14:paraId="6DB8B1B3" w14:textId="4C7EFCD7" w:rsidR="00E6040F" w:rsidRPr="00E6040F" w:rsidRDefault="00616813" w:rsidP="00595D68">
      <w:pPr>
        <w:pStyle w:val="Heading5"/>
        <w:spacing w:before="0" w:after="160"/>
      </w:pPr>
      <w:r>
        <w:t>Costs to HEPs</w:t>
      </w:r>
    </w:p>
    <w:p w14:paraId="1232CD1A" w14:textId="2E224719" w:rsidR="00093CC3" w:rsidRPr="006B296A" w:rsidRDefault="00093CC3" w:rsidP="00093CC3">
      <w:pPr>
        <w:rPr>
          <w:szCs w:val="22"/>
        </w:rPr>
      </w:pPr>
      <w:r w:rsidRPr="006B296A">
        <w:rPr>
          <w:rFonts w:cs="Calibri"/>
          <w:szCs w:val="22"/>
        </w:rPr>
        <w:t xml:space="preserve">The total costs to HEPs </w:t>
      </w:r>
      <w:r w:rsidR="002B0175" w:rsidRPr="006B296A">
        <w:rPr>
          <w:rFonts w:cs="Calibri"/>
          <w:szCs w:val="22"/>
        </w:rPr>
        <w:t>from</w:t>
      </w:r>
      <w:r w:rsidRPr="006B296A">
        <w:rPr>
          <w:rFonts w:cs="Calibri"/>
          <w:szCs w:val="22"/>
        </w:rPr>
        <w:t xml:space="preserve"> Standard 6 of the </w:t>
      </w:r>
      <w:r w:rsidR="008743F1" w:rsidRPr="006B296A">
        <w:rPr>
          <w:rFonts w:cs="Calibri"/>
          <w:szCs w:val="22"/>
        </w:rPr>
        <w:t>National Code</w:t>
      </w:r>
      <w:r w:rsidRPr="006B296A">
        <w:rPr>
          <w:rFonts w:cs="Calibri"/>
          <w:szCs w:val="22"/>
        </w:rPr>
        <w:t xml:space="preserve"> are </w:t>
      </w:r>
      <w:r w:rsidRPr="006B296A">
        <w:rPr>
          <w:szCs w:val="22"/>
        </w:rPr>
        <w:t>$30.9 million (present value over the ten-year analysis period) or $4.3 million on average per year (undiscounted).</w:t>
      </w:r>
    </w:p>
    <w:p w14:paraId="71C0F2E2" w14:textId="6B1170DE" w:rsidR="00093CC3" w:rsidRPr="006B296A" w:rsidRDefault="00294D63" w:rsidP="00093CC3">
      <w:pPr>
        <w:rPr>
          <w:rFonts w:cs="Calibri"/>
          <w:szCs w:val="22"/>
        </w:rPr>
      </w:pPr>
      <w:r w:rsidRPr="006B296A">
        <w:rPr>
          <w:rFonts w:cs="Calibri"/>
          <w:szCs w:val="22"/>
        </w:rPr>
        <w:t xml:space="preserve">Standard 6 </w:t>
      </w:r>
      <w:r w:rsidR="005C4E23" w:rsidRPr="006B296A">
        <w:rPr>
          <w:rFonts w:cs="Calibri"/>
          <w:szCs w:val="22"/>
        </w:rPr>
        <w:t>introduces high transition and ongoing costs </w:t>
      </w:r>
      <w:r w:rsidR="002B0175" w:rsidRPr="006B296A">
        <w:rPr>
          <w:rFonts w:cs="Calibri"/>
          <w:szCs w:val="22"/>
        </w:rPr>
        <w:t xml:space="preserve">to </w:t>
      </w:r>
      <w:r w:rsidRPr="006B296A">
        <w:rPr>
          <w:rFonts w:cs="Calibri"/>
          <w:szCs w:val="22"/>
        </w:rPr>
        <w:t xml:space="preserve">HEPs </w:t>
      </w:r>
      <w:r w:rsidR="005C4E23" w:rsidRPr="006B296A">
        <w:rPr>
          <w:rFonts w:cs="Calibri"/>
          <w:szCs w:val="22"/>
        </w:rPr>
        <w:t xml:space="preserve">as they </w:t>
      </w:r>
      <w:r w:rsidR="002B0175" w:rsidRPr="006B296A">
        <w:rPr>
          <w:rFonts w:cs="Calibri"/>
          <w:szCs w:val="22"/>
        </w:rPr>
        <w:t>must</w:t>
      </w:r>
      <w:r w:rsidR="005C4E23" w:rsidRPr="006B296A">
        <w:rPr>
          <w:rFonts w:cs="Calibri"/>
          <w:szCs w:val="22"/>
        </w:rPr>
        <w:t xml:space="preserve"> </w:t>
      </w:r>
      <w:r w:rsidRPr="006B296A">
        <w:rPr>
          <w:rFonts w:cs="Calibri"/>
          <w:szCs w:val="22"/>
        </w:rPr>
        <w:t xml:space="preserve">implement </w:t>
      </w:r>
      <w:r w:rsidR="005C4E23" w:rsidRPr="006B296A">
        <w:rPr>
          <w:rFonts w:cs="Calibri"/>
          <w:szCs w:val="22"/>
        </w:rPr>
        <w:t xml:space="preserve">robust </w:t>
      </w:r>
      <w:r w:rsidRPr="006B296A">
        <w:rPr>
          <w:rFonts w:cs="Calibri"/>
          <w:szCs w:val="22"/>
        </w:rPr>
        <w:t xml:space="preserve">data collection systems </w:t>
      </w:r>
      <w:r w:rsidR="005C4E23" w:rsidRPr="006B296A">
        <w:rPr>
          <w:rFonts w:cs="Calibri"/>
          <w:szCs w:val="22"/>
        </w:rPr>
        <w:t xml:space="preserve">to support </w:t>
      </w:r>
      <w:r w:rsidRPr="006B296A">
        <w:rPr>
          <w:rFonts w:cs="Calibri"/>
          <w:szCs w:val="22"/>
        </w:rPr>
        <w:t xml:space="preserve">institutional responses to </w:t>
      </w:r>
      <w:r w:rsidR="00B7771B" w:rsidRPr="006B296A">
        <w:rPr>
          <w:rFonts w:cs="Calibri"/>
          <w:szCs w:val="22"/>
        </w:rPr>
        <w:t>GBV</w:t>
      </w:r>
      <w:r w:rsidRPr="006B296A">
        <w:rPr>
          <w:rFonts w:cs="Calibri"/>
          <w:szCs w:val="22"/>
        </w:rPr>
        <w:t>, measure progress</w:t>
      </w:r>
      <w:r w:rsidR="005C4E23" w:rsidRPr="006B296A">
        <w:rPr>
          <w:rFonts w:cs="Calibri"/>
          <w:szCs w:val="22"/>
        </w:rPr>
        <w:t>,</w:t>
      </w:r>
      <w:r w:rsidRPr="006B296A">
        <w:rPr>
          <w:rFonts w:cs="Calibri"/>
          <w:szCs w:val="22"/>
        </w:rPr>
        <w:t xml:space="preserve"> and contribute to the national evidence base.</w:t>
      </w:r>
    </w:p>
    <w:p w14:paraId="2D22AA84" w14:textId="77777777" w:rsidR="00A52CE1" w:rsidRPr="006B296A" w:rsidRDefault="00A52CE1" w:rsidP="00A52CE1">
      <w:pPr>
        <w:rPr>
          <w:szCs w:val="22"/>
        </w:rPr>
      </w:pPr>
      <w:r w:rsidRPr="006B296A">
        <w:rPr>
          <w:szCs w:val="22"/>
        </w:rPr>
        <w:t>Initial costs are expected to be substantial due to the need for:</w:t>
      </w:r>
    </w:p>
    <w:p w14:paraId="25F460A6" w14:textId="56B200C1" w:rsidR="00A52CE1" w:rsidRPr="006B296A" w:rsidRDefault="002B0175" w:rsidP="000937AE">
      <w:pPr>
        <w:numPr>
          <w:ilvl w:val="0"/>
          <w:numId w:val="171"/>
        </w:numPr>
        <w:spacing w:after="0"/>
        <w:rPr>
          <w:szCs w:val="22"/>
        </w:rPr>
      </w:pPr>
      <w:r w:rsidRPr="006B296A">
        <w:rPr>
          <w:szCs w:val="22"/>
        </w:rPr>
        <w:t>s</w:t>
      </w:r>
      <w:r w:rsidR="00A52CE1" w:rsidRPr="006B296A">
        <w:rPr>
          <w:szCs w:val="22"/>
        </w:rPr>
        <w:t>ophisticated IT infrastructure capable of tracking and storing complex, disaggregated data</w:t>
      </w:r>
    </w:p>
    <w:p w14:paraId="2B2C79DA" w14:textId="2BCAABDF" w:rsidR="00A52CE1" w:rsidRPr="006B296A" w:rsidRDefault="002B0175" w:rsidP="000937AE">
      <w:pPr>
        <w:numPr>
          <w:ilvl w:val="0"/>
          <w:numId w:val="171"/>
        </w:numPr>
        <w:spacing w:after="0"/>
        <w:rPr>
          <w:szCs w:val="22"/>
        </w:rPr>
      </w:pPr>
      <w:r w:rsidRPr="006B296A">
        <w:rPr>
          <w:szCs w:val="22"/>
        </w:rPr>
        <w:t>s</w:t>
      </w:r>
      <w:r w:rsidR="00A52CE1" w:rsidRPr="006B296A">
        <w:rPr>
          <w:szCs w:val="22"/>
        </w:rPr>
        <w:t>ystems that support the scale and specificity of required reporting</w:t>
      </w:r>
    </w:p>
    <w:p w14:paraId="644B66DA" w14:textId="3A4A3E71" w:rsidR="00A52CE1" w:rsidRPr="006B296A" w:rsidRDefault="003E3C18" w:rsidP="008D4824">
      <w:pPr>
        <w:numPr>
          <w:ilvl w:val="0"/>
          <w:numId w:val="171"/>
        </w:numPr>
        <w:rPr>
          <w:szCs w:val="22"/>
        </w:rPr>
      </w:pPr>
      <w:r w:rsidRPr="006B296A">
        <w:rPr>
          <w:szCs w:val="22"/>
        </w:rPr>
        <w:t>e</w:t>
      </w:r>
      <w:r w:rsidR="00A52CE1" w:rsidRPr="006B296A">
        <w:rPr>
          <w:szCs w:val="22"/>
        </w:rPr>
        <w:t>stablishment of a team with strong data analysis and IT expertise to manage, analyse, and report on disclosures, formal reports, responses, and investigation outcomes</w:t>
      </w:r>
    </w:p>
    <w:p w14:paraId="3BB59E0D" w14:textId="77777777" w:rsidR="00A52CE1" w:rsidRPr="006B296A" w:rsidRDefault="00A52CE1" w:rsidP="00A52CE1">
      <w:pPr>
        <w:rPr>
          <w:szCs w:val="22"/>
        </w:rPr>
      </w:pPr>
      <w:r w:rsidRPr="006B296A">
        <w:rPr>
          <w:szCs w:val="22"/>
        </w:rPr>
        <w:t>These investments are critical to ensuring accurate, secure, and actionable data collection across the sector.</w:t>
      </w:r>
    </w:p>
    <w:p w14:paraId="23DA16DE" w14:textId="77777777" w:rsidR="00A52CE1" w:rsidRPr="006B296A" w:rsidRDefault="00A52CE1" w:rsidP="00A52CE1">
      <w:pPr>
        <w:rPr>
          <w:szCs w:val="22"/>
        </w:rPr>
      </w:pPr>
      <w:r w:rsidRPr="006B296A">
        <w:rPr>
          <w:szCs w:val="22"/>
        </w:rPr>
        <w:t>Once systems are operational, ongoing costs will include:</w:t>
      </w:r>
    </w:p>
    <w:p w14:paraId="00AC0CE8" w14:textId="33491A76" w:rsidR="00A52CE1" w:rsidRPr="006B296A" w:rsidRDefault="003E3C18" w:rsidP="007A16D0">
      <w:pPr>
        <w:numPr>
          <w:ilvl w:val="0"/>
          <w:numId w:val="172"/>
        </w:numPr>
        <w:spacing w:after="0"/>
        <w:rPr>
          <w:szCs w:val="22"/>
        </w:rPr>
      </w:pPr>
      <w:r w:rsidRPr="006B296A">
        <w:rPr>
          <w:szCs w:val="22"/>
        </w:rPr>
        <w:t>m</w:t>
      </w:r>
      <w:r w:rsidR="00A52CE1" w:rsidRPr="006B296A">
        <w:rPr>
          <w:szCs w:val="22"/>
        </w:rPr>
        <w:t>aintaining data collection processes</w:t>
      </w:r>
    </w:p>
    <w:p w14:paraId="6377D3FB" w14:textId="14BC6B41" w:rsidR="00A52CE1" w:rsidRPr="006B296A" w:rsidRDefault="003E3C18" w:rsidP="007A16D0">
      <w:pPr>
        <w:numPr>
          <w:ilvl w:val="0"/>
          <w:numId w:val="172"/>
        </w:numPr>
        <w:spacing w:after="0"/>
        <w:rPr>
          <w:szCs w:val="22"/>
        </w:rPr>
      </w:pPr>
      <w:r w:rsidRPr="006B296A">
        <w:rPr>
          <w:szCs w:val="22"/>
        </w:rPr>
        <w:t>p</w:t>
      </w:r>
      <w:r w:rsidR="00A52CE1" w:rsidRPr="006B296A">
        <w:rPr>
          <w:szCs w:val="22"/>
        </w:rPr>
        <w:t>erforming continuous data analysis</w:t>
      </w:r>
    </w:p>
    <w:p w14:paraId="070C2AC4" w14:textId="2E247794" w:rsidR="00A52CE1" w:rsidRPr="006B296A" w:rsidRDefault="003E3C18" w:rsidP="008D4824">
      <w:pPr>
        <w:numPr>
          <w:ilvl w:val="0"/>
          <w:numId w:val="172"/>
        </w:numPr>
        <w:rPr>
          <w:szCs w:val="22"/>
        </w:rPr>
      </w:pPr>
      <w:r w:rsidRPr="006B296A">
        <w:rPr>
          <w:szCs w:val="22"/>
        </w:rPr>
        <w:t>m</w:t>
      </w:r>
      <w:r w:rsidR="00A52CE1" w:rsidRPr="006B296A">
        <w:rPr>
          <w:szCs w:val="22"/>
        </w:rPr>
        <w:t xml:space="preserve">eeting annual reporting obligations to the </w:t>
      </w:r>
      <w:r w:rsidR="00AC61AB">
        <w:rPr>
          <w:szCs w:val="22"/>
        </w:rPr>
        <w:t>d</w:t>
      </w:r>
      <w:r w:rsidR="00A52CE1" w:rsidRPr="006B296A">
        <w:rPr>
          <w:szCs w:val="22"/>
        </w:rPr>
        <w:t>epartment</w:t>
      </w:r>
    </w:p>
    <w:p w14:paraId="03AB297F" w14:textId="52D947AD" w:rsidR="00A52CE1" w:rsidRPr="00093CC3" w:rsidRDefault="00A52CE1" w:rsidP="00093CC3">
      <w:r w:rsidRPr="006B296A">
        <w:rPr>
          <w:szCs w:val="22"/>
        </w:rPr>
        <w:t xml:space="preserve">These responsibilities will likely require a dedicated team, scaled to the size and capacity of each </w:t>
      </w:r>
      <w:r w:rsidR="003E3C18" w:rsidRPr="006B296A">
        <w:rPr>
          <w:szCs w:val="22"/>
        </w:rPr>
        <w:t>HEP</w:t>
      </w:r>
      <w:r w:rsidRPr="006B296A">
        <w:rPr>
          <w:szCs w:val="22"/>
        </w:rPr>
        <w:t>. However, ongoing costs are expected to decline over time as systems are streamlined</w:t>
      </w:r>
      <w:r w:rsidR="003E3C18" w:rsidRPr="006B296A">
        <w:rPr>
          <w:szCs w:val="22"/>
        </w:rPr>
        <w:t>,</w:t>
      </w:r>
      <w:r w:rsidRPr="006B296A">
        <w:rPr>
          <w:szCs w:val="22"/>
        </w:rPr>
        <w:t xml:space="preserve"> and internal expertise becomes embedded.</w:t>
      </w:r>
    </w:p>
    <w:p w14:paraId="7E96E16D" w14:textId="3C07F68E" w:rsidR="00616813" w:rsidRPr="00E6040F" w:rsidRDefault="00616813" w:rsidP="00595D68">
      <w:pPr>
        <w:pStyle w:val="Heading5"/>
        <w:spacing w:before="0" w:after="160"/>
      </w:pPr>
      <w:r>
        <w:t xml:space="preserve">Costs to staff, </w:t>
      </w:r>
      <w:r w:rsidR="00157F0C">
        <w:t>students,</w:t>
      </w:r>
      <w:r>
        <w:t xml:space="preserve"> and volunteers</w:t>
      </w:r>
    </w:p>
    <w:p w14:paraId="490ACE1B" w14:textId="08638360" w:rsidR="00322012" w:rsidRPr="006B296A" w:rsidRDefault="00322012" w:rsidP="00595D68">
      <w:pPr>
        <w:rPr>
          <w:rFonts w:cs="Calibri"/>
          <w:szCs w:val="22"/>
        </w:rPr>
      </w:pPr>
      <w:r w:rsidRPr="006B296A">
        <w:rPr>
          <w:rFonts w:cs="Calibri"/>
          <w:szCs w:val="22"/>
        </w:rPr>
        <w:t xml:space="preserve">Staff, </w:t>
      </w:r>
      <w:r w:rsidR="00157F0C" w:rsidRPr="006B296A">
        <w:rPr>
          <w:rFonts w:cs="Calibri"/>
          <w:szCs w:val="22"/>
        </w:rPr>
        <w:t>students,</w:t>
      </w:r>
      <w:r w:rsidRPr="006B296A">
        <w:rPr>
          <w:rFonts w:cs="Calibri"/>
          <w:szCs w:val="22"/>
        </w:rPr>
        <w:t xml:space="preserve"> and volunteers are not expected to incur any direct costs related to Standard 6</w:t>
      </w:r>
      <w:r w:rsidR="003E3C18" w:rsidRPr="006B296A">
        <w:rPr>
          <w:rFonts w:cs="Calibri"/>
          <w:szCs w:val="22"/>
        </w:rPr>
        <w:t>,</w:t>
      </w:r>
      <w:r w:rsidRPr="006B296A">
        <w:rPr>
          <w:rFonts w:cs="Calibri"/>
          <w:szCs w:val="22"/>
        </w:rPr>
        <w:t xml:space="preserve"> </w:t>
      </w:r>
      <w:r w:rsidR="003E3C18" w:rsidRPr="006B296A">
        <w:rPr>
          <w:rFonts w:cs="Calibri"/>
          <w:szCs w:val="22"/>
        </w:rPr>
        <w:t>as</w:t>
      </w:r>
      <w:r w:rsidRPr="006B296A">
        <w:rPr>
          <w:rFonts w:cs="Calibri"/>
          <w:szCs w:val="22"/>
        </w:rPr>
        <w:t xml:space="preserve"> it will not introduce requirements that necessitate their time, resources, or labour over and above the base case.</w:t>
      </w:r>
    </w:p>
    <w:p w14:paraId="7BB6B9BA" w14:textId="57209747" w:rsidR="00322012" w:rsidRDefault="00322012" w:rsidP="00595D68">
      <w:pPr>
        <w:pStyle w:val="Heading4"/>
        <w:spacing w:before="0" w:after="160"/>
      </w:pPr>
      <w:r>
        <w:t>Standard 7 – Student Accommodation</w:t>
      </w:r>
    </w:p>
    <w:p w14:paraId="4A6CC0FA" w14:textId="72455464" w:rsidR="00501442" w:rsidRPr="006B296A" w:rsidRDefault="00501442" w:rsidP="00501442">
      <w:pPr>
        <w:rPr>
          <w:szCs w:val="22"/>
        </w:rPr>
      </w:pPr>
      <w:r w:rsidRPr="006B296A">
        <w:rPr>
          <w:rFonts w:cs="Calibri"/>
          <w:szCs w:val="22"/>
        </w:rPr>
        <w:t xml:space="preserve">In total, it is estimated that Standard 7 will impose </w:t>
      </w:r>
      <w:r w:rsidR="00E54D11" w:rsidRPr="006B296A">
        <w:rPr>
          <w:rFonts w:cs="Calibri"/>
          <w:b/>
          <w:bCs/>
          <w:szCs w:val="22"/>
        </w:rPr>
        <w:t>costs of</w:t>
      </w:r>
      <w:r w:rsidRPr="006B296A">
        <w:rPr>
          <w:rFonts w:cs="Calibri"/>
          <w:b/>
          <w:szCs w:val="22"/>
        </w:rPr>
        <w:t xml:space="preserve"> </w:t>
      </w:r>
      <w:r w:rsidRPr="006B296A">
        <w:rPr>
          <w:b/>
          <w:szCs w:val="22"/>
        </w:rPr>
        <w:t>$31.2 million (present value over ten years</w:t>
      </w:r>
      <w:r w:rsidR="00716AA0" w:rsidRPr="006B296A">
        <w:rPr>
          <w:b/>
          <w:bCs/>
          <w:szCs w:val="22"/>
        </w:rPr>
        <w:t xml:space="preserve">) </w:t>
      </w:r>
      <w:r w:rsidR="00716AA0" w:rsidRPr="006B296A">
        <w:rPr>
          <w:szCs w:val="22"/>
        </w:rPr>
        <w:t>reflecting</w:t>
      </w:r>
      <w:r w:rsidRPr="006B296A">
        <w:rPr>
          <w:szCs w:val="22"/>
        </w:rPr>
        <w:t xml:space="preserve"> an </w:t>
      </w:r>
      <w:r w:rsidRPr="006B296A">
        <w:rPr>
          <w:b/>
          <w:szCs w:val="22"/>
        </w:rPr>
        <w:t>average annual cost of $4.8 million (undiscounted).</w:t>
      </w:r>
    </w:p>
    <w:p w14:paraId="2F61D52A" w14:textId="65152F85" w:rsidR="00E540A7" w:rsidRPr="006B296A" w:rsidRDefault="002F3917" w:rsidP="00595D68">
      <w:pPr>
        <w:rPr>
          <w:color w:val="000000" w:themeColor="text1"/>
          <w:szCs w:val="22"/>
        </w:rPr>
      </w:pPr>
      <w:r w:rsidRPr="006B296A">
        <w:rPr>
          <w:color w:val="000000" w:themeColor="text1"/>
          <w:szCs w:val="22"/>
        </w:rPr>
        <w:t>Standard 7 is unique</w:t>
      </w:r>
      <w:r w:rsidR="00716AA0" w:rsidRPr="006B296A">
        <w:rPr>
          <w:color w:val="000000" w:themeColor="text1"/>
          <w:szCs w:val="22"/>
        </w:rPr>
        <w:t xml:space="preserve"> in the National Code</w:t>
      </w:r>
      <w:r w:rsidRPr="006B296A">
        <w:rPr>
          <w:color w:val="000000" w:themeColor="text1"/>
          <w:szCs w:val="22"/>
        </w:rPr>
        <w:t xml:space="preserve"> as it</w:t>
      </w:r>
      <w:r w:rsidR="006C4BAA" w:rsidRPr="006B296A">
        <w:rPr>
          <w:color w:val="000000" w:themeColor="text1"/>
          <w:szCs w:val="22"/>
        </w:rPr>
        <w:t xml:space="preserve"> </w:t>
      </w:r>
      <w:r w:rsidR="00E540A7" w:rsidRPr="006B296A">
        <w:rPr>
          <w:color w:val="000000" w:themeColor="text1"/>
          <w:szCs w:val="22"/>
        </w:rPr>
        <w:t>seeks</w:t>
      </w:r>
      <w:r w:rsidR="006C4BAA" w:rsidRPr="006B296A">
        <w:rPr>
          <w:color w:val="000000" w:themeColor="text1"/>
          <w:szCs w:val="22"/>
        </w:rPr>
        <w:t xml:space="preserve"> to </w:t>
      </w:r>
      <w:r w:rsidR="00E540A7" w:rsidRPr="006B296A">
        <w:rPr>
          <w:color w:val="000000" w:themeColor="text1"/>
          <w:szCs w:val="22"/>
        </w:rPr>
        <w:t xml:space="preserve">regulate </w:t>
      </w:r>
      <w:r w:rsidR="006C4BAA" w:rsidRPr="006B296A">
        <w:rPr>
          <w:color w:val="000000" w:themeColor="text1"/>
          <w:szCs w:val="22"/>
        </w:rPr>
        <w:t xml:space="preserve">Student Accommodation Providers (SAPs) </w:t>
      </w:r>
      <w:r w:rsidR="00E540A7" w:rsidRPr="006B296A">
        <w:rPr>
          <w:color w:val="000000" w:themeColor="text1"/>
          <w:szCs w:val="22"/>
        </w:rPr>
        <w:t>through their</w:t>
      </w:r>
      <w:r w:rsidR="006C4BAA" w:rsidRPr="006B296A">
        <w:rPr>
          <w:color w:val="000000" w:themeColor="text1"/>
          <w:szCs w:val="22"/>
        </w:rPr>
        <w:t xml:space="preserve"> relationship with HEPs. </w:t>
      </w:r>
    </w:p>
    <w:p w14:paraId="3B62E5E8" w14:textId="13CF4A38" w:rsidR="00F8094D" w:rsidRDefault="002F3917" w:rsidP="002F3917">
      <w:pPr>
        <w:rPr>
          <w:color w:val="000000" w:themeColor="text1"/>
          <w:szCs w:val="22"/>
        </w:rPr>
      </w:pPr>
      <w:r w:rsidRPr="006B296A">
        <w:rPr>
          <w:color w:val="000000" w:themeColor="text1"/>
          <w:szCs w:val="22"/>
        </w:rPr>
        <w:lastRenderedPageBreak/>
        <w:t xml:space="preserve">Standard 7 of the </w:t>
      </w:r>
      <w:r w:rsidR="008743F1" w:rsidRPr="006B296A">
        <w:rPr>
          <w:color w:val="000000" w:themeColor="text1"/>
          <w:szCs w:val="22"/>
        </w:rPr>
        <w:t>National Code</w:t>
      </w:r>
      <w:r w:rsidR="00E50BBE">
        <w:rPr>
          <w:color w:val="000000" w:themeColor="text1"/>
          <w:szCs w:val="22"/>
        </w:rPr>
        <w:t xml:space="preserve"> has three categories of SAPs that have differing obligations based on their relationship with the HEP</w:t>
      </w:r>
      <w:r w:rsidR="0071050E">
        <w:rPr>
          <w:color w:val="000000" w:themeColor="text1"/>
          <w:szCs w:val="22"/>
        </w:rPr>
        <w:t>.</w:t>
      </w:r>
      <w:r w:rsidR="001A433C">
        <w:rPr>
          <w:color w:val="000000" w:themeColor="text1"/>
          <w:szCs w:val="22"/>
        </w:rPr>
        <w:t xml:space="preserve"> The three categories of SAPs are:</w:t>
      </w:r>
    </w:p>
    <w:p w14:paraId="3240BD25" w14:textId="2722C241" w:rsidR="00E50BBE" w:rsidRDefault="00F8094D" w:rsidP="00F8094D">
      <w:pPr>
        <w:pStyle w:val="ListParagraph"/>
        <w:numPr>
          <w:ilvl w:val="0"/>
          <w:numId w:val="208"/>
        </w:numPr>
        <w:rPr>
          <w:color w:val="000000" w:themeColor="text1"/>
          <w:szCs w:val="22"/>
        </w:rPr>
      </w:pPr>
      <w:r>
        <w:rPr>
          <w:b/>
          <w:bCs/>
          <w:color w:val="000000" w:themeColor="text1"/>
          <w:szCs w:val="22"/>
        </w:rPr>
        <w:t xml:space="preserve">Owned, </w:t>
      </w:r>
      <w:r w:rsidR="00157F0C">
        <w:rPr>
          <w:b/>
          <w:bCs/>
          <w:color w:val="000000" w:themeColor="text1"/>
          <w:szCs w:val="22"/>
        </w:rPr>
        <w:t>operated,</w:t>
      </w:r>
      <w:r>
        <w:rPr>
          <w:b/>
          <w:bCs/>
          <w:color w:val="000000" w:themeColor="text1"/>
          <w:szCs w:val="22"/>
        </w:rPr>
        <w:t xml:space="preserve"> or managed </w:t>
      </w:r>
      <w:r w:rsidR="00EB2BDE" w:rsidRPr="00951699">
        <w:rPr>
          <w:color w:val="000000" w:themeColor="text1"/>
          <w:szCs w:val="22"/>
        </w:rPr>
        <w:t>by HEPs must comply with standards 1 to 6 of the National Code</w:t>
      </w:r>
      <w:r w:rsidR="002432FC" w:rsidRPr="00951699">
        <w:rPr>
          <w:color w:val="000000" w:themeColor="text1"/>
          <w:szCs w:val="22"/>
        </w:rPr>
        <w:t xml:space="preserve"> adapted to the residential conte</w:t>
      </w:r>
      <w:r w:rsidR="00762EA4" w:rsidRPr="00951699">
        <w:rPr>
          <w:color w:val="000000" w:themeColor="text1"/>
          <w:szCs w:val="22"/>
        </w:rPr>
        <w:t>xt</w:t>
      </w:r>
      <w:r w:rsidR="00481631">
        <w:rPr>
          <w:color w:val="000000" w:themeColor="text1"/>
          <w:szCs w:val="22"/>
        </w:rPr>
        <w:t xml:space="preserve"> and some additional requirements</w:t>
      </w:r>
    </w:p>
    <w:p w14:paraId="0CFA2247" w14:textId="2CC4F33E" w:rsidR="00EB2BDE" w:rsidRPr="00951699" w:rsidRDefault="000960EE" w:rsidP="00AF4033">
      <w:pPr>
        <w:pStyle w:val="ListParagraph"/>
        <w:numPr>
          <w:ilvl w:val="0"/>
          <w:numId w:val="208"/>
        </w:numPr>
        <w:rPr>
          <w:color w:val="000000" w:themeColor="text1"/>
          <w:szCs w:val="22"/>
        </w:rPr>
      </w:pPr>
      <w:r>
        <w:rPr>
          <w:b/>
          <w:color w:val="000000" w:themeColor="text1"/>
          <w:szCs w:val="22"/>
        </w:rPr>
        <w:t>under the control of</w:t>
      </w:r>
      <w:r>
        <w:rPr>
          <w:color w:val="000000" w:themeColor="text1"/>
          <w:szCs w:val="22"/>
        </w:rPr>
        <w:t xml:space="preserve"> </w:t>
      </w:r>
      <w:r w:rsidRPr="00951699">
        <w:rPr>
          <w:color w:val="000000" w:themeColor="text1"/>
          <w:szCs w:val="22"/>
        </w:rPr>
        <w:t xml:space="preserve">a </w:t>
      </w:r>
      <w:r w:rsidR="00E50BBE">
        <w:rPr>
          <w:color w:val="000000" w:themeColor="text1"/>
          <w:szCs w:val="22"/>
        </w:rPr>
        <w:t>HE</w:t>
      </w:r>
      <w:r w:rsidR="0071050E">
        <w:rPr>
          <w:color w:val="000000" w:themeColor="text1"/>
          <w:szCs w:val="22"/>
        </w:rPr>
        <w:t>P</w:t>
      </w:r>
      <w:r w:rsidR="00762EA4" w:rsidRPr="00951699">
        <w:rPr>
          <w:color w:val="000000" w:themeColor="text1"/>
          <w:szCs w:val="22"/>
        </w:rPr>
        <w:t xml:space="preserve"> have specific requirements that largely mirror standards 1 to 6 of the National Code adapted to a residential context</w:t>
      </w:r>
    </w:p>
    <w:p w14:paraId="6C01482E" w14:textId="2D078CB3" w:rsidR="00C227BB" w:rsidRDefault="00E50BBE" w:rsidP="00F8094D">
      <w:pPr>
        <w:pStyle w:val="ListParagraph"/>
        <w:numPr>
          <w:ilvl w:val="0"/>
          <w:numId w:val="208"/>
        </w:numPr>
        <w:rPr>
          <w:color w:val="000000" w:themeColor="text1"/>
          <w:szCs w:val="22"/>
        </w:rPr>
      </w:pPr>
      <w:r>
        <w:rPr>
          <w:b/>
          <w:bCs/>
          <w:color w:val="000000" w:themeColor="text1"/>
          <w:szCs w:val="22"/>
        </w:rPr>
        <w:t>affiliated</w:t>
      </w:r>
      <w:r>
        <w:rPr>
          <w:color w:val="000000" w:themeColor="text1"/>
          <w:szCs w:val="22"/>
        </w:rPr>
        <w:t xml:space="preserve"> with a HEP must have </w:t>
      </w:r>
      <w:r w:rsidR="00481631">
        <w:rPr>
          <w:color w:val="000000" w:themeColor="text1"/>
          <w:szCs w:val="22"/>
        </w:rPr>
        <w:t>a</w:t>
      </w:r>
      <w:r>
        <w:rPr>
          <w:color w:val="000000" w:themeColor="text1"/>
          <w:szCs w:val="22"/>
        </w:rPr>
        <w:t xml:space="preserve"> legally binding agreement </w:t>
      </w:r>
      <w:r w:rsidR="00A22C0A">
        <w:rPr>
          <w:color w:val="000000" w:themeColor="text1"/>
          <w:szCs w:val="22"/>
        </w:rPr>
        <w:t>that meets the same requirements as</w:t>
      </w:r>
      <w:r w:rsidR="00C227BB">
        <w:rPr>
          <w:color w:val="000000" w:themeColor="text1"/>
          <w:szCs w:val="22"/>
        </w:rPr>
        <w:t xml:space="preserve"> </w:t>
      </w:r>
      <w:r w:rsidR="00462E00">
        <w:rPr>
          <w:color w:val="000000" w:themeColor="text1"/>
          <w:szCs w:val="22"/>
        </w:rPr>
        <w:t xml:space="preserve">SAPs that are under the control of a HEP (as above). </w:t>
      </w:r>
    </w:p>
    <w:p w14:paraId="54BB4921" w14:textId="69143C6E" w:rsidR="002F4E06" w:rsidRDefault="002F3917" w:rsidP="002F3917">
      <w:pPr>
        <w:rPr>
          <w:color w:val="000000" w:themeColor="text1"/>
          <w:szCs w:val="22"/>
        </w:rPr>
      </w:pPr>
      <w:r w:rsidRPr="006B296A">
        <w:rPr>
          <w:color w:val="000000" w:themeColor="text1"/>
          <w:szCs w:val="22"/>
        </w:rPr>
        <w:t xml:space="preserve">Standard 7 imposes obligations on HEPs </w:t>
      </w:r>
      <w:r w:rsidR="0039097F" w:rsidRPr="006B296A">
        <w:rPr>
          <w:color w:val="000000" w:themeColor="text1"/>
          <w:szCs w:val="22"/>
        </w:rPr>
        <w:t xml:space="preserve">who </w:t>
      </w:r>
      <w:r w:rsidRPr="006B296A">
        <w:rPr>
          <w:color w:val="000000" w:themeColor="text1"/>
          <w:szCs w:val="22"/>
        </w:rPr>
        <w:t xml:space="preserve">are considered responsible for ensuring their SAPs meet these requirements. </w:t>
      </w:r>
      <w:r w:rsidR="00867D3D">
        <w:rPr>
          <w:color w:val="000000" w:themeColor="text1"/>
          <w:szCs w:val="22"/>
        </w:rPr>
        <w:t xml:space="preserve">As described in </w:t>
      </w:r>
      <w:r w:rsidR="00E60E57">
        <w:rPr>
          <w:i/>
          <w:iCs/>
          <w:color w:val="000000" w:themeColor="text1"/>
          <w:szCs w:val="22"/>
        </w:rPr>
        <w:t>C</w:t>
      </w:r>
      <w:r w:rsidR="00867D3D" w:rsidRPr="00AF4033">
        <w:rPr>
          <w:i/>
          <w:iCs/>
          <w:color w:val="000000" w:themeColor="text1"/>
          <w:szCs w:val="22"/>
        </w:rPr>
        <w:t xml:space="preserve">hapter </w:t>
      </w:r>
      <w:r w:rsidR="002F4E06" w:rsidRPr="00AF4033">
        <w:rPr>
          <w:i/>
          <w:iCs/>
          <w:color w:val="000000" w:themeColor="text1"/>
          <w:szCs w:val="22"/>
        </w:rPr>
        <w:t>4.3.2.5 methodology of costs to student accommodation providers</w:t>
      </w:r>
      <w:r w:rsidR="002F4E06">
        <w:rPr>
          <w:color w:val="000000" w:themeColor="text1"/>
          <w:szCs w:val="22"/>
        </w:rPr>
        <w:t xml:space="preserve"> </w:t>
      </w:r>
      <w:r w:rsidR="00BC7832" w:rsidRPr="006B296A">
        <w:rPr>
          <w:color w:val="000000" w:themeColor="text1"/>
          <w:szCs w:val="22"/>
        </w:rPr>
        <w:t>the</w:t>
      </w:r>
      <w:r w:rsidR="00F628C8" w:rsidRPr="006B296A">
        <w:rPr>
          <w:color w:val="000000" w:themeColor="text1"/>
          <w:szCs w:val="22"/>
        </w:rPr>
        <w:t xml:space="preserve"> CBA </w:t>
      </w:r>
      <w:r w:rsidR="002F4E06">
        <w:rPr>
          <w:color w:val="000000" w:themeColor="text1"/>
          <w:szCs w:val="22"/>
        </w:rPr>
        <w:t>considers the costs to SAPs and HEPs collectively, given how the costs are shared will depend on their legal relationship and arrangements</w:t>
      </w:r>
      <w:r w:rsidR="00E50BBE">
        <w:rPr>
          <w:color w:val="000000" w:themeColor="text1"/>
          <w:szCs w:val="22"/>
        </w:rPr>
        <w:t xml:space="preserve">, and which category they are </w:t>
      </w:r>
      <w:r w:rsidR="00776BF8">
        <w:rPr>
          <w:color w:val="000000" w:themeColor="text1"/>
          <w:szCs w:val="22"/>
        </w:rPr>
        <w:t xml:space="preserve">in </w:t>
      </w:r>
      <w:r w:rsidR="00E50BBE">
        <w:rPr>
          <w:color w:val="000000" w:themeColor="text1"/>
          <w:szCs w:val="22"/>
        </w:rPr>
        <w:t>under the National Code</w:t>
      </w:r>
      <w:r w:rsidR="00157F0C">
        <w:rPr>
          <w:color w:val="000000" w:themeColor="text1"/>
          <w:szCs w:val="22"/>
        </w:rPr>
        <w:t xml:space="preserve">. </w:t>
      </w:r>
    </w:p>
    <w:p w14:paraId="1ED2E3B7" w14:textId="667C90EB" w:rsidR="002F3917" w:rsidRPr="006B296A" w:rsidRDefault="002F3917" w:rsidP="002F3917">
      <w:pPr>
        <w:rPr>
          <w:color w:val="000000" w:themeColor="text1"/>
          <w:szCs w:val="22"/>
        </w:rPr>
      </w:pPr>
      <w:r w:rsidRPr="006B296A">
        <w:rPr>
          <w:color w:val="000000" w:themeColor="text1"/>
          <w:szCs w:val="22"/>
        </w:rPr>
        <w:t xml:space="preserve">The financial impact of Standard 7 on HEPs correlates with the number of affiliated SAPs and the number of students residing in them. Based on </w:t>
      </w:r>
      <w:r w:rsidR="00147CEA" w:rsidRPr="006B296A">
        <w:rPr>
          <w:color w:val="000000" w:themeColor="text1"/>
          <w:szCs w:val="22"/>
        </w:rPr>
        <w:t xml:space="preserve">data from the </w:t>
      </w:r>
      <w:r w:rsidR="00AC61AB">
        <w:rPr>
          <w:color w:val="000000" w:themeColor="text1"/>
          <w:szCs w:val="22"/>
        </w:rPr>
        <w:t>d</w:t>
      </w:r>
      <w:r w:rsidRPr="006B296A">
        <w:rPr>
          <w:color w:val="000000" w:themeColor="text1"/>
          <w:szCs w:val="22"/>
        </w:rPr>
        <w:t>epartment</w:t>
      </w:r>
      <w:r w:rsidR="00AC61AB">
        <w:rPr>
          <w:color w:val="000000" w:themeColor="text1"/>
          <w:szCs w:val="22"/>
        </w:rPr>
        <w:t>,</w:t>
      </w:r>
      <w:r w:rsidR="00042324">
        <w:rPr>
          <w:color w:val="000000" w:themeColor="text1"/>
          <w:szCs w:val="22"/>
        </w:rPr>
        <w:t xml:space="preserve"> SAPs are affiliated with the following sized HEPs</w:t>
      </w:r>
      <w:r w:rsidR="00147CEA" w:rsidRPr="006B296A">
        <w:rPr>
          <w:color w:val="000000" w:themeColor="text1"/>
          <w:szCs w:val="22"/>
        </w:rPr>
        <w:t>:</w:t>
      </w:r>
      <w:r w:rsidRPr="006B296A">
        <w:rPr>
          <w:color w:val="000000" w:themeColor="text1"/>
          <w:szCs w:val="22"/>
        </w:rPr>
        <w:t xml:space="preserve"> </w:t>
      </w:r>
    </w:p>
    <w:p w14:paraId="1B76B06F" w14:textId="6F531B4F" w:rsidR="002F3917" w:rsidRPr="006B296A" w:rsidRDefault="002F3917" w:rsidP="007A16D0">
      <w:pPr>
        <w:numPr>
          <w:ilvl w:val="0"/>
          <w:numId w:val="173"/>
        </w:numPr>
        <w:spacing w:after="0"/>
        <w:rPr>
          <w:color w:val="000000" w:themeColor="text1"/>
          <w:szCs w:val="22"/>
        </w:rPr>
      </w:pPr>
      <w:r w:rsidRPr="006B296A">
        <w:rPr>
          <w:color w:val="000000" w:themeColor="text1"/>
          <w:szCs w:val="22"/>
        </w:rPr>
        <w:t>1% with small HEPs</w:t>
      </w:r>
    </w:p>
    <w:p w14:paraId="335B5AB5" w14:textId="68A1B86D" w:rsidR="002F3917" w:rsidRPr="006B296A" w:rsidRDefault="002F3917" w:rsidP="007A16D0">
      <w:pPr>
        <w:numPr>
          <w:ilvl w:val="0"/>
          <w:numId w:val="173"/>
        </w:numPr>
        <w:spacing w:after="0"/>
        <w:rPr>
          <w:color w:val="000000" w:themeColor="text1"/>
          <w:szCs w:val="22"/>
        </w:rPr>
      </w:pPr>
      <w:r w:rsidRPr="006B296A">
        <w:rPr>
          <w:color w:val="000000" w:themeColor="text1"/>
          <w:szCs w:val="22"/>
        </w:rPr>
        <w:t>44% with medium HEPs</w:t>
      </w:r>
    </w:p>
    <w:p w14:paraId="52B39710" w14:textId="77777777" w:rsidR="002F3917" w:rsidRPr="006B296A" w:rsidRDefault="002F3917" w:rsidP="008D4824">
      <w:pPr>
        <w:numPr>
          <w:ilvl w:val="0"/>
          <w:numId w:val="173"/>
        </w:numPr>
        <w:rPr>
          <w:color w:val="000000" w:themeColor="text1"/>
          <w:szCs w:val="22"/>
        </w:rPr>
      </w:pPr>
      <w:r w:rsidRPr="006B296A">
        <w:rPr>
          <w:color w:val="000000" w:themeColor="text1"/>
          <w:szCs w:val="22"/>
        </w:rPr>
        <w:t>55% with large HEPs.</w:t>
      </w:r>
    </w:p>
    <w:p w14:paraId="5F871A96" w14:textId="6E09B6B8" w:rsidR="008F48C3" w:rsidRDefault="008F48C3" w:rsidP="00595D68">
      <w:pPr>
        <w:pStyle w:val="Heading5"/>
        <w:spacing w:before="0" w:after="160"/>
      </w:pPr>
      <w:r>
        <w:t>Cost to HEPs</w:t>
      </w:r>
      <w:r w:rsidR="00AF7AA6">
        <w:t xml:space="preserve"> and SAPs</w:t>
      </w:r>
    </w:p>
    <w:p w14:paraId="64791B3F" w14:textId="71B8643F" w:rsidR="000B243E" w:rsidRDefault="000B243E" w:rsidP="000B243E">
      <w:pPr>
        <w:rPr>
          <w:color w:val="000000" w:themeColor="text1"/>
          <w:szCs w:val="22"/>
        </w:rPr>
      </w:pPr>
      <w:r w:rsidRPr="006B296A">
        <w:rPr>
          <w:rFonts w:cs="Calibri"/>
          <w:color w:val="000000" w:themeColor="text1"/>
          <w:szCs w:val="22"/>
        </w:rPr>
        <w:t xml:space="preserve">The total costs to HEPs </w:t>
      </w:r>
      <w:r w:rsidR="00AF7AA6">
        <w:rPr>
          <w:rFonts w:cs="Calibri"/>
          <w:color w:val="000000" w:themeColor="text1"/>
          <w:szCs w:val="22"/>
        </w:rPr>
        <w:t>and SAPs</w:t>
      </w:r>
      <w:r w:rsidRPr="006B296A">
        <w:rPr>
          <w:rFonts w:cs="Calibri"/>
          <w:color w:val="000000" w:themeColor="text1"/>
          <w:szCs w:val="22"/>
        </w:rPr>
        <w:t xml:space="preserve"> </w:t>
      </w:r>
      <w:r w:rsidR="008D0A31" w:rsidRPr="006B296A">
        <w:rPr>
          <w:rFonts w:cs="Calibri"/>
          <w:color w:val="000000" w:themeColor="text1"/>
          <w:szCs w:val="22"/>
        </w:rPr>
        <w:t>under</w:t>
      </w:r>
      <w:r w:rsidRPr="006B296A">
        <w:rPr>
          <w:rFonts w:cs="Calibri"/>
          <w:color w:val="000000" w:themeColor="text1"/>
          <w:szCs w:val="22"/>
        </w:rPr>
        <w:t xml:space="preserve"> Standard 7 of the </w:t>
      </w:r>
      <w:r w:rsidR="008743F1" w:rsidRPr="006B296A">
        <w:rPr>
          <w:rFonts w:cs="Calibri"/>
          <w:color w:val="000000" w:themeColor="text1"/>
          <w:szCs w:val="22"/>
        </w:rPr>
        <w:t>National Code</w:t>
      </w:r>
      <w:r w:rsidRPr="006B296A">
        <w:rPr>
          <w:rFonts w:cs="Calibri"/>
          <w:color w:val="000000" w:themeColor="text1"/>
          <w:szCs w:val="22"/>
        </w:rPr>
        <w:t xml:space="preserve"> are </w:t>
      </w:r>
      <w:r w:rsidRPr="006B296A">
        <w:rPr>
          <w:color w:val="000000" w:themeColor="text1"/>
          <w:szCs w:val="22"/>
        </w:rPr>
        <w:t xml:space="preserve">$21.0 million (present value over the ten-year analysis period) or </w:t>
      </w:r>
      <w:r w:rsidR="008D0A31" w:rsidRPr="006B296A">
        <w:rPr>
          <w:color w:val="000000" w:themeColor="text1"/>
          <w:szCs w:val="22"/>
        </w:rPr>
        <w:t xml:space="preserve">an annual average of </w:t>
      </w:r>
      <w:r w:rsidRPr="006B296A">
        <w:rPr>
          <w:color w:val="000000" w:themeColor="text1"/>
          <w:szCs w:val="22"/>
        </w:rPr>
        <w:t>$3.3million (undiscounted).</w:t>
      </w:r>
    </w:p>
    <w:p w14:paraId="542E5390" w14:textId="243D8811" w:rsidR="00B749F1" w:rsidRDefault="00131726" w:rsidP="00131726">
      <w:pPr>
        <w:rPr>
          <w:color w:val="000000" w:themeColor="text1"/>
          <w:szCs w:val="22"/>
        </w:rPr>
      </w:pPr>
      <w:r>
        <w:rPr>
          <w:color w:val="000000" w:themeColor="text1"/>
          <w:szCs w:val="22"/>
        </w:rPr>
        <w:t xml:space="preserve">HEPs that operate, own, or manage SAPs will be able to apply their policies and procedures under the National Code, ensuring that the </w:t>
      </w:r>
      <w:r w:rsidR="003E7F0F">
        <w:rPr>
          <w:color w:val="000000" w:themeColor="text1"/>
          <w:szCs w:val="22"/>
        </w:rPr>
        <w:t>SAPs are considered and included within these policies and procedures</w:t>
      </w:r>
      <w:r>
        <w:rPr>
          <w:color w:val="000000" w:themeColor="text1"/>
          <w:szCs w:val="22"/>
        </w:rPr>
        <w:t>.</w:t>
      </w:r>
      <w:r w:rsidR="003E7F0F">
        <w:rPr>
          <w:color w:val="000000" w:themeColor="text1"/>
          <w:szCs w:val="22"/>
        </w:rPr>
        <w:t xml:space="preserve"> </w:t>
      </w:r>
      <w:r w:rsidR="00D501DF">
        <w:rPr>
          <w:color w:val="000000" w:themeColor="text1"/>
          <w:szCs w:val="22"/>
        </w:rPr>
        <w:t xml:space="preserve">SAPs that </w:t>
      </w:r>
      <w:r w:rsidR="002D1D18">
        <w:rPr>
          <w:color w:val="000000" w:themeColor="text1"/>
          <w:szCs w:val="22"/>
        </w:rPr>
        <w:t xml:space="preserve">are under the control of a HEP or are affiliated with a HEP, may be able to adopt the </w:t>
      </w:r>
      <w:r w:rsidR="00BD1784">
        <w:rPr>
          <w:color w:val="000000" w:themeColor="text1"/>
          <w:szCs w:val="22"/>
        </w:rPr>
        <w:t xml:space="preserve">HEPs policies and procedures, but this will depend on </w:t>
      </w:r>
      <w:r w:rsidR="002D1D18">
        <w:rPr>
          <w:color w:val="000000" w:themeColor="text1"/>
          <w:szCs w:val="22"/>
        </w:rPr>
        <w:t xml:space="preserve">their </w:t>
      </w:r>
      <w:r w:rsidR="00BD1784">
        <w:rPr>
          <w:color w:val="000000" w:themeColor="text1"/>
          <w:szCs w:val="22"/>
        </w:rPr>
        <w:t xml:space="preserve">legal arrangements. SAPs that are </w:t>
      </w:r>
      <w:r w:rsidR="002D1D18">
        <w:rPr>
          <w:color w:val="000000" w:themeColor="text1"/>
          <w:szCs w:val="22"/>
        </w:rPr>
        <w:t>under the control of a HEP or</w:t>
      </w:r>
      <w:r w:rsidR="00B749F1">
        <w:rPr>
          <w:color w:val="000000" w:themeColor="text1"/>
          <w:szCs w:val="22"/>
        </w:rPr>
        <w:t xml:space="preserve"> affiliated </w:t>
      </w:r>
      <w:r w:rsidR="002D1D18">
        <w:rPr>
          <w:color w:val="000000" w:themeColor="text1"/>
          <w:szCs w:val="22"/>
        </w:rPr>
        <w:t>with a HEP must</w:t>
      </w:r>
      <w:r w:rsidR="00B749F1">
        <w:rPr>
          <w:color w:val="000000" w:themeColor="text1"/>
          <w:szCs w:val="22"/>
        </w:rPr>
        <w:t xml:space="preserve"> have </w:t>
      </w:r>
      <w:r w:rsidR="002D1D18">
        <w:rPr>
          <w:color w:val="000000" w:themeColor="text1"/>
          <w:szCs w:val="22"/>
        </w:rPr>
        <w:t>a</w:t>
      </w:r>
      <w:r w:rsidR="00B749F1">
        <w:rPr>
          <w:color w:val="000000" w:themeColor="text1"/>
          <w:szCs w:val="22"/>
        </w:rPr>
        <w:t xml:space="preserve"> </w:t>
      </w:r>
      <w:r w:rsidRPr="006B296A">
        <w:rPr>
          <w:color w:val="000000" w:themeColor="text1"/>
          <w:szCs w:val="22"/>
        </w:rPr>
        <w:t xml:space="preserve">Whole-of-Organisation Prevention and Response Plan, </w:t>
      </w:r>
      <w:r>
        <w:rPr>
          <w:color w:val="000000" w:themeColor="text1"/>
          <w:szCs w:val="22"/>
        </w:rPr>
        <w:t>relevant GB</w:t>
      </w:r>
      <w:r w:rsidRPr="006B296A">
        <w:rPr>
          <w:color w:val="000000" w:themeColor="text1"/>
          <w:szCs w:val="22"/>
        </w:rPr>
        <w:t>V policies, ability to conduct risk assessments, deliver GBV training amongst other obligations</w:t>
      </w:r>
      <w:r>
        <w:rPr>
          <w:color w:val="000000" w:themeColor="text1"/>
          <w:szCs w:val="22"/>
        </w:rPr>
        <w:t>.</w:t>
      </w:r>
    </w:p>
    <w:p w14:paraId="155AAC1E" w14:textId="2257D792" w:rsidR="00C41882" w:rsidRDefault="00B749F1" w:rsidP="006418F0">
      <w:pPr>
        <w:rPr>
          <w:color w:val="000000" w:themeColor="text1"/>
          <w:szCs w:val="22"/>
        </w:rPr>
      </w:pPr>
      <w:r>
        <w:rPr>
          <w:color w:val="000000" w:themeColor="text1"/>
          <w:szCs w:val="22"/>
        </w:rPr>
        <w:t xml:space="preserve">HEPs and SAPs will face both </w:t>
      </w:r>
      <w:r w:rsidRPr="006B296A">
        <w:rPr>
          <w:color w:val="000000" w:themeColor="text1"/>
          <w:szCs w:val="22"/>
        </w:rPr>
        <w:t>transition costs (establishing governance and support systems)</w:t>
      </w:r>
      <w:r>
        <w:rPr>
          <w:color w:val="000000" w:themeColor="text1"/>
          <w:szCs w:val="22"/>
        </w:rPr>
        <w:t xml:space="preserve"> </w:t>
      </w:r>
      <w:r w:rsidRPr="006B296A">
        <w:rPr>
          <w:color w:val="000000" w:themeColor="text1"/>
          <w:szCs w:val="22"/>
        </w:rPr>
        <w:t>and ongoing costs (monitoring compliance, reviewing policies, and responding to disclosures)</w:t>
      </w:r>
      <w:r>
        <w:rPr>
          <w:color w:val="000000" w:themeColor="text1"/>
          <w:szCs w:val="22"/>
        </w:rPr>
        <w:t xml:space="preserve"> that will vary depending on the category of SAP that determines their obligations under the National Code. </w:t>
      </w:r>
      <w:r w:rsidR="00AF7AA6" w:rsidRPr="006B296A">
        <w:rPr>
          <w:color w:val="000000" w:themeColor="text1"/>
          <w:szCs w:val="22"/>
        </w:rPr>
        <w:t>Some risk assessment capabilities developed under Standard 3 are expected to support compliance with Standard 7, thereby reducing associated costs.</w:t>
      </w:r>
      <w:r w:rsidR="00AF7AA6">
        <w:rPr>
          <w:color w:val="000000" w:themeColor="text1"/>
          <w:szCs w:val="22"/>
        </w:rPr>
        <w:t xml:space="preserve"> </w:t>
      </w:r>
      <w:r w:rsidR="00AF7AA6" w:rsidRPr="006B296A">
        <w:rPr>
          <w:color w:val="000000" w:themeColor="text1"/>
          <w:szCs w:val="22"/>
        </w:rPr>
        <w:t>The ongoing costs are influenced by the volume of disclosures and formal reports, which are expected to be proportional to the number of residents affected by GBV.</w:t>
      </w:r>
      <w:r w:rsidR="00B5583A">
        <w:rPr>
          <w:color w:val="000000" w:themeColor="text1"/>
          <w:szCs w:val="22"/>
        </w:rPr>
        <w:t xml:space="preserve"> </w:t>
      </w:r>
    </w:p>
    <w:p w14:paraId="5AC5FCB1" w14:textId="5D6E1B1C" w:rsidR="008F48C3" w:rsidRDefault="008F48C3" w:rsidP="00595D68">
      <w:pPr>
        <w:pStyle w:val="Heading5"/>
        <w:spacing w:before="0" w:after="160"/>
      </w:pPr>
      <w:r>
        <w:t>Costs to staff</w:t>
      </w:r>
    </w:p>
    <w:p w14:paraId="6E5E8A2A" w14:textId="63261A9B" w:rsidR="00B5364F" w:rsidRPr="006B296A" w:rsidRDefault="00B5364F" w:rsidP="00595D68">
      <w:pPr>
        <w:rPr>
          <w:color w:val="000000" w:themeColor="text1"/>
          <w:szCs w:val="22"/>
        </w:rPr>
      </w:pPr>
      <w:r w:rsidRPr="006B296A">
        <w:rPr>
          <w:rFonts w:cs="Calibri"/>
          <w:color w:val="000000" w:themeColor="text1"/>
          <w:szCs w:val="22"/>
        </w:rPr>
        <w:t xml:space="preserve">The total estimated cost to </w:t>
      </w:r>
      <w:r w:rsidR="0053740C" w:rsidRPr="006B296A">
        <w:rPr>
          <w:rFonts w:cs="Calibri"/>
          <w:color w:val="000000" w:themeColor="text1"/>
          <w:szCs w:val="22"/>
        </w:rPr>
        <w:t>SAP staff (based</w:t>
      </w:r>
      <w:r w:rsidRPr="006B296A">
        <w:rPr>
          <w:rFonts w:cs="Calibri"/>
          <w:color w:val="000000" w:themeColor="text1"/>
          <w:szCs w:val="22"/>
        </w:rPr>
        <w:t xml:space="preserve"> on </w:t>
      </w:r>
      <w:r w:rsidR="0053740C" w:rsidRPr="006B296A">
        <w:rPr>
          <w:rFonts w:cs="Calibri"/>
          <w:color w:val="000000" w:themeColor="text1"/>
          <w:szCs w:val="22"/>
        </w:rPr>
        <w:t xml:space="preserve">an average of approximately 2,900 staff members employed </w:t>
      </w:r>
      <w:r w:rsidR="00013C45" w:rsidRPr="006B296A">
        <w:rPr>
          <w:rFonts w:cs="Calibri"/>
          <w:color w:val="000000" w:themeColor="text1"/>
          <w:szCs w:val="22"/>
        </w:rPr>
        <w:t>by</w:t>
      </w:r>
      <w:r w:rsidR="0053740C" w:rsidRPr="006B296A">
        <w:rPr>
          <w:rFonts w:cs="Calibri"/>
          <w:color w:val="000000" w:themeColor="text1"/>
          <w:szCs w:val="22"/>
        </w:rPr>
        <w:t xml:space="preserve"> affiliated SAPs over the ten-year analysis peri</w:t>
      </w:r>
      <w:r w:rsidR="009575DB" w:rsidRPr="006B296A">
        <w:rPr>
          <w:rFonts w:cs="Calibri"/>
          <w:color w:val="000000" w:themeColor="text1"/>
          <w:szCs w:val="22"/>
        </w:rPr>
        <w:t>od)</w:t>
      </w:r>
      <w:r w:rsidRPr="006B296A">
        <w:rPr>
          <w:rFonts w:cs="Calibri"/>
          <w:color w:val="000000" w:themeColor="text1"/>
          <w:szCs w:val="22"/>
        </w:rPr>
        <w:t xml:space="preserve"> is approximately </w:t>
      </w:r>
      <w:r w:rsidRPr="006B296A">
        <w:rPr>
          <w:color w:val="000000" w:themeColor="text1"/>
          <w:szCs w:val="22"/>
        </w:rPr>
        <w:t>$9.8 million in present value over ten years</w:t>
      </w:r>
      <w:r w:rsidR="009575DB" w:rsidRPr="006B296A">
        <w:rPr>
          <w:color w:val="000000" w:themeColor="text1"/>
          <w:szCs w:val="22"/>
        </w:rPr>
        <w:t xml:space="preserve"> or</w:t>
      </w:r>
      <w:r w:rsidRPr="006B296A">
        <w:rPr>
          <w:color w:val="000000" w:themeColor="text1"/>
          <w:szCs w:val="22"/>
        </w:rPr>
        <w:t xml:space="preserve"> an average annual cost of $1.5 million (undiscounted).</w:t>
      </w:r>
    </w:p>
    <w:p w14:paraId="45BEF322" w14:textId="47DD93CA" w:rsidR="002F7B9E" w:rsidRPr="006B296A" w:rsidRDefault="002F7B9E" w:rsidP="009575DB">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lastRenderedPageBreak/>
        <w:t xml:space="preserve">Under Standard 7, staff working in or affiliated with student accommodation will be required to complete </w:t>
      </w:r>
      <w:r w:rsidR="00B7771B" w:rsidRPr="006B296A">
        <w:rPr>
          <w:rFonts w:asciiTheme="minorHAnsi" w:hAnsiTheme="minorHAnsi" w:cs="Segoe UI"/>
          <w:color w:val="000000" w:themeColor="text1"/>
          <w:szCs w:val="22"/>
        </w:rPr>
        <w:t>GBV</w:t>
      </w:r>
      <w:r w:rsidRPr="006B296A">
        <w:rPr>
          <w:rFonts w:asciiTheme="minorHAnsi" w:hAnsiTheme="minorHAnsi" w:cs="Segoe UI"/>
          <w:color w:val="000000" w:themeColor="text1"/>
          <w:szCs w:val="22"/>
        </w:rPr>
        <w:t xml:space="preserve"> safety checks and undertake training tailored to the accommodation environment. However, as these obligations align with requirements already established under Standards 2 and 3, the associated costs have been accounted for in those standards and are not separately estimated under Standard 7.</w:t>
      </w:r>
    </w:p>
    <w:p w14:paraId="75420090" w14:textId="49BB3181" w:rsidR="002F7B9E" w:rsidRPr="006B296A" w:rsidRDefault="002F7B9E" w:rsidP="00013C45">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The total estimated cost of compliance with Standard 7</w:t>
      </w:r>
      <w:r w:rsidR="00960871" w:rsidRPr="006B296A">
        <w:rPr>
          <w:rFonts w:asciiTheme="minorHAnsi" w:hAnsiTheme="minorHAnsi" w:cs="Segoe UI"/>
          <w:color w:val="000000" w:themeColor="text1"/>
          <w:szCs w:val="22"/>
        </w:rPr>
        <w:t xml:space="preserve">, </w:t>
      </w:r>
      <w:r w:rsidRPr="006B296A">
        <w:rPr>
          <w:rFonts w:asciiTheme="minorHAnsi" w:hAnsiTheme="minorHAnsi" w:cs="Segoe UI"/>
          <w:color w:val="000000" w:themeColor="text1"/>
          <w:szCs w:val="22"/>
        </w:rPr>
        <w:t>covering all other obligations</w:t>
      </w:r>
      <w:r w:rsidR="00960871" w:rsidRPr="006B296A">
        <w:rPr>
          <w:rFonts w:asciiTheme="minorHAnsi" w:hAnsiTheme="minorHAnsi" w:cs="Segoe UI"/>
          <w:color w:val="000000" w:themeColor="text1"/>
          <w:szCs w:val="22"/>
        </w:rPr>
        <w:t xml:space="preserve">, </w:t>
      </w:r>
      <w:r w:rsidRPr="006B296A">
        <w:rPr>
          <w:rFonts w:asciiTheme="minorHAnsi" w:hAnsiTheme="minorHAnsi" w:cs="Segoe UI"/>
          <w:color w:val="000000" w:themeColor="text1"/>
          <w:szCs w:val="22"/>
        </w:rPr>
        <w:t xml:space="preserve">is ultimately borne by HEPs and SAPs, </w:t>
      </w:r>
      <w:r w:rsidR="008F2284">
        <w:rPr>
          <w:rFonts w:asciiTheme="minorHAnsi" w:hAnsiTheme="minorHAnsi" w:cs="Segoe UI"/>
          <w:color w:val="000000" w:themeColor="text1"/>
          <w:szCs w:val="22"/>
        </w:rPr>
        <w:t xml:space="preserve">in a </w:t>
      </w:r>
      <w:r w:rsidR="00B529A1">
        <w:rPr>
          <w:rFonts w:asciiTheme="minorHAnsi" w:hAnsiTheme="minorHAnsi" w:cs="Segoe UI"/>
          <w:color w:val="000000" w:themeColor="text1"/>
          <w:szCs w:val="22"/>
        </w:rPr>
        <w:t xml:space="preserve">percentage that is dependent </w:t>
      </w:r>
      <w:r w:rsidRPr="006B296A">
        <w:rPr>
          <w:rFonts w:asciiTheme="minorHAnsi" w:hAnsiTheme="minorHAnsi" w:cs="Segoe UI"/>
          <w:color w:val="000000" w:themeColor="text1"/>
          <w:szCs w:val="22"/>
        </w:rPr>
        <w:t>on their contractual and operational arrangements.</w:t>
      </w:r>
    </w:p>
    <w:p w14:paraId="46BB81F9" w14:textId="4B712BA3" w:rsidR="008F48C3" w:rsidRDefault="008F48C3" w:rsidP="00595D68">
      <w:pPr>
        <w:pStyle w:val="Heading5"/>
        <w:spacing w:before="0" w:after="160"/>
      </w:pPr>
      <w:r>
        <w:t>Costs to student residents</w:t>
      </w:r>
    </w:p>
    <w:p w14:paraId="442363B0" w14:textId="761005A1" w:rsidR="00535D62" w:rsidRPr="006B296A" w:rsidRDefault="00535D62" w:rsidP="00535D62">
      <w:pPr>
        <w:rPr>
          <w:b/>
          <w:color w:val="000000" w:themeColor="text1"/>
          <w:szCs w:val="22"/>
        </w:rPr>
      </w:pPr>
      <w:r w:rsidRPr="006B296A">
        <w:rPr>
          <w:rFonts w:cs="Calibri"/>
          <w:color w:val="000000" w:themeColor="text1"/>
          <w:szCs w:val="22"/>
        </w:rPr>
        <w:t xml:space="preserve">The total costs to students associated with Standard 7 is approximately </w:t>
      </w:r>
      <w:r w:rsidRPr="006B296A">
        <w:rPr>
          <w:color w:val="000000" w:themeColor="text1"/>
          <w:szCs w:val="22"/>
        </w:rPr>
        <w:t xml:space="preserve">$4.0 million (present value over ten years), or </w:t>
      </w:r>
      <w:r w:rsidR="00960871" w:rsidRPr="006B296A">
        <w:rPr>
          <w:color w:val="000000" w:themeColor="text1"/>
          <w:szCs w:val="22"/>
        </w:rPr>
        <w:t>an annual average of</w:t>
      </w:r>
      <w:r w:rsidRPr="006B296A">
        <w:rPr>
          <w:color w:val="000000" w:themeColor="text1"/>
          <w:szCs w:val="22"/>
        </w:rPr>
        <w:t xml:space="preserve"> $597,000 (undiscounted).</w:t>
      </w:r>
    </w:p>
    <w:p w14:paraId="5F160CBE" w14:textId="63797C26" w:rsidR="00C95CBD" w:rsidRPr="006B296A" w:rsidRDefault="00111348" w:rsidP="00C95CBD">
      <w:pPr>
        <w:rPr>
          <w:color w:val="000000" w:themeColor="text1"/>
          <w:szCs w:val="22"/>
        </w:rPr>
      </w:pPr>
      <w:r w:rsidRPr="006B296A">
        <w:rPr>
          <w:color w:val="000000" w:themeColor="text1"/>
          <w:szCs w:val="22"/>
        </w:rPr>
        <w:t>This cost includes</w:t>
      </w:r>
      <w:r w:rsidR="00C95CBD" w:rsidRPr="006B296A">
        <w:rPr>
          <w:color w:val="000000" w:themeColor="text1"/>
          <w:szCs w:val="22"/>
        </w:rPr>
        <w:t xml:space="preserve"> students residing in student accommodation that is owned, operated, managed, controlled, or affiliated with HEPs to complete </w:t>
      </w:r>
      <w:r w:rsidR="00B7771B" w:rsidRPr="006B296A">
        <w:rPr>
          <w:color w:val="000000" w:themeColor="text1"/>
          <w:szCs w:val="22"/>
        </w:rPr>
        <w:t>GBV</w:t>
      </w:r>
      <w:r w:rsidR="00C95CBD" w:rsidRPr="006B296A">
        <w:rPr>
          <w:color w:val="000000" w:themeColor="text1"/>
          <w:szCs w:val="22"/>
        </w:rPr>
        <w:t xml:space="preserve"> prevention education and training. This introduces opportunity costs, as students must allocate personal time to complete the training.</w:t>
      </w:r>
    </w:p>
    <w:p w14:paraId="6BF3D12D" w14:textId="4B4FFBBE" w:rsidR="00C95CBD" w:rsidRPr="006B296A" w:rsidRDefault="00C95CBD" w:rsidP="00C95CBD">
      <w:pPr>
        <w:rPr>
          <w:color w:val="000000" w:themeColor="text1"/>
          <w:szCs w:val="22"/>
        </w:rPr>
      </w:pPr>
      <w:r w:rsidRPr="006B296A">
        <w:rPr>
          <w:color w:val="000000" w:themeColor="text1"/>
          <w:szCs w:val="22"/>
        </w:rPr>
        <w:t xml:space="preserve">Additionally, a subset of students </w:t>
      </w:r>
      <w:r w:rsidR="003F30E2" w:rsidRPr="006B296A">
        <w:rPr>
          <w:color w:val="000000" w:themeColor="text1"/>
          <w:szCs w:val="22"/>
        </w:rPr>
        <w:t>is</w:t>
      </w:r>
      <w:r w:rsidRPr="006B296A">
        <w:rPr>
          <w:color w:val="000000" w:themeColor="text1"/>
          <w:szCs w:val="22"/>
        </w:rPr>
        <w:t xml:space="preserve"> expected to participate in consultation activities</w:t>
      </w:r>
      <w:r w:rsidR="00111348" w:rsidRPr="006B296A">
        <w:rPr>
          <w:color w:val="000000" w:themeColor="text1"/>
          <w:szCs w:val="22"/>
        </w:rPr>
        <w:t xml:space="preserve">, </w:t>
      </w:r>
      <w:r w:rsidRPr="006B296A">
        <w:rPr>
          <w:color w:val="000000" w:themeColor="text1"/>
          <w:szCs w:val="22"/>
        </w:rPr>
        <w:t xml:space="preserve">particularly during the initial implementation of the </w:t>
      </w:r>
      <w:r w:rsidR="008743F1" w:rsidRPr="006B296A">
        <w:rPr>
          <w:color w:val="000000" w:themeColor="text1"/>
          <w:szCs w:val="22"/>
        </w:rPr>
        <w:t>National Code</w:t>
      </w:r>
      <w:r w:rsidRPr="006B296A">
        <w:rPr>
          <w:color w:val="000000" w:themeColor="text1"/>
          <w:szCs w:val="22"/>
        </w:rPr>
        <w:t xml:space="preserve"> </w:t>
      </w:r>
      <w:r w:rsidR="00111348" w:rsidRPr="006B296A">
        <w:rPr>
          <w:color w:val="000000" w:themeColor="text1"/>
          <w:szCs w:val="22"/>
        </w:rPr>
        <w:t>(</w:t>
      </w:r>
      <w:r w:rsidRPr="006B296A">
        <w:rPr>
          <w:color w:val="000000" w:themeColor="text1"/>
          <w:szCs w:val="22"/>
        </w:rPr>
        <w:t>and at periodic intervals thereafter</w:t>
      </w:r>
      <w:r w:rsidR="00111348" w:rsidRPr="006B296A">
        <w:rPr>
          <w:color w:val="000000" w:themeColor="text1"/>
          <w:szCs w:val="22"/>
        </w:rPr>
        <w:t xml:space="preserve">) </w:t>
      </w:r>
      <w:r w:rsidRPr="006B296A">
        <w:rPr>
          <w:color w:val="000000" w:themeColor="text1"/>
          <w:szCs w:val="22"/>
        </w:rPr>
        <w:t>to support continuous improvement and stakeholder engagement.</w:t>
      </w:r>
    </w:p>
    <w:p w14:paraId="4D0FE3BA" w14:textId="40B73989" w:rsidR="00A40E62" w:rsidRPr="00210A36" w:rsidRDefault="00A40E62" w:rsidP="00A40E62">
      <w:pPr>
        <w:pStyle w:val="Heading3"/>
      </w:pPr>
      <w:bookmarkStart w:id="176" w:name="_Toc204699887"/>
      <w:bookmarkStart w:id="177" w:name="_Toc204763337"/>
      <w:bookmarkStart w:id="178" w:name="_Toc204764905"/>
      <w:r>
        <w:t xml:space="preserve">Methodology of Benefits of the </w:t>
      </w:r>
      <w:bookmarkEnd w:id="176"/>
      <w:r w:rsidR="00CD1C48">
        <w:t>cost-benefit analysis</w:t>
      </w:r>
      <w:bookmarkEnd w:id="177"/>
      <w:bookmarkEnd w:id="178"/>
    </w:p>
    <w:p w14:paraId="76C6121E" w14:textId="282A380C" w:rsidR="00576913" w:rsidRPr="006B296A" w:rsidRDefault="00A40E62" w:rsidP="00A40E62">
      <w:pPr>
        <w:rPr>
          <w:szCs w:val="22"/>
        </w:rPr>
      </w:pPr>
      <w:r w:rsidRPr="006B296A">
        <w:rPr>
          <w:szCs w:val="22"/>
        </w:rPr>
        <w:t>The National Code introduces prescriptive, evidence-based standards to establish a consistent and coordinated approach to preventing and responding to GBV across the higher education sector. These standards are designed to operate collectively to reduce harm and enhance safety for both students and staff.</w:t>
      </w:r>
      <w:r w:rsidRPr="006B296A">
        <w:rPr>
          <w:rStyle w:val="FootnoteReference"/>
          <w:szCs w:val="22"/>
        </w:rPr>
        <w:t xml:space="preserve"> </w:t>
      </w:r>
    </w:p>
    <w:p w14:paraId="1D1201F5" w14:textId="0C67CFEC" w:rsidR="00A40E62" w:rsidRPr="006B296A" w:rsidRDefault="00A40E62" w:rsidP="00A40E62">
      <w:pPr>
        <w:rPr>
          <w:szCs w:val="22"/>
        </w:rPr>
      </w:pPr>
      <w:r w:rsidRPr="006B296A">
        <w:rPr>
          <w:szCs w:val="22"/>
        </w:rPr>
        <w:t>Reducing GBV is expected to generate a wide range of physical, emotional, social, cultural, financial, and reputational benefits</w:t>
      </w:r>
      <w:r w:rsidR="00520F55" w:rsidRPr="006B296A">
        <w:rPr>
          <w:szCs w:val="22"/>
        </w:rPr>
        <w:t xml:space="preserve">, </w:t>
      </w:r>
      <w:r w:rsidRPr="006B296A">
        <w:rPr>
          <w:szCs w:val="22"/>
        </w:rPr>
        <w:t>not only for individuals, but also for HEPs, the healthcare system, and the broader community.</w:t>
      </w:r>
      <w:r w:rsidRPr="006B296A">
        <w:rPr>
          <w:rStyle w:val="FootnoteReference"/>
          <w:szCs w:val="22"/>
        </w:rPr>
        <w:t xml:space="preserve"> </w:t>
      </w:r>
      <w:r w:rsidRPr="006B296A">
        <w:rPr>
          <w:rStyle w:val="FootnoteReference"/>
          <w:szCs w:val="22"/>
        </w:rPr>
        <w:footnoteReference w:id="148"/>
      </w:r>
      <w:r w:rsidRPr="006B296A">
        <w:rPr>
          <w:szCs w:val="22"/>
        </w:rPr>
        <w:t xml:space="preserve">   In addition to the direct benefits of harm reduction, broader societal outcomes have been considered, including increased workforce and leadership participation by women, improved student attraction and retention, and shifts in social norms.</w:t>
      </w:r>
      <w:r w:rsidRPr="006B296A">
        <w:rPr>
          <w:rStyle w:val="FootnoteReference"/>
          <w:szCs w:val="22"/>
        </w:rPr>
        <w:t xml:space="preserve"> </w:t>
      </w:r>
      <w:r w:rsidRPr="006B296A">
        <w:rPr>
          <w:rStyle w:val="FootnoteReference"/>
          <w:szCs w:val="22"/>
        </w:rPr>
        <w:footnoteReference w:id="149"/>
      </w:r>
    </w:p>
    <w:p w14:paraId="56E1D7F6" w14:textId="3D08F8B0" w:rsidR="00A40E62" w:rsidRPr="006B296A" w:rsidRDefault="00A40E62" w:rsidP="00A40E62">
      <w:pPr>
        <w:rPr>
          <w:szCs w:val="22"/>
        </w:rPr>
      </w:pPr>
      <w:r w:rsidRPr="006B296A">
        <w:rPr>
          <w:szCs w:val="22"/>
        </w:rPr>
        <w:t>While many of these broader benefits are difficult to quantify or directly attribute to the National Code</w:t>
      </w:r>
      <w:r w:rsidR="00520F55" w:rsidRPr="006B296A">
        <w:rPr>
          <w:szCs w:val="22"/>
        </w:rPr>
        <w:t xml:space="preserve">, </w:t>
      </w:r>
      <w:r w:rsidRPr="006B296A">
        <w:rPr>
          <w:szCs w:val="22"/>
        </w:rPr>
        <w:t>given concurrent reforms</w:t>
      </w:r>
      <w:r w:rsidR="00520F55" w:rsidRPr="006B296A">
        <w:rPr>
          <w:szCs w:val="22"/>
        </w:rPr>
        <w:t xml:space="preserve">, </w:t>
      </w:r>
      <w:r w:rsidRPr="006B296A">
        <w:rPr>
          <w:szCs w:val="22"/>
        </w:rPr>
        <w:t>the CBA adopts a conservative approach by focusing on direct, measurable impacts. These include:</w:t>
      </w:r>
    </w:p>
    <w:p w14:paraId="5E0A9312" w14:textId="3161E493" w:rsidR="000A7D41" w:rsidRPr="006B296A" w:rsidRDefault="000A7D41" w:rsidP="006B296A">
      <w:pPr>
        <w:numPr>
          <w:ilvl w:val="0"/>
          <w:numId w:val="157"/>
        </w:numPr>
        <w:spacing w:after="0"/>
        <w:rPr>
          <w:szCs w:val="22"/>
        </w:rPr>
      </w:pPr>
      <w:r w:rsidRPr="006B296A">
        <w:rPr>
          <w:b/>
          <w:bCs/>
          <w:szCs w:val="22"/>
        </w:rPr>
        <w:t>Prevention of GBV:</w:t>
      </w:r>
      <w:r w:rsidRPr="006B296A">
        <w:rPr>
          <w:szCs w:val="22"/>
        </w:rPr>
        <w:t xml:space="preserve"> Reducing exposure to GBV protects individuals from harm and contributes to long-term wellbeing and productivity.</w:t>
      </w:r>
    </w:p>
    <w:p w14:paraId="3DA7FB65" w14:textId="77777777" w:rsidR="00A40E62" w:rsidRPr="006B296A" w:rsidRDefault="00A40E62" w:rsidP="006B296A">
      <w:pPr>
        <w:numPr>
          <w:ilvl w:val="0"/>
          <w:numId w:val="157"/>
        </w:numPr>
        <w:spacing w:after="0"/>
        <w:rPr>
          <w:szCs w:val="22"/>
        </w:rPr>
      </w:pPr>
      <w:r w:rsidRPr="006B296A">
        <w:rPr>
          <w:b/>
          <w:bCs/>
          <w:szCs w:val="22"/>
        </w:rPr>
        <w:t>Improved responses:</w:t>
      </w:r>
      <w:r w:rsidRPr="006B296A">
        <w:rPr>
          <w:szCs w:val="22"/>
        </w:rPr>
        <w:t xml:space="preserve"> Strengthened support for individuals affected by GBV reduces ongoing harm and improves educational and wellbeing outcomes.</w:t>
      </w:r>
    </w:p>
    <w:p w14:paraId="2284D7D1" w14:textId="19F4A3DB" w:rsidR="0079509C" w:rsidRPr="00053966" w:rsidRDefault="000A7D41" w:rsidP="00DD4830">
      <w:pPr>
        <w:numPr>
          <w:ilvl w:val="0"/>
          <w:numId w:val="157"/>
        </w:numPr>
        <w:spacing w:after="0"/>
        <w:rPr>
          <w:szCs w:val="22"/>
        </w:rPr>
      </w:pPr>
      <w:r w:rsidRPr="006B296A">
        <w:rPr>
          <w:b/>
          <w:bCs/>
          <w:szCs w:val="22"/>
        </w:rPr>
        <w:t>Enhanced safety:</w:t>
      </w:r>
      <w:r w:rsidRPr="006B296A">
        <w:rPr>
          <w:szCs w:val="22"/>
        </w:rPr>
        <w:t xml:space="preserve"> Enhanced safety across campuses and student accommodation improves wellbeing, reduces risk, and supports engagement and productivity.</w:t>
      </w:r>
    </w:p>
    <w:p w14:paraId="4D03BC4B" w14:textId="77777777" w:rsidR="00A40E62" w:rsidRPr="006B296A" w:rsidRDefault="00A40E62" w:rsidP="00AF4033">
      <w:pPr>
        <w:spacing w:before="240"/>
        <w:rPr>
          <w:szCs w:val="22"/>
        </w:rPr>
      </w:pPr>
      <w:r w:rsidRPr="006B296A">
        <w:rPr>
          <w:szCs w:val="22"/>
        </w:rPr>
        <w:lastRenderedPageBreak/>
        <w:t>As HEPs adapt their practices and processes in response to the National Code, it is expected they will foster safer environments for students and staff by:</w:t>
      </w:r>
    </w:p>
    <w:p w14:paraId="235B755F" w14:textId="1EAD75C1" w:rsidR="00A40E62" w:rsidRPr="006B296A" w:rsidRDefault="006845C4" w:rsidP="006B296A">
      <w:pPr>
        <w:numPr>
          <w:ilvl w:val="0"/>
          <w:numId w:val="158"/>
        </w:numPr>
        <w:spacing w:after="0"/>
        <w:rPr>
          <w:szCs w:val="22"/>
        </w:rPr>
      </w:pPr>
      <w:r w:rsidRPr="006B296A">
        <w:rPr>
          <w:szCs w:val="22"/>
        </w:rPr>
        <w:t>p</w:t>
      </w:r>
      <w:r w:rsidR="00A40E62" w:rsidRPr="006B296A">
        <w:rPr>
          <w:szCs w:val="22"/>
        </w:rPr>
        <w:t>romoting a culture of safety and respect, benefiting the entire campus community</w:t>
      </w:r>
    </w:p>
    <w:p w14:paraId="06B2751D" w14:textId="1785117F" w:rsidR="00A40E62" w:rsidRPr="006B296A" w:rsidRDefault="006845C4" w:rsidP="006B296A">
      <w:pPr>
        <w:numPr>
          <w:ilvl w:val="0"/>
          <w:numId w:val="158"/>
        </w:numPr>
        <w:spacing w:after="0"/>
        <w:rPr>
          <w:szCs w:val="22"/>
        </w:rPr>
      </w:pPr>
      <w:r w:rsidRPr="006B296A">
        <w:rPr>
          <w:szCs w:val="22"/>
        </w:rPr>
        <w:t>p</w:t>
      </w:r>
      <w:r w:rsidR="00A40E62" w:rsidRPr="006B296A">
        <w:rPr>
          <w:szCs w:val="22"/>
        </w:rPr>
        <w:t>roviding timely responses and access to appropriate support services where GBV incidents occur</w:t>
      </w:r>
    </w:p>
    <w:p w14:paraId="07438479" w14:textId="52FA39B5" w:rsidR="00A40E62" w:rsidRPr="006B296A" w:rsidRDefault="006845C4" w:rsidP="008D4824">
      <w:pPr>
        <w:numPr>
          <w:ilvl w:val="0"/>
          <w:numId w:val="158"/>
        </w:numPr>
        <w:rPr>
          <w:szCs w:val="22"/>
        </w:rPr>
      </w:pPr>
      <w:r w:rsidRPr="006B296A">
        <w:rPr>
          <w:szCs w:val="22"/>
        </w:rPr>
        <w:t>p</w:t>
      </w:r>
      <w:r w:rsidR="00A40E62" w:rsidRPr="006B296A">
        <w:rPr>
          <w:szCs w:val="22"/>
        </w:rPr>
        <w:t>reventing exposure to GBV and mitigating associated harms</w:t>
      </w:r>
      <w:r w:rsidRPr="006B296A">
        <w:rPr>
          <w:szCs w:val="22"/>
        </w:rPr>
        <w:t>.</w:t>
      </w:r>
    </w:p>
    <w:p w14:paraId="6C36AF55" w14:textId="66160979" w:rsidR="00A40E62" w:rsidRPr="006B296A" w:rsidRDefault="00A40E62" w:rsidP="00FE7469">
      <w:pPr>
        <w:rPr>
          <w:szCs w:val="22"/>
        </w:rPr>
      </w:pPr>
      <w:r w:rsidRPr="006B296A">
        <w:rPr>
          <w:szCs w:val="22"/>
        </w:rPr>
        <w:t>The National Code may also streamline institutional processes by clearly articulating expectations for HEPs. While its implementation introduces regulatory obligations for HEPs, staff, and students</w:t>
      </w:r>
      <w:r w:rsidR="006845C4" w:rsidRPr="006B296A">
        <w:rPr>
          <w:szCs w:val="22"/>
        </w:rPr>
        <w:t xml:space="preserve">, </w:t>
      </w:r>
      <w:r w:rsidRPr="006B296A">
        <w:rPr>
          <w:szCs w:val="22"/>
        </w:rPr>
        <w:t xml:space="preserve">both initially and on an ongoing basis, as outlined in the </w:t>
      </w:r>
      <w:r w:rsidR="006845C4" w:rsidRPr="006B296A">
        <w:rPr>
          <w:szCs w:val="22"/>
        </w:rPr>
        <w:t xml:space="preserve">CBA, </w:t>
      </w:r>
      <w:r w:rsidRPr="006B296A">
        <w:rPr>
          <w:szCs w:val="22"/>
        </w:rPr>
        <w:t>the clarity and consistency provided by the National Code may reduce regulatory burden over time through improved efficiency and alignment.</w:t>
      </w:r>
    </w:p>
    <w:p w14:paraId="7F8573ED" w14:textId="0392BF8F" w:rsidR="00C768CF" w:rsidRPr="00FE7469" w:rsidRDefault="00221D89" w:rsidP="00520F55">
      <w:pPr>
        <w:pStyle w:val="Heading3"/>
      </w:pPr>
      <w:bookmarkStart w:id="179" w:name="_Toc204699888"/>
      <w:bookmarkStart w:id="180" w:name="_Toc204763338"/>
      <w:bookmarkStart w:id="181" w:name="_Toc204764906"/>
      <w:r>
        <w:t>B</w:t>
      </w:r>
      <w:r w:rsidR="00C768CF" w:rsidRPr="00FE7469">
        <w:t xml:space="preserve">enefits of the </w:t>
      </w:r>
      <w:r w:rsidR="008743F1">
        <w:t>National Code</w:t>
      </w:r>
      <w:r w:rsidR="00C768CF" w:rsidRPr="00FE7469">
        <w:t xml:space="preserve"> as new regulation</w:t>
      </w:r>
      <w:bookmarkEnd w:id="179"/>
      <w:bookmarkEnd w:id="180"/>
      <w:bookmarkEnd w:id="181"/>
      <w:r w:rsidR="00C768CF" w:rsidRPr="00FE7469">
        <w:t xml:space="preserve"> </w:t>
      </w:r>
    </w:p>
    <w:p w14:paraId="62F16868" w14:textId="5E80FBA0" w:rsidR="006E272C" w:rsidRPr="006B296A" w:rsidRDefault="006E272C" w:rsidP="006E272C">
      <w:pPr>
        <w:rPr>
          <w:szCs w:val="22"/>
        </w:rPr>
      </w:pPr>
      <w:r w:rsidRPr="006B296A">
        <w:rPr>
          <w:szCs w:val="22"/>
        </w:rPr>
        <w:t xml:space="preserve">The </w:t>
      </w:r>
      <w:r w:rsidR="008743F1" w:rsidRPr="006B296A">
        <w:rPr>
          <w:szCs w:val="22"/>
        </w:rPr>
        <w:t>National Code</w:t>
      </w:r>
      <w:r w:rsidRPr="006B296A">
        <w:rPr>
          <w:szCs w:val="22"/>
        </w:rPr>
        <w:t xml:space="preserve"> is expected to generate significant economy-wide benefits across three key areas:</w:t>
      </w:r>
    </w:p>
    <w:p w14:paraId="623F396B" w14:textId="2275FA38" w:rsidR="006E272C" w:rsidRPr="006B296A" w:rsidRDefault="005819C3" w:rsidP="006B296A">
      <w:pPr>
        <w:numPr>
          <w:ilvl w:val="0"/>
          <w:numId w:val="174"/>
        </w:numPr>
        <w:spacing w:after="0"/>
        <w:rPr>
          <w:szCs w:val="22"/>
        </w:rPr>
      </w:pPr>
      <w:r w:rsidRPr="006B296A">
        <w:rPr>
          <w:b/>
          <w:bCs/>
          <w:szCs w:val="22"/>
        </w:rPr>
        <w:t>p</w:t>
      </w:r>
      <w:r w:rsidR="006E272C" w:rsidRPr="006B296A">
        <w:rPr>
          <w:b/>
          <w:bCs/>
          <w:szCs w:val="22"/>
        </w:rPr>
        <w:t>revention</w:t>
      </w:r>
      <w:r w:rsidR="006E272C" w:rsidRPr="006B296A">
        <w:rPr>
          <w:szCs w:val="22"/>
        </w:rPr>
        <w:t xml:space="preserve"> of </w:t>
      </w:r>
      <w:r w:rsidR="00B7771B" w:rsidRPr="006B296A">
        <w:rPr>
          <w:szCs w:val="22"/>
        </w:rPr>
        <w:t>GBV</w:t>
      </w:r>
    </w:p>
    <w:p w14:paraId="2E8A9D55" w14:textId="24376745" w:rsidR="006E272C" w:rsidRPr="006B296A" w:rsidRDefault="005819C3" w:rsidP="006B296A">
      <w:pPr>
        <w:numPr>
          <w:ilvl w:val="0"/>
          <w:numId w:val="174"/>
        </w:numPr>
        <w:spacing w:after="0"/>
        <w:rPr>
          <w:szCs w:val="22"/>
        </w:rPr>
      </w:pPr>
      <w:r w:rsidRPr="006B296A">
        <w:rPr>
          <w:b/>
          <w:bCs/>
          <w:szCs w:val="22"/>
        </w:rPr>
        <w:t>i</w:t>
      </w:r>
      <w:r w:rsidR="006E272C" w:rsidRPr="006B296A">
        <w:rPr>
          <w:b/>
          <w:bCs/>
          <w:szCs w:val="22"/>
        </w:rPr>
        <w:t>mproved responses</w:t>
      </w:r>
      <w:r w:rsidR="006E272C" w:rsidRPr="006B296A">
        <w:rPr>
          <w:szCs w:val="22"/>
        </w:rPr>
        <w:t> to disclosures and formal reports</w:t>
      </w:r>
    </w:p>
    <w:p w14:paraId="16C28918" w14:textId="2C5F5FBA" w:rsidR="006E272C" w:rsidRPr="006B296A" w:rsidRDefault="005819C3" w:rsidP="008D4824">
      <w:pPr>
        <w:numPr>
          <w:ilvl w:val="0"/>
          <w:numId w:val="174"/>
        </w:numPr>
        <w:rPr>
          <w:szCs w:val="22"/>
        </w:rPr>
      </w:pPr>
      <w:r w:rsidRPr="006B296A">
        <w:rPr>
          <w:b/>
          <w:bCs/>
          <w:szCs w:val="22"/>
        </w:rPr>
        <w:t>e</w:t>
      </w:r>
      <w:r w:rsidR="006E272C" w:rsidRPr="006B296A">
        <w:rPr>
          <w:b/>
          <w:bCs/>
          <w:szCs w:val="22"/>
        </w:rPr>
        <w:t>nhanced safety</w:t>
      </w:r>
      <w:r w:rsidR="006E272C" w:rsidRPr="006B296A">
        <w:rPr>
          <w:szCs w:val="22"/>
        </w:rPr>
        <w:t> within higher education environments.</w:t>
      </w:r>
    </w:p>
    <w:p w14:paraId="651DF0D4" w14:textId="77777777" w:rsidR="000D21A9" w:rsidRPr="006B296A" w:rsidRDefault="000D21A9" w:rsidP="000D21A9">
      <w:pPr>
        <w:rPr>
          <w:szCs w:val="22"/>
        </w:rPr>
      </w:pPr>
      <w:r w:rsidRPr="006B296A">
        <w:rPr>
          <w:szCs w:val="22"/>
        </w:rPr>
        <w:t>Together, these streams aim to drive systemic change across the sector, improving wellbeing, productivity, and educational outcomes for students and staff.</w:t>
      </w:r>
    </w:p>
    <w:p w14:paraId="5CF3B01A" w14:textId="46AB333F" w:rsidR="005139B0" w:rsidRPr="006B296A" w:rsidRDefault="005139B0" w:rsidP="005139B0">
      <w:pPr>
        <w:rPr>
          <w:szCs w:val="22"/>
        </w:rPr>
      </w:pPr>
      <w:r w:rsidRPr="006B296A">
        <w:rPr>
          <w:szCs w:val="22"/>
        </w:rPr>
        <w:t xml:space="preserve">The total economy-wide benefits of the </w:t>
      </w:r>
      <w:r w:rsidR="008743F1" w:rsidRPr="006B296A">
        <w:rPr>
          <w:szCs w:val="22"/>
        </w:rPr>
        <w:t>National Code</w:t>
      </w:r>
      <w:r w:rsidRPr="006B296A">
        <w:rPr>
          <w:szCs w:val="22"/>
        </w:rPr>
        <w:t xml:space="preserve"> are derived by combining the individual benefit </w:t>
      </w:r>
      <w:r w:rsidR="003F30E2" w:rsidRPr="006B296A">
        <w:rPr>
          <w:szCs w:val="22"/>
        </w:rPr>
        <w:t>streams;</w:t>
      </w:r>
      <w:r w:rsidRPr="006B296A">
        <w:rPr>
          <w:szCs w:val="22"/>
        </w:rPr>
        <w:t xml:space="preserve"> </w:t>
      </w:r>
      <w:r w:rsidR="00ED71F1" w:rsidRPr="006B296A">
        <w:rPr>
          <w:szCs w:val="22"/>
        </w:rPr>
        <w:t>however,</w:t>
      </w:r>
      <w:r w:rsidRPr="006B296A">
        <w:rPr>
          <w:szCs w:val="22"/>
        </w:rPr>
        <w:t xml:space="preserve"> each benefit stream represents a distinct yet complementary impact. Prevention addresses harm before </w:t>
      </w:r>
      <w:r w:rsidR="008223FC" w:rsidRPr="006B296A">
        <w:rPr>
          <w:szCs w:val="22"/>
        </w:rPr>
        <w:t>GBV</w:t>
      </w:r>
      <w:r w:rsidRPr="006B296A">
        <w:rPr>
          <w:szCs w:val="22"/>
        </w:rPr>
        <w:t xml:space="preserve"> occurs, improved responses ensure timely and effective support for those affected by </w:t>
      </w:r>
      <w:r w:rsidR="008223FC" w:rsidRPr="006B296A">
        <w:rPr>
          <w:szCs w:val="22"/>
        </w:rPr>
        <w:t>GBV</w:t>
      </w:r>
      <w:r w:rsidRPr="006B296A">
        <w:rPr>
          <w:szCs w:val="22"/>
        </w:rPr>
        <w:t xml:space="preserve"> and improved safety contributes to a more supportive and productive environment for all students and staff. Together, these streams aim to capture the </w:t>
      </w:r>
      <w:r w:rsidR="008743F1" w:rsidRPr="006B296A">
        <w:rPr>
          <w:szCs w:val="22"/>
        </w:rPr>
        <w:t>National Code</w:t>
      </w:r>
      <w:r w:rsidRPr="006B296A">
        <w:rPr>
          <w:szCs w:val="22"/>
        </w:rPr>
        <w:t>’s potential to create positive change across higher education, improving wellbeing, productivity, and education outcomes</w:t>
      </w:r>
      <w:r w:rsidR="009C68B1">
        <w:rPr>
          <w:szCs w:val="22"/>
        </w:rPr>
        <w:t xml:space="preserve">. </w:t>
      </w:r>
    </w:p>
    <w:p w14:paraId="5773FABF" w14:textId="147DA257" w:rsidR="000D21A9" w:rsidRPr="006B296A" w:rsidRDefault="000D21A9" w:rsidP="000D21A9">
      <w:pPr>
        <w:rPr>
          <w:szCs w:val="22"/>
        </w:rPr>
      </w:pPr>
      <w:r w:rsidRPr="006B296A">
        <w:rPr>
          <w:szCs w:val="22"/>
        </w:rPr>
        <w:t xml:space="preserve">Over a ten-year period, the </w:t>
      </w:r>
      <w:r w:rsidR="008743F1" w:rsidRPr="006B296A">
        <w:rPr>
          <w:szCs w:val="22"/>
        </w:rPr>
        <w:t>National Code</w:t>
      </w:r>
      <w:r w:rsidRPr="006B296A">
        <w:rPr>
          <w:szCs w:val="22"/>
        </w:rPr>
        <w:t xml:space="preserve"> is expected to deliver at least </w:t>
      </w:r>
      <w:r w:rsidRPr="006B296A">
        <w:rPr>
          <w:b/>
          <w:bCs/>
          <w:szCs w:val="22"/>
        </w:rPr>
        <w:t>$3.5 billion in present value benefits</w:t>
      </w:r>
      <w:r w:rsidRPr="006B296A">
        <w:rPr>
          <w:szCs w:val="22"/>
        </w:rPr>
        <w:t>, averaging </w:t>
      </w:r>
      <w:r w:rsidRPr="006B296A">
        <w:rPr>
          <w:b/>
          <w:bCs/>
          <w:szCs w:val="22"/>
        </w:rPr>
        <w:t>$533.7 million annually (undiscounted)</w:t>
      </w:r>
      <w:r w:rsidRPr="006B296A">
        <w:rPr>
          <w:szCs w:val="22"/>
        </w:rPr>
        <w:t>.</w:t>
      </w:r>
      <w:r w:rsidR="00FF179F">
        <w:rPr>
          <w:szCs w:val="22"/>
        </w:rPr>
        <w:t xml:space="preserve"> </w:t>
      </w:r>
      <w:r w:rsidRPr="006B296A">
        <w:rPr>
          <w:szCs w:val="22"/>
        </w:rPr>
        <w:t>While benefits may take time to materialise</w:t>
      </w:r>
      <w:r w:rsidR="000570F4" w:rsidRPr="006B296A">
        <w:rPr>
          <w:szCs w:val="22"/>
        </w:rPr>
        <w:t xml:space="preserve">, </w:t>
      </w:r>
      <w:r w:rsidRPr="006B296A">
        <w:rPr>
          <w:szCs w:val="22"/>
        </w:rPr>
        <w:t>particularly where system-level change is required</w:t>
      </w:r>
      <w:r w:rsidR="000570F4" w:rsidRPr="006B296A">
        <w:rPr>
          <w:szCs w:val="22"/>
        </w:rPr>
        <w:t xml:space="preserve">, </w:t>
      </w:r>
      <w:r w:rsidRPr="006B296A">
        <w:rPr>
          <w:szCs w:val="22"/>
        </w:rPr>
        <w:t>the analysis assumes breakeven effectiveness across all three benefit areas.</w:t>
      </w:r>
      <w:r w:rsidR="009C68B1">
        <w:rPr>
          <w:szCs w:val="22"/>
        </w:rPr>
        <w:t xml:space="preserve"> </w:t>
      </w:r>
      <w:r w:rsidR="007A3A8C">
        <w:rPr>
          <w:szCs w:val="22"/>
        </w:rPr>
        <w:t>For the analysis, t</w:t>
      </w:r>
      <w:r w:rsidR="009C68B1">
        <w:rPr>
          <w:szCs w:val="22"/>
        </w:rPr>
        <w:t>he</w:t>
      </w:r>
      <w:r w:rsidR="0047071F">
        <w:rPr>
          <w:szCs w:val="22"/>
        </w:rPr>
        <w:t xml:space="preserve"> monetary value associated with the</w:t>
      </w:r>
      <w:r w:rsidR="009C68B1">
        <w:rPr>
          <w:szCs w:val="22"/>
        </w:rPr>
        <w:t xml:space="preserve"> three benefit streams</w:t>
      </w:r>
      <w:r w:rsidR="0047071F">
        <w:rPr>
          <w:szCs w:val="22"/>
        </w:rPr>
        <w:t xml:space="preserve"> </w:t>
      </w:r>
      <w:r w:rsidR="00F15E5B">
        <w:rPr>
          <w:szCs w:val="22"/>
        </w:rPr>
        <w:t>are represented individually and do not include double counting between the streams. For example,</w:t>
      </w:r>
      <w:r w:rsidR="00372789">
        <w:rPr>
          <w:szCs w:val="22"/>
        </w:rPr>
        <w:t xml:space="preserve"> the</w:t>
      </w:r>
      <w:r w:rsidR="00372789" w:rsidRPr="00372789">
        <w:rPr>
          <w:szCs w:val="22"/>
        </w:rPr>
        <w:t xml:space="preserve"> ‘prevention of GBV’ benefit is measuring the avoided direct harms associated with physical and/or sexual assault on campus, whereas the broader ‘</w:t>
      </w:r>
      <w:r w:rsidR="00372789">
        <w:rPr>
          <w:szCs w:val="22"/>
        </w:rPr>
        <w:t xml:space="preserve">enhancing safety in higher education </w:t>
      </w:r>
      <w:r w:rsidR="00372789" w:rsidRPr="00372789">
        <w:rPr>
          <w:szCs w:val="22"/>
        </w:rPr>
        <w:t>environment</w:t>
      </w:r>
      <w:r w:rsidR="00372789">
        <w:rPr>
          <w:szCs w:val="22"/>
        </w:rPr>
        <w:t>s</w:t>
      </w:r>
      <w:r w:rsidR="00372789" w:rsidRPr="00372789">
        <w:rPr>
          <w:szCs w:val="22"/>
        </w:rPr>
        <w:t>’ benefit is measuring the improved overall wellbeing and productivity for all staff and students</w:t>
      </w:r>
      <w:r w:rsidR="00B2332C">
        <w:rPr>
          <w:szCs w:val="22"/>
        </w:rPr>
        <w:t xml:space="preserve">, to ensure that the monetary value to the benefits is accurate. </w:t>
      </w:r>
      <w:r w:rsidRPr="006B296A">
        <w:rPr>
          <w:szCs w:val="22"/>
        </w:rPr>
        <w:t>The analysis adopts conservative assumptions, and peer-reviewed studies of similar interventions</w:t>
      </w:r>
      <w:r w:rsidR="00E674CE" w:rsidRPr="006B296A">
        <w:rPr>
          <w:szCs w:val="22"/>
        </w:rPr>
        <w:t>,</w:t>
      </w:r>
      <w:r w:rsidRPr="006B296A">
        <w:rPr>
          <w:szCs w:val="22"/>
        </w:rPr>
        <w:t xml:space="preserve"> suggest the </w:t>
      </w:r>
      <w:r w:rsidR="008743F1" w:rsidRPr="006B296A">
        <w:rPr>
          <w:szCs w:val="22"/>
        </w:rPr>
        <w:t>National Code</w:t>
      </w:r>
      <w:r w:rsidRPr="006B296A">
        <w:rPr>
          <w:szCs w:val="22"/>
        </w:rPr>
        <w:t>’s actual effectiveness may be greater. Moreover, the total benefits are likely underestimated, as several important impacts were not quantified, including:</w:t>
      </w:r>
    </w:p>
    <w:p w14:paraId="17675EB6" w14:textId="77777777" w:rsidR="000D21A9" w:rsidRPr="006B296A" w:rsidRDefault="000D21A9" w:rsidP="006B296A">
      <w:pPr>
        <w:pStyle w:val="ListParagraph"/>
        <w:numPr>
          <w:ilvl w:val="0"/>
          <w:numId w:val="176"/>
        </w:numPr>
        <w:spacing w:after="0"/>
        <w:contextualSpacing w:val="0"/>
        <w:rPr>
          <w:szCs w:val="22"/>
        </w:rPr>
      </w:pPr>
      <w:r w:rsidRPr="006B296A">
        <w:rPr>
          <w:szCs w:val="22"/>
        </w:rPr>
        <w:t>Benefits to individuals who do not identify as female.</w:t>
      </w:r>
    </w:p>
    <w:p w14:paraId="73A9201D" w14:textId="77777777" w:rsidR="000D21A9" w:rsidRPr="006B296A" w:rsidRDefault="000D21A9" w:rsidP="006B296A">
      <w:pPr>
        <w:pStyle w:val="ListParagraph"/>
        <w:numPr>
          <w:ilvl w:val="0"/>
          <w:numId w:val="176"/>
        </w:numPr>
        <w:spacing w:after="0"/>
        <w:contextualSpacing w:val="0"/>
        <w:rPr>
          <w:szCs w:val="22"/>
        </w:rPr>
      </w:pPr>
      <w:r w:rsidRPr="006B296A">
        <w:rPr>
          <w:szCs w:val="22"/>
        </w:rPr>
        <w:t>Increased workforce participation among women.</w:t>
      </w:r>
    </w:p>
    <w:p w14:paraId="3A41FAFC" w14:textId="77777777" w:rsidR="000D21A9" w:rsidRPr="006B296A" w:rsidRDefault="000D21A9" w:rsidP="006B296A">
      <w:pPr>
        <w:pStyle w:val="ListParagraph"/>
        <w:numPr>
          <w:ilvl w:val="0"/>
          <w:numId w:val="176"/>
        </w:numPr>
        <w:spacing w:after="0"/>
        <w:contextualSpacing w:val="0"/>
        <w:rPr>
          <w:szCs w:val="22"/>
        </w:rPr>
      </w:pPr>
      <w:r w:rsidRPr="006B296A">
        <w:rPr>
          <w:szCs w:val="22"/>
        </w:rPr>
        <w:t>Improved attraction and retention for HEPs.</w:t>
      </w:r>
    </w:p>
    <w:p w14:paraId="10467888" w14:textId="77777777" w:rsidR="000D21A9" w:rsidRPr="006B296A" w:rsidRDefault="000D21A9" w:rsidP="006B296A">
      <w:pPr>
        <w:pStyle w:val="ListParagraph"/>
        <w:numPr>
          <w:ilvl w:val="0"/>
          <w:numId w:val="176"/>
        </w:numPr>
        <w:spacing w:after="0"/>
        <w:contextualSpacing w:val="0"/>
        <w:rPr>
          <w:szCs w:val="22"/>
        </w:rPr>
      </w:pPr>
      <w:r w:rsidRPr="006B296A">
        <w:rPr>
          <w:szCs w:val="22"/>
        </w:rPr>
        <w:lastRenderedPageBreak/>
        <w:t>Broader community safety.</w:t>
      </w:r>
    </w:p>
    <w:p w14:paraId="5C11C7AF" w14:textId="336D50F4" w:rsidR="00926399" w:rsidRPr="004B2571" w:rsidRDefault="00590371" w:rsidP="003123A1">
      <w:pPr>
        <w:pStyle w:val="ListParagraph"/>
        <w:numPr>
          <w:ilvl w:val="0"/>
          <w:numId w:val="176"/>
        </w:numPr>
        <w:spacing w:after="0"/>
        <w:contextualSpacing w:val="0"/>
        <w:rPr>
          <w:szCs w:val="22"/>
        </w:rPr>
      </w:pPr>
      <w:r>
        <w:rPr>
          <w:szCs w:val="22"/>
        </w:rPr>
        <w:t>Improved</w:t>
      </w:r>
      <w:r w:rsidR="000D21A9" w:rsidRPr="006B296A">
        <w:rPr>
          <w:szCs w:val="22"/>
        </w:rPr>
        <w:t xml:space="preserve"> outcomes for perpetrators, such as behaviour change, reduced reoffending, improved relationships, and </w:t>
      </w:r>
      <w:r w:rsidR="00442446">
        <w:rPr>
          <w:szCs w:val="22"/>
        </w:rPr>
        <w:t>safe and fair resolutions.</w:t>
      </w:r>
    </w:p>
    <w:p w14:paraId="34AE21C3" w14:textId="7DEAD0CD" w:rsidR="00FD4A36" w:rsidRPr="006B296A" w:rsidRDefault="00064C75" w:rsidP="00AF4033">
      <w:pPr>
        <w:spacing w:before="240"/>
        <w:rPr>
          <w:szCs w:val="22"/>
          <w:lang w:eastAsia="en-AU"/>
        </w:rPr>
      </w:pPr>
      <w:r w:rsidRPr="006B296A">
        <w:rPr>
          <w:szCs w:val="22"/>
          <w:lang w:eastAsia="en-AU"/>
        </w:rPr>
        <w:t>The CBA indicates that even when considering just two of the three quantified benefit streams</w:t>
      </w:r>
      <w:r w:rsidR="001D1634">
        <w:rPr>
          <w:szCs w:val="22"/>
          <w:lang w:eastAsia="en-AU"/>
        </w:rPr>
        <w:t xml:space="preserve">, </w:t>
      </w:r>
      <w:r w:rsidR="002B51D5">
        <w:rPr>
          <w:szCs w:val="22"/>
          <w:lang w:eastAsia="en-AU"/>
        </w:rPr>
        <w:t>prevention of GBV and enhanced safety within higher education environments,</w:t>
      </w:r>
      <w:r w:rsidRPr="006B296A">
        <w:rPr>
          <w:szCs w:val="22"/>
          <w:lang w:eastAsia="en-AU"/>
        </w:rPr>
        <w:t xml:space="preserve"> the National Code is likely to achieve a </w:t>
      </w:r>
      <w:r w:rsidR="000950C0">
        <w:rPr>
          <w:szCs w:val="22"/>
          <w:lang w:eastAsia="en-AU"/>
        </w:rPr>
        <w:t>benefit-cost ration (BCR)</w:t>
      </w:r>
      <w:r w:rsidRPr="006B296A">
        <w:rPr>
          <w:szCs w:val="22"/>
          <w:lang w:eastAsia="en-AU"/>
        </w:rPr>
        <w:t xml:space="preserve"> of at least 2. If </w:t>
      </w:r>
      <w:r w:rsidR="00FD4A36" w:rsidRPr="006B296A">
        <w:rPr>
          <w:szCs w:val="22"/>
          <w:lang w:eastAsia="en-AU"/>
        </w:rPr>
        <w:t>all three</w:t>
      </w:r>
      <w:r w:rsidR="002B51D5">
        <w:rPr>
          <w:szCs w:val="22"/>
          <w:lang w:eastAsia="en-AU"/>
        </w:rPr>
        <w:t xml:space="preserve"> benefits</w:t>
      </w:r>
      <w:r w:rsidR="00FD4A36" w:rsidRPr="006B296A">
        <w:rPr>
          <w:szCs w:val="22"/>
          <w:lang w:eastAsia="en-AU"/>
        </w:rPr>
        <w:t xml:space="preserve"> are realised (prevention of GBV, improved responses to disclosures and reports, and enhanced safety within higher education environments) </w:t>
      </w:r>
      <w:r w:rsidRPr="006B296A">
        <w:rPr>
          <w:szCs w:val="22"/>
          <w:lang w:eastAsia="en-AU"/>
        </w:rPr>
        <w:t xml:space="preserve">it is feasible that the </w:t>
      </w:r>
      <w:r w:rsidR="00FD4A36" w:rsidRPr="006B296A">
        <w:rPr>
          <w:szCs w:val="22"/>
          <w:lang w:eastAsia="en-AU"/>
        </w:rPr>
        <w:t xml:space="preserve">National </w:t>
      </w:r>
      <w:r w:rsidRPr="006B296A">
        <w:rPr>
          <w:szCs w:val="22"/>
          <w:lang w:eastAsia="en-AU"/>
        </w:rPr>
        <w:t xml:space="preserve">Code could achieve a BCR of 3. </w:t>
      </w:r>
      <w:r w:rsidR="00FD4A36" w:rsidRPr="006B296A">
        <w:rPr>
          <w:szCs w:val="22"/>
          <w:lang w:eastAsia="en-AU"/>
        </w:rPr>
        <w:t xml:space="preserve">That is to say that for every $1 spent there would be a return of $3. </w:t>
      </w:r>
    </w:p>
    <w:p w14:paraId="1F817899" w14:textId="5E9C14BA" w:rsidR="00C30E44" w:rsidRPr="00DD4830" w:rsidRDefault="00C30E44" w:rsidP="00DD4830">
      <w:pPr>
        <w:pStyle w:val="NormalWeb"/>
        <w:spacing w:before="0" w:beforeAutospacing="0" w:after="160" w:afterAutospacing="0" w:line="278" w:lineRule="auto"/>
        <w:rPr>
          <w:rFonts w:cs="Segoe UI"/>
          <w:color w:val="000000" w:themeColor="text1"/>
          <w:szCs w:val="22"/>
        </w:rPr>
      </w:pPr>
      <w:r>
        <w:rPr>
          <w:rFonts w:asciiTheme="minorHAnsi" w:hAnsiTheme="minorHAnsi" w:cs="Segoe UI"/>
          <w:color w:val="000000" w:themeColor="text1"/>
          <w:szCs w:val="22"/>
        </w:rPr>
        <w:t xml:space="preserve">The </w:t>
      </w:r>
      <w:r w:rsidR="008B2E1F">
        <w:rPr>
          <w:rFonts w:asciiTheme="minorHAnsi" w:hAnsiTheme="minorHAnsi" w:cs="Segoe UI"/>
          <w:color w:val="000000" w:themeColor="text1"/>
          <w:szCs w:val="22"/>
        </w:rPr>
        <w:t xml:space="preserve">break-even analysis </w:t>
      </w:r>
      <w:r w:rsidR="001A62FC">
        <w:rPr>
          <w:rFonts w:asciiTheme="minorHAnsi" w:hAnsiTheme="minorHAnsi" w:cs="Segoe UI"/>
          <w:color w:val="000000" w:themeColor="text1"/>
          <w:szCs w:val="22"/>
        </w:rPr>
        <w:t>(BEA)</w:t>
      </w:r>
      <w:r w:rsidR="008B2E1F">
        <w:rPr>
          <w:rFonts w:asciiTheme="minorHAnsi" w:hAnsiTheme="minorHAnsi" w:cs="Segoe UI"/>
          <w:color w:val="000000" w:themeColor="text1"/>
          <w:szCs w:val="22"/>
        </w:rPr>
        <w:t xml:space="preserve"> </w:t>
      </w:r>
      <w:r>
        <w:rPr>
          <w:rFonts w:asciiTheme="minorHAnsi" w:hAnsiTheme="minorHAnsi" w:cs="Segoe UI"/>
          <w:color w:val="000000" w:themeColor="text1"/>
          <w:szCs w:val="22"/>
        </w:rPr>
        <w:t xml:space="preserve">determines the </w:t>
      </w:r>
      <w:r w:rsidR="004710FF" w:rsidRPr="00F568DE">
        <w:rPr>
          <w:rFonts w:asciiTheme="minorHAnsi" w:hAnsiTheme="minorHAnsi" w:cs="Segoe UI"/>
          <w:color w:val="000000" w:themeColor="text1"/>
          <w:szCs w:val="22"/>
        </w:rPr>
        <w:t>point a</w:t>
      </w:r>
      <w:r w:rsidR="00F568DE">
        <w:rPr>
          <w:rFonts w:asciiTheme="minorHAnsi" w:hAnsiTheme="minorHAnsi" w:cs="Segoe UI"/>
          <w:color w:val="000000" w:themeColor="text1"/>
          <w:szCs w:val="22"/>
        </w:rPr>
        <w:t>t</w:t>
      </w:r>
      <w:r w:rsidR="004710FF" w:rsidRPr="00F568DE">
        <w:rPr>
          <w:rFonts w:asciiTheme="minorHAnsi" w:hAnsiTheme="minorHAnsi" w:cs="Segoe UI"/>
          <w:color w:val="000000" w:themeColor="text1"/>
          <w:szCs w:val="22"/>
        </w:rPr>
        <w:t xml:space="preserve"> which</w:t>
      </w:r>
      <w:r w:rsidR="004710FF">
        <w:rPr>
          <w:rFonts w:asciiTheme="minorHAnsi" w:hAnsiTheme="minorHAnsi" w:cs="Segoe UI"/>
          <w:color w:val="000000" w:themeColor="text1"/>
          <w:szCs w:val="22"/>
        </w:rPr>
        <w:t xml:space="preserve"> the costs and benefits of a policy </w:t>
      </w:r>
      <w:r>
        <w:rPr>
          <w:rFonts w:asciiTheme="minorHAnsi" w:hAnsiTheme="minorHAnsi" w:cs="Segoe UI"/>
          <w:color w:val="000000" w:themeColor="text1"/>
          <w:szCs w:val="22"/>
        </w:rPr>
        <w:t xml:space="preserve">intervention </w:t>
      </w:r>
      <w:r w:rsidR="004710FF">
        <w:rPr>
          <w:rFonts w:asciiTheme="minorHAnsi" w:hAnsiTheme="minorHAnsi" w:cs="Segoe UI"/>
          <w:color w:val="000000" w:themeColor="text1"/>
          <w:szCs w:val="22"/>
        </w:rPr>
        <w:t>are equal</w:t>
      </w:r>
      <w:r>
        <w:rPr>
          <w:rFonts w:asciiTheme="minorHAnsi" w:hAnsiTheme="minorHAnsi" w:cs="Segoe UI"/>
          <w:color w:val="000000" w:themeColor="text1"/>
          <w:szCs w:val="22"/>
        </w:rPr>
        <w:t xml:space="preserve">. </w:t>
      </w:r>
      <w:r w:rsidR="006A78FC">
        <w:rPr>
          <w:rFonts w:asciiTheme="minorHAnsi" w:hAnsiTheme="minorHAnsi" w:cs="Segoe UI"/>
          <w:color w:val="000000" w:themeColor="text1"/>
          <w:szCs w:val="22"/>
        </w:rPr>
        <w:t>It</w:t>
      </w:r>
      <w:r>
        <w:rPr>
          <w:rFonts w:asciiTheme="minorHAnsi" w:hAnsiTheme="minorHAnsi" w:cs="Segoe UI"/>
          <w:color w:val="000000" w:themeColor="text1"/>
          <w:szCs w:val="22"/>
        </w:rPr>
        <w:t xml:space="preserve"> is difficult to estimate specific timeframes in which the benefits of preventing and responding to gender-based violence will occur. Instead, what the BEA analysis can reveal is that </w:t>
      </w:r>
      <w:r w:rsidRPr="006B296A">
        <w:rPr>
          <w:rFonts w:asciiTheme="minorHAnsi" w:hAnsiTheme="minorHAnsi" w:cs="Segoe UI"/>
          <w:color w:val="000000" w:themeColor="text1"/>
          <w:szCs w:val="22"/>
        </w:rPr>
        <w:t>preventing just </w:t>
      </w:r>
      <w:r w:rsidRPr="006B296A">
        <w:rPr>
          <w:rStyle w:val="Strong"/>
          <w:rFonts w:asciiTheme="minorHAnsi" w:eastAsiaTheme="majorEastAsia" w:hAnsiTheme="minorHAnsi" w:cs="Segoe UI"/>
          <w:b w:val="0"/>
          <w:color w:val="000000" w:themeColor="text1"/>
          <w:szCs w:val="22"/>
        </w:rPr>
        <w:t>1.2% of physical and sexual assault cases</w:t>
      </w:r>
      <w:r w:rsidRPr="006B296A">
        <w:rPr>
          <w:rFonts w:asciiTheme="minorHAnsi" w:hAnsiTheme="minorHAnsi" w:cs="Segoe UI"/>
          <w:color w:val="000000" w:themeColor="text1"/>
          <w:szCs w:val="22"/>
        </w:rPr>
        <w:t> on campus (approximately </w:t>
      </w:r>
      <w:r w:rsidRPr="006B296A">
        <w:rPr>
          <w:rStyle w:val="Strong"/>
          <w:rFonts w:asciiTheme="minorHAnsi" w:eastAsiaTheme="majorEastAsia" w:hAnsiTheme="minorHAnsi" w:cs="Segoe UI"/>
          <w:b w:val="0"/>
          <w:color w:val="000000" w:themeColor="text1"/>
          <w:szCs w:val="22"/>
        </w:rPr>
        <w:t>414 cases annually across 211 providers</w:t>
      </w:r>
      <w:r w:rsidRPr="006B296A">
        <w:rPr>
          <w:rFonts w:asciiTheme="minorHAnsi" w:hAnsiTheme="minorHAnsi" w:cs="Segoe UI"/>
          <w:color w:val="000000" w:themeColor="text1"/>
          <w:szCs w:val="22"/>
        </w:rPr>
        <w:t>) would be sufficient to offset the National Code’s implementation costs.</w:t>
      </w:r>
      <w:r>
        <w:rPr>
          <w:rFonts w:asciiTheme="minorHAnsi" w:hAnsiTheme="minorHAnsi" w:cs="Segoe UI"/>
          <w:color w:val="000000" w:themeColor="text1"/>
          <w:szCs w:val="22"/>
        </w:rPr>
        <w:t xml:space="preserve"> </w:t>
      </w:r>
      <w:r w:rsidRPr="006B296A">
        <w:rPr>
          <w:rFonts w:asciiTheme="minorHAnsi" w:hAnsiTheme="minorHAnsi" w:cs="Segoe UI"/>
          <w:color w:val="000000" w:themeColor="text1"/>
          <w:szCs w:val="22"/>
        </w:rPr>
        <w:t>This represents the minimum effectiveness required for the National Code to deliver net benefit based on prevention alone.</w:t>
      </w:r>
    </w:p>
    <w:p w14:paraId="119CE8D0" w14:textId="2AAE64B4" w:rsidR="00064C75" w:rsidRPr="006B296A" w:rsidRDefault="00064C75" w:rsidP="00064C75">
      <w:pPr>
        <w:rPr>
          <w:szCs w:val="22"/>
          <w:lang w:eastAsia="en-AU"/>
        </w:rPr>
      </w:pPr>
      <w:r w:rsidRPr="006B296A">
        <w:rPr>
          <w:szCs w:val="22"/>
          <w:lang w:eastAsia="en-AU"/>
        </w:rPr>
        <w:t>This outcome would be dependent on effective implementation, robust compliance monitoring and regular evaluation to ensure strong recovery outcomes in response to disclosures.</w:t>
      </w:r>
    </w:p>
    <w:p w14:paraId="73D49169" w14:textId="41E5C812" w:rsidR="00C95CBD" w:rsidRPr="000E76BD" w:rsidRDefault="00E674CE" w:rsidP="00B55DCB">
      <w:pPr>
        <w:pStyle w:val="Heading4"/>
        <w:spacing w:before="0" w:after="160"/>
      </w:pPr>
      <w:r>
        <w:t>Benefit of p</w:t>
      </w:r>
      <w:r w:rsidR="00A32449" w:rsidRPr="00FE7469">
        <w:t xml:space="preserve">revention of </w:t>
      </w:r>
      <w:r w:rsidR="00B7771B">
        <w:t>GBV</w:t>
      </w:r>
    </w:p>
    <w:p w14:paraId="65D0C824" w14:textId="400E98E2" w:rsidR="00600EBD" w:rsidRPr="006B296A" w:rsidRDefault="00600EBD" w:rsidP="00E674CE">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 xml:space="preserve">The </w:t>
      </w:r>
      <w:r w:rsidR="008743F1" w:rsidRPr="006B296A">
        <w:rPr>
          <w:rFonts w:asciiTheme="minorHAnsi" w:hAnsiTheme="minorHAnsi" w:cs="Segoe UI"/>
          <w:color w:val="000000" w:themeColor="text1"/>
          <w:szCs w:val="22"/>
        </w:rPr>
        <w:t>National Code</w:t>
      </w:r>
      <w:r w:rsidRPr="006B296A">
        <w:rPr>
          <w:rFonts w:asciiTheme="minorHAnsi" w:hAnsiTheme="minorHAnsi" w:cs="Segoe UI"/>
          <w:color w:val="000000" w:themeColor="text1"/>
          <w:szCs w:val="22"/>
        </w:rPr>
        <w:t xml:space="preserve"> aims to prevent exposure to </w:t>
      </w:r>
      <w:r w:rsidR="008223FC" w:rsidRPr="006B296A">
        <w:rPr>
          <w:rFonts w:asciiTheme="minorHAnsi" w:hAnsiTheme="minorHAnsi" w:cs="Segoe UI"/>
          <w:color w:val="000000" w:themeColor="text1"/>
          <w:szCs w:val="22"/>
        </w:rPr>
        <w:t>GBV</w:t>
      </w:r>
      <w:r w:rsidRPr="006B296A">
        <w:rPr>
          <w:rFonts w:asciiTheme="minorHAnsi" w:hAnsiTheme="minorHAnsi" w:cs="Segoe UI"/>
          <w:color w:val="000000" w:themeColor="text1"/>
          <w:szCs w:val="22"/>
        </w:rPr>
        <w:t xml:space="preserve"> by addressing its underlying drivers. Preventing </w:t>
      </w:r>
      <w:r w:rsidR="008223FC" w:rsidRPr="006B296A">
        <w:rPr>
          <w:rFonts w:asciiTheme="minorHAnsi" w:hAnsiTheme="minorHAnsi" w:cs="Segoe UI"/>
          <w:color w:val="000000" w:themeColor="text1"/>
          <w:szCs w:val="22"/>
        </w:rPr>
        <w:t>GBV</w:t>
      </w:r>
      <w:r w:rsidRPr="006B296A">
        <w:rPr>
          <w:rFonts w:asciiTheme="minorHAnsi" w:hAnsiTheme="minorHAnsi" w:cs="Segoe UI"/>
          <w:color w:val="000000" w:themeColor="text1"/>
          <w:szCs w:val="22"/>
        </w:rPr>
        <w:t xml:space="preserve"> before it occurs eliminates long-term harms, including physical and psychological trauma, lost earnings during recovery, and diminished lifetime earning potential.</w:t>
      </w:r>
    </w:p>
    <w:p w14:paraId="159B0724" w14:textId="0F0B4821" w:rsidR="00600EBD" w:rsidRPr="006B296A" w:rsidRDefault="00600EBD" w:rsidP="00E674CE">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 xml:space="preserve">Due to data limitations, CBA focuses specifically on the prevention of physical and sexual assault on campus, meaning the broader benefits of preventing all forms of </w:t>
      </w:r>
      <w:r w:rsidR="008223FC" w:rsidRPr="006B296A">
        <w:rPr>
          <w:rFonts w:asciiTheme="minorHAnsi" w:hAnsiTheme="minorHAnsi" w:cs="Segoe UI"/>
          <w:color w:val="000000" w:themeColor="text1"/>
          <w:szCs w:val="22"/>
        </w:rPr>
        <w:t>GBV</w:t>
      </w:r>
      <w:r w:rsidRPr="006B296A">
        <w:rPr>
          <w:rFonts w:asciiTheme="minorHAnsi" w:hAnsiTheme="minorHAnsi" w:cs="Segoe UI"/>
          <w:color w:val="000000" w:themeColor="text1"/>
          <w:szCs w:val="22"/>
        </w:rPr>
        <w:t xml:space="preserve"> are likely underestimated. </w:t>
      </w:r>
      <w:r w:rsidR="006D43B1">
        <w:rPr>
          <w:rFonts w:asciiTheme="minorHAnsi" w:hAnsiTheme="minorHAnsi" w:cs="Segoe UI"/>
          <w:color w:val="000000" w:themeColor="text1"/>
          <w:szCs w:val="22"/>
        </w:rPr>
        <w:t>The CBA estimated that e</w:t>
      </w:r>
      <w:r w:rsidRPr="006B296A">
        <w:rPr>
          <w:rFonts w:asciiTheme="minorHAnsi" w:hAnsiTheme="minorHAnsi" w:cs="Segoe UI"/>
          <w:color w:val="000000" w:themeColor="text1"/>
          <w:szCs w:val="22"/>
        </w:rPr>
        <w:t xml:space="preserve">ach prevented case </w:t>
      </w:r>
      <w:r w:rsidR="00F2783B">
        <w:rPr>
          <w:rFonts w:asciiTheme="minorHAnsi" w:hAnsiTheme="minorHAnsi" w:cs="Segoe UI"/>
          <w:color w:val="000000" w:themeColor="text1"/>
          <w:szCs w:val="22"/>
        </w:rPr>
        <w:t>of GBV</w:t>
      </w:r>
      <w:r w:rsidRPr="006B296A">
        <w:rPr>
          <w:rFonts w:asciiTheme="minorHAnsi" w:hAnsiTheme="minorHAnsi" w:cs="Segoe UI"/>
          <w:color w:val="000000" w:themeColor="text1"/>
          <w:szCs w:val="22"/>
        </w:rPr>
        <w:t xml:space="preserve"> is valued at </w:t>
      </w:r>
      <w:r w:rsidRPr="006B296A">
        <w:rPr>
          <w:rStyle w:val="Strong"/>
          <w:rFonts w:asciiTheme="minorHAnsi" w:eastAsiaTheme="majorEastAsia" w:hAnsiTheme="minorHAnsi" w:cs="Segoe UI"/>
          <w:b w:val="0"/>
          <w:color w:val="000000" w:themeColor="text1"/>
          <w:szCs w:val="22"/>
        </w:rPr>
        <w:t>$364,000 for students</w:t>
      </w:r>
      <w:r w:rsidRPr="006B296A">
        <w:rPr>
          <w:rFonts w:asciiTheme="minorHAnsi" w:hAnsiTheme="minorHAnsi" w:cs="Segoe UI"/>
          <w:b/>
          <w:color w:val="000000" w:themeColor="text1"/>
          <w:szCs w:val="22"/>
        </w:rPr>
        <w:t> </w:t>
      </w:r>
      <w:r w:rsidRPr="006B296A">
        <w:rPr>
          <w:rFonts w:asciiTheme="minorHAnsi" w:hAnsiTheme="minorHAnsi" w:cs="Segoe UI"/>
          <w:color w:val="000000" w:themeColor="text1"/>
          <w:szCs w:val="22"/>
        </w:rPr>
        <w:t>and </w:t>
      </w:r>
      <w:r w:rsidRPr="006B296A">
        <w:rPr>
          <w:rStyle w:val="Strong"/>
          <w:rFonts w:asciiTheme="minorHAnsi" w:eastAsiaTheme="majorEastAsia" w:hAnsiTheme="minorHAnsi" w:cs="Segoe UI"/>
          <w:b w:val="0"/>
          <w:color w:val="000000" w:themeColor="text1"/>
          <w:szCs w:val="22"/>
        </w:rPr>
        <w:t>$260,000 for staff or volunteers</w:t>
      </w:r>
      <w:r w:rsidRPr="006B296A">
        <w:rPr>
          <w:rFonts w:asciiTheme="minorHAnsi" w:hAnsiTheme="minorHAnsi" w:cs="Segoe UI"/>
          <w:b/>
          <w:color w:val="000000" w:themeColor="text1"/>
          <w:szCs w:val="22"/>
        </w:rPr>
        <w:t>,</w:t>
      </w:r>
      <w:r w:rsidRPr="006B296A">
        <w:rPr>
          <w:rFonts w:asciiTheme="minorHAnsi" w:hAnsiTheme="minorHAnsi" w:cs="Segoe UI"/>
          <w:color w:val="000000" w:themeColor="text1"/>
          <w:szCs w:val="22"/>
        </w:rPr>
        <w:t xml:space="preserve"> reflecting the substantial individual and societal costs avoided.</w:t>
      </w:r>
    </w:p>
    <w:p w14:paraId="438A375F" w14:textId="4432EF2C" w:rsidR="00600EBD" w:rsidRPr="006B296A" w:rsidRDefault="003E5585" w:rsidP="00E674CE">
      <w:pPr>
        <w:pStyle w:val="NormalWeb"/>
        <w:spacing w:before="0" w:beforeAutospacing="0" w:after="160" w:afterAutospacing="0" w:line="278" w:lineRule="auto"/>
        <w:rPr>
          <w:rFonts w:asciiTheme="minorHAnsi" w:hAnsiTheme="minorHAnsi" w:cs="Segoe UI"/>
          <w:color w:val="000000" w:themeColor="text1"/>
          <w:szCs w:val="22"/>
        </w:rPr>
      </w:pPr>
      <w:r>
        <w:rPr>
          <w:rFonts w:asciiTheme="minorHAnsi" w:hAnsiTheme="minorHAnsi" w:cs="Segoe UI"/>
          <w:color w:val="000000" w:themeColor="text1"/>
          <w:szCs w:val="22"/>
        </w:rPr>
        <w:t xml:space="preserve">As stated above, the National Code </w:t>
      </w:r>
      <w:r w:rsidR="001A370B">
        <w:rPr>
          <w:rFonts w:asciiTheme="minorHAnsi" w:hAnsiTheme="minorHAnsi" w:cs="Segoe UI"/>
          <w:color w:val="000000" w:themeColor="text1"/>
          <w:szCs w:val="22"/>
        </w:rPr>
        <w:t xml:space="preserve">can </w:t>
      </w:r>
      <w:r>
        <w:rPr>
          <w:rFonts w:asciiTheme="minorHAnsi" w:hAnsiTheme="minorHAnsi" w:cs="Segoe UI"/>
          <w:color w:val="000000" w:themeColor="text1"/>
          <w:szCs w:val="22"/>
        </w:rPr>
        <w:t>breakeven</w:t>
      </w:r>
      <w:r w:rsidR="001D1087">
        <w:rPr>
          <w:rFonts w:asciiTheme="minorHAnsi" w:hAnsiTheme="minorHAnsi" w:cs="Segoe UI"/>
          <w:color w:val="000000" w:themeColor="text1"/>
          <w:szCs w:val="22"/>
        </w:rPr>
        <w:t xml:space="preserve"> through benefits from prevention alone</w:t>
      </w:r>
      <w:r w:rsidR="0015216D">
        <w:rPr>
          <w:rFonts w:asciiTheme="minorHAnsi" w:hAnsiTheme="minorHAnsi" w:cs="Segoe UI"/>
          <w:color w:val="000000" w:themeColor="text1"/>
          <w:szCs w:val="22"/>
        </w:rPr>
        <w:t xml:space="preserve"> </w:t>
      </w:r>
      <w:r w:rsidR="0083612A">
        <w:rPr>
          <w:rFonts w:asciiTheme="minorHAnsi" w:hAnsiTheme="minorHAnsi" w:cs="Segoe UI"/>
          <w:color w:val="000000" w:themeColor="text1"/>
          <w:szCs w:val="22"/>
        </w:rPr>
        <w:t>(</w:t>
      </w:r>
      <w:r w:rsidR="00CE005B" w:rsidRPr="00CE005B">
        <w:rPr>
          <w:rFonts w:asciiTheme="minorHAnsi" w:hAnsiTheme="minorHAnsi" w:cs="Segoe UI"/>
          <w:color w:val="000000" w:themeColor="text1"/>
          <w:szCs w:val="22"/>
        </w:rPr>
        <w:t xml:space="preserve">1.2% of </w:t>
      </w:r>
      <w:r w:rsidR="0083612A">
        <w:rPr>
          <w:rFonts w:asciiTheme="minorHAnsi" w:hAnsiTheme="minorHAnsi" w:cs="Segoe UI"/>
          <w:color w:val="000000" w:themeColor="text1"/>
          <w:szCs w:val="22"/>
        </w:rPr>
        <w:t xml:space="preserve">sexual and </w:t>
      </w:r>
      <w:r w:rsidR="008919F9">
        <w:rPr>
          <w:rFonts w:asciiTheme="minorHAnsi" w:hAnsiTheme="minorHAnsi" w:cs="Segoe UI"/>
          <w:color w:val="000000" w:themeColor="text1"/>
          <w:szCs w:val="22"/>
        </w:rPr>
        <w:t xml:space="preserve">physical </w:t>
      </w:r>
      <w:r w:rsidR="0083612A">
        <w:rPr>
          <w:rFonts w:asciiTheme="minorHAnsi" w:hAnsiTheme="minorHAnsi" w:cs="Segoe UI"/>
          <w:color w:val="000000" w:themeColor="text1"/>
          <w:szCs w:val="22"/>
        </w:rPr>
        <w:t>assaults</w:t>
      </w:r>
      <w:r w:rsidR="008919F9">
        <w:rPr>
          <w:rFonts w:asciiTheme="minorHAnsi" w:hAnsiTheme="minorHAnsi" w:cs="Segoe UI"/>
          <w:color w:val="000000" w:themeColor="text1"/>
          <w:szCs w:val="22"/>
        </w:rPr>
        <w:t xml:space="preserve"> </w:t>
      </w:r>
      <w:r w:rsidR="00CE005B" w:rsidRPr="00CE005B">
        <w:rPr>
          <w:rFonts w:asciiTheme="minorHAnsi" w:hAnsiTheme="minorHAnsi" w:cs="Segoe UI"/>
          <w:color w:val="000000" w:themeColor="text1"/>
          <w:szCs w:val="22"/>
        </w:rPr>
        <w:t xml:space="preserve">would </w:t>
      </w:r>
      <w:r w:rsidR="0083612A">
        <w:rPr>
          <w:rFonts w:asciiTheme="minorHAnsi" w:hAnsiTheme="minorHAnsi" w:cs="Segoe UI"/>
          <w:color w:val="000000" w:themeColor="text1"/>
          <w:szCs w:val="22"/>
        </w:rPr>
        <w:t xml:space="preserve">need </w:t>
      </w:r>
      <w:r w:rsidR="0083612A" w:rsidRPr="00442679">
        <w:rPr>
          <w:rFonts w:asciiTheme="minorHAnsi" w:hAnsiTheme="minorHAnsi" w:cs="Segoe UI"/>
          <w:color w:val="000000" w:themeColor="text1"/>
          <w:szCs w:val="22"/>
        </w:rPr>
        <w:t xml:space="preserve">to </w:t>
      </w:r>
      <w:r w:rsidR="003508CC" w:rsidRPr="00442679">
        <w:rPr>
          <w:rFonts w:asciiTheme="minorHAnsi" w:hAnsiTheme="minorHAnsi" w:cs="Segoe UI"/>
          <w:color w:val="000000" w:themeColor="text1"/>
          <w:szCs w:val="22"/>
        </w:rPr>
        <w:t xml:space="preserve">be </w:t>
      </w:r>
      <w:r w:rsidR="0083612A" w:rsidRPr="00442679">
        <w:rPr>
          <w:rFonts w:asciiTheme="minorHAnsi" w:hAnsiTheme="minorHAnsi" w:cs="Segoe UI"/>
          <w:color w:val="000000" w:themeColor="text1"/>
          <w:szCs w:val="22"/>
        </w:rPr>
        <w:t>prevented</w:t>
      </w:r>
      <w:r w:rsidR="0083612A">
        <w:rPr>
          <w:rFonts w:asciiTheme="minorHAnsi" w:hAnsiTheme="minorHAnsi" w:cs="Segoe UI"/>
          <w:color w:val="000000" w:themeColor="text1"/>
          <w:szCs w:val="22"/>
        </w:rPr>
        <w:t xml:space="preserve"> to meet this</w:t>
      </w:r>
      <w:r w:rsidR="008B2C0C">
        <w:rPr>
          <w:rFonts w:asciiTheme="minorHAnsi" w:hAnsiTheme="minorHAnsi" w:cs="Segoe UI"/>
          <w:color w:val="000000" w:themeColor="text1"/>
          <w:szCs w:val="22"/>
        </w:rPr>
        <w:t xml:space="preserve"> breakeven</w:t>
      </w:r>
      <w:r w:rsidR="00CE005B" w:rsidRPr="00CE005B">
        <w:rPr>
          <w:rFonts w:asciiTheme="minorHAnsi" w:hAnsiTheme="minorHAnsi" w:cs="Segoe UI"/>
          <w:color w:val="000000" w:themeColor="text1"/>
          <w:szCs w:val="22"/>
        </w:rPr>
        <w:t xml:space="preserve"> </w:t>
      </w:r>
      <w:r w:rsidR="0083612A">
        <w:rPr>
          <w:rFonts w:asciiTheme="minorHAnsi" w:hAnsiTheme="minorHAnsi" w:cs="Segoe UI"/>
          <w:color w:val="000000" w:themeColor="text1"/>
          <w:szCs w:val="22"/>
        </w:rPr>
        <w:t>point).</w:t>
      </w:r>
      <w:r w:rsidR="00075DF8">
        <w:rPr>
          <w:rFonts w:asciiTheme="minorHAnsi" w:hAnsiTheme="minorHAnsi" w:cs="Segoe UI"/>
          <w:color w:val="000000" w:themeColor="text1"/>
          <w:szCs w:val="22"/>
        </w:rPr>
        <w:t xml:space="preserve"> </w:t>
      </w:r>
      <w:r w:rsidR="00600EBD" w:rsidRPr="006B296A">
        <w:rPr>
          <w:rFonts w:asciiTheme="minorHAnsi" w:hAnsiTheme="minorHAnsi" w:cs="Segoe UI"/>
          <w:color w:val="000000" w:themeColor="text1"/>
          <w:szCs w:val="22"/>
        </w:rPr>
        <w:t xml:space="preserve">Existing research indicates that targeted </w:t>
      </w:r>
      <w:r w:rsidR="008223FC" w:rsidRPr="006B296A">
        <w:rPr>
          <w:rFonts w:asciiTheme="minorHAnsi" w:hAnsiTheme="minorHAnsi" w:cs="Segoe UI"/>
          <w:color w:val="000000" w:themeColor="text1"/>
          <w:szCs w:val="22"/>
        </w:rPr>
        <w:t>GBV</w:t>
      </w:r>
      <w:r w:rsidR="00600EBD" w:rsidRPr="006B296A">
        <w:rPr>
          <w:rFonts w:asciiTheme="minorHAnsi" w:hAnsiTheme="minorHAnsi" w:cs="Segoe UI"/>
          <w:color w:val="000000" w:themeColor="text1"/>
          <w:szCs w:val="22"/>
        </w:rPr>
        <w:t xml:space="preserve"> interventions in educational settings can reduce sexual violence and bullying by around </w:t>
      </w:r>
      <w:r w:rsidR="00600EBD" w:rsidRPr="006B296A">
        <w:rPr>
          <w:rStyle w:val="Strong"/>
          <w:rFonts w:asciiTheme="minorHAnsi" w:eastAsiaTheme="majorEastAsia" w:hAnsiTheme="minorHAnsi" w:cs="Segoe UI"/>
          <w:b w:val="0"/>
          <w:color w:val="000000" w:themeColor="text1"/>
          <w:szCs w:val="22"/>
        </w:rPr>
        <w:t xml:space="preserve">3%, </w:t>
      </w:r>
      <w:r w:rsidR="00600EBD" w:rsidRPr="006B296A">
        <w:rPr>
          <w:rFonts w:asciiTheme="minorHAnsi" w:hAnsiTheme="minorHAnsi" w:cs="Segoe UI"/>
          <w:color w:val="000000" w:themeColor="text1"/>
          <w:szCs w:val="22"/>
        </w:rPr>
        <w:t xml:space="preserve">suggesting the </w:t>
      </w:r>
      <w:r w:rsidR="008743F1" w:rsidRPr="006B296A">
        <w:rPr>
          <w:rFonts w:asciiTheme="minorHAnsi" w:hAnsiTheme="minorHAnsi" w:cs="Segoe UI"/>
          <w:color w:val="000000" w:themeColor="text1"/>
          <w:szCs w:val="22"/>
        </w:rPr>
        <w:t>National Code</w:t>
      </w:r>
      <w:r w:rsidR="00600EBD" w:rsidRPr="006B296A">
        <w:rPr>
          <w:rFonts w:asciiTheme="minorHAnsi" w:hAnsiTheme="minorHAnsi" w:cs="Segoe UI"/>
          <w:color w:val="000000" w:themeColor="text1"/>
          <w:szCs w:val="22"/>
        </w:rPr>
        <w:t>’s actual benefits could be up to </w:t>
      </w:r>
      <w:r w:rsidR="00600EBD" w:rsidRPr="006B296A">
        <w:rPr>
          <w:rStyle w:val="Strong"/>
          <w:rFonts w:asciiTheme="minorHAnsi" w:eastAsiaTheme="majorEastAsia" w:hAnsiTheme="minorHAnsi" w:cs="Segoe UI"/>
          <w:b w:val="0"/>
          <w:color w:val="000000" w:themeColor="text1"/>
          <w:szCs w:val="22"/>
        </w:rPr>
        <w:t>$2.7 billion in present value over ten years</w:t>
      </w:r>
      <w:r w:rsidR="00547145" w:rsidRPr="006B296A">
        <w:rPr>
          <w:rFonts w:asciiTheme="minorHAnsi" w:hAnsiTheme="minorHAnsi" w:cs="Segoe UI"/>
          <w:color w:val="000000" w:themeColor="text1"/>
          <w:szCs w:val="22"/>
        </w:rPr>
        <w:t xml:space="preserve">, </w:t>
      </w:r>
      <w:r w:rsidR="00600EBD" w:rsidRPr="006B296A">
        <w:rPr>
          <w:rFonts w:asciiTheme="minorHAnsi" w:hAnsiTheme="minorHAnsi" w:cs="Segoe UI"/>
          <w:color w:val="000000" w:themeColor="text1"/>
          <w:szCs w:val="22"/>
        </w:rPr>
        <w:t>more than double the breakeven threshold.</w:t>
      </w:r>
      <w:r w:rsidR="002444A7">
        <w:rPr>
          <w:rStyle w:val="FootnoteReference"/>
          <w:rFonts w:asciiTheme="minorHAnsi" w:hAnsiTheme="minorHAnsi" w:cs="Segoe UI"/>
          <w:color w:val="000000" w:themeColor="text1"/>
          <w:szCs w:val="22"/>
        </w:rPr>
        <w:footnoteReference w:id="150"/>
      </w:r>
    </w:p>
    <w:p w14:paraId="196C6F1E" w14:textId="0FBB160B" w:rsidR="004130E7" w:rsidRPr="006B296A" w:rsidRDefault="00600EBD" w:rsidP="00E674CE">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 xml:space="preserve">Given the </w:t>
      </w:r>
      <w:r w:rsidR="008743F1" w:rsidRPr="006B296A">
        <w:rPr>
          <w:rFonts w:asciiTheme="minorHAnsi" w:hAnsiTheme="minorHAnsi" w:cs="Segoe UI"/>
          <w:color w:val="000000" w:themeColor="text1"/>
          <w:szCs w:val="22"/>
        </w:rPr>
        <w:t>National Code</w:t>
      </w:r>
      <w:r w:rsidRPr="006B296A">
        <w:rPr>
          <w:rFonts w:asciiTheme="minorHAnsi" w:hAnsiTheme="minorHAnsi" w:cs="Segoe UI"/>
          <w:color w:val="000000" w:themeColor="text1"/>
          <w:szCs w:val="22"/>
        </w:rPr>
        <w:t xml:space="preserve">’s pioneering and prescriptive nature, conservative assumptions have been applied, particularly regarding prevention, which may be the most challenging and slowest benefit to realise. At the breakeven effectiveness rate, the total economy-wide </w:t>
      </w:r>
      <w:r w:rsidRPr="006B296A">
        <w:rPr>
          <w:rFonts w:asciiTheme="minorHAnsi" w:hAnsiTheme="minorHAnsi" w:cs="Segoe UI"/>
          <w:color w:val="000000" w:themeColor="text1"/>
          <w:szCs w:val="22"/>
        </w:rPr>
        <w:lastRenderedPageBreak/>
        <w:t>benefits of prevention are estimated at </w:t>
      </w:r>
      <w:r w:rsidRPr="006B296A">
        <w:rPr>
          <w:rStyle w:val="Strong"/>
          <w:rFonts w:asciiTheme="minorHAnsi" w:eastAsiaTheme="majorEastAsia" w:hAnsiTheme="minorHAnsi" w:cs="Segoe UI"/>
          <w:b w:val="0"/>
          <w:color w:val="000000" w:themeColor="text1"/>
          <w:szCs w:val="22"/>
        </w:rPr>
        <w:t>$1.2 billion in present value over ten years</w:t>
      </w:r>
      <w:r w:rsidRPr="006B296A">
        <w:rPr>
          <w:rFonts w:asciiTheme="minorHAnsi" w:hAnsiTheme="minorHAnsi" w:cs="Segoe UI"/>
          <w:b/>
          <w:color w:val="000000" w:themeColor="text1"/>
          <w:szCs w:val="22"/>
        </w:rPr>
        <w:t xml:space="preserve">, </w:t>
      </w:r>
      <w:r w:rsidRPr="006B296A">
        <w:rPr>
          <w:rFonts w:asciiTheme="minorHAnsi" w:hAnsiTheme="minorHAnsi" w:cs="Segoe UI"/>
          <w:color w:val="000000" w:themeColor="text1"/>
          <w:szCs w:val="22"/>
        </w:rPr>
        <w:t>or</w:t>
      </w:r>
      <w:r w:rsidRPr="006B296A">
        <w:rPr>
          <w:rFonts w:asciiTheme="minorHAnsi" w:hAnsiTheme="minorHAnsi" w:cs="Segoe UI"/>
          <w:b/>
          <w:color w:val="000000" w:themeColor="text1"/>
          <w:szCs w:val="22"/>
        </w:rPr>
        <w:t> </w:t>
      </w:r>
      <w:r w:rsidRPr="006B296A">
        <w:rPr>
          <w:rStyle w:val="Strong"/>
          <w:rFonts w:asciiTheme="minorHAnsi" w:eastAsiaTheme="majorEastAsia" w:hAnsiTheme="minorHAnsi" w:cs="Segoe UI"/>
          <w:b w:val="0"/>
          <w:color w:val="000000" w:themeColor="text1"/>
          <w:szCs w:val="22"/>
        </w:rPr>
        <w:t>$177.9 million annually (undiscounted)</w:t>
      </w:r>
      <w:r w:rsidRPr="006B296A">
        <w:rPr>
          <w:rFonts w:asciiTheme="minorHAnsi" w:hAnsiTheme="minorHAnsi" w:cs="Segoe UI"/>
          <w:b/>
          <w:color w:val="000000" w:themeColor="text1"/>
          <w:szCs w:val="22"/>
        </w:rPr>
        <w:t>.</w:t>
      </w:r>
    </w:p>
    <w:p w14:paraId="083697EC" w14:textId="661C05ED" w:rsidR="00A32449" w:rsidRDefault="00A32449" w:rsidP="00B55DCB">
      <w:pPr>
        <w:pStyle w:val="Heading4"/>
        <w:spacing w:before="0" w:after="160"/>
      </w:pPr>
      <w:r>
        <w:t>Improved responses to disclosures and formal reports</w:t>
      </w:r>
    </w:p>
    <w:p w14:paraId="024BE0B0" w14:textId="7DFDF4CB" w:rsidR="0090637E" w:rsidRPr="006B296A" w:rsidRDefault="0090637E" w:rsidP="0090637E">
      <w:pPr>
        <w:rPr>
          <w:rFonts w:eastAsia="Times New Roman" w:cs="Segoe UI"/>
          <w:color w:val="000000" w:themeColor="text1"/>
          <w:kern w:val="0"/>
          <w:szCs w:val="22"/>
          <w:lang w:eastAsia="en-AU"/>
          <w14:ligatures w14:val="none"/>
        </w:rPr>
      </w:pPr>
      <w:r w:rsidRPr="006B296A">
        <w:rPr>
          <w:rFonts w:eastAsia="Times New Roman" w:cs="Segoe UI"/>
          <w:color w:val="000000" w:themeColor="text1"/>
          <w:kern w:val="0"/>
          <w:szCs w:val="22"/>
          <w:lang w:eastAsia="en-AU"/>
          <w14:ligatures w14:val="none"/>
        </w:rPr>
        <w:t xml:space="preserve">The </w:t>
      </w:r>
      <w:r w:rsidR="008743F1" w:rsidRPr="006B296A">
        <w:rPr>
          <w:rFonts w:eastAsia="Times New Roman" w:cs="Segoe UI"/>
          <w:color w:val="000000" w:themeColor="text1"/>
          <w:kern w:val="0"/>
          <w:szCs w:val="22"/>
          <w:lang w:eastAsia="en-AU"/>
          <w14:ligatures w14:val="none"/>
        </w:rPr>
        <w:t>National Code</w:t>
      </w:r>
      <w:r w:rsidRPr="006B296A">
        <w:rPr>
          <w:rFonts w:eastAsia="Times New Roman" w:cs="Segoe UI"/>
          <w:color w:val="000000" w:themeColor="text1"/>
          <w:kern w:val="0"/>
          <w:szCs w:val="22"/>
          <w:lang w:eastAsia="en-AU"/>
          <w14:ligatures w14:val="none"/>
        </w:rPr>
        <w:t xml:space="preserve"> is designed to ensure timely, effective, and trauma-informed support for individuals affected by </w:t>
      </w:r>
      <w:r w:rsidR="008223FC" w:rsidRPr="006B296A">
        <w:rPr>
          <w:rFonts w:eastAsia="Times New Roman" w:cs="Segoe UI"/>
          <w:color w:val="000000" w:themeColor="text1"/>
          <w:kern w:val="0"/>
          <w:szCs w:val="22"/>
          <w:lang w:eastAsia="en-AU"/>
          <w14:ligatures w14:val="none"/>
        </w:rPr>
        <w:t>GBV</w:t>
      </w:r>
      <w:r w:rsidRPr="006B296A">
        <w:rPr>
          <w:rFonts w:eastAsia="Times New Roman" w:cs="Segoe UI"/>
          <w:color w:val="000000" w:themeColor="text1"/>
          <w:kern w:val="0"/>
          <w:szCs w:val="22"/>
          <w:lang w:eastAsia="en-AU"/>
          <w14:ligatures w14:val="none"/>
        </w:rPr>
        <w:t>, regardless of where the incident occurs. Standard 4 specifically mandates safe, person-centred responses for both disclosers and respondents, including mandatory provision o</w:t>
      </w:r>
      <w:r w:rsidR="00327932" w:rsidRPr="006B296A">
        <w:rPr>
          <w:rFonts w:eastAsia="Times New Roman" w:cs="Segoe UI"/>
          <w:color w:val="000000" w:themeColor="text1"/>
          <w:kern w:val="0"/>
          <w:szCs w:val="22"/>
          <w:lang w:eastAsia="en-AU"/>
          <w14:ligatures w14:val="none"/>
        </w:rPr>
        <w:t>f</w:t>
      </w:r>
      <w:r w:rsidRPr="006B296A">
        <w:rPr>
          <w:rFonts w:eastAsia="Times New Roman" w:cs="Segoe UI"/>
          <w:color w:val="000000" w:themeColor="text1"/>
          <w:kern w:val="0"/>
          <w:szCs w:val="22"/>
          <w:lang w:eastAsia="en-AU"/>
          <w14:ligatures w14:val="none"/>
        </w:rPr>
        <w:t xml:space="preserve"> facilitated access to support services.</w:t>
      </w:r>
    </w:p>
    <w:p w14:paraId="33F77284" w14:textId="6E06CED0" w:rsidR="0090637E" w:rsidRPr="006B296A" w:rsidRDefault="0090637E" w:rsidP="0090637E">
      <w:pPr>
        <w:rPr>
          <w:rFonts w:eastAsia="Times New Roman" w:cs="Segoe UI"/>
          <w:color w:val="000000" w:themeColor="text1"/>
          <w:kern w:val="0"/>
          <w:szCs w:val="22"/>
          <w:lang w:eastAsia="en-AU"/>
          <w14:ligatures w14:val="none"/>
        </w:rPr>
      </w:pPr>
      <w:r w:rsidRPr="006B296A">
        <w:rPr>
          <w:rFonts w:eastAsia="Times New Roman" w:cs="Segoe UI"/>
          <w:color w:val="000000" w:themeColor="text1"/>
          <w:kern w:val="0"/>
          <w:szCs w:val="22"/>
          <w:lang w:eastAsia="en-AU"/>
          <w14:ligatures w14:val="none"/>
        </w:rPr>
        <w:t xml:space="preserve">Evidence shows that trauma-informed, person-centric approaches can significantly improve recovery outcomes for victim-survivors and reduce the risk of re-perpetration when appropriate support is provided to alleged perpetrators. By promoting access to specialist services and disciplinary processes, the </w:t>
      </w:r>
      <w:r w:rsidR="008743F1" w:rsidRPr="006B296A">
        <w:rPr>
          <w:rFonts w:eastAsia="Times New Roman" w:cs="Segoe UI"/>
          <w:color w:val="000000" w:themeColor="text1"/>
          <w:kern w:val="0"/>
          <w:szCs w:val="22"/>
          <w:lang w:eastAsia="en-AU"/>
          <w14:ligatures w14:val="none"/>
        </w:rPr>
        <w:t>National Code</w:t>
      </w:r>
      <w:r w:rsidRPr="006B296A">
        <w:rPr>
          <w:rFonts w:eastAsia="Times New Roman" w:cs="Segoe UI"/>
          <w:color w:val="000000" w:themeColor="text1"/>
          <w:kern w:val="0"/>
          <w:szCs w:val="22"/>
          <w:lang w:eastAsia="en-AU"/>
          <w14:ligatures w14:val="none"/>
        </w:rPr>
        <w:t xml:space="preserve"> aims to foster behaviour change and accountability among those who use violence.</w:t>
      </w:r>
    </w:p>
    <w:p w14:paraId="36F0FCBC" w14:textId="57115AD7" w:rsidR="0090637E" w:rsidRPr="006B296A" w:rsidRDefault="0090637E" w:rsidP="0090637E">
      <w:pPr>
        <w:rPr>
          <w:rFonts w:eastAsia="Times New Roman" w:cs="Segoe UI"/>
          <w:color w:val="000000" w:themeColor="text1"/>
          <w:kern w:val="0"/>
          <w:szCs w:val="22"/>
          <w:lang w:eastAsia="en-AU"/>
          <w14:ligatures w14:val="none"/>
        </w:rPr>
      </w:pPr>
      <w:r w:rsidRPr="006B296A">
        <w:rPr>
          <w:rFonts w:eastAsia="Times New Roman" w:cs="Segoe UI"/>
          <w:color w:val="000000" w:themeColor="text1"/>
          <w:kern w:val="0"/>
          <w:szCs w:val="22"/>
          <w:lang w:eastAsia="en-AU"/>
          <w14:ligatures w14:val="none"/>
        </w:rPr>
        <w:t xml:space="preserve">Each </w:t>
      </w:r>
      <w:r w:rsidR="008223FC" w:rsidRPr="006B296A">
        <w:rPr>
          <w:rFonts w:eastAsia="Times New Roman" w:cs="Segoe UI"/>
          <w:color w:val="000000" w:themeColor="text1"/>
          <w:szCs w:val="22"/>
          <w:lang w:eastAsia="en-AU"/>
        </w:rPr>
        <w:t>GBV</w:t>
      </w:r>
      <w:r w:rsidRPr="006B296A">
        <w:rPr>
          <w:rFonts w:eastAsia="Times New Roman" w:cs="Segoe UI"/>
          <w:color w:val="000000" w:themeColor="text1"/>
          <w:kern w:val="0"/>
          <w:szCs w:val="22"/>
          <w:lang w:eastAsia="en-AU"/>
          <w14:ligatures w14:val="none"/>
        </w:rPr>
        <w:t xml:space="preserve"> disclosure is associated with an estimated annual cost of $57,500 for students and $15,000 for staff and volunteers, reflecting impacts on wellbeing, productivity, and educational attainment. If the </w:t>
      </w:r>
      <w:r w:rsidR="008743F1" w:rsidRPr="006B296A">
        <w:rPr>
          <w:rFonts w:eastAsia="Times New Roman" w:cs="Segoe UI"/>
          <w:color w:val="000000" w:themeColor="text1"/>
          <w:kern w:val="0"/>
          <w:szCs w:val="22"/>
          <w:lang w:eastAsia="en-AU"/>
          <w14:ligatures w14:val="none"/>
        </w:rPr>
        <w:t>National Code</w:t>
      </w:r>
      <w:r w:rsidRPr="006B296A">
        <w:rPr>
          <w:rFonts w:eastAsia="Times New Roman" w:cs="Segoe UI"/>
          <w:color w:val="000000" w:themeColor="text1"/>
          <w:kern w:val="0"/>
          <w:szCs w:val="22"/>
          <w:lang w:eastAsia="en-AU"/>
          <w14:ligatures w14:val="none"/>
        </w:rPr>
        <w:t xml:space="preserve"> reduces ongoing harm by approximately 57%, the resulting benefits will outweigh implementation costs</w:t>
      </w:r>
      <w:r w:rsidR="009F1D3C" w:rsidRPr="006B296A">
        <w:rPr>
          <w:rFonts w:eastAsia="Times New Roman" w:cs="Segoe UI"/>
          <w:color w:val="000000" w:themeColor="text1"/>
          <w:kern w:val="0"/>
          <w:szCs w:val="22"/>
          <w:lang w:eastAsia="en-AU"/>
          <w14:ligatures w14:val="none"/>
        </w:rPr>
        <w:t xml:space="preserve">, </w:t>
      </w:r>
      <w:r w:rsidRPr="006B296A">
        <w:rPr>
          <w:rFonts w:eastAsia="Times New Roman" w:cs="Segoe UI"/>
          <w:color w:val="000000" w:themeColor="text1"/>
          <w:kern w:val="0"/>
          <w:szCs w:val="22"/>
          <w:lang w:eastAsia="en-AU"/>
          <w14:ligatures w14:val="none"/>
        </w:rPr>
        <w:t>even if this is the only benefit achieved.</w:t>
      </w:r>
    </w:p>
    <w:p w14:paraId="561C8D6A" w14:textId="77777777" w:rsidR="0090637E" w:rsidRPr="006B296A" w:rsidRDefault="0090637E" w:rsidP="0090637E">
      <w:pPr>
        <w:rPr>
          <w:rFonts w:eastAsia="Times New Roman" w:cs="Segoe UI"/>
          <w:color w:val="000000" w:themeColor="text1"/>
          <w:kern w:val="0"/>
          <w:szCs w:val="22"/>
          <w:lang w:eastAsia="en-AU"/>
          <w14:ligatures w14:val="none"/>
        </w:rPr>
      </w:pPr>
      <w:r w:rsidRPr="006B296A">
        <w:rPr>
          <w:rFonts w:eastAsia="Times New Roman" w:cs="Segoe UI"/>
          <w:color w:val="000000" w:themeColor="text1"/>
          <w:kern w:val="0"/>
          <w:szCs w:val="22"/>
          <w:lang w:eastAsia="en-AU"/>
          <w14:ligatures w14:val="none"/>
        </w:rPr>
        <w:t>This breakeven point could be met through either:</w:t>
      </w:r>
    </w:p>
    <w:p w14:paraId="206A0289" w14:textId="77777777" w:rsidR="0090637E" w:rsidRPr="006B296A" w:rsidRDefault="0090637E" w:rsidP="000937AE">
      <w:pPr>
        <w:numPr>
          <w:ilvl w:val="0"/>
          <w:numId w:val="175"/>
        </w:numPr>
        <w:spacing w:after="0"/>
        <w:rPr>
          <w:rFonts w:eastAsia="Times New Roman" w:cs="Segoe UI"/>
          <w:color w:val="000000" w:themeColor="text1"/>
          <w:kern w:val="0"/>
          <w:szCs w:val="22"/>
          <w:lang w:eastAsia="en-AU"/>
          <w14:ligatures w14:val="none"/>
        </w:rPr>
      </w:pPr>
      <w:r w:rsidRPr="006B296A">
        <w:rPr>
          <w:rFonts w:eastAsia="Times New Roman" w:cs="Segoe UI"/>
          <w:color w:val="000000" w:themeColor="text1"/>
          <w:kern w:val="0"/>
          <w:szCs w:val="22"/>
          <w:lang w:eastAsia="en-AU"/>
          <w14:ligatures w14:val="none"/>
        </w:rPr>
        <w:t>A 100% improvement in outcomes for 51% of disclosures, or</w:t>
      </w:r>
    </w:p>
    <w:p w14:paraId="1DF0123F" w14:textId="3C937F93" w:rsidR="0090637E" w:rsidRPr="006B296A" w:rsidRDefault="0090637E" w:rsidP="008D4824">
      <w:pPr>
        <w:numPr>
          <w:ilvl w:val="0"/>
          <w:numId w:val="175"/>
        </w:numPr>
        <w:rPr>
          <w:rFonts w:eastAsia="Times New Roman" w:cs="Segoe UI"/>
          <w:color w:val="000000" w:themeColor="text1"/>
          <w:kern w:val="0"/>
          <w:szCs w:val="22"/>
          <w:lang w:eastAsia="en-AU"/>
          <w14:ligatures w14:val="none"/>
        </w:rPr>
      </w:pPr>
      <w:r w:rsidRPr="006B296A">
        <w:rPr>
          <w:rFonts w:eastAsia="Times New Roman" w:cs="Segoe UI"/>
          <w:color w:val="000000" w:themeColor="text1"/>
          <w:kern w:val="0"/>
          <w:szCs w:val="22"/>
          <w:lang w:eastAsia="en-AU"/>
          <w14:ligatures w14:val="none"/>
        </w:rPr>
        <w:t>A 51% improvement in outcomes for 100% of disclosures.</w:t>
      </w:r>
    </w:p>
    <w:p w14:paraId="1DF8B183" w14:textId="77777777" w:rsidR="0090637E" w:rsidRPr="006B296A" w:rsidRDefault="0090637E" w:rsidP="0090637E">
      <w:pPr>
        <w:rPr>
          <w:rFonts w:eastAsia="Times New Roman" w:cs="Segoe UI"/>
          <w:color w:val="000000" w:themeColor="text1"/>
          <w:kern w:val="0"/>
          <w:szCs w:val="22"/>
          <w:lang w:eastAsia="en-AU"/>
          <w14:ligatures w14:val="none"/>
        </w:rPr>
      </w:pPr>
      <w:r w:rsidRPr="006B296A">
        <w:rPr>
          <w:rFonts w:eastAsia="Times New Roman" w:cs="Segoe UI"/>
          <w:color w:val="000000" w:themeColor="text1"/>
          <w:kern w:val="0"/>
          <w:szCs w:val="22"/>
          <w:lang w:eastAsia="en-AU"/>
          <w14:ligatures w14:val="none"/>
        </w:rPr>
        <w:t>The analysis assumes a 2% annual increase in disclosure rates beginning in year four, plateauing in year nine of the ten-year period. While quantifying recovery improvements is challenging, strong evidence supports the effectiveness of trauma-informed support services.</w:t>
      </w:r>
    </w:p>
    <w:p w14:paraId="7CC34265" w14:textId="0C335AD4" w:rsidR="001E1AEF" w:rsidRPr="006B296A" w:rsidRDefault="0090637E" w:rsidP="001E1AEF">
      <w:pPr>
        <w:rPr>
          <w:rFonts w:eastAsia="Times New Roman" w:cs="Segoe UI"/>
          <w:color w:val="000000" w:themeColor="text1"/>
          <w:kern w:val="0"/>
          <w:szCs w:val="22"/>
          <w:lang w:eastAsia="en-AU"/>
          <w14:ligatures w14:val="none"/>
        </w:rPr>
      </w:pPr>
      <w:r w:rsidRPr="006B296A">
        <w:rPr>
          <w:rFonts w:eastAsia="Times New Roman" w:cs="Segoe UI"/>
          <w:color w:val="000000" w:themeColor="text1"/>
          <w:kern w:val="0"/>
          <w:szCs w:val="22"/>
          <w:lang w:eastAsia="en-AU"/>
          <w14:ligatures w14:val="none"/>
        </w:rPr>
        <w:t xml:space="preserve">Based on these assumptions, the total economy-wide benefits of improved </w:t>
      </w:r>
      <w:r w:rsidR="008223FC" w:rsidRPr="006B296A">
        <w:rPr>
          <w:rFonts w:eastAsia="Times New Roman" w:cs="Segoe UI"/>
          <w:color w:val="000000" w:themeColor="text1"/>
          <w:kern w:val="0"/>
          <w:szCs w:val="22"/>
          <w:lang w:eastAsia="en-AU"/>
          <w14:ligatures w14:val="none"/>
        </w:rPr>
        <w:t>GBV</w:t>
      </w:r>
      <w:r w:rsidRPr="006B296A">
        <w:rPr>
          <w:rFonts w:eastAsia="Times New Roman" w:cs="Segoe UI"/>
          <w:color w:val="000000" w:themeColor="text1"/>
          <w:kern w:val="0"/>
          <w:szCs w:val="22"/>
          <w:lang w:eastAsia="en-AU"/>
          <w14:ligatures w14:val="none"/>
        </w:rPr>
        <w:t xml:space="preserve"> response are estimated </w:t>
      </w:r>
      <w:r w:rsidRPr="00197467">
        <w:rPr>
          <w:rFonts w:eastAsia="Times New Roman" w:cs="Segoe UI"/>
          <w:color w:val="000000" w:themeColor="text1"/>
          <w:kern w:val="0"/>
          <w:szCs w:val="22"/>
          <w:lang w:eastAsia="en-AU"/>
          <w14:ligatures w14:val="none"/>
        </w:rPr>
        <w:t>at $1.1 billion in present value over ten years, with an average annual benefit of $177.9 million. These</w:t>
      </w:r>
      <w:r w:rsidRPr="006B296A">
        <w:rPr>
          <w:rFonts w:eastAsia="Times New Roman" w:cs="Segoe UI"/>
          <w:color w:val="000000" w:themeColor="text1"/>
          <w:kern w:val="0"/>
          <w:szCs w:val="22"/>
          <w:lang w:eastAsia="en-AU"/>
          <w14:ligatures w14:val="none"/>
        </w:rPr>
        <w:t xml:space="preserve"> benefits reflect reduced long-term health impacts, improved academic and professional outcomes, and increased productivity.</w:t>
      </w:r>
    </w:p>
    <w:p w14:paraId="44606F66" w14:textId="1337842E" w:rsidR="00A32449" w:rsidRPr="000E76BD" w:rsidRDefault="00A32449" w:rsidP="00B55DCB">
      <w:pPr>
        <w:pStyle w:val="Heading4"/>
        <w:spacing w:before="0" w:after="160"/>
      </w:pPr>
      <w:r>
        <w:t>Enhance safety within higher education environments</w:t>
      </w:r>
    </w:p>
    <w:p w14:paraId="667A5C09" w14:textId="6F9C577B" w:rsidR="00D26A46" w:rsidRPr="006B296A" w:rsidRDefault="00D26A46" w:rsidP="00B17DA5">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 xml:space="preserve">The </w:t>
      </w:r>
      <w:r w:rsidR="008743F1" w:rsidRPr="006B296A">
        <w:rPr>
          <w:rFonts w:asciiTheme="minorHAnsi" w:hAnsiTheme="minorHAnsi" w:cs="Segoe UI"/>
          <w:color w:val="000000" w:themeColor="text1"/>
          <w:szCs w:val="22"/>
        </w:rPr>
        <w:t>National Code</w:t>
      </w:r>
      <w:r w:rsidRPr="006B296A">
        <w:rPr>
          <w:rFonts w:asciiTheme="minorHAnsi" w:hAnsiTheme="minorHAnsi" w:cs="Segoe UI"/>
          <w:color w:val="000000" w:themeColor="text1"/>
          <w:szCs w:val="22"/>
        </w:rPr>
        <w:t xml:space="preserve"> aims to ensure that all students and staff feel safe, regardless of where they study, work, or live. Enhancing this sense of safety is expected to deliver wellbeing and productivity benefits, particularly for female students and staff, even if they do not directly experience </w:t>
      </w:r>
      <w:r w:rsidR="008223FC" w:rsidRPr="006B296A">
        <w:rPr>
          <w:rFonts w:asciiTheme="minorHAnsi" w:hAnsiTheme="minorHAnsi" w:cs="Segoe UI"/>
          <w:color w:val="000000" w:themeColor="text1"/>
          <w:szCs w:val="22"/>
        </w:rPr>
        <w:t>GBV</w:t>
      </w:r>
      <w:r w:rsidRPr="006B296A">
        <w:rPr>
          <w:rFonts w:asciiTheme="minorHAnsi" w:hAnsiTheme="minorHAnsi" w:cs="Segoe UI"/>
          <w:color w:val="000000" w:themeColor="text1"/>
          <w:szCs w:val="22"/>
        </w:rPr>
        <w:t>.</w:t>
      </w:r>
    </w:p>
    <w:p w14:paraId="7F29ADF1" w14:textId="17704BE0" w:rsidR="00D26A46" w:rsidRPr="006B296A" w:rsidRDefault="00D26A46" w:rsidP="00B17DA5">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For individuals with existing mental health conditions, the value of a marginally safer environment is estimated at </w:t>
      </w:r>
      <w:r w:rsidRPr="006B296A">
        <w:rPr>
          <w:rStyle w:val="Strong"/>
          <w:rFonts w:asciiTheme="minorHAnsi" w:eastAsiaTheme="majorEastAsia" w:hAnsiTheme="minorHAnsi" w:cs="Segoe UI"/>
          <w:b w:val="0"/>
          <w:color w:val="000000" w:themeColor="text1"/>
          <w:szCs w:val="22"/>
        </w:rPr>
        <w:t>$11,000 per person annually</w:t>
      </w:r>
      <w:r w:rsidRPr="006B296A">
        <w:rPr>
          <w:rFonts w:asciiTheme="minorHAnsi" w:hAnsiTheme="minorHAnsi" w:cs="Segoe UI"/>
          <w:color w:val="000000" w:themeColor="text1"/>
          <w:szCs w:val="22"/>
        </w:rPr>
        <w:t>, reflecting the harm avoided in high psychosocial risk settings.</w:t>
      </w:r>
      <w:r w:rsidR="009C7E92" w:rsidRPr="006B296A">
        <w:rPr>
          <w:rStyle w:val="FootnoteReference"/>
          <w:rFonts w:asciiTheme="minorHAnsi" w:hAnsiTheme="minorHAnsi"/>
          <w:szCs w:val="22"/>
        </w:rPr>
        <w:footnoteReference w:id="151"/>
      </w:r>
      <w:r w:rsidR="0091792B">
        <w:rPr>
          <w:rFonts w:asciiTheme="minorHAnsi" w:hAnsiTheme="minorHAnsi"/>
          <w:szCs w:val="22"/>
          <w:vertAlign w:val="superscript"/>
        </w:rPr>
        <w:t xml:space="preserve"> </w:t>
      </w:r>
      <w:r>
        <w:rPr>
          <w:rFonts w:asciiTheme="minorHAnsi" w:hAnsiTheme="minorHAnsi"/>
          <w:szCs w:val="22"/>
          <w:vertAlign w:val="superscript"/>
        </w:rPr>
        <w:t xml:space="preserve"> </w:t>
      </w:r>
      <w:r w:rsidRPr="006B296A">
        <w:rPr>
          <w:rFonts w:asciiTheme="minorHAnsi" w:hAnsiTheme="minorHAnsi" w:cs="Segoe UI"/>
          <w:color w:val="000000" w:themeColor="text1"/>
          <w:szCs w:val="22"/>
        </w:rPr>
        <w:t>Psychosocial risks</w:t>
      </w:r>
      <w:r w:rsidR="004B7AF0" w:rsidRPr="006B296A">
        <w:rPr>
          <w:rFonts w:asciiTheme="minorHAnsi" w:hAnsiTheme="minorHAnsi" w:cs="Segoe UI"/>
          <w:color w:val="000000" w:themeColor="text1"/>
          <w:szCs w:val="22"/>
        </w:rPr>
        <w:t xml:space="preserve"> </w:t>
      </w:r>
      <w:r w:rsidRPr="006B296A">
        <w:rPr>
          <w:rFonts w:asciiTheme="minorHAnsi" w:hAnsiTheme="minorHAnsi" w:cs="Segoe UI"/>
          <w:color w:val="000000" w:themeColor="text1"/>
          <w:szCs w:val="22"/>
        </w:rPr>
        <w:t>can</w:t>
      </w:r>
      <w:r w:rsidR="004B7AF0" w:rsidRPr="006B296A">
        <w:rPr>
          <w:rFonts w:asciiTheme="minorHAnsi" w:hAnsiTheme="minorHAnsi" w:cs="Segoe UI"/>
          <w:color w:val="000000" w:themeColor="text1"/>
          <w:szCs w:val="22"/>
        </w:rPr>
        <w:t xml:space="preserve"> also</w:t>
      </w:r>
      <w:r w:rsidRPr="006B296A">
        <w:rPr>
          <w:rFonts w:asciiTheme="minorHAnsi" w:hAnsiTheme="minorHAnsi" w:cs="Segoe UI"/>
          <w:color w:val="000000" w:themeColor="text1"/>
          <w:szCs w:val="22"/>
        </w:rPr>
        <w:t xml:space="preserve"> lead to psychological or physical harm. Additionally, all students, staff, and volunteers are expected to benefit from productivity gains of approximately </w:t>
      </w:r>
      <w:r w:rsidRPr="006B296A">
        <w:rPr>
          <w:rStyle w:val="Strong"/>
          <w:rFonts w:asciiTheme="minorHAnsi" w:eastAsiaTheme="majorEastAsia" w:hAnsiTheme="minorHAnsi" w:cs="Segoe UI"/>
          <w:b w:val="0"/>
          <w:color w:val="000000" w:themeColor="text1"/>
          <w:szCs w:val="22"/>
        </w:rPr>
        <w:t>$110 per person</w:t>
      </w:r>
      <w:r w:rsidRPr="006B296A">
        <w:rPr>
          <w:rFonts w:asciiTheme="minorHAnsi" w:hAnsiTheme="minorHAnsi" w:cs="Segoe UI"/>
          <w:color w:val="000000" w:themeColor="text1"/>
          <w:szCs w:val="22"/>
        </w:rPr>
        <w:t xml:space="preserve"> due to reduced absenteeism and </w:t>
      </w:r>
      <w:r w:rsidRPr="006B296A">
        <w:rPr>
          <w:rFonts w:asciiTheme="minorHAnsi" w:hAnsiTheme="minorHAnsi" w:cs="Segoe UI"/>
          <w:color w:val="000000" w:themeColor="text1"/>
          <w:szCs w:val="22"/>
        </w:rPr>
        <w:lastRenderedPageBreak/>
        <w:t>presenteeism.</w:t>
      </w:r>
      <w:r w:rsidR="000418C3">
        <w:rPr>
          <w:rFonts w:asciiTheme="minorHAnsi" w:hAnsiTheme="minorHAnsi" w:cs="Segoe UI"/>
          <w:color w:val="000000" w:themeColor="text1"/>
          <w:szCs w:val="22"/>
        </w:rPr>
        <w:t xml:space="preserve"> </w:t>
      </w:r>
      <w:r w:rsidR="000418C3" w:rsidRPr="006B296A">
        <w:rPr>
          <w:rFonts w:asciiTheme="minorHAnsi" w:hAnsiTheme="minorHAnsi" w:cs="Segoe UI"/>
          <w:color w:val="000000" w:themeColor="text1"/>
          <w:szCs w:val="22"/>
        </w:rPr>
        <w:t>Safety is increasingly a priority for prospective students and their families. Research indicates that women are willing to pay more for safer education environments.</w:t>
      </w:r>
      <w:r w:rsidR="000418C3" w:rsidRPr="006B296A">
        <w:rPr>
          <w:rStyle w:val="FootnoteReference"/>
          <w:rFonts w:asciiTheme="minorHAnsi" w:hAnsiTheme="minorHAnsi"/>
          <w:szCs w:val="22"/>
        </w:rPr>
        <w:footnoteReference w:id="152"/>
      </w:r>
      <w:r w:rsidR="000418C3">
        <w:rPr>
          <w:rFonts w:asciiTheme="minorHAnsi" w:hAnsiTheme="minorHAnsi" w:cs="Segoe UI"/>
          <w:color w:val="000000" w:themeColor="text1"/>
          <w:szCs w:val="22"/>
        </w:rPr>
        <w:t xml:space="preserve"> </w:t>
      </w:r>
      <w:r w:rsidR="000418C3" w:rsidRPr="006B296A">
        <w:rPr>
          <w:szCs w:val="22"/>
        </w:rPr>
        <w:t xml:space="preserve"> </w:t>
      </w:r>
      <w:r w:rsidR="000418C3" w:rsidRPr="006B296A">
        <w:rPr>
          <w:rFonts w:asciiTheme="minorHAnsi" w:hAnsiTheme="minorHAnsi" w:cs="Segoe UI"/>
          <w:color w:val="000000" w:themeColor="text1"/>
          <w:szCs w:val="22"/>
        </w:rPr>
        <w:t xml:space="preserve"> </w:t>
      </w:r>
    </w:p>
    <w:p w14:paraId="7D02ED3C" w14:textId="3C9332D4" w:rsidR="00D26A46" w:rsidRPr="006B296A" w:rsidRDefault="00D26A46" w:rsidP="00B17DA5">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Analysis indicates that improving psychosocial safety for just </w:t>
      </w:r>
      <w:r w:rsidRPr="006B296A">
        <w:rPr>
          <w:rStyle w:val="Strong"/>
          <w:rFonts w:asciiTheme="minorHAnsi" w:eastAsiaTheme="majorEastAsia" w:hAnsiTheme="minorHAnsi" w:cs="Segoe UI"/>
          <w:b w:val="0"/>
          <w:color w:val="000000" w:themeColor="text1"/>
          <w:szCs w:val="22"/>
        </w:rPr>
        <w:t>25% of students, staff, and volunteers</w:t>
      </w:r>
      <w:r w:rsidRPr="006B296A">
        <w:rPr>
          <w:rFonts w:asciiTheme="minorHAnsi" w:hAnsiTheme="minorHAnsi" w:cs="Segoe UI"/>
          <w:color w:val="000000" w:themeColor="text1"/>
          <w:szCs w:val="22"/>
        </w:rPr>
        <w:t xml:space="preserve"> would be sufficient to offset the cost of implementing the </w:t>
      </w:r>
      <w:r w:rsidR="008743F1" w:rsidRPr="006B296A">
        <w:rPr>
          <w:rFonts w:asciiTheme="minorHAnsi" w:hAnsiTheme="minorHAnsi" w:cs="Segoe UI"/>
          <w:color w:val="000000" w:themeColor="text1"/>
          <w:szCs w:val="22"/>
        </w:rPr>
        <w:t>National Code</w:t>
      </w:r>
      <w:r w:rsidRPr="006B296A">
        <w:rPr>
          <w:rFonts w:asciiTheme="minorHAnsi" w:hAnsiTheme="minorHAnsi" w:cs="Segoe UI"/>
          <w:color w:val="000000" w:themeColor="text1"/>
          <w:szCs w:val="22"/>
        </w:rPr>
        <w:t xml:space="preserve">. This breakeven point represents the minimum effectiveness required for the </w:t>
      </w:r>
      <w:r w:rsidR="008743F1" w:rsidRPr="006B296A">
        <w:rPr>
          <w:rFonts w:asciiTheme="minorHAnsi" w:hAnsiTheme="minorHAnsi" w:cs="Segoe UI"/>
          <w:color w:val="000000" w:themeColor="text1"/>
          <w:szCs w:val="22"/>
        </w:rPr>
        <w:t>National Code</w:t>
      </w:r>
      <w:r w:rsidRPr="006B296A">
        <w:rPr>
          <w:rFonts w:asciiTheme="minorHAnsi" w:hAnsiTheme="minorHAnsi" w:cs="Segoe UI"/>
          <w:color w:val="000000" w:themeColor="text1"/>
          <w:szCs w:val="22"/>
        </w:rPr>
        <w:t xml:space="preserve"> to deliver net benefit, even if its only impact is improved perceptions of safety.</w:t>
      </w:r>
      <w:r w:rsidR="00900EDE">
        <w:rPr>
          <w:rFonts w:asciiTheme="minorHAnsi" w:hAnsiTheme="minorHAnsi" w:cs="Segoe UI"/>
          <w:color w:val="000000" w:themeColor="text1"/>
          <w:szCs w:val="22"/>
        </w:rPr>
        <w:t xml:space="preserve"> </w:t>
      </w:r>
    </w:p>
    <w:p w14:paraId="74540C35" w14:textId="0BE868FC" w:rsidR="00D26A46" w:rsidRPr="006B296A" w:rsidRDefault="00D26A46" w:rsidP="00B17DA5">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 xml:space="preserve">Given the </w:t>
      </w:r>
      <w:r w:rsidR="008743F1" w:rsidRPr="006B296A">
        <w:rPr>
          <w:rFonts w:asciiTheme="minorHAnsi" w:hAnsiTheme="minorHAnsi" w:cs="Segoe UI"/>
          <w:color w:val="000000" w:themeColor="text1"/>
          <w:szCs w:val="22"/>
        </w:rPr>
        <w:t>National Code</w:t>
      </w:r>
      <w:r w:rsidRPr="006B296A">
        <w:rPr>
          <w:rFonts w:asciiTheme="minorHAnsi" w:hAnsiTheme="minorHAnsi" w:cs="Segoe UI"/>
          <w:color w:val="000000" w:themeColor="text1"/>
          <w:szCs w:val="22"/>
        </w:rPr>
        <w:t>’s systemic nature, it is reasonable to expect broader improvements in safety across the sector. The estimates are conservative, focusing on partial risk reduction. Greater improvements would result in proportionally higher benefits.</w:t>
      </w:r>
    </w:p>
    <w:p w14:paraId="41E332DF" w14:textId="66BB28A3" w:rsidR="00535D62" w:rsidRPr="006B296A" w:rsidRDefault="00D26A46" w:rsidP="00B17DA5">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At this breakeven point, the total economy-wide benefits are estimated at </w:t>
      </w:r>
      <w:r w:rsidRPr="006B296A">
        <w:rPr>
          <w:rStyle w:val="Strong"/>
          <w:rFonts w:asciiTheme="minorHAnsi" w:eastAsiaTheme="majorEastAsia" w:hAnsiTheme="minorHAnsi" w:cs="Segoe UI"/>
          <w:b w:val="0"/>
          <w:color w:val="000000" w:themeColor="text1"/>
          <w:szCs w:val="22"/>
        </w:rPr>
        <w:t>$1.2 billion in present value over ten years</w:t>
      </w:r>
      <w:r w:rsidRPr="006B296A">
        <w:rPr>
          <w:rFonts w:asciiTheme="minorHAnsi" w:hAnsiTheme="minorHAnsi" w:cs="Segoe UI"/>
          <w:b/>
          <w:color w:val="000000" w:themeColor="text1"/>
          <w:szCs w:val="22"/>
        </w:rPr>
        <w:t>,</w:t>
      </w:r>
      <w:r w:rsidRPr="006B296A">
        <w:rPr>
          <w:rFonts w:asciiTheme="minorHAnsi" w:hAnsiTheme="minorHAnsi" w:cs="Segoe UI"/>
          <w:color w:val="000000" w:themeColor="text1"/>
          <w:szCs w:val="22"/>
        </w:rPr>
        <w:t xml:space="preserve"> with an average annual benefit of </w:t>
      </w:r>
      <w:r w:rsidRPr="006B296A">
        <w:rPr>
          <w:rStyle w:val="Strong"/>
          <w:rFonts w:asciiTheme="minorHAnsi" w:eastAsiaTheme="majorEastAsia" w:hAnsiTheme="minorHAnsi" w:cs="Segoe UI"/>
          <w:b w:val="0"/>
          <w:color w:val="000000" w:themeColor="text1"/>
          <w:szCs w:val="22"/>
        </w:rPr>
        <w:t xml:space="preserve">$177.9 million. </w:t>
      </w:r>
      <w:r w:rsidRPr="006B296A">
        <w:rPr>
          <w:rFonts w:asciiTheme="minorHAnsi" w:hAnsiTheme="minorHAnsi" w:cs="Segoe UI"/>
          <w:color w:val="000000" w:themeColor="text1"/>
          <w:szCs w:val="22"/>
        </w:rPr>
        <w:t xml:space="preserve">Sensitivity analysis suggests that </w:t>
      </w:r>
      <w:r w:rsidR="00E64D00" w:rsidRPr="006B296A">
        <w:rPr>
          <w:rFonts w:asciiTheme="minorHAnsi" w:hAnsiTheme="minorHAnsi" w:cs="Segoe UI"/>
          <w:color w:val="000000" w:themeColor="text1"/>
          <w:szCs w:val="22"/>
        </w:rPr>
        <w:t xml:space="preserve">the National Code would also </w:t>
      </w:r>
      <w:r w:rsidRPr="006B296A">
        <w:rPr>
          <w:rFonts w:asciiTheme="minorHAnsi" w:hAnsiTheme="minorHAnsi" w:cs="Segoe UI"/>
          <w:color w:val="000000" w:themeColor="text1"/>
          <w:szCs w:val="22"/>
        </w:rPr>
        <w:t>extend safety improvements to all students and staff</w:t>
      </w:r>
      <w:r w:rsidR="00E64D00" w:rsidRPr="006B296A">
        <w:rPr>
          <w:rFonts w:asciiTheme="minorHAnsi" w:hAnsiTheme="minorHAnsi" w:cs="Segoe UI"/>
          <w:color w:val="000000" w:themeColor="text1"/>
          <w:szCs w:val="22"/>
        </w:rPr>
        <w:t xml:space="preserve">, </w:t>
      </w:r>
      <w:r w:rsidRPr="006B296A">
        <w:rPr>
          <w:rFonts w:asciiTheme="minorHAnsi" w:hAnsiTheme="minorHAnsi" w:cs="Segoe UI"/>
          <w:color w:val="000000" w:themeColor="text1"/>
          <w:szCs w:val="22"/>
        </w:rPr>
        <w:t>regardless of gender</w:t>
      </w:r>
      <w:r w:rsidR="00E64D00" w:rsidRPr="006B296A">
        <w:rPr>
          <w:rFonts w:asciiTheme="minorHAnsi" w:hAnsiTheme="minorHAnsi" w:cs="Segoe UI"/>
          <w:color w:val="000000" w:themeColor="text1"/>
          <w:szCs w:val="22"/>
        </w:rPr>
        <w:t xml:space="preserve">, and this </w:t>
      </w:r>
      <w:r w:rsidRPr="006B296A">
        <w:rPr>
          <w:rFonts w:asciiTheme="minorHAnsi" w:hAnsiTheme="minorHAnsi" w:cs="Segoe UI"/>
          <w:color w:val="000000" w:themeColor="text1"/>
          <w:szCs w:val="22"/>
        </w:rPr>
        <w:t>could generate an additional </w:t>
      </w:r>
      <w:r w:rsidRPr="006B296A">
        <w:rPr>
          <w:rStyle w:val="Strong"/>
          <w:rFonts w:asciiTheme="minorHAnsi" w:eastAsiaTheme="majorEastAsia" w:hAnsiTheme="minorHAnsi" w:cs="Segoe UI"/>
          <w:b w:val="0"/>
          <w:color w:val="000000" w:themeColor="text1"/>
          <w:szCs w:val="22"/>
        </w:rPr>
        <w:t>$162 million</w:t>
      </w:r>
      <w:r w:rsidRPr="006B296A">
        <w:rPr>
          <w:rFonts w:asciiTheme="minorHAnsi" w:hAnsiTheme="minorHAnsi" w:cs="Segoe UI"/>
          <w:color w:val="000000" w:themeColor="text1"/>
          <w:szCs w:val="22"/>
        </w:rPr>
        <w:t> in present value benefits over the same period.</w:t>
      </w:r>
    </w:p>
    <w:p w14:paraId="148AF68B" w14:textId="2668F24D" w:rsidR="003A567C" w:rsidRPr="00FE7469" w:rsidRDefault="00C3292D" w:rsidP="003A567C">
      <w:pPr>
        <w:pStyle w:val="Heading3"/>
        <w:spacing w:before="0" w:after="160"/>
        <w:rPr>
          <w:sz w:val="24"/>
          <w:szCs w:val="24"/>
        </w:rPr>
      </w:pPr>
      <w:bookmarkStart w:id="182" w:name="_Toc204699889"/>
      <w:bookmarkStart w:id="183" w:name="_Toc204763339"/>
      <w:bookmarkStart w:id="184" w:name="_Toc204764907"/>
      <w:r w:rsidRPr="00C3292D">
        <w:rPr>
          <w:sz w:val="24"/>
          <w:szCs w:val="24"/>
        </w:rPr>
        <w:t>Broader</w:t>
      </w:r>
      <w:r w:rsidR="003A567C" w:rsidRPr="00FE7469">
        <w:rPr>
          <w:sz w:val="24"/>
          <w:szCs w:val="24"/>
        </w:rPr>
        <w:t xml:space="preserve"> benefits of the </w:t>
      </w:r>
      <w:r w:rsidR="008743F1">
        <w:rPr>
          <w:sz w:val="24"/>
          <w:szCs w:val="24"/>
        </w:rPr>
        <w:t>National Code</w:t>
      </w:r>
      <w:r w:rsidR="003A567C" w:rsidRPr="00FE7469">
        <w:rPr>
          <w:sz w:val="24"/>
          <w:szCs w:val="24"/>
        </w:rPr>
        <w:t xml:space="preserve"> as new regulation</w:t>
      </w:r>
      <w:bookmarkEnd w:id="182"/>
      <w:bookmarkEnd w:id="183"/>
      <w:bookmarkEnd w:id="184"/>
      <w:r w:rsidR="003A567C" w:rsidRPr="00FE7469">
        <w:rPr>
          <w:sz w:val="24"/>
          <w:szCs w:val="24"/>
        </w:rPr>
        <w:t xml:space="preserve"> </w:t>
      </w:r>
    </w:p>
    <w:p w14:paraId="27D7C0B3" w14:textId="068D3C87" w:rsidR="00C3292D" w:rsidRPr="006B296A" w:rsidRDefault="00C3292D" w:rsidP="00E16311">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 xml:space="preserve">In addition to its direct, quantifiable impacts, the </w:t>
      </w:r>
      <w:r w:rsidR="008743F1" w:rsidRPr="006B296A">
        <w:rPr>
          <w:rFonts w:asciiTheme="minorHAnsi" w:hAnsiTheme="minorHAnsi" w:cs="Segoe UI"/>
          <w:color w:val="000000" w:themeColor="text1"/>
          <w:szCs w:val="22"/>
        </w:rPr>
        <w:t>National Code</w:t>
      </w:r>
      <w:r w:rsidRPr="006B296A">
        <w:rPr>
          <w:rFonts w:asciiTheme="minorHAnsi" w:hAnsiTheme="minorHAnsi" w:cs="Segoe UI"/>
          <w:color w:val="000000" w:themeColor="text1"/>
          <w:szCs w:val="22"/>
        </w:rPr>
        <w:t xml:space="preserve"> is expected to generate broader social and economic benefits</w:t>
      </w:r>
      <w:r w:rsidR="00E16311" w:rsidRPr="006B296A">
        <w:rPr>
          <w:rFonts w:asciiTheme="minorHAnsi" w:hAnsiTheme="minorHAnsi" w:cs="Segoe UI"/>
          <w:color w:val="000000" w:themeColor="text1"/>
          <w:szCs w:val="22"/>
        </w:rPr>
        <w:t>.</w:t>
      </w:r>
    </w:p>
    <w:p w14:paraId="1B084B14" w14:textId="22E7CB6E" w:rsidR="00C3292D" w:rsidRPr="00C3292D" w:rsidRDefault="00C3292D" w:rsidP="00C3292D">
      <w:pPr>
        <w:pStyle w:val="Heading4"/>
      </w:pPr>
      <w:r w:rsidRPr="00C3292D">
        <w:rPr>
          <w:rStyle w:val="Strong"/>
          <w:b w:val="0"/>
          <w:bCs w:val="0"/>
        </w:rPr>
        <w:t xml:space="preserve">Women’s </w:t>
      </w:r>
      <w:r w:rsidR="00E16311">
        <w:rPr>
          <w:rStyle w:val="Strong"/>
          <w:b w:val="0"/>
          <w:bCs w:val="0"/>
        </w:rPr>
        <w:t>w</w:t>
      </w:r>
      <w:r w:rsidRPr="00C3292D">
        <w:rPr>
          <w:rStyle w:val="Strong"/>
          <w:b w:val="0"/>
          <w:bCs w:val="0"/>
        </w:rPr>
        <w:t xml:space="preserve">orkforce </w:t>
      </w:r>
      <w:r w:rsidR="00E16311">
        <w:rPr>
          <w:rStyle w:val="Strong"/>
          <w:b w:val="0"/>
          <w:bCs w:val="0"/>
        </w:rPr>
        <w:t>p</w:t>
      </w:r>
      <w:r w:rsidRPr="00C3292D">
        <w:rPr>
          <w:rStyle w:val="Strong"/>
          <w:b w:val="0"/>
          <w:bCs w:val="0"/>
        </w:rPr>
        <w:t xml:space="preserve">articipation and </w:t>
      </w:r>
      <w:r w:rsidR="00E16311">
        <w:rPr>
          <w:rStyle w:val="Strong"/>
          <w:b w:val="0"/>
          <w:bCs w:val="0"/>
        </w:rPr>
        <w:t>l</w:t>
      </w:r>
      <w:r w:rsidRPr="00C3292D">
        <w:rPr>
          <w:rStyle w:val="Strong"/>
          <w:b w:val="0"/>
          <w:bCs w:val="0"/>
        </w:rPr>
        <w:t>eadership</w:t>
      </w:r>
    </w:p>
    <w:p w14:paraId="2834ECA6" w14:textId="71F4D45F" w:rsidR="00C3292D" w:rsidRPr="006B296A" w:rsidRDefault="00C3292D" w:rsidP="00E16311">
      <w:pPr>
        <w:pStyle w:val="NormalWeb"/>
        <w:spacing w:before="0" w:beforeAutospacing="0" w:after="160" w:afterAutospacing="0" w:line="278" w:lineRule="auto"/>
        <w:rPr>
          <w:rFonts w:asciiTheme="minorHAnsi" w:hAnsiTheme="minorHAnsi" w:cs="Segoe UI"/>
          <w:color w:val="000000" w:themeColor="text1"/>
          <w:szCs w:val="22"/>
        </w:rPr>
      </w:pPr>
      <w:r w:rsidRPr="006B296A">
        <w:rPr>
          <w:rFonts w:asciiTheme="minorHAnsi" w:hAnsiTheme="minorHAnsi" w:cs="Segoe UI"/>
          <w:color w:val="000000" w:themeColor="text1"/>
          <w:szCs w:val="22"/>
        </w:rPr>
        <w:t xml:space="preserve">Addressing </w:t>
      </w:r>
      <w:r w:rsidR="008223FC" w:rsidRPr="006B296A">
        <w:rPr>
          <w:rFonts w:asciiTheme="minorHAnsi" w:hAnsiTheme="minorHAnsi" w:cs="Segoe UI"/>
          <w:color w:val="000000" w:themeColor="text1"/>
          <w:szCs w:val="22"/>
        </w:rPr>
        <w:t>GBV</w:t>
      </w:r>
      <w:r w:rsidRPr="006B296A">
        <w:rPr>
          <w:rFonts w:asciiTheme="minorHAnsi" w:hAnsiTheme="minorHAnsi" w:cs="Segoe UI"/>
          <w:color w:val="000000" w:themeColor="text1"/>
          <w:szCs w:val="22"/>
        </w:rPr>
        <w:t xml:space="preserve"> in higher education can improve women’s educational attainment, which is critical for career progression and economic independence. </w:t>
      </w:r>
      <w:r w:rsidR="008223FC" w:rsidRPr="006B296A">
        <w:rPr>
          <w:rFonts w:asciiTheme="minorHAnsi" w:hAnsiTheme="minorHAnsi" w:cs="Segoe UI"/>
          <w:color w:val="000000" w:themeColor="text1"/>
          <w:szCs w:val="22"/>
        </w:rPr>
        <w:t>GBV</w:t>
      </w:r>
      <w:r w:rsidRPr="006B296A">
        <w:rPr>
          <w:rFonts w:asciiTheme="minorHAnsi" w:hAnsiTheme="minorHAnsi" w:cs="Segoe UI"/>
          <w:color w:val="000000" w:themeColor="text1"/>
          <w:szCs w:val="22"/>
        </w:rPr>
        <w:t xml:space="preserve"> disrupts education, leading to lower academic performance, higher dropout rates, and reduced lifetime earnings. Effective prevention and response measures can help women complete their studies and access leadership roles. Research shows that organisations with gender-balanced leadership teams perform better across financial, talent, and </w:t>
      </w:r>
      <w:r w:rsidR="00076C48">
        <w:rPr>
          <w:rFonts w:asciiTheme="minorHAnsi" w:hAnsiTheme="minorHAnsi" w:cs="Segoe UI"/>
          <w:color w:val="000000" w:themeColor="text1"/>
          <w:szCs w:val="22"/>
        </w:rPr>
        <w:t xml:space="preserve">environmental, social and governance </w:t>
      </w:r>
      <w:r w:rsidR="00076C48" w:rsidRPr="00076C48">
        <w:rPr>
          <w:rFonts w:asciiTheme="minorHAnsi" w:hAnsiTheme="minorHAnsi" w:cs="Segoe UI"/>
          <w:color w:val="000000" w:themeColor="text1"/>
          <w:szCs w:val="22"/>
        </w:rPr>
        <w:t>(ESG)</w:t>
      </w:r>
      <w:r w:rsidR="00076C48">
        <w:rPr>
          <w:rFonts w:asciiTheme="minorHAnsi" w:hAnsiTheme="minorHAnsi" w:cs="Segoe UI"/>
          <w:color w:val="000000" w:themeColor="text1"/>
          <w:szCs w:val="22"/>
        </w:rPr>
        <w:t xml:space="preserve"> </w:t>
      </w:r>
      <w:r w:rsidR="00076C48" w:rsidRPr="006B296A">
        <w:rPr>
          <w:rFonts w:asciiTheme="minorHAnsi" w:hAnsiTheme="minorHAnsi" w:cs="Segoe UI"/>
          <w:color w:val="000000" w:themeColor="text1"/>
          <w:szCs w:val="22"/>
        </w:rPr>
        <w:t>metrics</w:t>
      </w:r>
      <w:r w:rsidRPr="006B296A">
        <w:rPr>
          <w:rFonts w:asciiTheme="minorHAnsi" w:hAnsiTheme="minorHAnsi" w:cs="Segoe UI"/>
          <w:color w:val="000000" w:themeColor="text1"/>
          <w:szCs w:val="22"/>
        </w:rPr>
        <w:t>.</w:t>
      </w:r>
      <w:r w:rsidR="00D87323" w:rsidRPr="006B296A">
        <w:rPr>
          <w:rStyle w:val="FootnoteReference"/>
          <w:rFonts w:asciiTheme="minorHAnsi" w:hAnsiTheme="minorHAnsi" w:cs="Calibri Light"/>
          <w:szCs w:val="22"/>
        </w:rPr>
        <w:footnoteReference w:id="153"/>
      </w:r>
      <w:r w:rsidRPr="006B296A">
        <w:rPr>
          <w:rFonts w:asciiTheme="minorHAnsi" w:hAnsiTheme="minorHAnsi" w:cs="Segoe UI"/>
          <w:color w:val="000000" w:themeColor="text1"/>
          <w:szCs w:val="22"/>
        </w:rPr>
        <w:t xml:space="preserve"> Safer educational environments also support women’s civic and political engagement and help narrow the gender wage gap by increasing access to high-skill, higher-paying roles.</w:t>
      </w:r>
      <w:r w:rsidR="004E27C9" w:rsidRPr="006B296A">
        <w:rPr>
          <w:rStyle w:val="FootnoteReference"/>
          <w:rFonts w:asciiTheme="minorHAnsi" w:hAnsiTheme="minorHAnsi" w:cs="Calibri Light"/>
          <w:szCs w:val="22"/>
        </w:rPr>
        <w:footnoteReference w:id="154"/>
      </w:r>
    </w:p>
    <w:p w14:paraId="1167607E" w14:textId="2A1251F8" w:rsidR="00C3292D" w:rsidRPr="00C3292D" w:rsidRDefault="00C3292D" w:rsidP="00D21B06">
      <w:pPr>
        <w:pStyle w:val="Heading4"/>
      </w:pPr>
      <w:r w:rsidRPr="00D21B06">
        <w:rPr>
          <w:rStyle w:val="Strong"/>
          <w:b w:val="0"/>
          <w:bCs w:val="0"/>
        </w:rPr>
        <w:t xml:space="preserve"> Improved </w:t>
      </w:r>
      <w:r w:rsidR="00B843AF">
        <w:rPr>
          <w:rStyle w:val="Strong"/>
          <w:b w:val="0"/>
          <w:bCs w:val="0"/>
        </w:rPr>
        <w:t>s</w:t>
      </w:r>
      <w:r w:rsidRPr="00D21B06">
        <w:rPr>
          <w:rStyle w:val="Strong"/>
          <w:b w:val="0"/>
          <w:bCs w:val="0"/>
        </w:rPr>
        <w:t xml:space="preserve">tudent </w:t>
      </w:r>
      <w:r w:rsidR="00B843AF">
        <w:rPr>
          <w:rStyle w:val="Strong"/>
          <w:b w:val="0"/>
          <w:bCs w:val="0"/>
        </w:rPr>
        <w:t>s</w:t>
      </w:r>
      <w:r w:rsidR="001E5EB7">
        <w:rPr>
          <w:rStyle w:val="Strong"/>
          <w:b w:val="0"/>
          <w:bCs w:val="0"/>
        </w:rPr>
        <w:t>atisfaction</w:t>
      </w:r>
      <w:r w:rsidRPr="00D21B06">
        <w:rPr>
          <w:rStyle w:val="Strong"/>
          <w:b w:val="0"/>
          <w:bCs w:val="0"/>
        </w:rPr>
        <w:t xml:space="preserve"> and </w:t>
      </w:r>
      <w:r w:rsidR="00B843AF">
        <w:rPr>
          <w:rStyle w:val="Strong"/>
          <w:b w:val="0"/>
          <w:bCs w:val="0"/>
        </w:rPr>
        <w:t>r</w:t>
      </w:r>
      <w:r w:rsidRPr="00D21B06">
        <w:rPr>
          <w:rStyle w:val="Strong"/>
          <w:b w:val="0"/>
          <w:bCs w:val="0"/>
        </w:rPr>
        <w:t>etention</w:t>
      </w:r>
    </w:p>
    <w:p w14:paraId="45ED807D" w14:textId="106A79B7" w:rsidR="00C3292D" w:rsidRPr="006B296A" w:rsidRDefault="003F61D5" w:rsidP="004E27C9">
      <w:pPr>
        <w:pStyle w:val="NormalWeb"/>
        <w:spacing w:before="0" w:beforeAutospacing="0" w:after="160" w:afterAutospacing="0" w:line="278" w:lineRule="auto"/>
        <w:rPr>
          <w:rFonts w:asciiTheme="minorHAnsi" w:hAnsiTheme="minorHAnsi" w:cs="Segoe UI"/>
          <w:color w:val="000000" w:themeColor="text1"/>
          <w:szCs w:val="22"/>
        </w:rPr>
      </w:pPr>
      <w:r>
        <w:rPr>
          <w:rFonts w:asciiTheme="minorHAnsi" w:hAnsiTheme="minorHAnsi" w:cs="Segoe UI"/>
          <w:color w:val="000000" w:themeColor="text1"/>
          <w:szCs w:val="22"/>
        </w:rPr>
        <w:t xml:space="preserve">Improved student satisfaction and retention </w:t>
      </w:r>
      <w:r w:rsidR="00BB7671">
        <w:rPr>
          <w:rFonts w:asciiTheme="minorHAnsi" w:hAnsiTheme="minorHAnsi" w:cs="Segoe UI"/>
          <w:color w:val="000000" w:themeColor="text1"/>
          <w:szCs w:val="22"/>
        </w:rPr>
        <w:t xml:space="preserve">will be a consequence of realising the benefit of enhancing safety within higher education environments. As detailed in chapter 4.3.7.2 above, </w:t>
      </w:r>
      <w:r w:rsidR="00FA7247">
        <w:rPr>
          <w:rFonts w:asciiTheme="minorHAnsi" w:hAnsiTheme="minorHAnsi" w:cs="Segoe UI"/>
          <w:color w:val="000000" w:themeColor="text1"/>
          <w:szCs w:val="22"/>
        </w:rPr>
        <w:t>safety is an important consideration for potential students and their families, and research indicates that women</w:t>
      </w:r>
      <w:r w:rsidR="00BB7671">
        <w:rPr>
          <w:rFonts w:asciiTheme="minorHAnsi" w:hAnsiTheme="minorHAnsi" w:cs="Segoe UI"/>
          <w:color w:val="000000" w:themeColor="text1"/>
          <w:szCs w:val="22"/>
        </w:rPr>
        <w:t xml:space="preserve"> </w:t>
      </w:r>
      <w:r w:rsidR="00C3292D" w:rsidRPr="006B296A">
        <w:rPr>
          <w:rFonts w:asciiTheme="minorHAnsi" w:hAnsiTheme="minorHAnsi" w:cs="Segoe UI"/>
          <w:color w:val="000000" w:themeColor="text1"/>
          <w:szCs w:val="22"/>
        </w:rPr>
        <w:t>are willing to pay more for safer education environments.</w:t>
      </w:r>
      <w:r w:rsidR="006A77EF" w:rsidRPr="006B296A">
        <w:rPr>
          <w:rStyle w:val="FootnoteReference"/>
          <w:rFonts w:asciiTheme="minorHAnsi" w:hAnsiTheme="minorHAnsi"/>
          <w:szCs w:val="22"/>
        </w:rPr>
        <w:footnoteReference w:id="155"/>
      </w:r>
      <w:r w:rsidR="006A77EF" w:rsidRPr="006B296A">
        <w:rPr>
          <w:szCs w:val="22"/>
        </w:rPr>
        <w:t xml:space="preserve"> </w:t>
      </w:r>
      <w:r w:rsidR="00C3292D" w:rsidRPr="006B296A">
        <w:rPr>
          <w:rFonts w:asciiTheme="minorHAnsi" w:hAnsiTheme="minorHAnsi" w:cs="Segoe UI"/>
          <w:color w:val="000000" w:themeColor="text1"/>
          <w:szCs w:val="22"/>
        </w:rPr>
        <w:t xml:space="preserve"> Institutions known for fostering inclusive and secure campuses are more likely to attract and retain students. Experiences of harassment or assault can negatively impact academic performance and increase dropout rates. By implementing comprehensive </w:t>
      </w:r>
      <w:r w:rsidR="008223FC" w:rsidRPr="006B296A">
        <w:rPr>
          <w:rFonts w:asciiTheme="minorHAnsi" w:hAnsiTheme="minorHAnsi" w:cs="Segoe UI"/>
          <w:color w:val="000000" w:themeColor="text1"/>
          <w:szCs w:val="22"/>
        </w:rPr>
        <w:t>GBV</w:t>
      </w:r>
      <w:r w:rsidR="00C3292D" w:rsidRPr="006B296A">
        <w:rPr>
          <w:rFonts w:asciiTheme="minorHAnsi" w:hAnsiTheme="minorHAnsi" w:cs="Segoe UI"/>
          <w:color w:val="000000" w:themeColor="text1"/>
          <w:szCs w:val="22"/>
        </w:rPr>
        <w:t xml:space="preserve"> interventions, HEPs can improve student engagement, retention, and graduation outcomes</w:t>
      </w:r>
      <w:r w:rsidR="00B843AF" w:rsidRPr="006B296A">
        <w:rPr>
          <w:rFonts w:asciiTheme="minorHAnsi" w:hAnsiTheme="minorHAnsi" w:cs="Segoe UI"/>
          <w:color w:val="000000" w:themeColor="text1"/>
          <w:szCs w:val="22"/>
        </w:rPr>
        <w:t xml:space="preserve">, </w:t>
      </w:r>
      <w:r w:rsidR="00C3292D" w:rsidRPr="006B296A">
        <w:rPr>
          <w:rFonts w:asciiTheme="minorHAnsi" w:hAnsiTheme="minorHAnsi" w:cs="Segoe UI"/>
          <w:color w:val="000000" w:themeColor="text1"/>
          <w:szCs w:val="22"/>
        </w:rPr>
        <w:t>enhancing both student success and institutional sustainability.</w:t>
      </w:r>
    </w:p>
    <w:p w14:paraId="43671686" w14:textId="1DF6740E" w:rsidR="00C3292D" w:rsidRPr="00C3292D" w:rsidRDefault="00C3292D" w:rsidP="00D21B06">
      <w:pPr>
        <w:pStyle w:val="Heading4"/>
      </w:pPr>
      <w:r w:rsidRPr="00D21B06">
        <w:rPr>
          <w:rStyle w:val="Strong"/>
          <w:b w:val="0"/>
          <w:bCs w:val="0"/>
        </w:rPr>
        <w:lastRenderedPageBreak/>
        <w:t xml:space="preserve"> Increased </w:t>
      </w:r>
      <w:r w:rsidR="001E5EB7">
        <w:rPr>
          <w:rStyle w:val="Strong"/>
          <w:b w:val="0"/>
          <w:bCs w:val="0"/>
        </w:rPr>
        <w:t>c</w:t>
      </w:r>
      <w:r w:rsidRPr="00D21B06">
        <w:rPr>
          <w:rStyle w:val="Strong"/>
          <w:b w:val="0"/>
          <w:bCs w:val="0"/>
        </w:rPr>
        <w:t xml:space="preserve">ommunity </w:t>
      </w:r>
      <w:r w:rsidR="001E5EB7">
        <w:rPr>
          <w:rStyle w:val="Strong"/>
          <w:b w:val="0"/>
          <w:bCs w:val="0"/>
        </w:rPr>
        <w:t>a</w:t>
      </w:r>
      <w:r w:rsidRPr="00D21B06">
        <w:rPr>
          <w:rStyle w:val="Strong"/>
          <w:b w:val="0"/>
          <w:bCs w:val="0"/>
        </w:rPr>
        <w:t xml:space="preserve">wareness and </w:t>
      </w:r>
      <w:r w:rsidR="001E5EB7">
        <w:rPr>
          <w:rStyle w:val="Strong"/>
          <w:b w:val="0"/>
          <w:bCs w:val="0"/>
        </w:rPr>
        <w:t>c</w:t>
      </w:r>
      <w:r w:rsidRPr="00D21B06">
        <w:rPr>
          <w:rStyle w:val="Strong"/>
          <w:b w:val="0"/>
          <w:bCs w:val="0"/>
        </w:rPr>
        <w:t xml:space="preserve">hanging </w:t>
      </w:r>
      <w:r w:rsidR="001E5EB7">
        <w:rPr>
          <w:rStyle w:val="Strong"/>
          <w:b w:val="0"/>
          <w:bCs w:val="0"/>
        </w:rPr>
        <w:t>s</w:t>
      </w:r>
      <w:r w:rsidRPr="00D21B06">
        <w:rPr>
          <w:rStyle w:val="Strong"/>
          <w:b w:val="0"/>
          <w:bCs w:val="0"/>
        </w:rPr>
        <w:t xml:space="preserve">ocial </w:t>
      </w:r>
      <w:r w:rsidR="001E5EB7">
        <w:rPr>
          <w:rStyle w:val="Strong"/>
          <w:b w:val="0"/>
          <w:bCs w:val="0"/>
        </w:rPr>
        <w:t>n</w:t>
      </w:r>
      <w:r w:rsidRPr="00D21B06">
        <w:rPr>
          <w:rStyle w:val="Strong"/>
          <w:b w:val="0"/>
          <w:bCs w:val="0"/>
        </w:rPr>
        <w:t>orms</w:t>
      </w:r>
    </w:p>
    <w:p w14:paraId="4AC45CE9" w14:textId="218EF525" w:rsidR="0092048E" w:rsidRPr="006B296A" w:rsidRDefault="008223FC" w:rsidP="0092048E">
      <w:pPr>
        <w:rPr>
          <w:szCs w:val="22"/>
        </w:rPr>
      </w:pPr>
      <w:r w:rsidRPr="006B296A">
        <w:rPr>
          <w:rFonts w:cs="Segoe UI"/>
          <w:color w:val="000000" w:themeColor="text1"/>
          <w:szCs w:val="22"/>
        </w:rPr>
        <w:t>GBV</w:t>
      </w:r>
      <w:r w:rsidR="00C3292D" w:rsidRPr="006B296A">
        <w:rPr>
          <w:rFonts w:cs="Segoe UI"/>
          <w:color w:val="000000" w:themeColor="text1"/>
          <w:szCs w:val="22"/>
        </w:rPr>
        <w:t xml:space="preserve"> prevention programs in higher education can influence broader societal attitudes by raising awareness and challenging harmful norms. These programs promote respect, consent, and bystander intervention</w:t>
      </w:r>
      <w:r w:rsidR="00456B1B" w:rsidRPr="006B296A">
        <w:rPr>
          <w:rFonts w:cs="Segoe UI"/>
          <w:color w:val="000000" w:themeColor="text1"/>
          <w:szCs w:val="22"/>
        </w:rPr>
        <w:t xml:space="preserve">. </w:t>
      </w:r>
      <w:r w:rsidR="0067568F" w:rsidRPr="006B296A">
        <w:rPr>
          <w:szCs w:val="22"/>
        </w:rPr>
        <w:t>These interventions often aim</w:t>
      </w:r>
      <w:r w:rsidR="00C3292D" w:rsidRPr="006B296A">
        <w:rPr>
          <w:szCs w:val="22"/>
        </w:rPr>
        <w:t xml:space="preserve"> to </w:t>
      </w:r>
      <w:r w:rsidR="0067568F" w:rsidRPr="006B296A">
        <w:rPr>
          <w:szCs w:val="22"/>
        </w:rPr>
        <w:t>challenge stereotypes</w:t>
      </w:r>
      <w:r w:rsidR="00C3292D" w:rsidRPr="006B296A">
        <w:rPr>
          <w:szCs w:val="22"/>
        </w:rPr>
        <w:t xml:space="preserve"> and </w:t>
      </w:r>
      <w:r w:rsidR="0067568F" w:rsidRPr="006B296A">
        <w:rPr>
          <w:szCs w:val="22"/>
        </w:rPr>
        <w:t>improve relationships within the academic community.</w:t>
      </w:r>
      <w:r w:rsidR="0067568F" w:rsidRPr="006B296A">
        <w:rPr>
          <w:rStyle w:val="FootnoteReference"/>
          <w:szCs w:val="22"/>
        </w:rPr>
        <w:footnoteReference w:id="156"/>
      </w:r>
      <w:r w:rsidR="0067568F" w:rsidRPr="006B296A">
        <w:rPr>
          <w:szCs w:val="22"/>
        </w:rPr>
        <w:t xml:space="preserve"> </w:t>
      </w:r>
      <w:r w:rsidR="00D56BF1" w:rsidRPr="006B296A">
        <w:rPr>
          <w:szCs w:val="22"/>
        </w:rPr>
        <w:t xml:space="preserve">Entrenched norms </w:t>
      </w:r>
      <w:r w:rsidR="00C3292D" w:rsidRPr="006B296A">
        <w:rPr>
          <w:szCs w:val="22"/>
        </w:rPr>
        <w:t xml:space="preserve">can </w:t>
      </w:r>
      <w:r w:rsidR="00D56BF1" w:rsidRPr="006B296A">
        <w:rPr>
          <w:szCs w:val="22"/>
        </w:rPr>
        <w:t xml:space="preserve">contribute to the stigmatisation of </w:t>
      </w:r>
      <w:r w:rsidR="00C3292D" w:rsidRPr="006B296A">
        <w:rPr>
          <w:szCs w:val="22"/>
        </w:rPr>
        <w:t>survivors</w:t>
      </w:r>
      <w:r w:rsidR="00D56BF1" w:rsidRPr="006B296A">
        <w:rPr>
          <w:szCs w:val="22"/>
        </w:rPr>
        <w:t xml:space="preserve">, often deterring them from seeking help or reporting </w:t>
      </w:r>
      <w:r w:rsidR="00C3292D" w:rsidRPr="006B296A">
        <w:rPr>
          <w:szCs w:val="22"/>
        </w:rPr>
        <w:t>incidents</w:t>
      </w:r>
      <w:r w:rsidR="00D56BF1" w:rsidRPr="006B296A">
        <w:rPr>
          <w:szCs w:val="22"/>
        </w:rPr>
        <w:t xml:space="preserve">. </w:t>
      </w:r>
      <w:r w:rsidR="005B701A" w:rsidRPr="006B296A">
        <w:rPr>
          <w:szCs w:val="22"/>
        </w:rPr>
        <w:t>Challenging and transforming social norms can reduce the stigma associated with reporting</w:t>
      </w:r>
      <w:r w:rsidR="00C3292D" w:rsidRPr="006B296A">
        <w:rPr>
          <w:szCs w:val="22"/>
        </w:rPr>
        <w:t xml:space="preserve"> and </w:t>
      </w:r>
      <w:r w:rsidR="005B701A" w:rsidRPr="006B296A">
        <w:rPr>
          <w:szCs w:val="22"/>
        </w:rPr>
        <w:t>making it more acceptable for survivors to come forward</w:t>
      </w:r>
      <w:r w:rsidR="00842FB3" w:rsidRPr="006B296A">
        <w:rPr>
          <w:szCs w:val="22"/>
        </w:rPr>
        <w:t>.</w:t>
      </w:r>
      <w:r w:rsidR="005B701A" w:rsidRPr="006B296A">
        <w:rPr>
          <w:rFonts w:cs="Segoe UI"/>
          <w:color w:val="000000" w:themeColor="text1"/>
          <w:szCs w:val="22"/>
        </w:rPr>
        <w:t xml:space="preserve"> </w:t>
      </w:r>
      <w:r w:rsidR="0092048E" w:rsidRPr="006B296A">
        <w:rPr>
          <w:szCs w:val="22"/>
        </w:rPr>
        <w:t>Redu</w:t>
      </w:r>
      <w:r w:rsidR="00842FB3" w:rsidRPr="006B296A">
        <w:rPr>
          <w:szCs w:val="22"/>
        </w:rPr>
        <w:t>cing</w:t>
      </w:r>
      <w:r w:rsidR="0092048E" w:rsidRPr="006B296A">
        <w:rPr>
          <w:szCs w:val="22"/>
        </w:rPr>
        <w:t xml:space="preserve"> barriers to</w:t>
      </w:r>
      <w:r w:rsidR="00C3292D" w:rsidRPr="006B296A">
        <w:rPr>
          <w:szCs w:val="22"/>
        </w:rPr>
        <w:t xml:space="preserve"> reporting </w:t>
      </w:r>
      <w:r w:rsidR="00842FB3" w:rsidRPr="006B296A">
        <w:rPr>
          <w:szCs w:val="22"/>
        </w:rPr>
        <w:t>and ensuring reporting mechanism are safe and trauma-informed</w:t>
      </w:r>
      <w:r w:rsidR="0092048E" w:rsidRPr="006B296A">
        <w:rPr>
          <w:szCs w:val="22"/>
        </w:rPr>
        <w:t xml:space="preserve"> can also allow HEPs to gain a more accurate</w:t>
      </w:r>
      <w:r w:rsidR="00C3292D" w:rsidRPr="006B296A">
        <w:rPr>
          <w:szCs w:val="22"/>
        </w:rPr>
        <w:t xml:space="preserve"> understanding of </w:t>
      </w:r>
      <w:r w:rsidR="0092048E" w:rsidRPr="006B296A">
        <w:rPr>
          <w:szCs w:val="22"/>
        </w:rPr>
        <w:t>the</w:t>
      </w:r>
      <w:r w:rsidR="00C3292D" w:rsidRPr="006B296A">
        <w:rPr>
          <w:szCs w:val="22"/>
        </w:rPr>
        <w:t xml:space="preserve"> prevalence </w:t>
      </w:r>
      <w:r w:rsidR="0092048E" w:rsidRPr="006B296A">
        <w:rPr>
          <w:szCs w:val="22"/>
        </w:rPr>
        <w:t>of GBV on campus, enabling them to allocate resources more effectively towards</w:t>
      </w:r>
      <w:r w:rsidR="00C3292D" w:rsidRPr="006B296A">
        <w:rPr>
          <w:szCs w:val="22"/>
        </w:rPr>
        <w:t xml:space="preserve"> prevention</w:t>
      </w:r>
      <w:r w:rsidR="0092048E" w:rsidRPr="006B296A">
        <w:rPr>
          <w:szCs w:val="22"/>
        </w:rPr>
        <w:t>.</w:t>
      </w:r>
    </w:p>
    <w:p w14:paraId="077F8DE9" w14:textId="28072E6D" w:rsidR="001D6975" w:rsidRPr="0092048E" w:rsidRDefault="001D6975" w:rsidP="001D6975">
      <w:pPr>
        <w:pStyle w:val="Heading3"/>
      </w:pPr>
      <w:bookmarkStart w:id="185" w:name="_Toc204763340"/>
      <w:bookmarkStart w:id="186" w:name="_Toc204764908"/>
      <w:r>
        <w:t>Net Benefits</w:t>
      </w:r>
      <w:r w:rsidR="00485576">
        <w:t xml:space="preserve"> of the National Code</w:t>
      </w:r>
      <w:bookmarkEnd w:id="185"/>
      <w:bookmarkEnd w:id="186"/>
    </w:p>
    <w:p w14:paraId="42D9B43E" w14:textId="27CDDCB4" w:rsidR="003824D0" w:rsidRPr="00FA4714" w:rsidRDefault="00624C4A" w:rsidP="003123A1">
      <w:pPr>
        <w:rPr>
          <w:lang w:eastAsia="en-AU"/>
        </w:rPr>
      </w:pPr>
      <w:r w:rsidRPr="006B296A">
        <w:rPr>
          <w:szCs w:val="22"/>
          <w:lang w:eastAsia="en-AU"/>
        </w:rPr>
        <w:t xml:space="preserve">In total, the results of the CBA suggest that the </w:t>
      </w:r>
      <w:r w:rsidR="00030B76" w:rsidRPr="006B296A">
        <w:rPr>
          <w:szCs w:val="22"/>
          <w:lang w:eastAsia="en-AU"/>
        </w:rPr>
        <w:t xml:space="preserve">National </w:t>
      </w:r>
      <w:r w:rsidRPr="006B296A">
        <w:rPr>
          <w:szCs w:val="22"/>
          <w:lang w:eastAsia="en-AU"/>
        </w:rPr>
        <w:t>Code is likely to create a net benefit of approximately $</w:t>
      </w:r>
      <w:r w:rsidRPr="006B296A">
        <w:rPr>
          <w:b/>
          <w:bCs/>
          <w:szCs w:val="22"/>
          <w:lang w:eastAsia="en-AU"/>
        </w:rPr>
        <w:t>2.3 billion in net present value over ten years</w:t>
      </w:r>
      <w:r w:rsidRPr="006B296A">
        <w:rPr>
          <w:szCs w:val="22"/>
          <w:lang w:eastAsia="en-AU"/>
        </w:rPr>
        <w:t xml:space="preserve">, or </w:t>
      </w:r>
      <w:r w:rsidRPr="006B296A">
        <w:rPr>
          <w:b/>
          <w:bCs/>
          <w:szCs w:val="22"/>
          <w:lang w:eastAsia="en-AU"/>
        </w:rPr>
        <w:t xml:space="preserve">approximately $355.8 million per year (on average). </w:t>
      </w:r>
      <w:r w:rsidR="00485576" w:rsidRPr="006B296A">
        <w:rPr>
          <w:szCs w:val="22"/>
          <w:lang w:eastAsia="en-AU"/>
        </w:rPr>
        <w:t>See the table below that demonstrates this.</w:t>
      </w:r>
    </w:p>
    <w:tbl>
      <w:tblPr>
        <w:tblStyle w:val="Deloittetable"/>
        <w:tblW w:w="5000" w:type="pct"/>
        <w:tblLook w:val="04A0" w:firstRow="1" w:lastRow="0" w:firstColumn="1" w:lastColumn="0" w:noHBand="0" w:noVBand="1"/>
      </w:tblPr>
      <w:tblGrid>
        <w:gridCol w:w="1824"/>
        <w:gridCol w:w="3440"/>
        <w:gridCol w:w="3762"/>
      </w:tblGrid>
      <w:tr w:rsidR="003824D0" w:rsidRPr="00731031" w14:paraId="4FFBA75F" w14:textId="77777777" w:rsidTr="00485576">
        <w:trPr>
          <w:cnfStyle w:val="100000000000" w:firstRow="1" w:lastRow="0" w:firstColumn="0" w:lastColumn="0" w:oddVBand="0" w:evenVBand="0" w:oddHBand="0" w:evenHBand="0" w:firstRowFirstColumn="0" w:firstRowLastColumn="0" w:lastRowFirstColumn="0" w:lastRowLastColumn="0"/>
          <w:tblHeader/>
        </w:trPr>
        <w:tc>
          <w:tcPr>
            <w:tcW w:w="1010" w:type="pct"/>
            <w:tcBorders>
              <w:top w:val="nil"/>
              <w:bottom w:val="nil"/>
            </w:tcBorders>
            <w:shd w:val="clear" w:color="auto" w:fill="156082" w:themeFill="accent1"/>
          </w:tcPr>
          <w:p w14:paraId="34E491F4" w14:textId="77777777" w:rsidR="003824D0" w:rsidRPr="006B296A" w:rsidRDefault="003824D0">
            <w:pPr>
              <w:rPr>
                <w:rFonts w:asciiTheme="minorHAnsi" w:hAnsiTheme="minorHAnsi"/>
                <w:color w:val="FFFFFF" w:themeColor="background1"/>
                <w:szCs w:val="22"/>
                <w:lang w:eastAsia="en-AU"/>
              </w:rPr>
            </w:pPr>
          </w:p>
        </w:tc>
        <w:tc>
          <w:tcPr>
            <w:tcW w:w="1905" w:type="pct"/>
            <w:tcBorders>
              <w:top w:val="nil"/>
              <w:bottom w:val="nil"/>
            </w:tcBorders>
            <w:shd w:val="clear" w:color="auto" w:fill="156082" w:themeFill="accent1"/>
          </w:tcPr>
          <w:p w14:paraId="3FC018E7" w14:textId="77777777" w:rsidR="003824D0" w:rsidRPr="006B296A" w:rsidRDefault="003824D0">
            <w:pPr>
              <w:rPr>
                <w:rFonts w:asciiTheme="minorHAnsi" w:hAnsiTheme="minorHAnsi"/>
                <w:b/>
                <w:color w:val="FFFFFF" w:themeColor="background1"/>
                <w:szCs w:val="22"/>
                <w:lang w:eastAsia="en-AU"/>
              </w:rPr>
            </w:pPr>
            <w:r w:rsidRPr="006B296A">
              <w:rPr>
                <w:rFonts w:asciiTheme="minorHAnsi" w:hAnsiTheme="minorHAnsi"/>
                <w:b/>
                <w:color w:val="FFFFFF" w:themeColor="background1"/>
                <w:szCs w:val="22"/>
                <w:lang w:eastAsia="en-AU"/>
              </w:rPr>
              <w:t>Present value over ten years</w:t>
            </w:r>
          </w:p>
        </w:tc>
        <w:tc>
          <w:tcPr>
            <w:tcW w:w="2084" w:type="pct"/>
            <w:tcBorders>
              <w:top w:val="nil"/>
              <w:bottom w:val="nil"/>
            </w:tcBorders>
            <w:shd w:val="clear" w:color="auto" w:fill="156082" w:themeFill="accent1"/>
          </w:tcPr>
          <w:p w14:paraId="478838E6" w14:textId="77777777" w:rsidR="003824D0" w:rsidRPr="006B296A" w:rsidRDefault="003824D0">
            <w:pPr>
              <w:rPr>
                <w:rFonts w:asciiTheme="minorHAnsi" w:hAnsiTheme="minorHAnsi"/>
                <w:b/>
                <w:color w:val="FFFFFF" w:themeColor="background1"/>
                <w:szCs w:val="22"/>
                <w:lang w:eastAsia="en-AU"/>
              </w:rPr>
            </w:pPr>
            <w:r w:rsidRPr="006B296A">
              <w:rPr>
                <w:rFonts w:asciiTheme="minorHAnsi" w:hAnsiTheme="minorHAnsi"/>
                <w:b/>
                <w:color w:val="FFFFFF" w:themeColor="background1"/>
                <w:szCs w:val="22"/>
                <w:lang w:eastAsia="en-AU"/>
              </w:rPr>
              <w:t>Average annual (undiscounted)</w:t>
            </w:r>
          </w:p>
        </w:tc>
      </w:tr>
      <w:tr w:rsidR="003824D0" w:rsidRPr="00731031" w14:paraId="521A8631" w14:textId="77777777" w:rsidTr="00485576">
        <w:tc>
          <w:tcPr>
            <w:tcW w:w="1010" w:type="pct"/>
            <w:tcBorders>
              <w:top w:val="nil"/>
            </w:tcBorders>
          </w:tcPr>
          <w:p w14:paraId="0450BCDC" w14:textId="77777777" w:rsidR="003824D0" w:rsidRPr="006B296A" w:rsidRDefault="003824D0">
            <w:pPr>
              <w:rPr>
                <w:rFonts w:asciiTheme="minorHAnsi" w:hAnsiTheme="minorHAnsi"/>
                <w:szCs w:val="22"/>
                <w:lang w:eastAsia="en-AU"/>
              </w:rPr>
            </w:pPr>
            <w:r w:rsidRPr="006B296A">
              <w:rPr>
                <w:rFonts w:asciiTheme="minorHAnsi" w:hAnsiTheme="minorHAnsi"/>
                <w:szCs w:val="22"/>
                <w:lang w:eastAsia="en-AU"/>
              </w:rPr>
              <w:t xml:space="preserve"> Total costs</w:t>
            </w:r>
          </w:p>
        </w:tc>
        <w:tc>
          <w:tcPr>
            <w:tcW w:w="1905" w:type="pct"/>
            <w:tcBorders>
              <w:top w:val="nil"/>
            </w:tcBorders>
          </w:tcPr>
          <w:p w14:paraId="2869F321" w14:textId="77777777" w:rsidR="003824D0" w:rsidRPr="006B296A" w:rsidRDefault="003824D0">
            <w:pPr>
              <w:rPr>
                <w:rFonts w:asciiTheme="minorHAnsi" w:hAnsiTheme="minorHAnsi"/>
                <w:szCs w:val="22"/>
                <w:lang w:eastAsia="en-AU"/>
              </w:rPr>
            </w:pPr>
            <w:r w:rsidRPr="006B296A">
              <w:rPr>
                <w:rFonts w:asciiTheme="minorHAnsi" w:hAnsiTheme="minorHAnsi"/>
                <w:szCs w:val="22"/>
                <w:lang w:eastAsia="en-AU"/>
              </w:rPr>
              <w:t>$1.2b</w:t>
            </w:r>
          </w:p>
        </w:tc>
        <w:tc>
          <w:tcPr>
            <w:tcW w:w="2084" w:type="pct"/>
            <w:tcBorders>
              <w:top w:val="nil"/>
            </w:tcBorders>
          </w:tcPr>
          <w:p w14:paraId="03A0FD1A" w14:textId="77777777" w:rsidR="003824D0" w:rsidRPr="006B296A" w:rsidRDefault="003824D0">
            <w:pPr>
              <w:rPr>
                <w:rFonts w:asciiTheme="minorHAnsi" w:hAnsiTheme="minorHAnsi"/>
                <w:szCs w:val="22"/>
                <w:lang w:eastAsia="en-AU"/>
              </w:rPr>
            </w:pPr>
            <w:r w:rsidRPr="006B296A">
              <w:rPr>
                <w:rFonts w:asciiTheme="minorHAnsi" w:hAnsiTheme="minorHAnsi"/>
                <w:szCs w:val="22"/>
                <w:lang w:eastAsia="en-AU"/>
              </w:rPr>
              <w:t>$177.9m</w:t>
            </w:r>
          </w:p>
        </w:tc>
      </w:tr>
      <w:tr w:rsidR="003824D0" w:rsidRPr="00731031" w14:paraId="1F8E487B" w14:textId="77777777">
        <w:tc>
          <w:tcPr>
            <w:tcW w:w="1010" w:type="pct"/>
          </w:tcPr>
          <w:p w14:paraId="5E9AE508" w14:textId="77777777" w:rsidR="003824D0" w:rsidRPr="006B296A" w:rsidRDefault="003824D0">
            <w:pPr>
              <w:rPr>
                <w:rFonts w:asciiTheme="minorHAnsi" w:hAnsiTheme="minorHAnsi"/>
                <w:szCs w:val="22"/>
                <w:lang w:eastAsia="en-AU"/>
              </w:rPr>
            </w:pPr>
            <w:r w:rsidRPr="006B296A">
              <w:rPr>
                <w:rFonts w:asciiTheme="minorHAnsi" w:hAnsiTheme="minorHAnsi"/>
                <w:szCs w:val="22"/>
                <w:lang w:eastAsia="en-AU"/>
              </w:rPr>
              <w:t xml:space="preserve"> Total benefits</w:t>
            </w:r>
          </w:p>
        </w:tc>
        <w:tc>
          <w:tcPr>
            <w:tcW w:w="1905" w:type="pct"/>
          </w:tcPr>
          <w:p w14:paraId="77515EEF" w14:textId="77777777" w:rsidR="003824D0" w:rsidRPr="006B296A" w:rsidRDefault="003824D0">
            <w:pPr>
              <w:rPr>
                <w:rFonts w:asciiTheme="minorHAnsi" w:hAnsiTheme="minorHAnsi"/>
                <w:szCs w:val="22"/>
                <w:lang w:eastAsia="en-AU"/>
              </w:rPr>
            </w:pPr>
            <w:r w:rsidRPr="006B296A">
              <w:rPr>
                <w:rFonts w:asciiTheme="minorHAnsi" w:hAnsiTheme="minorHAnsi"/>
                <w:szCs w:val="22"/>
              </w:rPr>
              <w:t>$3.5b</w:t>
            </w:r>
          </w:p>
        </w:tc>
        <w:tc>
          <w:tcPr>
            <w:tcW w:w="2084" w:type="pct"/>
          </w:tcPr>
          <w:p w14:paraId="07B400C5" w14:textId="77777777" w:rsidR="003824D0" w:rsidRPr="006B296A" w:rsidRDefault="003824D0">
            <w:pPr>
              <w:rPr>
                <w:rFonts w:asciiTheme="minorHAnsi" w:hAnsiTheme="minorHAnsi"/>
                <w:szCs w:val="22"/>
              </w:rPr>
            </w:pPr>
            <w:r w:rsidRPr="006B296A">
              <w:rPr>
                <w:rFonts w:asciiTheme="minorHAnsi" w:hAnsiTheme="minorHAnsi"/>
                <w:szCs w:val="22"/>
              </w:rPr>
              <w:t>$533.7m</w:t>
            </w:r>
          </w:p>
        </w:tc>
      </w:tr>
      <w:tr w:rsidR="003824D0" w:rsidRPr="00731031" w14:paraId="20B19BB2" w14:textId="77777777">
        <w:tc>
          <w:tcPr>
            <w:tcW w:w="1010" w:type="pct"/>
          </w:tcPr>
          <w:p w14:paraId="307F5207" w14:textId="77777777" w:rsidR="003824D0" w:rsidRPr="006B296A" w:rsidRDefault="003824D0">
            <w:pPr>
              <w:rPr>
                <w:rFonts w:asciiTheme="minorHAnsi" w:hAnsiTheme="minorHAnsi"/>
                <w:b/>
                <w:szCs w:val="22"/>
                <w:lang w:eastAsia="en-AU"/>
              </w:rPr>
            </w:pPr>
            <w:r w:rsidRPr="006B296A">
              <w:rPr>
                <w:rFonts w:asciiTheme="minorHAnsi" w:hAnsiTheme="minorHAnsi"/>
                <w:b/>
                <w:szCs w:val="22"/>
                <w:lang w:eastAsia="en-AU"/>
              </w:rPr>
              <w:t xml:space="preserve">Net benefit </w:t>
            </w:r>
          </w:p>
        </w:tc>
        <w:tc>
          <w:tcPr>
            <w:tcW w:w="1905" w:type="pct"/>
          </w:tcPr>
          <w:p w14:paraId="1F7AAAFD" w14:textId="77777777" w:rsidR="003824D0" w:rsidRPr="006B296A" w:rsidRDefault="003824D0">
            <w:pPr>
              <w:rPr>
                <w:rFonts w:asciiTheme="minorHAnsi" w:hAnsiTheme="minorHAnsi"/>
                <w:szCs w:val="22"/>
              </w:rPr>
            </w:pPr>
            <w:r w:rsidRPr="006B296A">
              <w:rPr>
                <w:rFonts w:asciiTheme="minorHAnsi" w:hAnsiTheme="minorHAnsi"/>
                <w:b/>
                <w:szCs w:val="22"/>
                <w:lang w:eastAsia="en-AU"/>
              </w:rPr>
              <w:t>$2.3b</w:t>
            </w:r>
          </w:p>
        </w:tc>
        <w:tc>
          <w:tcPr>
            <w:tcW w:w="2084" w:type="pct"/>
          </w:tcPr>
          <w:p w14:paraId="3FFE7A96" w14:textId="77777777" w:rsidR="003824D0" w:rsidRPr="006B296A" w:rsidRDefault="003824D0">
            <w:pPr>
              <w:rPr>
                <w:rFonts w:asciiTheme="minorHAnsi" w:hAnsiTheme="minorHAnsi"/>
                <w:szCs w:val="22"/>
              </w:rPr>
            </w:pPr>
            <w:r w:rsidRPr="006B296A">
              <w:rPr>
                <w:rFonts w:asciiTheme="minorHAnsi" w:hAnsiTheme="minorHAnsi"/>
                <w:b/>
                <w:szCs w:val="22"/>
                <w:lang w:eastAsia="en-AU"/>
              </w:rPr>
              <w:t>$355.8m</w:t>
            </w:r>
          </w:p>
        </w:tc>
      </w:tr>
      <w:tr w:rsidR="003824D0" w:rsidRPr="00731031" w14:paraId="0B31D6B3" w14:textId="77777777">
        <w:tc>
          <w:tcPr>
            <w:tcW w:w="1010" w:type="pct"/>
          </w:tcPr>
          <w:p w14:paraId="58AEAEEA" w14:textId="77777777" w:rsidR="003824D0" w:rsidRPr="006B296A" w:rsidRDefault="003824D0">
            <w:pPr>
              <w:rPr>
                <w:rFonts w:asciiTheme="minorHAnsi" w:hAnsiTheme="minorHAnsi"/>
                <w:b/>
                <w:szCs w:val="22"/>
                <w:lang w:eastAsia="en-AU"/>
              </w:rPr>
            </w:pPr>
            <w:r w:rsidRPr="006B296A">
              <w:rPr>
                <w:rFonts w:asciiTheme="minorHAnsi" w:hAnsiTheme="minorHAnsi"/>
                <w:b/>
                <w:szCs w:val="22"/>
                <w:lang w:eastAsia="en-AU"/>
              </w:rPr>
              <w:t xml:space="preserve"> BCR</w:t>
            </w:r>
          </w:p>
        </w:tc>
        <w:tc>
          <w:tcPr>
            <w:tcW w:w="1905" w:type="pct"/>
          </w:tcPr>
          <w:p w14:paraId="40792A23" w14:textId="77777777" w:rsidR="003824D0" w:rsidRPr="006B296A" w:rsidRDefault="003824D0">
            <w:pPr>
              <w:rPr>
                <w:rFonts w:asciiTheme="minorHAnsi" w:hAnsiTheme="minorHAnsi"/>
                <w:b/>
                <w:szCs w:val="22"/>
                <w:lang w:eastAsia="en-AU"/>
              </w:rPr>
            </w:pPr>
            <w:r w:rsidRPr="006B296A">
              <w:rPr>
                <w:rFonts w:asciiTheme="minorHAnsi" w:hAnsiTheme="minorHAnsi"/>
                <w:b/>
                <w:szCs w:val="22"/>
                <w:lang w:eastAsia="en-AU"/>
              </w:rPr>
              <w:t>3.0</w:t>
            </w:r>
          </w:p>
        </w:tc>
        <w:tc>
          <w:tcPr>
            <w:tcW w:w="2084" w:type="pct"/>
          </w:tcPr>
          <w:p w14:paraId="03526679" w14:textId="77777777" w:rsidR="003824D0" w:rsidRPr="006B296A" w:rsidRDefault="003824D0">
            <w:pPr>
              <w:rPr>
                <w:rFonts w:asciiTheme="minorHAnsi" w:hAnsiTheme="minorHAnsi"/>
                <w:b/>
                <w:szCs w:val="22"/>
                <w:lang w:eastAsia="en-AU"/>
              </w:rPr>
            </w:pPr>
            <w:r w:rsidRPr="006B296A">
              <w:rPr>
                <w:rFonts w:asciiTheme="minorHAnsi" w:hAnsiTheme="minorHAnsi"/>
                <w:b/>
                <w:szCs w:val="22"/>
                <w:lang w:eastAsia="en-AU"/>
              </w:rPr>
              <w:t>3.0</w:t>
            </w:r>
          </w:p>
        </w:tc>
      </w:tr>
    </w:tbl>
    <w:p w14:paraId="245D3B67" w14:textId="58EBE999" w:rsidR="000350AD" w:rsidRDefault="00713DC7" w:rsidP="003123A1">
      <w:pPr>
        <w:pStyle w:val="Source"/>
        <w:rPr>
          <w:color w:val="auto"/>
          <w:lang w:eastAsia="en-AU"/>
        </w:rPr>
      </w:pPr>
      <w:r w:rsidRPr="00FA4714">
        <w:rPr>
          <w:color w:val="auto"/>
          <w:lang w:eastAsia="en-AU"/>
        </w:rPr>
        <w:t>Source: Deloitte Acc</w:t>
      </w:r>
      <w:r>
        <w:rPr>
          <w:color w:val="auto"/>
          <w:lang w:eastAsia="en-AU"/>
        </w:rPr>
        <w:t>e</w:t>
      </w:r>
      <w:r w:rsidRPr="00FA4714">
        <w:rPr>
          <w:color w:val="auto"/>
          <w:lang w:eastAsia="en-AU"/>
        </w:rPr>
        <w:t>ss Economics, 2025</w:t>
      </w:r>
    </w:p>
    <w:p w14:paraId="5F2CE8CD" w14:textId="7059C6AF" w:rsidR="002F5FC8" w:rsidRPr="00FA5EA1" w:rsidRDefault="000350AD" w:rsidP="000350AD">
      <w:pPr>
        <w:rPr>
          <w:lang w:eastAsia="en-AU"/>
        </w:rPr>
      </w:pPr>
      <w:r>
        <w:rPr>
          <w:lang w:eastAsia="en-AU"/>
        </w:rPr>
        <w:br w:type="page"/>
      </w:r>
    </w:p>
    <w:p w14:paraId="680F3216" w14:textId="6E2D6039" w:rsidR="00943505" w:rsidRPr="00ED4CBB" w:rsidRDefault="00943505" w:rsidP="009C1171">
      <w:pPr>
        <w:pStyle w:val="Heading1"/>
        <w:rPr>
          <w:b/>
          <w:bCs/>
        </w:rPr>
      </w:pPr>
      <w:bookmarkStart w:id="187" w:name="_Toc204699890"/>
      <w:bookmarkStart w:id="188" w:name="_Toc210050244"/>
      <w:r w:rsidRPr="00ED4CBB">
        <w:rPr>
          <w:b/>
          <w:bCs/>
        </w:rPr>
        <w:lastRenderedPageBreak/>
        <w:t xml:space="preserve">Chapter 5: Who </w:t>
      </w:r>
      <w:r w:rsidR="009C1171" w:rsidRPr="00ED4CBB">
        <w:rPr>
          <w:b/>
          <w:bCs/>
        </w:rPr>
        <w:t>did</w:t>
      </w:r>
      <w:r w:rsidRPr="00ED4CBB">
        <w:rPr>
          <w:b/>
          <w:bCs/>
        </w:rPr>
        <w:t xml:space="preserve"> you consult and how did you incorporate their feedback?</w:t>
      </w:r>
      <w:bookmarkEnd w:id="187"/>
      <w:bookmarkEnd w:id="188"/>
    </w:p>
    <w:p w14:paraId="464349E2" w14:textId="5984E5E9" w:rsidR="004770AB" w:rsidRDefault="004770AB" w:rsidP="004770AB">
      <w:pPr>
        <w:pStyle w:val="Heading2"/>
      </w:pPr>
      <w:bookmarkStart w:id="189" w:name="_Toc204699891"/>
      <w:bookmarkStart w:id="190" w:name="_Toc210050245"/>
      <w:r>
        <w:t>Purpose and objectives</w:t>
      </w:r>
      <w:bookmarkEnd w:id="189"/>
      <w:bookmarkEnd w:id="190"/>
      <w:r>
        <w:t xml:space="preserve"> </w:t>
      </w:r>
    </w:p>
    <w:p w14:paraId="5D482189" w14:textId="22495A66" w:rsidR="004650A9" w:rsidRPr="00F45378" w:rsidRDefault="004650A9" w:rsidP="004650A9">
      <w:pPr>
        <w:spacing w:before="120" w:after="120" w:line="240" w:lineRule="auto"/>
        <w:rPr>
          <w:rFonts w:cs="Calibri"/>
          <w:szCs w:val="22"/>
        </w:rPr>
      </w:pPr>
      <w:r w:rsidRPr="00F45378">
        <w:rPr>
          <w:rFonts w:cs="Calibri"/>
          <w:szCs w:val="22"/>
        </w:rPr>
        <w:t xml:space="preserve">The Department of Education is committed to a collaborative, inclusive, and transparent approach to reform, particularly in addressing </w:t>
      </w:r>
      <w:r w:rsidR="00B7771B" w:rsidRPr="00F45378">
        <w:rPr>
          <w:rFonts w:cs="Calibri"/>
          <w:szCs w:val="22"/>
        </w:rPr>
        <w:t>GBV</w:t>
      </w:r>
      <w:r w:rsidRPr="00F45378">
        <w:rPr>
          <w:rFonts w:cs="Calibri"/>
          <w:szCs w:val="22"/>
        </w:rPr>
        <w:t xml:space="preserve"> in higher education. The purpose of consultation was to engage meaningfully with stakeholders to develop a policy option grounded in lived experience, operational insight, and expert evidence.</w:t>
      </w:r>
    </w:p>
    <w:p w14:paraId="333B6FC5" w14:textId="0791A544" w:rsidR="004650A9" w:rsidRPr="00F45378" w:rsidRDefault="004650A9" w:rsidP="004650A9">
      <w:pPr>
        <w:spacing w:before="120" w:after="120" w:line="240" w:lineRule="auto"/>
        <w:rPr>
          <w:rFonts w:cs="Calibri"/>
          <w:szCs w:val="22"/>
        </w:rPr>
      </w:pPr>
      <w:r w:rsidRPr="00F45378">
        <w:rPr>
          <w:rFonts w:cs="Calibri"/>
          <w:szCs w:val="22"/>
        </w:rPr>
        <w:t>Consultation was conducted in multiple phases, each with distinct objectives, to ensure comprehensive engagement across the sector</w:t>
      </w:r>
      <w:r w:rsidR="00157F0C" w:rsidRPr="00F45378">
        <w:rPr>
          <w:rFonts w:cs="Calibri"/>
          <w:szCs w:val="22"/>
        </w:rPr>
        <w:t xml:space="preserve">. </w:t>
      </w:r>
      <w:r w:rsidRPr="00F45378">
        <w:rPr>
          <w:rFonts w:cs="Calibri"/>
          <w:szCs w:val="22"/>
        </w:rPr>
        <w:t>These phases included:</w:t>
      </w:r>
    </w:p>
    <w:p w14:paraId="0A3B9ABB" w14:textId="77777777" w:rsidR="004650A9" w:rsidRPr="00F45378" w:rsidRDefault="004650A9" w:rsidP="00374E2E">
      <w:pPr>
        <w:numPr>
          <w:ilvl w:val="0"/>
          <w:numId w:val="42"/>
        </w:numPr>
        <w:spacing w:before="120" w:after="120" w:line="240" w:lineRule="auto"/>
        <w:rPr>
          <w:rFonts w:cs="Calibri"/>
          <w:szCs w:val="22"/>
        </w:rPr>
      </w:pPr>
      <w:r w:rsidRPr="00F45378">
        <w:rPr>
          <w:rFonts w:cs="Calibri"/>
          <w:b/>
          <w:bCs/>
          <w:szCs w:val="22"/>
        </w:rPr>
        <w:t>Consultation on the Draft Action Plan</w:t>
      </w:r>
      <w:r w:rsidRPr="00F45378">
        <w:rPr>
          <w:rFonts w:cs="Calibri"/>
          <w:szCs w:val="22"/>
        </w:rPr>
        <w:t xml:space="preserve"> – to test the initial concept of a </w:t>
      </w:r>
      <w:r w:rsidR="008743F1" w:rsidRPr="00F45378">
        <w:rPr>
          <w:rFonts w:cs="Calibri"/>
          <w:szCs w:val="22"/>
        </w:rPr>
        <w:t>National Code</w:t>
      </w:r>
      <w:r w:rsidRPr="00F45378">
        <w:rPr>
          <w:rFonts w:cs="Calibri"/>
          <w:szCs w:val="22"/>
        </w:rPr>
        <w:t xml:space="preserve"> and gather initial feedback on proposed reforms.</w:t>
      </w:r>
    </w:p>
    <w:p w14:paraId="2BABBA52" w14:textId="1198C7E6" w:rsidR="004650A9" w:rsidRPr="00F45378" w:rsidRDefault="004650A9" w:rsidP="00374E2E">
      <w:pPr>
        <w:numPr>
          <w:ilvl w:val="0"/>
          <w:numId w:val="42"/>
        </w:numPr>
        <w:spacing w:before="120" w:after="120" w:line="240" w:lineRule="auto"/>
        <w:rPr>
          <w:rFonts w:cs="Calibri"/>
          <w:szCs w:val="22"/>
        </w:rPr>
      </w:pPr>
      <w:r w:rsidRPr="00F45378">
        <w:rPr>
          <w:rFonts w:cs="Calibri"/>
          <w:b/>
          <w:bCs/>
          <w:szCs w:val="22"/>
        </w:rPr>
        <w:t>Public Consultation on an Issues Paper</w:t>
      </w:r>
      <w:r w:rsidRPr="00F45378">
        <w:rPr>
          <w:rFonts w:cs="Calibri"/>
          <w:szCs w:val="22"/>
        </w:rPr>
        <w:t xml:space="preserve"> – to provide a detailed plan of the </w:t>
      </w:r>
      <w:r w:rsidR="008743F1" w:rsidRPr="00F45378">
        <w:rPr>
          <w:rFonts w:cs="Calibri"/>
          <w:szCs w:val="22"/>
        </w:rPr>
        <w:t>National Code</w:t>
      </w:r>
      <w:r w:rsidRPr="00F45378">
        <w:rPr>
          <w:rFonts w:cs="Calibri"/>
          <w:szCs w:val="22"/>
        </w:rPr>
        <w:t xml:space="preserve"> and seek detailed input on the proposed standards and regulatory framework, including their clarity, relevance, and applicability.</w:t>
      </w:r>
    </w:p>
    <w:p w14:paraId="7617B314" w14:textId="5669B5CF" w:rsidR="004650A9" w:rsidRPr="00F45378" w:rsidRDefault="004650A9" w:rsidP="00374E2E">
      <w:pPr>
        <w:numPr>
          <w:ilvl w:val="0"/>
          <w:numId w:val="42"/>
        </w:numPr>
        <w:spacing w:before="120" w:after="120" w:line="240" w:lineRule="auto"/>
        <w:rPr>
          <w:rFonts w:cs="Calibri"/>
          <w:szCs w:val="22"/>
        </w:rPr>
      </w:pPr>
      <w:r w:rsidRPr="00F45378">
        <w:rPr>
          <w:rFonts w:cs="Calibri"/>
          <w:b/>
          <w:bCs/>
          <w:szCs w:val="22"/>
        </w:rPr>
        <w:t>Targeted Consultation</w:t>
      </w:r>
      <w:r w:rsidRPr="00F45378">
        <w:rPr>
          <w:rFonts w:cs="Calibri"/>
          <w:szCs w:val="22"/>
        </w:rPr>
        <w:t xml:space="preserve"> – to explore specific issues in depth with key stakeholder groups, including those disproportionately affected by </w:t>
      </w:r>
      <w:r w:rsidR="00B7771B" w:rsidRPr="00F45378">
        <w:rPr>
          <w:rFonts w:cs="Calibri"/>
          <w:szCs w:val="22"/>
        </w:rPr>
        <w:t>GBV</w:t>
      </w:r>
      <w:r w:rsidRPr="00F45378">
        <w:rPr>
          <w:rFonts w:cs="Calibri"/>
          <w:szCs w:val="22"/>
        </w:rPr>
        <w:t xml:space="preserve"> to ensure their input was incorporated.</w:t>
      </w:r>
    </w:p>
    <w:p w14:paraId="063DF790" w14:textId="77777777" w:rsidR="004650A9" w:rsidRPr="00F45378" w:rsidRDefault="004650A9" w:rsidP="00374E2E">
      <w:pPr>
        <w:numPr>
          <w:ilvl w:val="0"/>
          <w:numId w:val="42"/>
        </w:numPr>
        <w:spacing w:before="120" w:after="120" w:line="240" w:lineRule="auto"/>
        <w:rPr>
          <w:rFonts w:cs="Calibri"/>
          <w:szCs w:val="22"/>
        </w:rPr>
      </w:pPr>
      <w:r w:rsidRPr="00F45378">
        <w:rPr>
          <w:rFonts w:cs="Calibri"/>
          <w:b/>
          <w:bCs/>
          <w:szCs w:val="22"/>
        </w:rPr>
        <w:t>Expert Reference Group (ERG) Engagement</w:t>
      </w:r>
      <w:r w:rsidRPr="00F45378">
        <w:rPr>
          <w:rFonts w:cs="Calibri"/>
          <w:szCs w:val="22"/>
        </w:rPr>
        <w:t> – to provide strategic advice and ensure the policy was informed by diverse perspectives and sector expertise.</w:t>
      </w:r>
    </w:p>
    <w:p w14:paraId="124EF501" w14:textId="57CA5E67" w:rsidR="004650A9" w:rsidRPr="00F45378" w:rsidRDefault="004650A9" w:rsidP="004650A9">
      <w:pPr>
        <w:spacing w:before="120" w:after="120" w:line="240" w:lineRule="auto"/>
        <w:rPr>
          <w:rFonts w:cs="Calibri"/>
          <w:szCs w:val="22"/>
        </w:rPr>
      </w:pPr>
      <w:r w:rsidRPr="00F45378">
        <w:rPr>
          <w:rFonts w:cs="Calibri"/>
          <w:szCs w:val="22"/>
        </w:rPr>
        <w:t xml:space="preserve">Across all phases, the </w:t>
      </w:r>
      <w:r w:rsidR="00AC61AB">
        <w:rPr>
          <w:rFonts w:cs="Calibri"/>
          <w:szCs w:val="22"/>
        </w:rPr>
        <w:t>d</w:t>
      </w:r>
      <w:r w:rsidRPr="00F45378">
        <w:rPr>
          <w:rFonts w:cs="Calibri"/>
          <w:szCs w:val="22"/>
        </w:rPr>
        <w:t>epartment sought to balance the operational realities of higher education providers with the lived experiences of students, staff, victim-survivors, advocates, and</w:t>
      </w:r>
      <w:r w:rsidR="000512AE">
        <w:rPr>
          <w:rFonts w:cs="Calibri"/>
          <w:szCs w:val="22"/>
        </w:rPr>
        <w:t xml:space="preserve"> groups who experience disproportional rates of GBV</w:t>
      </w:r>
      <w:r w:rsidRPr="00F45378">
        <w:rPr>
          <w:rFonts w:cs="Calibri"/>
          <w:szCs w:val="22"/>
        </w:rPr>
        <w:t>. The overarching objective was to ensure that the final policy is practical, proportionate, and capable of delivering meaningful change.</w:t>
      </w:r>
    </w:p>
    <w:p w14:paraId="584FF5CC" w14:textId="6BA17256" w:rsidR="004650A9" w:rsidRDefault="004650A9" w:rsidP="004650A9">
      <w:pPr>
        <w:pStyle w:val="Heading2"/>
      </w:pPr>
      <w:bookmarkStart w:id="191" w:name="_Toc204699892"/>
      <w:bookmarkStart w:id="192" w:name="_Toc210050246"/>
      <w:r>
        <w:t>Action Plan</w:t>
      </w:r>
      <w:r w:rsidR="006F3170">
        <w:t xml:space="preserve"> Addressing </w:t>
      </w:r>
      <w:r w:rsidR="00B7771B">
        <w:t>GBV</w:t>
      </w:r>
      <w:r w:rsidR="006F3170">
        <w:t xml:space="preserve"> in Higher Education</w:t>
      </w:r>
      <w:bookmarkEnd w:id="191"/>
      <w:bookmarkEnd w:id="192"/>
    </w:p>
    <w:p w14:paraId="3D84D3EE" w14:textId="4B130825" w:rsidR="006B18FD" w:rsidRPr="00F45378" w:rsidRDefault="006B18FD" w:rsidP="00DD4830">
      <w:pPr>
        <w:spacing w:line="276" w:lineRule="auto"/>
        <w:rPr>
          <w:rFonts w:cs="Calibri"/>
          <w:szCs w:val="22"/>
        </w:rPr>
      </w:pPr>
      <w:r w:rsidRPr="00F45378">
        <w:rPr>
          <w:rFonts w:cs="Calibri"/>
          <w:szCs w:val="22"/>
        </w:rPr>
        <w:t xml:space="preserve">In June 2023, the Australian Universities Accord Interim Report was released, which highlighted university governance as an area requiring immediate action, with a focus on student and staff safety. In response, the </w:t>
      </w:r>
      <w:r w:rsidR="00AC61AB">
        <w:rPr>
          <w:rFonts w:cs="Calibri"/>
          <w:szCs w:val="22"/>
        </w:rPr>
        <w:t>D</w:t>
      </w:r>
      <w:r w:rsidRPr="00F45378">
        <w:rPr>
          <w:rFonts w:cs="Calibri"/>
          <w:szCs w:val="22"/>
        </w:rPr>
        <w:t xml:space="preserve">epartment of education began the development of an Action Plan provide concrete steps to improve universities responses to critical issues relating to </w:t>
      </w:r>
      <w:r w:rsidR="00B7771B" w:rsidRPr="00F45378">
        <w:rPr>
          <w:rFonts w:cs="Calibri"/>
          <w:szCs w:val="22"/>
        </w:rPr>
        <w:t>GBV</w:t>
      </w:r>
      <w:r w:rsidRPr="00F45378">
        <w:rPr>
          <w:rFonts w:cs="Calibri"/>
          <w:szCs w:val="22"/>
        </w:rPr>
        <w:t xml:space="preserve">, ensuring workplace relations compliance, and ensuring effective governance </w:t>
      </w:r>
      <w:r w:rsidR="00570886" w:rsidRPr="00F45378">
        <w:rPr>
          <w:rFonts w:cs="Calibri"/>
          <w:szCs w:val="22"/>
        </w:rPr>
        <w:t>structures.</w:t>
      </w:r>
      <w:r w:rsidRPr="00F45378">
        <w:rPr>
          <w:rFonts w:cs="Calibri"/>
          <w:szCs w:val="22"/>
        </w:rPr>
        <w:t xml:space="preserve"> </w:t>
      </w:r>
    </w:p>
    <w:p w14:paraId="2BC31C77" w14:textId="1761D9E7" w:rsidR="006B18FD" w:rsidRPr="00DD4830" w:rsidRDefault="006B18FD" w:rsidP="00DD4830">
      <w:pPr>
        <w:rPr>
          <w:rFonts w:ascii="Segoe UI" w:eastAsia="Times New Roman" w:hAnsi="Segoe UI" w:cs="Segoe UI"/>
          <w:color w:val="252423"/>
          <w:kern w:val="0"/>
          <w:sz w:val="21"/>
          <w:szCs w:val="21"/>
          <w:lang w:eastAsia="en-AU"/>
          <w14:ligatures w14:val="none"/>
        </w:rPr>
      </w:pPr>
      <w:r w:rsidRPr="00F45378">
        <w:rPr>
          <w:rFonts w:cs="Calibri"/>
          <w:szCs w:val="22"/>
        </w:rPr>
        <w:t xml:space="preserve">In November 2023, the Department of Education released a draft Action Plan to address </w:t>
      </w:r>
      <w:r w:rsidR="00B7771B" w:rsidRPr="00F45378">
        <w:rPr>
          <w:rFonts w:cs="Calibri"/>
          <w:szCs w:val="22"/>
        </w:rPr>
        <w:t>GBV</w:t>
      </w:r>
      <w:r w:rsidRPr="00F45378">
        <w:rPr>
          <w:rFonts w:cs="Calibri"/>
          <w:szCs w:val="22"/>
        </w:rPr>
        <w:t xml:space="preserve"> in higher education. The draft proposal included the following 7 actions:</w:t>
      </w:r>
    </w:p>
    <w:p w14:paraId="7727D43F" w14:textId="77777777" w:rsidR="006B18FD" w:rsidRPr="00F45378" w:rsidRDefault="006B18FD" w:rsidP="00DD4830">
      <w:pPr>
        <w:numPr>
          <w:ilvl w:val="0"/>
          <w:numId w:val="43"/>
        </w:numPr>
        <w:spacing w:after="0" w:line="276" w:lineRule="auto"/>
        <w:rPr>
          <w:rFonts w:cs="Calibri"/>
          <w:szCs w:val="22"/>
        </w:rPr>
      </w:pPr>
      <w:r w:rsidRPr="00F45378">
        <w:rPr>
          <w:rFonts w:cs="Calibri"/>
          <w:szCs w:val="22"/>
        </w:rPr>
        <w:t>establishing a National Student Ombudsman</w:t>
      </w:r>
    </w:p>
    <w:p w14:paraId="4E067EFB" w14:textId="15194177" w:rsidR="006B18FD" w:rsidRPr="00F45378" w:rsidRDefault="006B18FD" w:rsidP="00DD4830">
      <w:pPr>
        <w:numPr>
          <w:ilvl w:val="0"/>
          <w:numId w:val="43"/>
        </w:numPr>
        <w:spacing w:after="0" w:line="276" w:lineRule="auto"/>
        <w:rPr>
          <w:rFonts w:cs="Calibri"/>
          <w:szCs w:val="22"/>
        </w:rPr>
      </w:pPr>
      <w:r w:rsidRPr="00F45378">
        <w:rPr>
          <w:rFonts w:cs="Calibri"/>
          <w:szCs w:val="22"/>
        </w:rPr>
        <w:t xml:space="preserve">requiring Higher Education Providers to embed a whole-of-institution approach to prevent and respond to </w:t>
      </w:r>
      <w:r w:rsidR="00B7771B" w:rsidRPr="00F45378">
        <w:rPr>
          <w:rFonts w:cs="Calibri"/>
          <w:szCs w:val="22"/>
        </w:rPr>
        <w:t>GBV</w:t>
      </w:r>
    </w:p>
    <w:p w14:paraId="6A423407" w14:textId="78C3E24E" w:rsidR="006B18FD" w:rsidRPr="00F45378" w:rsidRDefault="006B18FD" w:rsidP="00DD4830">
      <w:pPr>
        <w:numPr>
          <w:ilvl w:val="0"/>
          <w:numId w:val="43"/>
        </w:numPr>
        <w:spacing w:after="0" w:line="276" w:lineRule="auto"/>
        <w:rPr>
          <w:rFonts w:cs="Calibri"/>
          <w:szCs w:val="22"/>
        </w:rPr>
      </w:pPr>
      <w:r w:rsidRPr="00F45378">
        <w:rPr>
          <w:rFonts w:cs="Calibri"/>
          <w:szCs w:val="22"/>
        </w:rPr>
        <w:t xml:space="preserve">strengthen provider accountability for systemic issues relating to </w:t>
      </w:r>
      <w:r w:rsidR="00B7771B" w:rsidRPr="00F45378">
        <w:rPr>
          <w:rFonts w:cs="Calibri"/>
          <w:szCs w:val="22"/>
        </w:rPr>
        <w:t>GBV</w:t>
      </w:r>
      <w:r w:rsidRPr="00F45378">
        <w:rPr>
          <w:rFonts w:cs="Calibri"/>
          <w:szCs w:val="22"/>
        </w:rPr>
        <w:t xml:space="preserve"> by introducing a National Higher Education </w:t>
      </w:r>
      <w:r w:rsidR="008743F1" w:rsidRPr="00F45378">
        <w:rPr>
          <w:rFonts w:cs="Calibri"/>
          <w:szCs w:val="22"/>
        </w:rPr>
        <w:t>National Code</w:t>
      </w:r>
      <w:r w:rsidRPr="00F45378">
        <w:rPr>
          <w:rFonts w:cs="Calibri"/>
          <w:szCs w:val="22"/>
        </w:rPr>
        <w:t xml:space="preserve"> to Prevent and Respond to </w:t>
      </w:r>
      <w:r w:rsidR="00B7771B" w:rsidRPr="00F45378">
        <w:rPr>
          <w:rFonts w:cs="Calibri"/>
          <w:szCs w:val="22"/>
        </w:rPr>
        <w:t>GBV</w:t>
      </w:r>
    </w:p>
    <w:p w14:paraId="08D2F060" w14:textId="77777777" w:rsidR="006B18FD" w:rsidRPr="00F45378" w:rsidRDefault="006B18FD" w:rsidP="00DD4830">
      <w:pPr>
        <w:numPr>
          <w:ilvl w:val="0"/>
          <w:numId w:val="43"/>
        </w:numPr>
        <w:spacing w:after="0" w:line="276" w:lineRule="auto"/>
        <w:rPr>
          <w:rFonts w:cs="Calibri"/>
          <w:szCs w:val="22"/>
        </w:rPr>
      </w:pPr>
      <w:r w:rsidRPr="00F45378">
        <w:rPr>
          <w:rFonts w:cs="Calibri"/>
          <w:szCs w:val="22"/>
        </w:rPr>
        <w:t>enhancing the oversight and accountability of student accommodation providers</w:t>
      </w:r>
    </w:p>
    <w:p w14:paraId="1F5C41B5" w14:textId="77777777" w:rsidR="006B18FD" w:rsidRPr="00F45378" w:rsidRDefault="006B18FD" w:rsidP="00DD4830">
      <w:pPr>
        <w:numPr>
          <w:ilvl w:val="0"/>
          <w:numId w:val="43"/>
        </w:numPr>
        <w:spacing w:after="0" w:line="276" w:lineRule="auto"/>
        <w:rPr>
          <w:rFonts w:cs="Calibri"/>
          <w:szCs w:val="22"/>
        </w:rPr>
      </w:pPr>
      <w:r w:rsidRPr="00F45378">
        <w:rPr>
          <w:rFonts w:cs="Calibri"/>
          <w:szCs w:val="22"/>
        </w:rPr>
        <w:t>identifying opportunities to ensure legislation, regulation and policies can prioritise victim-survivor safety</w:t>
      </w:r>
    </w:p>
    <w:p w14:paraId="31518463" w14:textId="77777777" w:rsidR="006B18FD" w:rsidRPr="00F45378" w:rsidRDefault="006B18FD" w:rsidP="00DD4830">
      <w:pPr>
        <w:numPr>
          <w:ilvl w:val="0"/>
          <w:numId w:val="43"/>
        </w:numPr>
        <w:spacing w:after="0" w:line="276" w:lineRule="auto"/>
        <w:rPr>
          <w:rFonts w:cs="Calibri"/>
          <w:szCs w:val="22"/>
        </w:rPr>
      </w:pPr>
      <w:r w:rsidRPr="00F45378">
        <w:rPr>
          <w:rFonts w:cs="Calibri"/>
          <w:szCs w:val="22"/>
        </w:rPr>
        <w:t>increasing data transparency and scrutiny</w:t>
      </w:r>
    </w:p>
    <w:p w14:paraId="1F509652" w14:textId="77777777" w:rsidR="006B18FD" w:rsidRPr="00F45378" w:rsidRDefault="006B18FD" w:rsidP="00DD4830">
      <w:pPr>
        <w:numPr>
          <w:ilvl w:val="0"/>
          <w:numId w:val="43"/>
        </w:numPr>
        <w:spacing w:after="120" w:line="276" w:lineRule="auto"/>
        <w:rPr>
          <w:rFonts w:cs="Calibri"/>
          <w:szCs w:val="22"/>
        </w:rPr>
      </w:pPr>
      <w:r w:rsidRPr="00F45378">
        <w:rPr>
          <w:rFonts w:cs="Calibri"/>
          <w:szCs w:val="22"/>
        </w:rPr>
        <w:lastRenderedPageBreak/>
        <w:t>regularly reviewing of progress against the Action Plan</w:t>
      </w:r>
    </w:p>
    <w:p w14:paraId="71A37EC9" w14:textId="77777777" w:rsidR="006B18FD" w:rsidRPr="00F45378" w:rsidRDefault="006B18FD" w:rsidP="00DD4830">
      <w:pPr>
        <w:spacing w:before="120" w:after="120" w:line="276" w:lineRule="auto"/>
        <w:rPr>
          <w:rFonts w:cs="Calibri"/>
          <w:szCs w:val="22"/>
        </w:rPr>
      </w:pPr>
      <w:r w:rsidRPr="00F45378">
        <w:rPr>
          <w:rFonts w:cs="Calibri"/>
          <w:szCs w:val="22"/>
        </w:rPr>
        <w:t>This draft was made available for public consultation and accompanied by a comprehensive survey targeting key stakeholders, including higher education staff, students, victim-survivor advocates, higher education providers and peak bodies, as well as student accommodation providers. Key consultation questions included:</w:t>
      </w:r>
    </w:p>
    <w:p w14:paraId="2843CB4C" w14:textId="77777777" w:rsidR="006B18FD" w:rsidRPr="00F45378" w:rsidRDefault="006B18FD" w:rsidP="00DD4830">
      <w:pPr>
        <w:pStyle w:val="ListParagraph"/>
        <w:numPr>
          <w:ilvl w:val="0"/>
          <w:numId w:val="45"/>
        </w:numPr>
        <w:spacing w:before="120" w:after="120" w:line="276" w:lineRule="auto"/>
        <w:rPr>
          <w:rFonts w:cs="Calibri"/>
          <w:szCs w:val="22"/>
        </w:rPr>
      </w:pPr>
      <w:r w:rsidRPr="00F45378">
        <w:rPr>
          <w:rFonts w:cs="Calibri"/>
          <w:szCs w:val="22"/>
        </w:rPr>
        <w:t>What do you see as the opportunities or challenges to implementing the proposed whole-of-institution approach?</w:t>
      </w:r>
    </w:p>
    <w:p w14:paraId="4BDAFA33" w14:textId="0DCDB018" w:rsidR="00FA5EA1" w:rsidRDefault="006B18FD" w:rsidP="00FA5EA1">
      <w:pPr>
        <w:pStyle w:val="ListParagraph"/>
        <w:numPr>
          <w:ilvl w:val="0"/>
          <w:numId w:val="44"/>
        </w:numPr>
        <w:spacing w:before="120" w:after="120" w:line="276" w:lineRule="auto"/>
        <w:rPr>
          <w:rFonts w:cs="Calibri"/>
          <w:szCs w:val="22"/>
        </w:rPr>
      </w:pPr>
      <w:r w:rsidRPr="00F45378">
        <w:rPr>
          <w:rFonts w:cs="Calibri"/>
          <w:szCs w:val="22"/>
        </w:rPr>
        <w:t xml:space="preserve">Are there additional considerations a new National Higher Education </w:t>
      </w:r>
      <w:r w:rsidR="008743F1" w:rsidRPr="00F45378">
        <w:rPr>
          <w:rFonts w:cs="Calibri"/>
          <w:szCs w:val="22"/>
        </w:rPr>
        <w:t>National Code</w:t>
      </w:r>
      <w:r w:rsidRPr="00F45378">
        <w:rPr>
          <w:rFonts w:cs="Calibri"/>
          <w:szCs w:val="22"/>
        </w:rPr>
        <w:t xml:space="preserve"> to Prevent and Respond to </w:t>
      </w:r>
      <w:r w:rsidR="00B7771B" w:rsidRPr="00F45378">
        <w:rPr>
          <w:rFonts w:cs="Calibri"/>
          <w:szCs w:val="22"/>
        </w:rPr>
        <w:t>GBV</w:t>
      </w:r>
      <w:r w:rsidRPr="00F45378">
        <w:rPr>
          <w:rFonts w:cs="Calibri"/>
          <w:szCs w:val="22"/>
        </w:rPr>
        <w:t xml:space="preserve"> could include?</w:t>
      </w:r>
    </w:p>
    <w:p w14:paraId="3DB24173" w14:textId="5B99A802" w:rsidR="006B18FD" w:rsidRPr="00FA5EA1" w:rsidRDefault="006B18FD" w:rsidP="00FA5EA1">
      <w:pPr>
        <w:pStyle w:val="ListParagraph"/>
        <w:numPr>
          <w:ilvl w:val="0"/>
          <w:numId w:val="44"/>
        </w:numPr>
        <w:spacing w:before="120" w:after="120" w:line="276" w:lineRule="auto"/>
        <w:rPr>
          <w:rFonts w:cs="Calibri"/>
          <w:szCs w:val="22"/>
        </w:rPr>
      </w:pPr>
      <w:r w:rsidRPr="00FA5EA1">
        <w:rPr>
          <w:rFonts w:cs="Calibri"/>
          <w:szCs w:val="22"/>
        </w:rPr>
        <w:t xml:space="preserve">How could we ensure the </w:t>
      </w:r>
      <w:r w:rsidR="008743F1" w:rsidRPr="00FA5EA1">
        <w:rPr>
          <w:rFonts w:cs="Calibri"/>
          <w:szCs w:val="22"/>
        </w:rPr>
        <w:t>National Code</w:t>
      </w:r>
      <w:r w:rsidRPr="00FA5EA1">
        <w:rPr>
          <w:rFonts w:cs="Calibri"/>
          <w:szCs w:val="22"/>
        </w:rPr>
        <w:t xml:space="preserve"> addresses the needs of different student and staff cohorts</w:t>
      </w:r>
      <w:r w:rsidR="00FA5EA1">
        <w:rPr>
          <w:rFonts w:cs="Calibri"/>
          <w:szCs w:val="22"/>
        </w:rPr>
        <w:t xml:space="preserve"> </w:t>
      </w:r>
      <w:r w:rsidRPr="00FA5EA1">
        <w:rPr>
          <w:rFonts w:cs="Calibri"/>
          <w:szCs w:val="22"/>
        </w:rPr>
        <w:t>(e.g. LGBTQIA+, international, First Nations, people living with disability and higher degree research students)</w:t>
      </w:r>
      <w:r w:rsidR="00FA5EA1">
        <w:rPr>
          <w:rFonts w:cs="Calibri"/>
          <w:szCs w:val="22"/>
        </w:rPr>
        <w:t>?</w:t>
      </w:r>
    </w:p>
    <w:p w14:paraId="13024300" w14:textId="61D88978" w:rsidR="006B0278" w:rsidRPr="00F45378" w:rsidRDefault="004032CC" w:rsidP="00DD4830">
      <w:pPr>
        <w:spacing w:before="120" w:after="120" w:line="276" w:lineRule="auto"/>
        <w:rPr>
          <w:rFonts w:cs="Calibri"/>
          <w:szCs w:val="22"/>
        </w:rPr>
      </w:pPr>
      <w:r w:rsidRPr="00F45378">
        <w:rPr>
          <w:rFonts w:cs="Calibri"/>
          <w:szCs w:val="22"/>
        </w:rPr>
        <w:t xml:space="preserve">The department undertook targeted consultation with key stakeholder groups, particularly student and victim-survivor advocates, </w:t>
      </w:r>
      <w:r w:rsidR="001D3D55" w:rsidRPr="00F45378">
        <w:rPr>
          <w:rFonts w:cs="Calibri"/>
          <w:szCs w:val="22"/>
        </w:rPr>
        <w:t xml:space="preserve">senior university leaders, </w:t>
      </w:r>
      <w:r w:rsidRPr="00F45378">
        <w:rPr>
          <w:rFonts w:cs="Calibri"/>
          <w:szCs w:val="22"/>
        </w:rPr>
        <w:t xml:space="preserve">student accommodation providers, student service directors, and representatives from the women’s safety sector. </w:t>
      </w:r>
      <w:r w:rsidR="00471ADD" w:rsidRPr="00F45378">
        <w:rPr>
          <w:rFonts w:cs="Calibri"/>
          <w:szCs w:val="22"/>
        </w:rPr>
        <w:t>The department also received more than 80 submissions from the survey</w:t>
      </w:r>
      <w:r w:rsidR="006B0278" w:rsidRPr="00F45378">
        <w:rPr>
          <w:rFonts w:cs="Calibri"/>
          <w:szCs w:val="22"/>
        </w:rPr>
        <w:t xml:space="preserve">. The process was also supported through consultation led by state and territory officials and input from the State and </w:t>
      </w:r>
      <w:r w:rsidR="007175E3" w:rsidRPr="00F45378">
        <w:rPr>
          <w:rFonts w:cs="Calibri"/>
          <w:szCs w:val="22"/>
        </w:rPr>
        <w:t>Ter</w:t>
      </w:r>
      <w:r w:rsidR="006B0278" w:rsidRPr="00F45378">
        <w:rPr>
          <w:rFonts w:cs="Calibri"/>
          <w:szCs w:val="22"/>
        </w:rPr>
        <w:t xml:space="preserve">ritory </w:t>
      </w:r>
      <w:r w:rsidR="007175E3" w:rsidRPr="00F45378">
        <w:rPr>
          <w:rFonts w:cs="Calibri"/>
          <w:szCs w:val="22"/>
        </w:rPr>
        <w:t>Woking</w:t>
      </w:r>
      <w:r w:rsidR="006B0278" w:rsidRPr="00F45378">
        <w:rPr>
          <w:rFonts w:cs="Calibri"/>
          <w:szCs w:val="22"/>
        </w:rPr>
        <w:t xml:space="preserve"> group.</w:t>
      </w:r>
    </w:p>
    <w:p w14:paraId="452F3382" w14:textId="69B45FB2" w:rsidR="006B0278" w:rsidRPr="00F45378" w:rsidRDefault="001D3D55" w:rsidP="00DD4830">
      <w:pPr>
        <w:spacing w:before="120" w:after="120" w:line="276" w:lineRule="auto"/>
        <w:rPr>
          <w:rFonts w:cs="Calibri"/>
          <w:szCs w:val="22"/>
        </w:rPr>
      </w:pPr>
      <w:r w:rsidRPr="00F45378">
        <w:rPr>
          <w:rFonts w:cs="Calibri"/>
          <w:szCs w:val="22"/>
        </w:rPr>
        <w:t xml:space="preserve">Most stakeholders were overwhelmingly supportive of the proposed actions of the Draft Action </w:t>
      </w:r>
      <w:r w:rsidR="00BE449F" w:rsidRPr="00F45378">
        <w:rPr>
          <w:rFonts w:cs="Calibri"/>
          <w:szCs w:val="22"/>
        </w:rPr>
        <w:t xml:space="preserve">Plan. </w:t>
      </w:r>
      <w:r w:rsidR="00980E03" w:rsidRPr="00F45378">
        <w:rPr>
          <w:rFonts w:cs="Calibri"/>
          <w:szCs w:val="22"/>
        </w:rPr>
        <w:t>Consultation from this phase</w:t>
      </w:r>
      <w:r w:rsidR="006B0278" w:rsidRPr="00F45378">
        <w:rPr>
          <w:rFonts w:cs="Calibri"/>
          <w:szCs w:val="22"/>
        </w:rPr>
        <w:t xml:space="preserve"> the foundation for initial stakeholder engagement and informed the </w:t>
      </w:r>
      <w:r w:rsidR="00980E03" w:rsidRPr="00F45378">
        <w:rPr>
          <w:rFonts w:cs="Calibri"/>
          <w:szCs w:val="22"/>
        </w:rPr>
        <w:t xml:space="preserve">initial </w:t>
      </w:r>
      <w:r w:rsidR="006B0278" w:rsidRPr="00F45378">
        <w:rPr>
          <w:rFonts w:cs="Calibri"/>
          <w:szCs w:val="22"/>
        </w:rPr>
        <w:t xml:space="preserve">development of the </w:t>
      </w:r>
      <w:r w:rsidR="008743F1" w:rsidRPr="00F45378">
        <w:rPr>
          <w:rFonts w:cs="Calibri"/>
          <w:szCs w:val="22"/>
        </w:rPr>
        <w:t>National Code</w:t>
      </w:r>
      <w:r w:rsidR="006B0278" w:rsidRPr="00F45378">
        <w:rPr>
          <w:rFonts w:cs="Calibri"/>
          <w:szCs w:val="22"/>
        </w:rPr>
        <w:t xml:space="preserve">. </w:t>
      </w:r>
    </w:p>
    <w:p w14:paraId="5DF6BED1" w14:textId="2C26A280" w:rsidR="000D3881" w:rsidRDefault="00DA09BD" w:rsidP="00471ADD">
      <w:pPr>
        <w:pStyle w:val="Heading3"/>
      </w:pPr>
      <w:bookmarkStart w:id="193" w:name="_Toc204682633"/>
      <w:bookmarkStart w:id="194" w:name="_Toc204699893"/>
      <w:bookmarkStart w:id="195" w:name="_Toc204763344"/>
      <w:bookmarkStart w:id="196" w:name="_Toc204764912"/>
      <w:bookmarkStart w:id="197" w:name="_Toc205216924"/>
      <w:r>
        <w:t>Consultation on what was the best way to move forward</w:t>
      </w:r>
      <w:bookmarkEnd w:id="193"/>
      <w:bookmarkEnd w:id="194"/>
      <w:bookmarkEnd w:id="195"/>
      <w:bookmarkEnd w:id="196"/>
      <w:bookmarkEnd w:id="197"/>
    </w:p>
    <w:p w14:paraId="33822D9E" w14:textId="37FBF58C" w:rsidR="00D548EC" w:rsidRPr="00F45378" w:rsidRDefault="00DA09BD" w:rsidP="00DD4830">
      <w:pPr>
        <w:spacing w:line="276" w:lineRule="auto"/>
        <w:rPr>
          <w:szCs w:val="22"/>
        </w:rPr>
      </w:pPr>
      <w:r w:rsidRPr="00F45378">
        <w:rPr>
          <w:szCs w:val="22"/>
        </w:rPr>
        <w:t>Consultation on the development of the Action Plan reinforced</w:t>
      </w:r>
      <w:r w:rsidR="00581916" w:rsidRPr="00F45378">
        <w:rPr>
          <w:szCs w:val="22"/>
        </w:rPr>
        <w:t xml:space="preserve"> tha</w:t>
      </w:r>
      <w:r w:rsidR="000C2C36" w:rsidRPr="00F45378">
        <w:rPr>
          <w:szCs w:val="22"/>
        </w:rPr>
        <w:t xml:space="preserve">t provider have failed to take steps beyond their minimum existing obligations </w:t>
      </w:r>
      <w:r w:rsidR="00B4205F" w:rsidRPr="00F45378">
        <w:rPr>
          <w:szCs w:val="22"/>
        </w:rPr>
        <w:t xml:space="preserve">to effectively address </w:t>
      </w:r>
      <w:r w:rsidR="00B7771B" w:rsidRPr="00F45378">
        <w:rPr>
          <w:szCs w:val="22"/>
        </w:rPr>
        <w:t>GBV</w:t>
      </w:r>
      <w:r w:rsidR="00B4205F" w:rsidRPr="00F45378">
        <w:rPr>
          <w:szCs w:val="22"/>
        </w:rPr>
        <w:t xml:space="preserve">. </w:t>
      </w:r>
      <w:r w:rsidR="00D548EC" w:rsidRPr="00F45378">
        <w:rPr>
          <w:szCs w:val="22"/>
        </w:rPr>
        <w:t xml:space="preserve">Feedback </w:t>
      </w:r>
      <w:r w:rsidR="00250886" w:rsidRPr="00F45378">
        <w:rPr>
          <w:szCs w:val="22"/>
        </w:rPr>
        <w:t xml:space="preserve">did note </w:t>
      </w:r>
      <w:r w:rsidR="00D548EC" w:rsidRPr="00F45378">
        <w:rPr>
          <w:szCs w:val="22"/>
        </w:rPr>
        <w:t xml:space="preserve">some providers have moved beyond minimum requirements and taken active steps to address </w:t>
      </w:r>
      <w:r w:rsidR="00B7771B" w:rsidRPr="00F45378">
        <w:rPr>
          <w:szCs w:val="22"/>
        </w:rPr>
        <w:t>GBV</w:t>
      </w:r>
      <w:r w:rsidR="00D548EC" w:rsidRPr="00F45378">
        <w:rPr>
          <w:szCs w:val="22"/>
        </w:rPr>
        <w:t>, including relevant data and progress of actions, and training and educa</w:t>
      </w:r>
      <w:r w:rsidR="00250886" w:rsidRPr="00F45378">
        <w:rPr>
          <w:szCs w:val="22"/>
        </w:rPr>
        <w:t xml:space="preserve">tion. However, consensus was that this does not constitute the comprehensive approach that is required to drive substantial change. </w:t>
      </w:r>
    </w:p>
    <w:p w14:paraId="7F73BFC8" w14:textId="1D54CCE4" w:rsidR="00250886" w:rsidRPr="00F45378" w:rsidRDefault="00250886" w:rsidP="00DD4830">
      <w:pPr>
        <w:spacing w:line="276" w:lineRule="auto"/>
        <w:rPr>
          <w:szCs w:val="22"/>
        </w:rPr>
      </w:pPr>
      <w:r w:rsidRPr="00F45378">
        <w:rPr>
          <w:szCs w:val="22"/>
        </w:rPr>
        <w:t xml:space="preserve">Consultation also highlighted that the lack of a specific approach to address </w:t>
      </w:r>
      <w:r w:rsidR="00B7771B" w:rsidRPr="00F45378">
        <w:rPr>
          <w:szCs w:val="22"/>
        </w:rPr>
        <w:t>GBV</w:t>
      </w:r>
      <w:r w:rsidRPr="00F45378">
        <w:rPr>
          <w:szCs w:val="22"/>
        </w:rPr>
        <w:t xml:space="preserve"> is also a significant risk within student accommodations. While some student accommodation </w:t>
      </w:r>
      <w:r w:rsidR="00B750A3" w:rsidRPr="00F45378">
        <w:rPr>
          <w:szCs w:val="22"/>
        </w:rPr>
        <w:t>provides</w:t>
      </w:r>
      <w:r w:rsidR="00EE41BB" w:rsidRPr="00F45378">
        <w:rPr>
          <w:szCs w:val="22"/>
        </w:rPr>
        <w:t xml:space="preserve"> </w:t>
      </w:r>
      <w:r w:rsidR="009B4FFE" w:rsidRPr="00F45378">
        <w:rPr>
          <w:szCs w:val="22"/>
        </w:rPr>
        <w:t xml:space="preserve">pastoral care, there are no </w:t>
      </w:r>
      <w:r w:rsidR="006616B4" w:rsidRPr="00F45378">
        <w:rPr>
          <w:szCs w:val="22"/>
        </w:rPr>
        <w:t xml:space="preserve">national regulations, </w:t>
      </w:r>
      <w:r w:rsidR="00157F0C" w:rsidRPr="00F45378">
        <w:rPr>
          <w:szCs w:val="22"/>
        </w:rPr>
        <w:t>requirements,</w:t>
      </w:r>
      <w:r w:rsidR="006616B4" w:rsidRPr="00F45378">
        <w:rPr>
          <w:szCs w:val="22"/>
        </w:rPr>
        <w:t xml:space="preserve"> or consistent standards for providers. consultation with the student </w:t>
      </w:r>
      <w:r w:rsidR="00056655" w:rsidRPr="00F45378">
        <w:rPr>
          <w:szCs w:val="22"/>
        </w:rPr>
        <w:t>accommodation sector demonstrate a desire to work with their higher education providers, but is repeated lack of collaboration and unwillingness to engage, which has negatively affected victim-survivors</w:t>
      </w:r>
    </w:p>
    <w:p w14:paraId="48BF52C4" w14:textId="07F00765" w:rsidR="00824D3F" w:rsidRPr="00F45378" w:rsidRDefault="004F1291" w:rsidP="00DD4830">
      <w:pPr>
        <w:spacing w:line="276" w:lineRule="auto"/>
        <w:rPr>
          <w:szCs w:val="22"/>
        </w:rPr>
      </w:pPr>
      <w:r w:rsidRPr="00F45378">
        <w:rPr>
          <w:szCs w:val="22"/>
        </w:rPr>
        <w:t xml:space="preserve">Wide consultation consistently reinforced these </w:t>
      </w:r>
      <w:r w:rsidR="00521BE6" w:rsidRPr="00F45378">
        <w:rPr>
          <w:szCs w:val="22"/>
        </w:rPr>
        <w:t>challenges and</w:t>
      </w:r>
      <w:r w:rsidRPr="00F45378">
        <w:rPr>
          <w:szCs w:val="22"/>
        </w:rPr>
        <w:t xml:space="preserve"> highlighted a multitude of issues that contribute to poor outcomes for students and staff, and that voluntary approaches from providers will continue to exacerbate this.</w:t>
      </w:r>
      <w:r w:rsidR="00521BE6" w:rsidRPr="00F45378">
        <w:rPr>
          <w:szCs w:val="22"/>
        </w:rPr>
        <w:t xml:space="preserve"> Consultation with students, staff, unions, </w:t>
      </w:r>
      <w:r w:rsidR="00824D3F" w:rsidRPr="00F45378">
        <w:rPr>
          <w:szCs w:val="22"/>
        </w:rPr>
        <w:t>advocacy</w:t>
      </w:r>
      <w:r w:rsidR="00521BE6" w:rsidRPr="00F45378">
        <w:rPr>
          <w:szCs w:val="22"/>
        </w:rPr>
        <w:t xml:space="preserve"> groups repeatedly called for dedicated regulatory interventio</w:t>
      </w:r>
      <w:r w:rsidR="00824D3F" w:rsidRPr="00F45378">
        <w:rPr>
          <w:szCs w:val="22"/>
        </w:rPr>
        <w:t xml:space="preserve">n. </w:t>
      </w:r>
    </w:p>
    <w:p w14:paraId="11CD80E2" w14:textId="22B3772D" w:rsidR="0057218A" w:rsidRPr="00F45378" w:rsidRDefault="00B750A3" w:rsidP="00DD4830">
      <w:pPr>
        <w:spacing w:line="276" w:lineRule="auto"/>
        <w:rPr>
          <w:szCs w:val="22"/>
        </w:rPr>
      </w:pPr>
      <w:r w:rsidRPr="00F45378">
        <w:rPr>
          <w:szCs w:val="22"/>
        </w:rPr>
        <w:t>Students and staff</w:t>
      </w:r>
      <w:r w:rsidR="0057218A" w:rsidRPr="00F45378">
        <w:rPr>
          <w:szCs w:val="22"/>
        </w:rPr>
        <w:t xml:space="preserve"> </w:t>
      </w:r>
      <w:r w:rsidR="00030599" w:rsidRPr="00F45378">
        <w:rPr>
          <w:szCs w:val="22"/>
        </w:rPr>
        <w:t>consistently</w:t>
      </w:r>
      <w:r w:rsidR="0057218A" w:rsidRPr="00F45378">
        <w:rPr>
          <w:szCs w:val="22"/>
        </w:rPr>
        <w:t xml:space="preserve"> highlighted a </w:t>
      </w:r>
      <w:r w:rsidRPr="00F45378">
        <w:rPr>
          <w:szCs w:val="22"/>
        </w:rPr>
        <w:t xml:space="preserve">lack confidence in their </w:t>
      </w:r>
      <w:r w:rsidR="00106026" w:rsidRPr="00F45378">
        <w:rPr>
          <w:szCs w:val="22"/>
        </w:rPr>
        <w:t>providers commitment to address</w:t>
      </w:r>
      <w:r w:rsidR="0057218A" w:rsidRPr="00F45378">
        <w:rPr>
          <w:szCs w:val="22"/>
        </w:rPr>
        <w:t xml:space="preserve"> </w:t>
      </w:r>
      <w:r w:rsidR="00B7771B" w:rsidRPr="00F45378">
        <w:rPr>
          <w:szCs w:val="22"/>
        </w:rPr>
        <w:t>GBV</w:t>
      </w:r>
      <w:r w:rsidR="0057218A" w:rsidRPr="00F45378">
        <w:rPr>
          <w:szCs w:val="22"/>
        </w:rPr>
        <w:t xml:space="preserve"> for a myriad of reasons</w:t>
      </w:r>
      <w:r w:rsidR="00F74F56" w:rsidRPr="00F45378">
        <w:rPr>
          <w:szCs w:val="22"/>
        </w:rPr>
        <w:t xml:space="preserve"> and pushed for stronger government action</w:t>
      </w:r>
      <w:r w:rsidR="0057218A" w:rsidRPr="00F45378">
        <w:rPr>
          <w:szCs w:val="22"/>
        </w:rPr>
        <w:t xml:space="preserve">. </w:t>
      </w:r>
    </w:p>
    <w:p w14:paraId="718DEDEC" w14:textId="6B3C0678" w:rsidR="0057218A" w:rsidRPr="00F45378" w:rsidRDefault="008223FC" w:rsidP="00DD4830">
      <w:pPr>
        <w:pStyle w:val="ListParagraph"/>
        <w:numPr>
          <w:ilvl w:val="0"/>
          <w:numId w:val="99"/>
        </w:numPr>
        <w:spacing w:line="276" w:lineRule="auto"/>
        <w:rPr>
          <w:szCs w:val="22"/>
        </w:rPr>
      </w:pPr>
      <w:r w:rsidRPr="00F45378">
        <w:rPr>
          <w:szCs w:val="22"/>
        </w:rPr>
        <w:t>GBV</w:t>
      </w:r>
      <w:r w:rsidR="0057218A" w:rsidRPr="00F45378">
        <w:rPr>
          <w:szCs w:val="22"/>
        </w:rPr>
        <w:t xml:space="preserve"> is framed with a compliance lens, rather than core to an organisations culture, lacking visible commitment of </w:t>
      </w:r>
      <w:r w:rsidR="00030599" w:rsidRPr="00F45378">
        <w:rPr>
          <w:szCs w:val="22"/>
        </w:rPr>
        <w:t>leaders</w:t>
      </w:r>
      <w:r w:rsidR="0057218A" w:rsidRPr="00F45378">
        <w:rPr>
          <w:szCs w:val="22"/>
        </w:rPr>
        <w:t xml:space="preserve"> on action</w:t>
      </w:r>
    </w:p>
    <w:p w14:paraId="35572185" w14:textId="23603182" w:rsidR="0057218A" w:rsidRPr="00F45378" w:rsidRDefault="0057218A" w:rsidP="00DD4830">
      <w:pPr>
        <w:pStyle w:val="ListParagraph"/>
        <w:numPr>
          <w:ilvl w:val="0"/>
          <w:numId w:val="99"/>
        </w:numPr>
        <w:spacing w:line="276" w:lineRule="auto"/>
        <w:rPr>
          <w:szCs w:val="22"/>
        </w:rPr>
      </w:pPr>
      <w:r w:rsidRPr="00F45378">
        <w:rPr>
          <w:szCs w:val="22"/>
        </w:rPr>
        <w:lastRenderedPageBreak/>
        <w:t xml:space="preserve">There is a lack of clarity </w:t>
      </w:r>
      <w:r w:rsidR="00EE4CD9" w:rsidRPr="00F45378">
        <w:rPr>
          <w:szCs w:val="22"/>
        </w:rPr>
        <w:t>on how governing bodies and leaders discharge their obligations and perceive their role in protecting student and staff safety, particularly where incidents occur off-campus</w:t>
      </w:r>
    </w:p>
    <w:p w14:paraId="4B5E042E" w14:textId="7079C2ED" w:rsidR="00603ABF" w:rsidRPr="00F45378" w:rsidRDefault="00F74F56" w:rsidP="00DD4830">
      <w:pPr>
        <w:pStyle w:val="ListParagraph"/>
        <w:numPr>
          <w:ilvl w:val="0"/>
          <w:numId w:val="99"/>
        </w:numPr>
        <w:spacing w:line="276" w:lineRule="auto"/>
        <w:rPr>
          <w:szCs w:val="22"/>
        </w:rPr>
      </w:pPr>
      <w:r w:rsidRPr="00F45378">
        <w:rPr>
          <w:szCs w:val="22"/>
        </w:rPr>
        <w:t xml:space="preserve">There needs to be consequences for providers that do not take steps to </w:t>
      </w:r>
      <w:r w:rsidR="00603ABF" w:rsidRPr="00F45378">
        <w:rPr>
          <w:szCs w:val="22"/>
        </w:rPr>
        <w:t xml:space="preserve">prevent </w:t>
      </w:r>
      <w:r w:rsidR="008223FC" w:rsidRPr="00F45378">
        <w:rPr>
          <w:szCs w:val="22"/>
        </w:rPr>
        <w:t>GBV</w:t>
      </w:r>
      <w:r w:rsidRPr="00F45378">
        <w:rPr>
          <w:szCs w:val="22"/>
        </w:rPr>
        <w:t xml:space="preserve"> or respond appropriately to students and staff </w:t>
      </w:r>
      <w:r w:rsidR="00603ABF" w:rsidRPr="00F45378">
        <w:rPr>
          <w:szCs w:val="22"/>
        </w:rPr>
        <w:t xml:space="preserve">making </w:t>
      </w:r>
      <w:r w:rsidR="00570886" w:rsidRPr="00F45378">
        <w:rPr>
          <w:szCs w:val="22"/>
        </w:rPr>
        <w:t>reports.</w:t>
      </w:r>
    </w:p>
    <w:p w14:paraId="72B57083" w14:textId="21BA9C5A" w:rsidR="006B18FD" w:rsidRPr="00F45378" w:rsidRDefault="00824D3F" w:rsidP="00DD4830">
      <w:pPr>
        <w:spacing w:line="276" w:lineRule="auto"/>
        <w:rPr>
          <w:rFonts w:cs="Calibri"/>
          <w:szCs w:val="22"/>
        </w:rPr>
      </w:pPr>
      <w:r w:rsidRPr="00F45378">
        <w:rPr>
          <w:rFonts w:cs="Calibri"/>
          <w:szCs w:val="22"/>
        </w:rPr>
        <w:t>Specific</w:t>
      </w:r>
      <w:r w:rsidR="006B18FD" w:rsidRPr="00F45378">
        <w:rPr>
          <w:rFonts w:cs="Calibri"/>
          <w:szCs w:val="22"/>
        </w:rPr>
        <w:t xml:space="preserve"> pieces of feedback </w:t>
      </w:r>
      <w:r w:rsidR="00303B28" w:rsidRPr="00F45378">
        <w:rPr>
          <w:rFonts w:cs="Calibri"/>
          <w:szCs w:val="22"/>
        </w:rPr>
        <w:t xml:space="preserve">that was implemented included. </w:t>
      </w:r>
    </w:p>
    <w:p w14:paraId="35AA485A" w14:textId="4E9C4A52" w:rsidR="006B18FD" w:rsidRPr="00F45378" w:rsidRDefault="006B18FD" w:rsidP="00DD4830">
      <w:pPr>
        <w:pStyle w:val="ListParagraph"/>
        <w:numPr>
          <w:ilvl w:val="0"/>
          <w:numId w:val="46"/>
        </w:numPr>
        <w:spacing w:before="120" w:after="120" w:line="276" w:lineRule="auto"/>
        <w:rPr>
          <w:rFonts w:cs="Calibri"/>
          <w:szCs w:val="22"/>
        </w:rPr>
      </w:pPr>
      <w:r w:rsidRPr="00F45378">
        <w:rPr>
          <w:rFonts w:cs="Calibri"/>
          <w:szCs w:val="22"/>
        </w:rPr>
        <w:t>Higher education and student accommodation providers advised that the term </w:t>
      </w:r>
      <w:r w:rsidRPr="00F45378">
        <w:rPr>
          <w:rFonts w:cs="Calibri"/>
          <w:i/>
          <w:iCs/>
          <w:szCs w:val="22"/>
        </w:rPr>
        <w:t>‘whole-of-institution approach’</w:t>
      </w:r>
      <w:r w:rsidRPr="00F45378">
        <w:rPr>
          <w:rFonts w:cs="Calibri"/>
          <w:szCs w:val="22"/>
        </w:rPr>
        <w:t> did not ad</w:t>
      </w:r>
      <w:r w:rsidR="00801441" w:rsidRPr="00F45378">
        <w:rPr>
          <w:rFonts w:cs="Calibri"/>
          <w:szCs w:val="22"/>
        </w:rPr>
        <w:t xml:space="preserve">equately </w:t>
      </w:r>
      <w:r w:rsidR="00303B28" w:rsidRPr="00F45378">
        <w:rPr>
          <w:rFonts w:cs="Calibri"/>
          <w:szCs w:val="22"/>
        </w:rPr>
        <w:t xml:space="preserve">address provider subsidiaries, partner and parent organisation and owned and operated student accommodation. The term was replaced with ‘whole-of-organisation’ to ensure appropriate coverage of providers. </w:t>
      </w:r>
    </w:p>
    <w:p w14:paraId="60A67AC9" w14:textId="77777777" w:rsidR="006B18FD" w:rsidRPr="00F45378" w:rsidRDefault="006B18FD" w:rsidP="00DD4830">
      <w:pPr>
        <w:pStyle w:val="ListParagraph"/>
        <w:numPr>
          <w:ilvl w:val="0"/>
          <w:numId w:val="46"/>
        </w:numPr>
        <w:spacing w:before="120" w:after="120" w:line="276" w:lineRule="auto"/>
        <w:rPr>
          <w:rFonts w:cs="Calibri"/>
          <w:szCs w:val="22"/>
        </w:rPr>
      </w:pPr>
      <w:r w:rsidRPr="00F45378">
        <w:rPr>
          <w:rFonts w:cs="Calibri"/>
          <w:szCs w:val="22"/>
        </w:rPr>
        <w:t>University stakeholders expressed that procedural fairness and natural justice need to be considered alongside trauma-informed approaches</w:t>
      </w:r>
    </w:p>
    <w:p w14:paraId="6DC165E8" w14:textId="5EA2BFD6" w:rsidR="006B18FD" w:rsidRPr="00F45378" w:rsidRDefault="006B18FD" w:rsidP="00DD4830">
      <w:pPr>
        <w:pStyle w:val="ListParagraph"/>
        <w:numPr>
          <w:ilvl w:val="0"/>
          <w:numId w:val="46"/>
        </w:numPr>
        <w:spacing w:before="120" w:after="120" w:line="276" w:lineRule="auto"/>
        <w:rPr>
          <w:rFonts w:cs="Calibri"/>
          <w:szCs w:val="22"/>
        </w:rPr>
      </w:pPr>
      <w:r w:rsidRPr="00F45378">
        <w:rPr>
          <w:rFonts w:cs="Calibri"/>
          <w:szCs w:val="22"/>
        </w:rPr>
        <w:t xml:space="preserve">A range of stakeholders expressed more transparency from HEPs and desire for public reporting on actions relating to </w:t>
      </w:r>
      <w:r w:rsidR="00B7771B" w:rsidRPr="00F45378">
        <w:rPr>
          <w:rFonts w:cs="Calibri"/>
          <w:szCs w:val="22"/>
        </w:rPr>
        <w:t>GBV</w:t>
      </w:r>
    </w:p>
    <w:p w14:paraId="2F6F5CE9" w14:textId="77777777" w:rsidR="006B18FD" w:rsidRPr="00F45378" w:rsidRDefault="006B18FD" w:rsidP="00DD4830">
      <w:pPr>
        <w:pStyle w:val="ListParagraph"/>
        <w:numPr>
          <w:ilvl w:val="0"/>
          <w:numId w:val="46"/>
        </w:numPr>
        <w:spacing w:before="120" w:after="120" w:line="276" w:lineRule="auto"/>
        <w:rPr>
          <w:rFonts w:cs="Calibri"/>
          <w:szCs w:val="22"/>
        </w:rPr>
      </w:pPr>
      <w:r w:rsidRPr="00F45378">
        <w:rPr>
          <w:rFonts w:cs="Calibri"/>
          <w:szCs w:val="22"/>
        </w:rPr>
        <w:t xml:space="preserve">Students and student services groups advocated for specialists and staff with expertise to be required for managing disclosures and formal reports. </w:t>
      </w:r>
    </w:p>
    <w:p w14:paraId="5E4C1236" w14:textId="043A5474" w:rsidR="006B18FD" w:rsidRPr="00F45378" w:rsidRDefault="006B18FD" w:rsidP="00DD4830">
      <w:pPr>
        <w:pStyle w:val="ListParagraph"/>
        <w:numPr>
          <w:ilvl w:val="0"/>
          <w:numId w:val="46"/>
        </w:numPr>
        <w:spacing w:before="120" w:after="120" w:line="276" w:lineRule="auto"/>
        <w:rPr>
          <w:rFonts w:cs="Calibri"/>
          <w:szCs w:val="22"/>
        </w:rPr>
      </w:pPr>
      <w:r w:rsidRPr="00F45378">
        <w:rPr>
          <w:rFonts w:cs="Calibri"/>
          <w:szCs w:val="22"/>
        </w:rPr>
        <w:t xml:space="preserve">Students and student leaders, advocates, and universities expressed student accommodation providers lack of maturity in this space and desire to enhance </w:t>
      </w:r>
      <w:r w:rsidR="00225BB0" w:rsidRPr="00F45378">
        <w:rPr>
          <w:rFonts w:cs="Calibri"/>
          <w:szCs w:val="22"/>
        </w:rPr>
        <w:t>oversight from their HEP</w:t>
      </w:r>
    </w:p>
    <w:p w14:paraId="47FFB84C" w14:textId="1B55397A" w:rsidR="00F3254C" w:rsidRPr="00F45378" w:rsidRDefault="006B18FD" w:rsidP="00DD4830">
      <w:pPr>
        <w:spacing w:line="276" w:lineRule="auto"/>
        <w:rPr>
          <w:rFonts w:cs="Calibri"/>
          <w:szCs w:val="22"/>
        </w:rPr>
      </w:pPr>
      <w:r w:rsidRPr="00F45378">
        <w:rPr>
          <w:rFonts w:cs="Calibri"/>
          <w:szCs w:val="22"/>
        </w:rPr>
        <w:t xml:space="preserve">In February 2024, all Education ministers signed off on the Final Action Plan to address </w:t>
      </w:r>
      <w:r w:rsidR="00B7771B" w:rsidRPr="00F45378">
        <w:rPr>
          <w:rFonts w:cs="Calibri"/>
          <w:szCs w:val="22"/>
        </w:rPr>
        <w:t>GBV</w:t>
      </w:r>
      <w:r w:rsidRPr="00F45378">
        <w:rPr>
          <w:rFonts w:cs="Calibri"/>
          <w:szCs w:val="22"/>
        </w:rPr>
        <w:t xml:space="preserve"> in Higher Education.</w:t>
      </w:r>
    </w:p>
    <w:p w14:paraId="2F240EC5" w14:textId="144DF2A5" w:rsidR="00943505" w:rsidRDefault="006B18FD" w:rsidP="006B18FD">
      <w:pPr>
        <w:pStyle w:val="Heading2"/>
      </w:pPr>
      <w:bookmarkStart w:id="198" w:name="_Toc204699894"/>
      <w:bookmarkStart w:id="199" w:name="_Toc210050247"/>
      <w:r>
        <w:t>Phase 2: Public Issues Paper</w:t>
      </w:r>
      <w:bookmarkEnd w:id="198"/>
      <w:bookmarkEnd w:id="199"/>
      <w:r>
        <w:t xml:space="preserve"> </w:t>
      </w:r>
    </w:p>
    <w:p w14:paraId="1AF7308D" w14:textId="00409CDB" w:rsidR="00B86C96" w:rsidRPr="00F45378" w:rsidRDefault="00B86C96" w:rsidP="00B86C96">
      <w:pPr>
        <w:rPr>
          <w:szCs w:val="22"/>
        </w:rPr>
      </w:pPr>
      <w:r w:rsidRPr="00F45378">
        <w:rPr>
          <w:szCs w:val="22"/>
        </w:rPr>
        <w:t xml:space="preserve">To build on the commitments outlined in the Action Plan, the </w:t>
      </w:r>
      <w:r w:rsidR="00D92CBE">
        <w:rPr>
          <w:szCs w:val="22"/>
        </w:rPr>
        <w:t>d</w:t>
      </w:r>
      <w:r w:rsidRPr="00F45378">
        <w:rPr>
          <w:szCs w:val="22"/>
        </w:rPr>
        <w:t xml:space="preserve">epartment initiated a public consultation process on the </w:t>
      </w:r>
      <w:r w:rsidR="008743F1" w:rsidRPr="00F45378">
        <w:rPr>
          <w:szCs w:val="22"/>
        </w:rPr>
        <w:t>National Code</w:t>
      </w:r>
      <w:r w:rsidRPr="00F45378">
        <w:rPr>
          <w:szCs w:val="22"/>
        </w:rPr>
        <w:t xml:space="preserve">. In May 2024, the </w:t>
      </w:r>
      <w:r w:rsidR="00D92CBE">
        <w:rPr>
          <w:szCs w:val="22"/>
        </w:rPr>
        <w:t>d</w:t>
      </w:r>
      <w:r w:rsidRPr="00F45378">
        <w:rPr>
          <w:szCs w:val="22"/>
        </w:rPr>
        <w:t xml:space="preserve">epartment released an Issues Paper, which sought wide stakeholder feedback on proposed standards and regulatory framework of the </w:t>
      </w:r>
      <w:r w:rsidR="008743F1" w:rsidRPr="00F45378">
        <w:rPr>
          <w:szCs w:val="22"/>
        </w:rPr>
        <w:t>National Code</w:t>
      </w:r>
      <w:r w:rsidRPr="00F45378">
        <w:rPr>
          <w:szCs w:val="22"/>
        </w:rPr>
        <w:t>. The Issues Paper was published on the department’s website and was accompanied by an open submission process.</w:t>
      </w:r>
    </w:p>
    <w:p w14:paraId="180E5E07" w14:textId="77777777" w:rsidR="00B86C96" w:rsidRPr="00F45378" w:rsidRDefault="00B86C96" w:rsidP="00B86C96">
      <w:pPr>
        <w:rPr>
          <w:szCs w:val="22"/>
        </w:rPr>
      </w:pPr>
      <w:r w:rsidRPr="00F45378">
        <w:rPr>
          <w:szCs w:val="22"/>
        </w:rPr>
        <w:t>The issues paper proposed seven potential standards:</w:t>
      </w:r>
    </w:p>
    <w:p w14:paraId="7A3A03FD" w14:textId="77777777" w:rsidR="00B86C96" w:rsidRPr="00F45378" w:rsidRDefault="00B86C96" w:rsidP="00374E2E">
      <w:pPr>
        <w:numPr>
          <w:ilvl w:val="0"/>
          <w:numId w:val="47"/>
        </w:numPr>
        <w:spacing w:after="0"/>
        <w:rPr>
          <w:szCs w:val="22"/>
        </w:rPr>
      </w:pPr>
      <w:r w:rsidRPr="00F45378">
        <w:rPr>
          <w:szCs w:val="22"/>
        </w:rPr>
        <w:t>Accountable governance and leadership</w:t>
      </w:r>
    </w:p>
    <w:p w14:paraId="1EB7EBC3" w14:textId="77777777" w:rsidR="00B86C96" w:rsidRPr="00F45378" w:rsidRDefault="00B86C96" w:rsidP="00374E2E">
      <w:pPr>
        <w:numPr>
          <w:ilvl w:val="0"/>
          <w:numId w:val="47"/>
        </w:numPr>
        <w:spacing w:after="0"/>
        <w:rPr>
          <w:szCs w:val="22"/>
        </w:rPr>
      </w:pPr>
      <w:r w:rsidRPr="00F45378">
        <w:rPr>
          <w:szCs w:val="22"/>
        </w:rPr>
        <w:t>Effective organisational policies and practice</w:t>
      </w:r>
    </w:p>
    <w:p w14:paraId="10DC4C38" w14:textId="77777777" w:rsidR="00B86C96" w:rsidRPr="00F45378" w:rsidRDefault="00B86C96" w:rsidP="00374E2E">
      <w:pPr>
        <w:numPr>
          <w:ilvl w:val="0"/>
          <w:numId w:val="47"/>
        </w:numPr>
        <w:spacing w:after="0"/>
        <w:rPr>
          <w:szCs w:val="22"/>
        </w:rPr>
      </w:pPr>
      <w:r w:rsidRPr="00F45378">
        <w:rPr>
          <w:szCs w:val="22"/>
        </w:rPr>
        <w:t>Trauma-informed, safety-first procedures</w:t>
      </w:r>
    </w:p>
    <w:p w14:paraId="6E64B28B" w14:textId="77777777" w:rsidR="00B86C96" w:rsidRPr="00F45378" w:rsidRDefault="00B86C96" w:rsidP="00374E2E">
      <w:pPr>
        <w:numPr>
          <w:ilvl w:val="0"/>
          <w:numId w:val="47"/>
        </w:numPr>
        <w:spacing w:after="0"/>
        <w:rPr>
          <w:szCs w:val="22"/>
        </w:rPr>
      </w:pPr>
      <w:r w:rsidRPr="00F45378">
        <w:rPr>
          <w:szCs w:val="22"/>
        </w:rPr>
        <w:t>Evidence-based education and training</w:t>
      </w:r>
    </w:p>
    <w:p w14:paraId="28227329" w14:textId="77777777" w:rsidR="00B86C96" w:rsidRPr="00F45378" w:rsidRDefault="00B86C96" w:rsidP="00374E2E">
      <w:pPr>
        <w:numPr>
          <w:ilvl w:val="0"/>
          <w:numId w:val="47"/>
        </w:numPr>
        <w:spacing w:after="0"/>
        <w:rPr>
          <w:szCs w:val="22"/>
        </w:rPr>
      </w:pPr>
      <w:r w:rsidRPr="00F45378">
        <w:rPr>
          <w:szCs w:val="22"/>
        </w:rPr>
        <w:t>Expert and timely support services</w:t>
      </w:r>
    </w:p>
    <w:p w14:paraId="4CA8BEB1" w14:textId="77777777" w:rsidR="00B86C96" w:rsidRPr="00F45378" w:rsidRDefault="00B86C96" w:rsidP="00374E2E">
      <w:pPr>
        <w:numPr>
          <w:ilvl w:val="0"/>
          <w:numId w:val="47"/>
        </w:numPr>
        <w:spacing w:after="0"/>
        <w:rPr>
          <w:szCs w:val="22"/>
        </w:rPr>
      </w:pPr>
      <w:r w:rsidRPr="00F45378">
        <w:rPr>
          <w:szCs w:val="22"/>
        </w:rPr>
        <w:t xml:space="preserve">Transparent data reporting </w:t>
      </w:r>
    </w:p>
    <w:p w14:paraId="00A85B21" w14:textId="77777777" w:rsidR="00B86C96" w:rsidRPr="00F45378" w:rsidRDefault="00B86C96" w:rsidP="00374E2E">
      <w:pPr>
        <w:numPr>
          <w:ilvl w:val="0"/>
          <w:numId w:val="47"/>
        </w:numPr>
        <w:spacing w:after="0"/>
        <w:rPr>
          <w:szCs w:val="22"/>
        </w:rPr>
      </w:pPr>
      <w:r w:rsidRPr="00F45378">
        <w:rPr>
          <w:szCs w:val="22"/>
        </w:rPr>
        <w:t xml:space="preserve">Safe student accommodation. </w:t>
      </w:r>
    </w:p>
    <w:p w14:paraId="55BCB7C3" w14:textId="056181C7" w:rsidR="00B86C96" w:rsidRPr="00F45378" w:rsidRDefault="00B86C96" w:rsidP="00DD4830">
      <w:pPr>
        <w:spacing w:before="240"/>
        <w:rPr>
          <w:szCs w:val="22"/>
        </w:rPr>
      </w:pPr>
      <w:r w:rsidRPr="00F45378">
        <w:rPr>
          <w:szCs w:val="22"/>
        </w:rPr>
        <w:t xml:space="preserve">Each standard included rationale for each one, aligned with broader government goals, and what could potentially be included. In addition, it proposed a potential regulatory framework and a </w:t>
      </w:r>
      <w:r w:rsidR="00572B67">
        <w:rPr>
          <w:szCs w:val="22"/>
        </w:rPr>
        <w:t>speci</w:t>
      </w:r>
      <w:r w:rsidR="004B51F5">
        <w:rPr>
          <w:szCs w:val="22"/>
        </w:rPr>
        <w:t>alist branch</w:t>
      </w:r>
      <w:r w:rsidR="00572B67" w:rsidRPr="00F45378">
        <w:rPr>
          <w:szCs w:val="22"/>
        </w:rPr>
        <w:t xml:space="preserve"> </w:t>
      </w:r>
      <w:r w:rsidRPr="00F45378">
        <w:rPr>
          <w:szCs w:val="22"/>
        </w:rPr>
        <w:t xml:space="preserve">to ensure compliance. </w:t>
      </w:r>
    </w:p>
    <w:p w14:paraId="43E28537" w14:textId="0A6F5A2F" w:rsidR="00B86C96" w:rsidRPr="00F45378" w:rsidRDefault="00B86C96" w:rsidP="00B86C96">
      <w:pPr>
        <w:rPr>
          <w:szCs w:val="22"/>
        </w:rPr>
      </w:pPr>
      <w:r w:rsidRPr="00F45378">
        <w:rPr>
          <w:szCs w:val="22"/>
        </w:rPr>
        <w:t xml:space="preserve">The consultation period ran until 28 June </w:t>
      </w:r>
      <w:r w:rsidR="00D04AF7" w:rsidRPr="00F45378">
        <w:rPr>
          <w:szCs w:val="22"/>
        </w:rPr>
        <w:t>2024,</w:t>
      </w:r>
      <w:r w:rsidRPr="00F45378">
        <w:rPr>
          <w:szCs w:val="22"/>
        </w:rPr>
        <w:t xml:space="preserve"> and a total of 54 submissions were received from women’s safety organisations, the NTEU, higher education providers, student accommodation providers, students, individuals with lived experience of </w:t>
      </w:r>
      <w:r w:rsidR="00B7771B" w:rsidRPr="00F45378">
        <w:rPr>
          <w:szCs w:val="22"/>
        </w:rPr>
        <w:t>GBV</w:t>
      </w:r>
      <w:r w:rsidRPr="00F45378">
        <w:rPr>
          <w:szCs w:val="22"/>
        </w:rPr>
        <w:t xml:space="preserve"> and members </w:t>
      </w:r>
      <w:r w:rsidRPr="00F45378">
        <w:rPr>
          <w:szCs w:val="22"/>
        </w:rPr>
        <w:lastRenderedPageBreak/>
        <w:t xml:space="preserve">of the public. The </w:t>
      </w:r>
      <w:r w:rsidR="00D92CBE">
        <w:rPr>
          <w:szCs w:val="22"/>
        </w:rPr>
        <w:t>d</w:t>
      </w:r>
      <w:r w:rsidRPr="00F45378">
        <w:rPr>
          <w:szCs w:val="22"/>
        </w:rPr>
        <w:t>epartment analysed the submissions, identifying key themes, challenges in current practices and examples of leading practice. Key themes that were identified included:</w:t>
      </w:r>
    </w:p>
    <w:p w14:paraId="641D57F5" w14:textId="0A37FD41" w:rsidR="00B86C96" w:rsidRPr="00F45378" w:rsidRDefault="00B86C96" w:rsidP="00B86C96">
      <w:pPr>
        <w:rPr>
          <w:szCs w:val="22"/>
        </w:rPr>
      </w:pPr>
      <w:r w:rsidRPr="00F45378">
        <w:rPr>
          <w:szCs w:val="22"/>
        </w:rPr>
        <w:t xml:space="preserve">Across the board, submissions provided support for the </w:t>
      </w:r>
      <w:r w:rsidR="008743F1" w:rsidRPr="00F45378">
        <w:rPr>
          <w:szCs w:val="22"/>
        </w:rPr>
        <w:t>National Code</w:t>
      </w:r>
      <w:r w:rsidRPr="00F45378">
        <w:rPr>
          <w:szCs w:val="22"/>
        </w:rPr>
        <w:t xml:space="preserve"> however higher education providers identified potential issues that would impact their ability to implement it. These included</w:t>
      </w:r>
      <w:r w:rsidR="00570886">
        <w:rPr>
          <w:szCs w:val="22"/>
        </w:rPr>
        <w:t>:</w:t>
      </w:r>
    </w:p>
    <w:p w14:paraId="54C44F0F" w14:textId="2328FE7F" w:rsidR="00B86C96" w:rsidRPr="00F45378" w:rsidRDefault="00B86C96" w:rsidP="00374E2E">
      <w:pPr>
        <w:numPr>
          <w:ilvl w:val="0"/>
          <w:numId w:val="48"/>
        </w:numPr>
        <w:spacing w:after="0"/>
        <w:rPr>
          <w:szCs w:val="22"/>
        </w:rPr>
      </w:pPr>
      <w:r w:rsidRPr="00F45378">
        <w:rPr>
          <w:b/>
          <w:bCs/>
          <w:szCs w:val="22"/>
        </w:rPr>
        <w:t>Privacy</w:t>
      </w:r>
      <w:r w:rsidRPr="00F45378">
        <w:rPr>
          <w:szCs w:val="22"/>
        </w:rPr>
        <w:t xml:space="preserve">: Provider submissions raised concerns about the potential for data to identify individual students, particularly in smaller institutions. In response, the </w:t>
      </w:r>
      <w:r w:rsidR="008743F1" w:rsidRPr="00F45378">
        <w:rPr>
          <w:szCs w:val="22"/>
        </w:rPr>
        <w:t>National Code</w:t>
      </w:r>
      <w:r w:rsidRPr="00F45378">
        <w:rPr>
          <w:szCs w:val="22"/>
        </w:rPr>
        <w:t xml:space="preserve"> requires all data to be de-identified and submitted in accordance with relevant privacy legislation to ensure confidentiality and protect student identities.</w:t>
      </w:r>
    </w:p>
    <w:p w14:paraId="0A19D25C" w14:textId="099CAD31" w:rsidR="00B86C96" w:rsidRPr="00F45378" w:rsidRDefault="00B86C96" w:rsidP="00374E2E">
      <w:pPr>
        <w:numPr>
          <w:ilvl w:val="0"/>
          <w:numId w:val="48"/>
        </w:numPr>
        <w:spacing w:after="0"/>
        <w:rPr>
          <w:szCs w:val="22"/>
        </w:rPr>
      </w:pPr>
      <w:r w:rsidRPr="00F45378">
        <w:rPr>
          <w:b/>
          <w:bCs/>
          <w:szCs w:val="22"/>
        </w:rPr>
        <w:t xml:space="preserve">Training: </w:t>
      </w:r>
      <w:r w:rsidRPr="00F45378">
        <w:rPr>
          <w:szCs w:val="22"/>
        </w:rPr>
        <w:t xml:space="preserve">Emphasis on the need for staff to be trained to recognise signs of domestic violence and coercive control. The </w:t>
      </w:r>
      <w:r w:rsidR="008743F1" w:rsidRPr="00F45378">
        <w:rPr>
          <w:szCs w:val="22"/>
        </w:rPr>
        <w:t>National Code</w:t>
      </w:r>
      <w:r w:rsidRPr="00F45378">
        <w:rPr>
          <w:szCs w:val="22"/>
        </w:rPr>
        <w:t xml:space="preserve"> responds by requiring staff involved in risk assessments and formal processes to understand the types and effects of </w:t>
      </w:r>
      <w:r w:rsidR="00B7771B" w:rsidRPr="00F45378">
        <w:rPr>
          <w:szCs w:val="22"/>
        </w:rPr>
        <w:t>GBV</w:t>
      </w:r>
      <w:r w:rsidRPr="00F45378">
        <w:rPr>
          <w:szCs w:val="22"/>
        </w:rPr>
        <w:t>, including trauma and coercive control.</w:t>
      </w:r>
    </w:p>
    <w:p w14:paraId="1BA7DA15" w14:textId="77777777" w:rsidR="00B86C96" w:rsidRPr="00F45378" w:rsidRDefault="00B86C96" w:rsidP="00374E2E">
      <w:pPr>
        <w:numPr>
          <w:ilvl w:val="0"/>
          <w:numId w:val="48"/>
        </w:numPr>
        <w:spacing w:after="0"/>
        <w:rPr>
          <w:szCs w:val="22"/>
        </w:rPr>
      </w:pPr>
      <w:r w:rsidRPr="00F45378">
        <w:rPr>
          <w:b/>
          <w:bCs/>
          <w:szCs w:val="22"/>
        </w:rPr>
        <w:t>Regulatory consistency:</w:t>
      </w:r>
      <w:r w:rsidRPr="00F45378">
        <w:rPr>
          <w:szCs w:val="22"/>
        </w:rPr>
        <w:t xml:space="preserve"> ensure consistency between regulatory schemes and that they are aligned. </w:t>
      </w:r>
    </w:p>
    <w:p w14:paraId="37EE0988" w14:textId="664524F5" w:rsidR="00B37429" w:rsidRPr="00797D7C" w:rsidRDefault="00B86C96" w:rsidP="00B86C96">
      <w:pPr>
        <w:numPr>
          <w:ilvl w:val="0"/>
          <w:numId w:val="48"/>
        </w:numPr>
        <w:spacing w:after="0"/>
        <w:rPr>
          <w:szCs w:val="22"/>
        </w:rPr>
      </w:pPr>
      <w:r w:rsidRPr="00F45378">
        <w:rPr>
          <w:b/>
          <w:bCs/>
          <w:szCs w:val="22"/>
        </w:rPr>
        <w:t>Variability:</w:t>
      </w:r>
      <w:r w:rsidRPr="00F45378">
        <w:rPr>
          <w:szCs w:val="22"/>
        </w:rPr>
        <w:t xml:space="preserve"> Across the board, submissions flagged the variability of HEPs and student accommodation providers</w:t>
      </w:r>
    </w:p>
    <w:p w14:paraId="2C07CE7B" w14:textId="77777777" w:rsidR="00B86C96" w:rsidRPr="000937AE" w:rsidRDefault="00B86C96" w:rsidP="00B86C96">
      <w:pPr>
        <w:rPr>
          <w:szCs w:val="22"/>
        </w:rPr>
      </w:pPr>
      <w:r w:rsidRPr="00B86C96">
        <w:t xml:space="preserve">The 54 submissions for received from the following stakeholders: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20"/>
      </w:tblGrid>
      <w:tr w:rsidR="00B86C96" w:rsidRPr="00B86C96" w14:paraId="1B2C42A8" w14:textId="77777777">
        <w:trPr>
          <w:trHeight w:val="300"/>
        </w:trPr>
        <w:tc>
          <w:tcPr>
            <w:tcW w:w="1980" w:type="dxa"/>
            <w:tcBorders>
              <w:top w:val="single" w:sz="6" w:space="0" w:color="7F7F7F"/>
              <w:left w:val="nil"/>
              <w:bottom w:val="single" w:sz="6" w:space="0" w:color="7F7F7F"/>
              <w:right w:val="nil"/>
            </w:tcBorders>
            <w:hideMark/>
          </w:tcPr>
          <w:p w14:paraId="42890785" w14:textId="77777777" w:rsidR="00B86C96" w:rsidRPr="00B86C96" w:rsidRDefault="00B86C96" w:rsidP="00C93B3E">
            <w:pPr>
              <w:spacing w:after="0" w:line="240" w:lineRule="auto"/>
              <w:rPr>
                <w:b/>
                <w:bCs/>
                <w:sz w:val="20"/>
                <w:szCs w:val="20"/>
              </w:rPr>
            </w:pPr>
            <w:r w:rsidRPr="00B86C96">
              <w:rPr>
                <w:b/>
                <w:bCs/>
                <w:sz w:val="20"/>
                <w:szCs w:val="20"/>
              </w:rPr>
              <w:t>Students, lived experience, student organisations </w:t>
            </w:r>
          </w:p>
          <w:p w14:paraId="1DF2540F" w14:textId="77777777" w:rsidR="00B86C96" w:rsidRPr="00B86C96" w:rsidRDefault="00B86C96" w:rsidP="00C93B3E">
            <w:pPr>
              <w:spacing w:after="0" w:line="240" w:lineRule="auto"/>
              <w:rPr>
                <w:b/>
                <w:bCs/>
                <w:sz w:val="20"/>
                <w:szCs w:val="20"/>
              </w:rPr>
            </w:pPr>
            <w:r w:rsidRPr="00B86C96">
              <w:rPr>
                <w:i/>
                <w:iCs/>
                <w:sz w:val="20"/>
                <w:szCs w:val="20"/>
              </w:rPr>
              <w:t>6 submissions</w:t>
            </w:r>
            <w:r w:rsidRPr="00B86C96">
              <w:rPr>
                <w:b/>
                <w:bCs/>
                <w:sz w:val="20"/>
                <w:szCs w:val="20"/>
              </w:rPr>
              <w:t> </w:t>
            </w:r>
          </w:p>
        </w:tc>
        <w:tc>
          <w:tcPr>
            <w:tcW w:w="7020" w:type="dxa"/>
            <w:tcBorders>
              <w:top w:val="single" w:sz="6" w:space="0" w:color="7F7F7F"/>
              <w:left w:val="nil"/>
              <w:bottom w:val="single" w:sz="6" w:space="0" w:color="7F7F7F"/>
              <w:right w:val="nil"/>
            </w:tcBorders>
            <w:hideMark/>
          </w:tcPr>
          <w:p w14:paraId="748F75A6" w14:textId="77777777" w:rsidR="00B86C96" w:rsidRPr="00B86C96" w:rsidRDefault="00B86C96" w:rsidP="00374E2E">
            <w:pPr>
              <w:numPr>
                <w:ilvl w:val="0"/>
                <w:numId w:val="49"/>
              </w:numPr>
              <w:spacing w:after="0" w:line="240" w:lineRule="auto"/>
              <w:rPr>
                <w:b/>
                <w:bCs/>
                <w:sz w:val="20"/>
                <w:szCs w:val="20"/>
              </w:rPr>
            </w:pPr>
            <w:r w:rsidRPr="00B86C96">
              <w:rPr>
                <w:sz w:val="20"/>
                <w:szCs w:val="20"/>
              </w:rPr>
              <w:t>Curtin Student Guild </w:t>
            </w:r>
            <w:r w:rsidRPr="00B86C96">
              <w:rPr>
                <w:b/>
                <w:bCs/>
                <w:sz w:val="20"/>
                <w:szCs w:val="20"/>
              </w:rPr>
              <w:t> </w:t>
            </w:r>
          </w:p>
          <w:p w14:paraId="3EA155F8" w14:textId="77777777" w:rsidR="00B86C96" w:rsidRPr="00B86C96" w:rsidRDefault="00B86C96" w:rsidP="00374E2E">
            <w:pPr>
              <w:numPr>
                <w:ilvl w:val="0"/>
                <w:numId w:val="50"/>
              </w:numPr>
              <w:spacing w:after="0" w:line="240" w:lineRule="auto"/>
              <w:rPr>
                <w:b/>
                <w:bCs/>
                <w:sz w:val="20"/>
                <w:szCs w:val="20"/>
              </w:rPr>
            </w:pPr>
            <w:r w:rsidRPr="00B86C96">
              <w:rPr>
                <w:sz w:val="20"/>
                <w:szCs w:val="20"/>
              </w:rPr>
              <w:t>RMIT Student Union</w:t>
            </w:r>
            <w:r w:rsidRPr="00B86C96">
              <w:rPr>
                <w:b/>
                <w:bCs/>
                <w:sz w:val="20"/>
                <w:szCs w:val="20"/>
              </w:rPr>
              <w:t> </w:t>
            </w:r>
          </w:p>
          <w:p w14:paraId="4E6BDDE4" w14:textId="77777777" w:rsidR="00B86C96" w:rsidRPr="00B86C96" w:rsidRDefault="00B86C96" w:rsidP="00374E2E">
            <w:pPr>
              <w:numPr>
                <w:ilvl w:val="0"/>
                <w:numId w:val="51"/>
              </w:numPr>
              <w:spacing w:after="0" w:line="240" w:lineRule="auto"/>
              <w:rPr>
                <w:b/>
                <w:bCs/>
                <w:sz w:val="20"/>
                <w:szCs w:val="20"/>
              </w:rPr>
            </w:pPr>
            <w:r w:rsidRPr="00B86C96">
              <w:rPr>
                <w:sz w:val="20"/>
                <w:szCs w:val="20"/>
              </w:rPr>
              <w:t>Anonymous (x4)</w:t>
            </w:r>
            <w:r w:rsidRPr="00B86C96">
              <w:rPr>
                <w:b/>
                <w:bCs/>
                <w:sz w:val="20"/>
                <w:szCs w:val="20"/>
              </w:rPr>
              <w:t> </w:t>
            </w:r>
          </w:p>
        </w:tc>
      </w:tr>
      <w:tr w:rsidR="00B86C96" w:rsidRPr="00B86C96" w14:paraId="53405F49" w14:textId="77777777">
        <w:trPr>
          <w:trHeight w:val="300"/>
        </w:trPr>
        <w:tc>
          <w:tcPr>
            <w:tcW w:w="1980" w:type="dxa"/>
            <w:tcBorders>
              <w:top w:val="single" w:sz="6" w:space="0" w:color="7F7F7F"/>
              <w:left w:val="nil"/>
              <w:bottom w:val="single" w:sz="6" w:space="0" w:color="7F7F7F"/>
              <w:right w:val="nil"/>
            </w:tcBorders>
            <w:hideMark/>
          </w:tcPr>
          <w:p w14:paraId="0C05DDCF" w14:textId="77777777" w:rsidR="00B86C96" w:rsidRPr="00B86C96" w:rsidRDefault="00B86C96" w:rsidP="00C93B3E">
            <w:pPr>
              <w:spacing w:after="0" w:line="240" w:lineRule="auto"/>
              <w:rPr>
                <w:b/>
                <w:bCs/>
                <w:sz w:val="20"/>
                <w:szCs w:val="20"/>
              </w:rPr>
            </w:pPr>
            <w:r w:rsidRPr="00B86C96">
              <w:rPr>
                <w:b/>
                <w:bCs/>
                <w:sz w:val="20"/>
                <w:szCs w:val="20"/>
              </w:rPr>
              <w:t>Women’s safety sector, women’s advocate organisations and safety program organisations </w:t>
            </w:r>
          </w:p>
          <w:p w14:paraId="581AF935" w14:textId="77777777" w:rsidR="00B86C96" w:rsidRPr="00B86C96" w:rsidRDefault="00B86C96" w:rsidP="00C93B3E">
            <w:pPr>
              <w:spacing w:after="0" w:line="240" w:lineRule="auto"/>
              <w:rPr>
                <w:b/>
                <w:bCs/>
                <w:sz w:val="20"/>
                <w:szCs w:val="20"/>
              </w:rPr>
            </w:pPr>
            <w:r w:rsidRPr="00B86C96">
              <w:rPr>
                <w:i/>
                <w:iCs/>
                <w:sz w:val="20"/>
                <w:szCs w:val="20"/>
              </w:rPr>
              <w:t>6 submissions</w:t>
            </w:r>
            <w:r w:rsidRPr="00B86C96">
              <w:rPr>
                <w:b/>
                <w:bCs/>
                <w:sz w:val="20"/>
                <w:szCs w:val="20"/>
              </w:rPr>
              <w:t> </w:t>
            </w:r>
          </w:p>
        </w:tc>
        <w:tc>
          <w:tcPr>
            <w:tcW w:w="7020" w:type="dxa"/>
            <w:tcBorders>
              <w:top w:val="single" w:sz="6" w:space="0" w:color="7F7F7F"/>
              <w:left w:val="nil"/>
              <w:bottom w:val="single" w:sz="6" w:space="0" w:color="7F7F7F"/>
              <w:right w:val="nil"/>
            </w:tcBorders>
            <w:hideMark/>
          </w:tcPr>
          <w:p w14:paraId="1DD74A23" w14:textId="77777777" w:rsidR="00B86C96" w:rsidRPr="00B86C96" w:rsidRDefault="00B86C96" w:rsidP="00374E2E">
            <w:pPr>
              <w:numPr>
                <w:ilvl w:val="0"/>
                <w:numId w:val="52"/>
              </w:numPr>
              <w:spacing w:after="0" w:line="240" w:lineRule="auto"/>
              <w:rPr>
                <w:sz w:val="20"/>
                <w:szCs w:val="20"/>
              </w:rPr>
            </w:pPr>
            <w:r w:rsidRPr="00B86C96">
              <w:rPr>
                <w:sz w:val="20"/>
                <w:szCs w:val="20"/>
              </w:rPr>
              <w:t>Our Watch </w:t>
            </w:r>
          </w:p>
          <w:p w14:paraId="6743D90F" w14:textId="77777777" w:rsidR="00B86C96" w:rsidRPr="00B86C96" w:rsidRDefault="00B86C96" w:rsidP="00374E2E">
            <w:pPr>
              <w:numPr>
                <w:ilvl w:val="0"/>
                <w:numId w:val="53"/>
              </w:numPr>
              <w:spacing w:after="0" w:line="240" w:lineRule="auto"/>
              <w:rPr>
                <w:sz w:val="20"/>
                <w:szCs w:val="20"/>
              </w:rPr>
            </w:pPr>
            <w:r w:rsidRPr="00B86C96">
              <w:rPr>
                <w:sz w:val="20"/>
                <w:szCs w:val="20"/>
              </w:rPr>
              <w:t>Full Stop </w:t>
            </w:r>
          </w:p>
          <w:p w14:paraId="30EB0511" w14:textId="77777777" w:rsidR="00B86C96" w:rsidRPr="00B86C96" w:rsidRDefault="00B86C96" w:rsidP="00374E2E">
            <w:pPr>
              <w:numPr>
                <w:ilvl w:val="0"/>
                <w:numId w:val="54"/>
              </w:numPr>
              <w:spacing w:after="0" w:line="240" w:lineRule="auto"/>
              <w:rPr>
                <w:sz w:val="20"/>
                <w:szCs w:val="20"/>
              </w:rPr>
            </w:pPr>
            <w:r w:rsidRPr="00B86C96">
              <w:rPr>
                <w:sz w:val="20"/>
                <w:szCs w:val="20"/>
              </w:rPr>
              <w:t>Sexual Assault Services Victoria </w:t>
            </w:r>
          </w:p>
          <w:p w14:paraId="432E373D" w14:textId="77777777" w:rsidR="00B86C96" w:rsidRPr="00B86C96" w:rsidRDefault="00B86C96" w:rsidP="00374E2E">
            <w:pPr>
              <w:numPr>
                <w:ilvl w:val="0"/>
                <w:numId w:val="55"/>
              </w:numPr>
              <w:spacing w:after="0" w:line="240" w:lineRule="auto"/>
              <w:rPr>
                <w:sz w:val="20"/>
                <w:szCs w:val="20"/>
              </w:rPr>
            </w:pPr>
            <w:r w:rsidRPr="00B86C96">
              <w:rPr>
                <w:sz w:val="20"/>
                <w:szCs w:val="20"/>
              </w:rPr>
              <w:t>Women’s Health SE </w:t>
            </w:r>
          </w:p>
          <w:p w14:paraId="5F0A05BC" w14:textId="77777777" w:rsidR="00B86C96" w:rsidRPr="00B86C96" w:rsidRDefault="00B86C96" w:rsidP="00374E2E">
            <w:pPr>
              <w:numPr>
                <w:ilvl w:val="0"/>
                <w:numId w:val="56"/>
              </w:numPr>
              <w:spacing w:after="0" w:line="240" w:lineRule="auto"/>
              <w:rPr>
                <w:sz w:val="20"/>
                <w:szCs w:val="20"/>
              </w:rPr>
            </w:pPr>
            <w:r w:rsidRPr="00B86C96">
              <w:rPr>
                <w:sz w:val="20"/>
                <w:szCs w:val="20"/>
              </w:rPr>
              <w:t>Harmony Alliance </w:t>
            </w:r>
          </w:p>
          <w:p w14:paraId="1E8AF0B0" w14:textId="77777777" w:rsidR="00B86C96" w:rsidRPr="00B86C96" w:rsidRDefault="00B86C96" w:rsidP="00374E2E">
            <w:pPr>
              <w:numPr>
                <w:ilvl w:val="0"/>
                <w:numId w:val="57"/>
              </w:numPr>
              <w:spacing w:after="0" w:line="240" w:lineRule="auto"/>
              <w:rPr>
                <w:sz w:val="20"/>
                <w:szCs w:val="20"/>
              </w:rPr>
            </w:pPr>
            <w:r w:rsidRPr="00B86C96">
              <w:rPr>
                <w:sz w:val="20"/>
                <w:szCs w:val="20"/>
              </w:rPr>
              <w:t>Anonymous (x1) </w:t>
            </w:r>
          </w:p>
        </w:tc>
      </w:tr>
      <w:tr w:rsidR="00B86C96" w:rsidRPr="00B86C96" w14:paraId="16B7F19A" w14:textId="77777777">
        <w:trPr>
          <w:trHeight w:val="300"/>
        </w:trPr>
        <w:tc>
          <w:tcPr>
            <w:tcW w:w="1980" w:type="dxa"/>
            <w:tcBorders>
              <w:top w:val="nil"/>
              <w:left w:val="nil"/>
              <w:bottom w:val="nil"/>
              <w:right w:val="nil"/>
            </w:tcBorders>
            <w:hideMark/>
          </w:tcPr>
          <w:p w14:paraId="67945B11" w14:textId="77777777" w:rsidR="00B86C96" w:rsidRPr="00B86C96" w:rsidRDefault="00B86C96" w:rsidP="00C93B3E">
            <w:pPr>
              <w:spacing w:after="0" w:line="240" w:lineRule="auto"/>
              <w:rPr>
                <w:b/>
                <w:bCs/>
                <w:sz w:val="20"/>
                <w:szCs w:val="20"/>
              </w:rPr>
            </w:pPr>
            <w:r w:rsidRPr="00B86C96">
              <w:rPr>
                <w:b/>
                <w:bCs/>
                <w:sz w:val="20"/>
                <w:szCs w:val="20"/>
              </w:rPr>
              <w:t>Higher education providers  </w:t>
            </w:r>
          </w:p>
          <w:p w14:paraId="41769C6D" w14:textId="77777777" w:rsidR="00B86C96" w:rsidRPr="00B86C96" w:rsidRDefault="00B86C96" w:rsidP="00C93B3E">
            <w:pPr>
              <w:spacing w:after="0" w:line="240" w:lineRule="auto"/>
              <w:rPr>
                <w:b/>
                <w:bCs/>
                <w:sz w:val="20"/>
                <w:szCs w:val="20"/>
              </w:rPr>
            </w:pPr>
            <w:r w:rsidRPr="00B86C96">
              <w:rPr>
                <w:i/>
                <w:iCs/>
                <w:sz w:val="20"/>
                <w:szCs w:val="20"/>
              </w:rPr>
              <w:t>26 submissions</w:t>
            </w:r>
            <w:r w:rsidRPr="00B86C96">
              <w:rPr>
                <w:b/>
                <w:bCs/>
                <w:sz w:val="20"/>
                <w:szCs w:val="20"/>
              </w:rPr>
              <w:t> </w:t>
            </w:r>
          </w:p>
          <w:p w14:paraId="7E5BE819" w14:textId="77777777" w:rsidR="00B86C96" w:rsidRPr="00B86C96" w:rsidRDefault="00B86C96" w:rsidP="00C93B3E">
            <w:pPr>
              <w:spacing w:after="0" w:line="240" w:lineRule="auto"/>
              <w:rPr>
                <w:b/>
                <w:bCs/>
                <w:sz w:val="20"/>
                <w:szCs w:val="20"/>
              </w:rPr>
            </w:pPr>
            <w:r w:rsidRPr="00B86C96">
              <w:rPr>
                <w:b/>
                <w:bCs/>
                <w:sz w:val="20"/>
                <w:szCs w:val="20"/>
              </w:rPr>
              <w:t> </w:t>
            </w:r>
          </w:p>
          <w:p w14:paraId="26E3F381" w14:textId="77777777" w:rsidR="00B86C96" w:rsidRPr="00B86C96" w:rsidRDefault="00B86C96" w:rsidP="00C93B3E">
            <w:pPr>
              <w:spacing w:after="0" w:line="240" w:lineRule="auto"/>
              <w:rPr>
                <w:b/>
                <w:bCs/>
                <w:sz w:val="20"/>
                <w:szCs w:val="20"/>
              </w:rPr>
            </w:pPr>
            <w:r w:rsidRPr="00B86C96">
              <w:rPr>
                <w:b/>
                <w:bCs/>
                <w:sz w:val="20"/>
                <w:szCs w:val="20"/>
              </w:rPr>
              <w:t> </w:t>
            </w:r>
          </w:p>
          <w:p w14:paraId="12016F69" w14:textId="77777777" w:rsidR="00B86C96" w:rsidRPr="00B86C96" w:rsidRDefault="00B86C96" w:rsidP="00C93B3E">
            <w:pPr>
              <w:spacing w:after="0" w:line="240" w:lineRule="auto"/>
              <w:rPr>
                <w:b/>
                <w:bCs/>
                <w:sz w:val="20"/>
                <w:szCs w:val="20"/>
              </w:rPr>
            </w:pPr>
            <w:r w:rsidRPr="00B86C96">
              <w:rPr>
                <w:b/>
                <w:bCs/>
                <w:sz w:val="20"/>
                <w:szCs w:val="20"/>
              </w:rPr>
              <w:t> </w:t>
            </w:r>
          </w:p>
          <w:p w14:paraId="5C1BD6ED" w14:textId="77777777" w:rsidR="00B86C96" w:rsidRPr="00B86C96" w:rsidRDefault="00B86C96" w:rsidP="00C93B3E">
            <w:pPr>
              <w:spacing w:after="0" w:line="240" w:lineRule="auto"/>
              <w:rPr>
                <w:b/>
                <w:bCs/>
                <w:sz w:val="20"/>
                <w:szCs w:val="20"/>
              </w:rPr>
            </w:pPr>
            <w:r w:rsidRPr="00B86C96">
              <w:rPr>
                <w:b/>
                <w:bCs/>
                <w:sz w:val="20"/>
                <w:szCs w:val="20"/>
              </w:rPr>
              <w:t> </w:t>
            </w:r>
          </w:p>
        </w:tc>
        <w:tc>
          <w:tcPr>
            <w:tcW w:w="7020" w:type="dxa"/>
            <w:tcBorders>
              <w:top w:val="nil"/>
              <w:left w:val="nil"/>
              <w:bottom w:val="nil"/>
              <w:right w:val="nil"/>
            </w:tcBorders>
            <w:hideMark/>
          </w:tcPr>
          <w:p w14:paraId="33111C63" w14:textId="77777777" w:rsidR="00B86C96" w:rsidRPr="00B86C96" w:rsidRDefault="00B86C96" w:rsidP="00374E2E">
            <w:pPr>
              <w:numPr>
                <w:ilvl w:val="0"/>
                <w:numId w:val="58"/>
              </w:numPr>
              <w:spacing w:after="0" w:line="240" w:lineRule="auto"/>
              <w:rPr>
                <w:sz w:val="20"/>
                <w:szCs w:val="20"/>
              </w:rPr>
            </w:pPr>
            <w:r w:rsidRPr="00B86C96">
              <w:rPr>
                <w:sz w:val="20"/>
                <w:szCs w:val="20"/>
              </w:rPr>
              <w:t>Australian College of Theology </w:t>
            </w:r>
          </w:p>
          <w:p w14:paraId="327AD716" w14:textId="77777777" w:rsidR="00B86C96" w:rsidRPr="00B86C96" w:rsidRDefault="00B86C96" w:rsidP="00374E2E">
            <w:pPr>
              <w:numPr>
                <w:ilvl w:val="0"/>
                <w:numId w:val="59"/>
              </w:numPr>
              <w:spacing w:after="0" w:line="240" w:lineRule="auto"/>
              <w:rPr>
                <w:sz w:val="20"/>
                <w:szCs w:val="20"/>
              </w:rPr>
            </w:pPr>
            <w:r w:rsidRPr="00B86C96">
              <w:rPr>
                <w:sz w:val="20"/>
                <w:szCs w:val="20"/>
              </w:rPr>
              <w:t>Australian National University </w:t>
            </w:r>
          </w:p>
          <w:p w14:paraId="2D9A27A8" w14:textId="77777777" w:rsidR="00B86C96" w:rsidRPr="00B86C96" w:rsidRDefault="00B86C96" w:rsidP="00374E2E">
            <w:pPr>
              <w:numPr>
                <w:ilvl w:val="0"/>
                <w:numId w:val="60"/>
              </w:numPr>
              <w:spacing w:after="0" w:line="240" w:lineRule="auto"/>
              <w:rPr>
                <w:sz w:val="20"/>
                <w:szCs w:val="20"/>
              </w:rPr>
            </w:pPr>
            <w:r w:rsidRPr="00B86C96">
              <w:rPr>
                <w:sz w:val="20"/>
                <w:szCs w:val="20"/>
              </w:rPr>
              <w:t>Australian Catholic University </w:t>
            </w:r>
          </w:p>
          <w:p w14:paraId="0DF02882" w14:textId="77777777" w:rsidR="00B86C96" w:rsidRPr="00B86C96" w:rsidRDefault="00B86C96" w:rsidP="00374E2E">
            <w:pPr>
              <w:numPr>
                <w:ilvl w:val="0"/>
                <w:numId w:val="61"/>
              </w:numPr>
              <w:spacing w:after="0" w:line="240" w:lineRule="auto"/>
              <w:rPr>
                <w:sz w:val="20"/>
                <w:szCs w:val="20"/>
              </w:rPr>
            </w:pPr>
            <w:r w:rsidRPr="00B86C96">
              <w:rPr>
                <w:sz w:val="20"/>
                <w:szCs w:val="20"/>
              </w:rPr>
              <w:t>Bond University </w:t>
            </w:r>
          </w:p>
          <w:p w14:paraId="514EB9D9" w14:textId="77777777" w:rsidR="00B86C96" w:rsidRPr="00B86C96" w:rsidRDefault="00B86C96" w:rsidP="00374E2E">
            <w:pPr>
              <w:numPr>
                <w:ilvl w:val="0"/>
                <w:numId w:val="62"/>
              </w:numPr>
              <w:spacing w:after="0" w:line="240" w:lineRule="auto"/>
              <w:rPr>
                <w:sz w:val="20"/>
                <w:szCs w:val="20"/>
              </w:rPr>
            </w:pPr>
            <w:r w:rsidRPr="00B86C96">
              <w:rPr>
                <w:sz w:val="20"/>
                <w:szCs w:val="20"/>
              </w:rPr>
              <w:t>Charles Sturt University </w:t>
            </w:r>
          </w:p>
          <w:p w14:paraId="543CA3A1" w14:textId="77777777" w:rsidR="00B86C96" w:rsidRPr="00B86C96" w:rsidRDefault="00B86C96" w:rsidP="00374E2E">
            <w:pPr>
              <w:numPr>
                <w:ilvl w:val="0"/>
                <w:numId w:val="63"/>
              </w:numPr>
              <w:spacing w:after="0" w:line="240" w:lineRule="auto"/>
              <w:rPr>
                <w:sz w:val="20"/>
                <w:szCs w:val="20"/>
              </w:rPr>
            </w:pPr>
            <w:r w:rsidRPr="00B86C96">
              <w:rPr>
                <w:sz w:val="20"/>
                <w:szCs w:val="20"/>
              </w:rPr>
              <w:t>Curtin University </w:t>
            </w:r>
          </w:p>
          <w:p w14:paraId="355E439C" w14:textId="77777777" w:rsidR="00B86C96" w:rsidRPr="00B86C96" w:rsidRDefault="00B86C96" w:rsidP="00374E2E">
            <w:pPr>
              <w:numPr>
                <w:ilvl w:val="0"/>
                <w:numId w:val="64"/>
              </w:numPr>
              <w:spacing w:after="0" w:line="240" w:lineRule="auto"/>
              <w:rPr>
                <w:sz w:val="20"/>
                <w:szCs w:val="20"/>
              </w:rPr>
            </w:pPr>
            <w:r w:rsidRPr="00B86C96">
              <w:rPr>
                <w:sz w:val="20"/>
                <w:szCs w:val="20"/>
              </w:rPr>
              <w:t>Deakin University </w:t>
            </w:r>
          </w:p>
          <w:p w14:paraId="7C5495A1" w14:textId="77777777" w:rsidR="00B86C96" w:rsidRPr="00B86C96" w:rsidRDefault="00B86C96" w:rsidP="00374E2E">
            <w:pPr>
              <w:numPr>
                <w:ilvl w:val="0"/>
                <w:numId w:val="65"/>
              </w:numPr>
              <w:spacing w:after="0" w:line="240" w:lineRule="auto"/>
              <w:rPr>
                <w:sz w:val="20"/>
                <w:szCs w:val="20"/>
              </w:rPr>
            </w:pPr>
            <w:r w:rsidRPr="00B86C96">
              <w:rPr>
                <w:sz w:val="20"/>
                <w:szCs w:val="20"/>
              </w:rPr>
              <w:t>James Cook University </w:t>
            </w:r>
          </w:p>
          <w:p w14:paraId="53FD3926" w14:textId="77777777" w:rsidR="00B86C96" w:rsidRPr="00B86C96" w:rsidRDefault="00B86C96" w:rsidP="00374E2E">
            <w:pPr>
              <w:numPr>
                <w:ilvl w:val="0"/>
                <w:numId w:val="66"/>
              </w:numPr>
              <w:spacing w:after="0" w:line="240" w:lineRule="auto"/>
              <w:rPr>
                <w:sz w:val="20"/>
                <w:szCs w:val="20"/>
              </w:rPr>
            </w:pPr>
            <w:r w:rsidRPr="00B86C96">
              <w:rPr>
                <w:sz w:val="20"/>
                <w:szCs w:val="20"/>
              </w:rPr>
              <w:t>Queensland University of Technology </w:t>
            </w:r>
          </w:p>
          <w:p w14:paraId="348643CB" w14:textId="77777777" w:rsidR="00B86C96" w:rsidRPr="00B86C96" w:rsidRDefault="00B86C96" w:rsidP="00374E2E">
            <w:pPr>
              <w:numPr>
                <w:ilvl w:val="0"/>
                <w:numId w:val="67"/>
              </w:numPr>
              <w:spacing w:after="0" w:line="240" w:lineRule="auto"/>
              <w:rPr>
                <w:sz w:val="20"/>
                <w:szCs w:val="20"/>
              </w:rPr>
            </w:pPr>
            <w:r w:rsidRPr="00B86C96">
              <w:rPr>
                <w:sz w:val="20"/>
                <w:szCs w:val="20"/>
              </w:rPr>
              <w:t>RMIT University </w:t>
            </w:r>
          </w:p>
          <w:p w14:paraId="1DE3862F" w14:textId="77777777" w:rsidR="00B86C96" w:rsidRPr="00B86C96" w:rsidRDefault="00B86C96" w:rsidP="00374E2E">
            <w:pPr>
              <w:numPr>
                <w:ilvl w:val="0"/>
                <w:numId w:val="68"/>
              </w:numPr>
              <w:spacing w:after="0" w:line="240" w:lineRule="auto"/>
              <w:rPr>
                <w:sz w:val="20"/>
                <w:szCs w:val="20"/>
              </w:rPr>
            </w:pPr>
            <w:r w:rsidRPr="00B86C96">
              <w:rPr>
                <w:sz w:val="20"/>
                <w:szCs w:val="20"/>
              </w:rPr>
              <w:t>Universities of Adelaide &amp; South Australia (joint submission) </w:t>
            </w:r>
          </w:p>
          <w:p w14:paraId="3C9F7ED5" w14:textId="77777777" w:rsidR="00B86C96" w:rsidRPr="00B86C96" w:rsidRDefault="00B86C96" w:rsidP="00374E2E">
            <w:pPr>
              <w:numPr>
                <w:ilvl w:val="0"/>
                <w:numId w:val="69"/>
              </w:numPr>
              <w:spacing w:after="0" w:line="240" w:lineRule="auto"/>
              <w:rPr>
                <w:sz w:val="20"/>
                <w:szCs w:val="20"/>
              </w:rPr>
            </w:pPr>
            <w:r w:rsidRPr="00B86C96">
              <w:rPr>
                <w:sz w:val="20"/>
                <w:szCs w:val="20"/>
              </w:rPr>
              <w:t>Newcastle University </w:t>
            </w:r>
          </w:p>
          <w:p w14:paraId="4DD18F57" w14:textId="77777777" w:rsidR="00B86C96" w:rsidRPr="00B86C96" w:rsidRDefault="00B86C96" w:rsidP="00374E2E">
            <w:pPr>
              <w:numPr>
                <w:ilvl w:val="0"/>
                <w:numId w:val="70"/>
              </w:numPr>
              <w:spacing w:after="0" w:line="240" w:lineRule="auto"/>
              <w:rPr>
                <w:sz w:val="20"/>
                <w:szCs w:val="20"/>
              </w:rPr>
            </w:pPr>
            <w:r w:rsidRPr="00B86C96">
              <w:rPr>
                <w:sz w:val="20"/>
                <w:szCs w:val="20"/>
              </w:rPr>
              <w:t>University of NSW </w:t>
            </w:r>
          </w:p>
          <w:p w14:paraId="7B74CDE6" w14:textId="77777777" w:rsidR="00B86C96" w:rsidRPr="00B86C96" w:rsidRDefault="00B86C96" w:rsidP="00374E2E">
            <w:pPr>
              <w:numPr>
                <w:ilvl w:val="0"/>
                <w:numId w:val="71"/>
              </w:numPr>
              <w:spacing w:after="0" w:line="240" w:lineRule="auto"/>
              <w:rPr>
                <w:sz w:val="20"/>
                <w:szCs w:val="20"/>
              </w:rPr>
            </w:pPr>
            <w:r w:rsidRPr="00B86C96">
              <w:rPr>
                <w:sz w:val="20"/>
                <w:szCs w:val="20"/>
              </w:rPr>
              <w:t>University of QLD </w:t>
            </w:r>
          </w:p>
          <w:p w14:paraId="4B0BF3D4" w14:textId="77777777" w:rsidR="00B86C96" w:rsidRPr="00B86C96" w:rsidRDefault="00B86C96" w:rsidP="00374E2E">
            <w:pPr>
              <w:numPr>
                <w:ilvl w:val="0"/>
                <w:numId w:val="72"/>
              </w:numPr>
              <w:spacing w:after="0" w:line="240" w:lineRule="auto"/>
              <w:rPr>
                <w:sz w:val="20"/>
                <w:szCs w:val="20"/>
              </w:rPr>
            </w:pPr>
            <w:r w:rsidRPr="00B86C96">
              <w:rPr>
                <w:sz w:val="20"/>
                <w:szCs w:val="20"/>
              </w:rPr>
              <w:t>University of Sunshine Coast </w:t>
            </w:r>
          </w:p>
          <w:p w14:paraId="2495EED9" w14:textId="77777777" w:rsidR="00B86C96" w:rsidRPr="00B86C96" w:rsidRDefault="00B86C96" w:rsidP="00374E2E">
            <w:pPr>
              <w:numPr>
                <w:ilvl w:val="0"/>
                <w:numId w:val="73"/>
              </w:numPr>
              <w:spacing w:after="0" w:line="240" w:lineRule="auto"/>
              <w:rPr>
                <w:sz w:val="20"/>
                <w:szCs w:val="20"/>
              </w:rPr>
            </w:pPr>
            <w:r w:rsidRPr="00B86C96">
              <w:rPr>
                <w:sz w:val="20"/>
                <w:szCs w:val="20"/>
              </w:rPr>
              <w:t>University of Sydney </w:t>
            </w:r>
          </w:p>
          <w:p w14:paraId="26F8C4B7" w14:textId="77777777" w:rsidR="00B86C96" w:rsidRPr="00B86C96" w:rsidRDefault="00B86C96" w:rsidP="00374E2E">
            <w:pPr>
              <w:numPr>
                <w:ilvl w:val="0"/>
                <w:numId w:val="74"/>
              </w:numPr>
              <w:spacing w:after="0" w:line="240" w:lineRule="auto"/>
              <w:rPr>
                <w:sz w:val="20"/>
                <w:szCs w:val="20"/>
              </w:rPr>
            </w:pPr>
            <w:r w:rsidRPr="00B86C96">
              <w:rPr>
                <w:sz w:val="20"/>
                <w:szCs w:val="20"/>
              </w:rPr>
              <w:t>University of Tasmania </w:t>
            </w:r>
          </w:p>
          <w:p w14:paraId="309F57B4" w14:textId="77777777" w:rsidR="00B86C96" w:rsidRPr="00B86C96" w:rsidRDefault="00B86C96" w:rsidP="00374E2E">
            <w:pPr>
              <w:numPr>
                <w:ilvl w:val="0"/>
                <w:numId w:val="75"/>
              </w:numPr>
              <w:spacing w:after="0" w:line="240" w:lineRule="auto"/>
              <w:rPr>
                <w:sz w:val="20"/>
                <w:szCs w:val="20"/>
              </w:rPr>
            </w:pPr>
            <w:r w:rsidRPr="00B86C96">
              <w:rPr>
                <w:sz w:val="20"/>
                <w:szCs w:val="20"/>
              </w:rPr>
              <w:t>University of Technology Sydney </w:t>
            </w:r>
          </w:p>
          <w:p w14:paraId="6BF46935" w14:textId="77777777" w:rsidR="00B86C96" w:rsidRPr="00B86C96" w:rsidRDefault="00B86C96" w:rsidP="00374E2E">
            <w:pPr>
              <w:numPr>
                <w:ilvl w:val="0"/>
                <w:numId w:val="76"/>
              </w:numPr>
              <w:spacing w:after="0" w:line="240" w:lineRule="auto"/>
              <w:rPr>
                <w:sz w:val="20"/>
                <w:szCs w:val="20"/>
              </w:rPr>
            </w:pPr>
            <w:r w:rsidRPr="00B86C96">
              <w:rPr>
                <w:sz w:val="20"/>
                <w:szCs w:val="20"/>
              </w:rPr>
              <w:t>Victoria University </w:t>
            </w:r>
          </w:p>
          <w:p w14:paraId="1A7507C6" w14:textId="77777777" w:rsidR="00B86C96" w:rsidRPr="00B86C96" w:rsidRDefault="00B86C96" w:rsidP="00374E2E">
            <w:pPr>
              <w:numPr>
                <w:ilvl w:val="0"/>
                <w:numId w:val="77"/>
              </w:numPr>
              <w:spacing w:after="0" w:line="240" w:lineRule="auto"/>
              <w:rPr>
                <w:sz w:val="20"/>
                <w:szCs w:val="20"/>
              </w:rPr>
            </w:pPr>
            <w:r w:rsidRPr="00B86C96">
              <w:rPr>
                <w:sz w:val="20"/>
                <w:szCs w:val="20"/>
              </w:rPr>
              <w:t>Anonymous (x7)  </w:t>
            </w:r>
          </w:p>
        </w:tc>
      </w:tr>
      <w:tr w:rsidR="00B86C96" w:rsidRPr="00B86C96" w14:paraId="1E7B1C6D" w14:textId="77777777">
        <w:trPr>
          <w:trHeight w:val="300"/>
        </w:trPr>
        <w:tc>
          <w:tcPr>
            <w:tcW w:w="1980" w:type="dxa"/>
            <w:tcBorders>
              <w:top w:val="single" w:sz="6" w:space="0" w:color="7F7F7F"/>
              <w:left w:val="nil"/>
              <w:bottom w:val="single" w:sz="6" w:space="0" w:color="7F7F7F"/>
              <w:right w:val="nil"/>
            </w:tcBorders>
            <w:hideMark/>
          </w:tcPr>
          <w:p w14:paraId="29BC5D0A" w14:textId="77777777" w:rsidR="00B86C96" w:rsidRPr="00B86C96" w:rsidRDefault="00B86C96" w:rsidP="00C93B3E">
            <w:pPr>
              <w:spacing w:after="0" w:line="240" w:lineRule="auto"/>
              <w:rPr>
                <w:b/>
                <w:bCs/>
                <w:sz w:val="20"/>
                <w:szCs w:val="20"/>
              </w:rPr>
            </w:pPr>
            <w:r w:rsidRPr="00B86C96">
              <w:rPr>
                <w:b/>
                <w:bCs/>
                <w:sz w:val="20"/>
                <w:szCs w:val="20"/>
              </w:rPr>
              <w:lastRenderedPageBreak/>
              <w:t>Higher education bodies </w:t>
            </w:r>
          </w:p>
          <w:p w14:paraId="3A4A1609" w14:textId="77777777" w:rsidR="00B86C96" w:rsidRPr="00B86C96" w:rsidRDefault="00B86C96" w:rsidP="00C93B3E">
            <w:pPr>
              <w:spacing w:after="0" w:line="240" w:lineRule="auto"/>
              <w:rPr>
                <w:b/>
                <w:bCs/>
                <w:sz w:val="20"/>
                <w:szCs w:val="20"/>
              </w:rPr>
            </w:pPr>
            <w:r w:rsidRPr="00B86C96">
              <w:rPr>
                <w:i/>
                <w:iCs/>
                <w:sz w:val="20"/>
                <w:szCs w:val="20"/>
              </w:rPr>
              <w:t>4 submissions</w:t>
            </w:r>
            <w:r w:rsidRPr="00B86C96">
              <w:rPr>
                <w:b/>
                <w:bCs/>
                <w:sz w:val="20"/>
                <w:szCs w:val="20"/>
              </w:rPr>
              <w:t> </w:t>
            </w:r>
          </w:p>
          <w:p w14:paraId="473C2319" w14:textId="77777777" w:rsidR="00B86C96" w:rsidRPr="00B86C96" w:rsidRDefault="00B86C96" w:rsidP="00C93B3E">
            <w:pPr>
              <w:spacing w:after="0" w:line="240" w:lineRule="auto"/>
              <w:rPr>
                <w:b/>
                <w:bCs/>
                <w:sz w:val="20"/>
                <w:szCs w:val="20"/>
              </w:rPr>
            </w:pPr>
            <w:r w:rsidRPr="00B86C96">
              <w:rPr>
                <w:b/>
                <w:bCs/>
                <w:sz w:val="20"/>
                <w:szCs w:val="20"/>
              </w:rPr>
              <w:t> </w:t>
            </w:r>
          </w:p>
        </w:tc>
        <w:tc>
          <w:tcPr>
            <w:tcW w:w="7020" w:type="dxa"/>
            <w:tcBorders>
              <w:top w:val="single" w:sz="6" w:space="0" w:color="7F7F7F"/>
              <w:left w:val="nil"/>
              <w:bottom w:val="single" w:sz="6" w:space="0" w:color="7F7F7F"/>
              <w:right w:val="nil"/>
            </w:tcBorders>
            <w:hideMark/>
          </w:tcPr>
          <w:p w14:paraId="691B4907" w14:textId="77777777" w:rsidR="00B86C96" w:rsidRPr="00B86C96" w:rsidRDefault="00B86C96" w:rsidP="00374E2E">
            <w:pPr>
              <w:numPr>
                <w:ilvl w:val="0"/>
                <w:numId w:val="78"/>
              </w:numPr>
              <w:spacing w:after="0" w:line="240" w:lineRule="auto"/>
              <w:rPr>
                <w:sz w:val="20"/>
                <w:szCs w:val="20"/>
              </w:rPr>
            </w:pPr>
            <w:r w:rsidRPr="00B86C96">
              <w:rPr>
                <w:sz w:val="20"/>
                <w:szCs w:val="20"/>
              </w:rPr>
              <w:t>Universities Australia </w:t>
            </w:r>
          </w:p>
          <w:p w14:paraId="56CD6E4E" w14:textId="77777777" w:rsidR="00B86C96" w:rsidRPr="00B86C96" w:rsidRDefault="00B86C96" w:rsidP="00374E2E">
            <w:pPr>
              <w:numPr>
                <w:ilvl w:val="0"/>
                <w:numId w:val="79"/>
              </w:numPr>
              <w:spacing w:after="0" w:line="240" w:lineRule="auto"/>
              <w:rPr>
                <w:sz w:val="20"/>
                <w:szCs w:val="20"/>
              </w:rPr>
            </w:pPr>
            <w:r w:rsidRPr="00B86C96">
              <w:rPr>
                <w:sz w:val="20"/>
                <w:szCs w:val="20"/>
              </w:rPr>
              <w:t>IHEA </w:t>
            </w:r>
          </w:p>
          <w:p w14:paraId="220D7B3B" w14:textId="77777777" w:rsidR="00B86C96" w:rsidRPr="00B86C96" w:rsidRDefault="00B86C96" w:rsidP="00374E2E">
            <w:pPr>
              <w:numPr>
                <w:ilvl w:val="0"/>
                <w:numId w:val="80"/>
              </w:numPr>
              <w:spacing w:after="0" w:line="240" w:lineRule="auto"/>
              <w:rPr>
                <w:sz w:val="20"/>
                <w:szCs w:val="20"/>
              </w:rPr>
            </w:pPr>
            <w:r w:rsidRPr="00B86C96">
              <w:rPr>
                <w:sz w:val="20"/>
                <w:szCs w:val="20"/>
              </w:rPr>
              <w:t>ATN </w:t>
            </w:r>
          </w:p>
          <w:p w14:paraId="7A3D588D" w14:textId="77777777" w:rsidR="00B86C96" w:rsidRPr="00B86C96" w:rsidRDefault="00B86C96" w:rsidP="00374E2E">
            <w:pPr>
              <w:numPr>
                <w:ilvl w:val="0"/>
                <w:numId w:val="81"/>
              </w:numPr>
              <w:spacing w:after="0" w:line="240" w:lineRule="auto"/>
              <w:rPr>
                <w:sz w:val="20"/>
                <w:szCs w:val="20"/>
              </w:rPr>
            </w:pPr>
            <w:r w:rsidRPr="00B86C96">
              <w:rPr>
                <w:sz w:val="20"/>
                <w:szCs w:val="20"/>
              </w:rPr>
              <w:t>Australian Christian Higher Ed Alliance </w:t>
            </w:r>
          </w:p>
        </w:tc>
      </w:tr>
      <w:tr w:rsidR="00B86C96" w:rsidRPr="00B86C96" w14:paraId="4877AA5E" w14:textId="77777777">
        <w:trPr>
          <w:trHeight w:val="300"/>
        </w:trPr>
        <w:tc>
          <w:tcPr>
            <w:tcW w:w="1980" w:type="dxa"/>
            <w:tcBorders>
              <w:top w:val="nil"/>
              <w:left w:val="nil"/>
              <w:bottom w:val="nil"/>
              <w:right w:val="nil"/>
            </w:tcBorders>
            <w:hideMark/>
          </w:tcPr>
          <w:p w14:paraId="73FE372B" w14:textId="77777777" w:rsidR="00B86C96" w:rsidRPr="00B86C96" w:rsidRDefault="00B86C96" w:rsidP="00C93B3E">
            <w:pPr>
              <w:spacing w:after="0" w:line="240" w:lineRule="auto"/>
              <w:rPr>
                <w:b/>
                <w:bCs/>
                <w:sz w:val="20"/>
                <w:szCs w:val="20"/>
              </w:rPr>
            </w:pPr>
            <w:r w:rsidRPr="00B86C96">
              <w:rPr>
                <w:b/>
                <w:bCs/>
                <w:sz w:val="20"/>
                <w:szCs w:val="20"/>
              </w:rPr>
              <w:t>Student accommodation providers and groups </w:t>
            </w:r>
          </w:p>
          <w:p w14:paraId="7A9767F3" w14:textId="77777777" w:rsidR="00B86C96" w:rsidRPr="00B86C96" w:rsidRDefault="00B86C96" w:rsidP="00C93B3E">
            <w:pPr>
              <w:spacing w:after="0" w:line="240" w:lineRule="auto"/>
              <w:rPr>
                <w:b/>
                <w:bCs/>
                <w:sz w:val="20"/>
                <w:szCs w:val="20"/>
              </w:rPr>
            </w:pPr>
            <w:r w:rsidRPr="00B86C96">
              <w:rPr>
                <w:i/>
                <w:iCs/>
                <w:sz w:val="20"/>
                <w:szCs w:val="20"/>
              </w:rPr>
              <w:t>4 submissions</w:t>
            </w:r>
            <w:r w:rsidRPr="00B86C96">
              <w:rPr>
                <w:b/>
                <w:bCs/>
                <w:sz w:val="20"/>
                <w:szCs w:val="20"/>
              </w:rPr>
              <w:t> </w:t>
            </w:r>
          </w:p>
        </w:tc>
        <w:tc>
          <w:tcPr>
            <w:tcW w:w="7020" w:type="dxa"/>
            <w:tcBorders>
              <w:top w:val="nil"/>
              <w:left w:val="nil"/>
              <w:bottom w:val="nil"/>
              <w:right w:val="nil"/>
            </w:tcBorders>
            <w:hideMark/>
          </w:tcPr>
          <w:p w14:paraId="1D7BD4E2" w14:textId="77777777" w:rsidR="00B86C96" w:rsidRPr="00B86C96" w:rsidRDefault="00B86C96" w:rsidP="00374E2E">
            <w:pPr>
              <w:numPr>
                <w:ilvl w:val="0"/>
                <w:numId w:val="82"/>
              </w:numPr>
              <w:spacing w:after="0" w:line="240" w:lineRule="auto"/>
              <w:rPr>
                <w:sz w:val="20"/>
                <w:szCs w:val="20"/>
              </w:rPr>
            </w:pPr>
            <w:r w:rsidRPr="00B86C96">
              <w:rPr>
                <w:sz w:val="20"/>
                <w:szCs w:val="20"/>
              </w:rPr>
              <w:t>Student Accommodation Assoc </w:t>
            </w:r>
          </w:p>
          <w:p w14:paraId="32A2A277" w14:textId="77777777" w:rsidR="00B86C96" w:rsidRPr="00B86C96" w:rsidRDefault="00B86C96" w:rsidP="00374E2E">
            <w:pPr>
              <w:numPr>
                <w:ilvl w:val="0"/>
                <w:numId w:val="83"/>
              </w:numPr>
              <w:spacing w:after="0" w:line="240" w:lineRule="auto"/>
              <w:rPr>
                <w:sz w:val="20"/>
                <w:szCs w:val="20"/>
              </w:rPr>
            </w:pPr>
            <w:r w:rsidRPr="00B86C96">
              <w:rPr>
                <w:sz w:val="20"/>
                <w:szCs w:val="20"/>
              </w:rPr>
              <w:t>Affiliated Colleges at the University of Melbourne </w:t>
            </w:r>
          </w:p>
          <w:p w14:paraId="243F8A32" w14:textId="77777777" w:rsidR="00B86C96" w:rsidRPr="00B86C96" w:rsidRDefault="00B86C96" w:rsidP="00374E2E">
            <w:pPr>
              <w:numPr>
                <w:ilvl w:val="0"/>
                <w:numId w:val="84"/>
              </w:numPr>
              <w:spacing w:after="0" w:line="240" w:lineRule="auto"/>
              <w:rPr>
                <w:sz w:val="20"/>
                <w:szCs w:val="20"/>
              </w:rPr>
            </w:pPr>
            <w:r w:rsidRPr="00B86C96">
              <w:rPr>
                <w:sz w:val="20"/>
                <w:szCs w:val="20"/>
              </w:rPr>
              <w:t>St Mark’s College </w:t>
            </w:r>
          </w:p>
          <w:p w14:paraId="34A56746" w14:textId="77777777" w:rsidR="00B86C96" w:rsidRPr="00B86C96" w:rsidRDefault="00B86C96" w:rsidP="00374E2E">
            <w:pPr>
              <w:numPr>
                <w:ilvl w:val="0"/>
                <w:numId w:val="85"/>
              </w:numPr>
              <w:spacing w:after="0" w:line="240" w:lineRule="auto"/>
              <w:rPr>
                <w:sz w:val="20"/>
                <w:szCs w:val="20"/>
              </w:rPr>
            </w:pPr>
            <w:r w:rsidRPr="00B86C96">
              <w:rPr>
                <w:sz w:val="20"/>
                <w:szCs w:val="20"/>
              </w:rPr>
              <w:t>Trinity College </w:t>
            </w:r>
          </w:p>
        </w:tc>
      </w:tr>
      <w:tr w:rsidR="00B86C96" w:rsidRPr="00B86C96" w14:paraId="19F74D53" w14:textId="77777777">
        <w:trPr>
          <w:trHeight w:val="300"/>
        </w:trPr>
        <w:tc>
          <w:tcPr>
            <w:tcW w:w="1980" w:type="dxa"/>
            <w:tcBorders>
              <w:top w:val="single" w:sz="6" w:space="0" w:color="7F7F7F"/>
              <w:left w:val="nil"/>
              <w:bottom w:val="single" w:sz="6" w:space="0" w:color="7F7F7F"/>
              <w:right w:val="nil"/>
            </w:tcBorders>
            <w:hideMark/>
          </w:tcPr>
          <w:p w14:paraId="31CFABFF" w14:textId="77777777" w:rsidR="00B86C96" w:rsidRPr="00B86C96" w:rsidRDefault="00B86C96" w:rsidP="00C93B3E">
            <w:pPr>
              <w:spacing w:after="0" w:line="240" w:lineRule="auto"/>
              <w:rPr>
                <w:b/>
                <w:bCs/>
                <w:sz w:val="20"/>
                <w:szCs w:val="20"/>
              </w:rPr>
            </w:pPr>
            <w:r w:rsidRPr="00B86C96">
              <w:rPr>
                <w:b/>
                <w:bCs/>
                <w:sz w:val="20"/>
                <w:szCs w:val="20"/>
              </w:rPr>
              <w:t>Staff </w:t>
            </w:r>
          </w:p>
          <w:p w14:paraId="070612EF" w14:textId="77777777" w:rsidR="00B86C96" w:rsidRPr="00B86C96" w:rsidRDefault="00B86C96" w:rsidP="00C93B3E">
            <w:pPr>
              <w:spacing w:after="0" w:line="240" w:lineRule="auto"/>
              <w:rPr>
                <w:b/>
                <w:bCs/>
                <w:sz w:val="20"/>
                <w:szCs w:val="20"/>
              </w:rPr>
            </w:pPr>
            <w:r w:rsidRPr="00B86C96">
              <w:rPr>
                <w:i/>
                <w:iCs/>
                <w:sz w:val="20"/>
                <w:szCs w:val="20"/>
              </w:rPr>
              <w:t>1 submission</w:t>
            </w:r>
            <w:r w:rsidRPr="00B86C96">
              <w:rPr>
                <w:b/>
                <w:bCs/>
                <w:sz w:val="20"/>
                <w:szCs w:val="20"/>
              </w:rPr>
              <w:t> </w:t>
            </w:r>
          </w:p>
        </w:tc>
        <w:tc>
          <w:tcPr>
            <w:tcW w:w="7020" w:type="dxa"/>
            <w:tcBorders>
              <w:top w:val="single" w:sz="6" w:space="0" w:color="7F7F7F"/>
              <w:left w:val="nil"/>
              <w:bottom w:val="single" w:sz="6" w:space="0" w:color="7F7F7F"/>
              <w:right w:val="nil"/>
            </w:tcBorders>
            <w:hideMark/>
          </w:tcPr>
          <w:p w14:paraId="0F10FE45" w14:textId="77777777" w:rsidR="00B86C96" w:rsidRPr="00B86C96" w:rsidRDefault="00B86C96" w:rsidP="00374E2E">
            <w:pPr>
              <w:numPr>
                <w:ilvl w:val="0"/>
                <w:numId w:val="86"/>
              </w:numPr>
              <w:spacing w:after="0" w:line="240" w:lineRule="auto"/>
              <w:rPr>
                <w:sz w:val="20"/>
                <w:szCs w:val="20"/>
              </w:rPr>
            </w:pPr>
            <w:r w:rsidRPr="00B86C96">
              <w:rPr>
                <w:sz w:val="20"/>
                <w:szCs w:val="20"/>
              </w:rPr>
              <w:t>NTEU </w:t>
            </w:r>
          </w:p>
        </w:tc>
      </w:tr>
      <w:tr w:rsidR="00B86C96" w:rsidRPr="00B86C96" w14:paraId="66C45CB6" w14:textId="77777777">
        <w:trPr>
          <w:trHeight w:val="300"/>
        </w:trPr>
        <w:tc>
          <w:tcPr>
            <w:tcW w:w="1980" w:type="dxa"/>
            <w:tcBorders>
              <w:top w:val="nil"/>
              <w:left w:val="nil"/>
              <w:bottom w:val="nil"/>
              <w:right w:val="nil"/>
            </w:tcBorders>
            <w:hideMark/>
          </w:tcPr>
          <w:p w14:paraId="3F5E1BBB" w14:textId="77777777" w:rsidR="00B86C96" w:rsidRPr="00B86C96" w:rsidRDefault="00B86C96" w:rsidP="00C93B3E">
            <w:pPr>
              <w:spacing w:after="0" w:line="240" w:lineRule="auto"/>
              <w:rPr>
                <w:b/>
                <w:bCs/>
                <w:sz w:val="20"/>
                <w:szCs w:val="20"/>
              </w:rPr>
            </w:pPr>
            <w:r w:rsidRPr="00B86C96">
              <w:rPr>
                <w:b/>
                <w:bCs/>
                <w:sz w:val="20"/>
                <w:szCs w:val="20"/>
              </w:rPr>
              <w:t>Government </w:t>
            </w:r>
          </w:p>
          <w:p w14:paraId="185A9FB7" w14:textId="77777777" w:rsidR="00B86C96" w:rsidRPr="00B86C96" w:rsidRDefault="00B86C96" w:rsidP="00C93B3E">
            <w:pPr>
              <w:spacing w:after="0" w:line="240" w:lineRule="auto"/>
              <w:rPr>
                <w:b/>
                <w:bCs/>
                <w:sz w:val="20"/>
                <w:szCs w:val="20"/>
              </w:rPr>
            </w:pPr>
            <w:r w:rsidRPr="00B86C96">
              <w:rPr>
                <w:i/>
                <w:iCs/>
                <w:sz w:val="20"/>
                <w:szCs w:val="20"/>
              </w:rPr>
              <w:t>2 submissions</w:t>
            </w:r>
            <w:r w:rsidRPr="00B86C96">
              <w:rPr>
                <w:b/>
                <w:bCs/>
                <w:sz w:val="20"/>
                <w:szCs w:val="20"/>
              </w:rPr>
              <w:t> </w:t>
            </w:r>
          </w:p>
        </w:tc>
        <w:tc>
          <w:tcPr>
            <w:tcW w:w="7020" w:type="dxa"/>
            <w:tcBorders>
              <w:top w:val="nil"/>
              <w:left w:val="nil"/>
              <w:bottom w:val="nil"/>
              <w:right w:val="nil"/>
            </w:tcBorders>
            <w:hideMark/>
          </w:tcPr>
          <w:p w14:paraId="67ADED98" w14:textId="77777777" w:rsidR="00B86C96" w:rsidRPr="00B86C96" w:rsidRDefault="00B86C96" w:rsidP="00374E2E">
            <w:pPr>
              <w:numPr>
                <w:ilvl w:val="0"/>
                <w:numId w:val="87"/>
              </w:numPr>
              <w:spacing w:after="0" w:line="240" w:lineRule="auto"/>
              <w:rPr>
                <w:sz w:val="20"/>
                <w:szCs w:val="20"/>
              </w:rPr>
            </w:pPr>
            <w:r w:rsidRPr="00B86C96">
              <w:rPr>
                <w:sz w:val="20"/>
                <w:szCs w:val="20"/>
              </w:rPr>
              <w:t>Australian Human Rights Commission </w:t>
            </w:r>
          </w:p>
          <w:p w14:paraId="1680D050" w14:textId="77777777" w:rsidR="00B86C96" w:rsidRPr="00B86C96" w:rsidRDefault="00B86C96" w:rsidP="00374E2E">
            <w:pPr>
              <w:numPr>
                <w:ilvl w:val="0"/>
                <w:numId w:val="88"/>
              </w:numPr>
              <w:spacing w:after="0" w:line="240" w:lineRule="auto"/>
              <w:rPr>
                <w:sz w:val="20"/>
                <w:szCs w:val="20"/>
              </w:rPr>
            </w:pPr>
            <w:r w:rsidRPr="00B86C96">
              <w:rPr>
                <w:sz w:val="20"/>
                <w:szCs w:val="20"/>
              </w:rPr>
              <w:t>eSafety Commissioner </w:t>
            </w:r>
          </w:p>
        </w:tc>
      </w:tr>
      <w:tr w:rsidR="00B86C96" w:rsidRPr="00B86C96" w14:paraId="6F99AFF2" w14:textId="77777777">
        <w:trPr>
          <w:trHeight w:val="300"/>
        </w:trPr>
        <w:tc>
          <w:tcPr>
            <w:tcW w:w="1980" w:type="dxa"/>
            <w:tcBorders>
              <w:top w:val="single" w:sz="6" w:space="0" w:color="7F7F7F"/>
              <w:left w:val="nil"/>
              <w:bottom w:val="single" w:sz="6" w:space="0" w:color="7F7F7F"/>
              <w:right w:val="nil"/>
            </w:tcBorders>
            <w:hideMark/>
          </w:tcPr>
          <w:p w14:paraId="16258F2E" w14:textId="77777777" w:rsidR="00B86C96" w:rsidRPr="00B86C96" w:rsidRDefault="00B86C96" w:rsidP="00C93B3E">
            <w:pPr>
              <w:spacing w:after="0" w:line="240" w:lineRule="auto"/>
              <w:rPr>
                <w:b/>
                <w:bCs/>
                <w:sz w:val="20"/>
                <w:szCs w:val="20"/>
              </w:rPr>
            </w:pPr>
            <w:r w:rsidRPr="00B86C96">
              <w:rPr>
                <w:b/>
                <w:bCs/>
                <w:sz w:val="20"/>
                <w:szCs w:val="20"/>
              </w:rPr>
              <w:t>Other </w:t>
            </w:r>
          </w:p>
          <w:p w14:paraId="39F2A21E" w14:textId="77777777" w:rsidR="00B86C96" w:rsidRPr="00B86C96" w:rsidRDefault="00B86C96" w:rsidP="00C93B3E">
            <w:pPr>
              <w:spacing w:after="0" w:line="240" w:lineRule="auto"/>
              <w:rPr>
                <w:b/>
                <w:bCs/>
                <w:sz w:val="20"/>
                <w:szCs w:val="20"/>
              </w:rPr>
            </w:pPr>
            <w:r w:rsidRPr="00B86C96">
              <w:rPr>
                <w:i/>
                <w:iCs/>
                <w:sz w:val="20"/>
                <w:szCs w:val="20"/>
              </w:rPr>
              <w:t>5 submissions</w:t>
            </w:r>
            <w:r w:rsidRPr="00B86C96">
              <w:rPr>
                <w:b/>
                <w:bCs/>
                <w:sz w:val="20"/>
                <w:szCs w:val="20"/>
              </w:rPr>
              <w:t> </w:t>
            </w:r>
          </w:p>
        </w:tc>
        <w:tc>
          <w:tcPr>
            <w:tcW w:w="7020" w:type="dxa"/>
            <w:tcBorders>
              <w:top w:val="single" w:sz="6" w:space="0" w:color="7F7F7F"/>
              <w:left w:val="nil"/>
              <w:bottom w:val="single" w:sz="6" w:space="0" w:color="7F7F7F"/>
              <w:right w:val="nil"/>
            </w:tcBorders>
            <w:hideMark/>
          </w:tcPr>
          <w:p w14:paraId="2C421A8A" w14:textId="77777777" w:rsidR="00B86C96" w:rsidRPr="00B86C96" w:rsidRDefault="00B86C96" w:rsidP="00374E2E">
            <w:pPr>
              <w:numPr>
                <w:ilvl w:val="0"/>
                <w:numId w:val="89"/>
              </w:numPr>
              <w:spacing w:after="0" w:line="240" w:lineRule="auto"/>
              <w:rPr>
                <w:sz w:val="20"/>
                <w:szCs w:val="20"/>
              </w:rPr>
            </w:pPr>
            <w:r w:rsidRPr="00B86C96">
              <w:rPr>
                <w:sz w:val="20"/>
                <w:szCs w:val="20"/>
              </w:rPr>
              <w:t>Elevate Consulting Partners  </w:t>
            </w:r>
          </w:p>
          <w:p w14:paraId="7F00D81A" w14:textId="77777777" w:rsidR="00B86C96" w:rsidRPr="00B86C96" w:rsidRDefault="00B86C96" w:rsidP="00374E2E">
            <w:pPr>
              <w:numPr>
                <w:ilvl w:val="0"/>
                <w:numId w:val="90"/>
              </w:numPr>
              <w:spacing w:after="0" w:line="240" w:lineRule="auto"/>
              <w:rPr>
                <w:sz w:val="20"/>
                <w:szCs w:val="20"/>
              </w:rPr>
            </w:pPr>
            <w:r w:rsidRPr="00B86C96">
              <w:rPr>
                <w:sz w:val="20"/>
                <w:szCs w:val="20"/>
              </w:rPr>
              <w:t>Constant  </w:t>
            </w:r>
          </w:p>
          <w:p w14:paraId="5E6F5195" w14:textId="77777777" w:rsidR="00B86C96" w:rsidRPr="00B86C96" w:rsidRDefault="00B86C96" w:rsidP="00374E2E">
            <w:pPr>
              <w:numPr>
                <w:ilvl w:val="0"/>
                <w:numId w:val="91"/>
              </w:numPr>
              <w:spacing w:after="0" w:line="240" w:lineRule="auto"/>
              <w:rPr>
                <w:sz w:val="20"/>
                <w:szCs w:val="20"/>
              </w:rPr>
            </w:pPr>
            <w:r w:rsidRPr="00B86C96">
              <w:rPr>
                <w:sz w:val="20"/>
                <w:szCs w:val="20"/>
              </w:rPr>
              <w:t>Anonymous (x3) </w:t>
            </w:r>
          </w:p>
        </w:tc>
      </w:tr>
    </w:tbl>
    <w:p w14:paraId="38167DAE" w14:textId="77777777" w:rsidR="000937AE" w:rsidRDefault="000937AE" w:rsidP="00B86C96"/>
    <w:p w14:paraId="0FA39A7F" w14:textId="7BD03091" w:rsidR="00C93B3E" w:rsidRDefault="00C93B3E" w:rsidP="00C93B3E">
      <w:pPr>
        <w:pStyle w:val="Heading2"/>
      </w:pPr>
      <w:bookmarkStart w:id="200" w:name="_Toc204699895"/>
      <w:bookmarkStart w:id="201" w:name="_Toc210050248"/>
      <w:r>
        <w:t>Targeted consultation</w:t>
      </w:r>
      <w:bookmarkEnd w:id="200"/>
      <w:bookmarkEnd w:id="201"/>
    </w:p>
    <w:p w14:paraId="3828ACE6" w14:textId="7BD5455D" w:rsidR="00845320" w:rsidRPr="00F45378" w:rsidRDefault="00845320" w:rsidP="00845320">
      <w:pPr>
        <w:rPr>
          <w:szCs w:val="22"/>
        </w:rPr>
      </w:pPr>
      <w:r w:rsidRPr="00F45378">
        <w:rPr>
          <w:szCs w:val="22"/>
        </w:rPr>
        <w:t xml:space="preserve">From May to August 2024, the </w:t>
      </w:r>
      <w:r w:rsidR="00D92CBE">
        <w:rPr>
          <w:szCs w:val="22"/>
        </w:rPr>
        <w:t>d</w:t>
      </w:r>
      <w:r w:rsidRPr="00F45378">
        <w:rPr>
          <w:szCs w:val="22"/>
        </w:rPr>
        <w:t>epartment conducted targeted consultations with key groups, including victim-survivors, students and student bodies, higher education staff, First Nations peoples, people with disability, LGBTQ</w:t>
      </w:r>
      <w:r w:rsidR="009B6642">
        <w:rPr>
          <w:szCs w:val="22"/>
        </w:rPr>
        <w:t>I</w:t>
      </w:r>
      <w:r w:rsidRPr="00F45378">
        <w:rPr>
          <w:szCs w:val="22"/>
        </w:rPr>
        <w:t>A+ individuals, culturally and linguistically diverse communities and higher education providers and accommodation services. Some groups, including students, disability advocates and LGBTQ</w:t>
      </w:r>
      <w:r w:rsidR="009B6642">
        <w:rPr>
          <w:szCs w:val="22"/>
        </w:rPr>
        <w:t>I</w:t>
      </w:r>
      <w:r w:rsidRPr="00F45378">
        <w:rPr>
          <w:szCs w:val="22"/>
        </w:rPr>
        <w:t>A+ participants, were engaged in multiple sessions to allow for more fulsome discussion.</w:t>
      </w:r>
    </w:p>
    <w:p w14:paraId="0B7DD856" w14:textId="3FD30A6E" w:rsidR="00845320" w:rsidRPr="00F45378" w:rsidRDefault="00845320" w:rsidP="00374E2E">
      <w:pPr>
        <w:numPr>
          <w:ilvl w:val="3"/>
          <w:numId w:val="41"/>
        </w:numPr>
        <w:spacing w:after="0"/>
        <w:rPr>
          <w:szCs w:val="22"/>
        </w:rPr>
      </w:pPr>
      <w:r w:rsidRPr="00F45378">
        <w:rPr>
          <w:b/>
          <w:bCs/>
          <w:szCs w:val="22"/>
        </w:rPr>
        <w:t>Intersectionality:</w:t>
      </w:r>
      <w:r w:rsidRPr="00F45378">
        <w:rPr>
          <w:szCs w:val="22"/>
        </w:rPr>
        <w:t xml:space="preserve"> Strong emphasis on addressing the needs of those disproportionately affected by </w:t>
      </w:r>
      <w:r w:rsidR="00B7771B" w:rsidRPr="00F45378">
        <w:rPr>
          <w:szCs w:val="22"/>
        </w:rPr>
        <w:t>GBV</w:t>
      </w:r>
      <w:r w:rsidRPr="00F45378">
        <w:rPr>
          <w:szCs w:val="22"/>
        </w:rPr>
        <w:t>, including First Nations peoples, people with disability and LGBTQ</w:t>
      </w:r>
      <w:r w:rsidR="009B6642">
        <w:rPr>
          <w:szCs w:val="22"/>
        </w:rPr>
        <w:t>I</w:t>
      </w:r>
      <w:r w:rsidRPr="00F45378">
        <w:rPr>
          <w:szCs w:val="22"/>
        </w:rPr>
        <w:t>A+ individuals.</w:t>
      </w:r>
    </w:p>
    <w:p w14:paraId="75E11A7B" w14:textId="77777777" w:rsidR="00845320" w:rsidRPr="00F45378" w:rsidRDefault="00845320" w:rsidP="00374E2E">
      <w:pPr>
        <w:numPr>
          <w:ilvl w:val="3"/>
          <w:numId w:val="41"/>
        </w:numPr>
        <w:spacing w:after="0"/>
        <w:rPr>
          <w:szCs w:val="22"/>
        </w:rPr>
      </w:pPr>
      <w:r w:rsidRPr="00F45378">
        <w:rPr>
          <w:b/>
          <w:bCs/>
          <w:szCs w:val="22"/>
        </w:rPr>
        <w:t>Institutional accountability:</w:t>
      </w:r>
      <w:r w:rsidRPr="00F45378">
        <w:rPr>
          <w:szCs w:val="22"/>
        </w:rPr>
        <w:t xml:space="preserve"> Submissions stressed the need for leadership-level responsibility and comprehensive staff training, particularly for those handling disclosures.</w:t>
      </w:r>
    </w:p>
    <w:p w14:paraId="57C1C636" w14:textId="394FD07B" w:rsidR="00845320" w:rsidRPr="00F45378" w:rsidRDefault="00845320" w:rsidP="00374E2E">
      <w:pPr>
        <w:numPr>
          <w:ilvl w:val="3"/>
          <w:numId w:val="41"/>
        </w:numPr>
        <w:spacing w:after="0"/>
        <w:rPr>
          <w:szCs w:val="22"/>
        </w:rPr>
      </w:pPr>
      <w:r w:rsidRPr="00F45378">
        <w:rPr>
          <w:b/>
          <w:bCs/>
          <w:szCs w:val="22"/>
        </w:rPr>
        <w:t>Trauma-informed approaches:</w:t>
      </w:r>
      <w:r w:rsidRPr="00F45378">
        <w:rPr>
          <w:szCs w:val="22"/>
        </w:rPr>
        <w:t xml:space="preserve"> Contributors advocated for flexibility, </w:t>
      </w:r>
      <w:r w:rsidR="00157F0C" w:rsidRPr="00F45378">
        <w:rPr>
          <w:szCs w:val="22"/>
        </w:rPr>
        <w:t>autonomy,</w:t>
      </w:r>
      <w:r w:rsidRPr="00F45378">
        <w:rPr>
          <w:szCs w:val="22"/>
        </w:rPr>
        <w:t xml:space="preserve"> and dignity in handling disclosures.</w:t>
      </w:r>
    </w:p>
    <w:p w14:paraId="3FDDE441" w14:textId="0A2C56D7" w:rsidR="00845320" w:rsidRPr="00F45378" w:rsidRDefault="00845320" w:rsidP="00374E2E">
      <w:pPr>
        <w:numPr>
          <w:ilvl w:val="3"/>
          <w:numId w:val="41"/>
        </w:numPr>
        <w:spacing w:after="0"/>
        <w:rPr>
          <w:szCs w:val="22"/>
        </w:rPr>
      </w:pPr>
      <w:r w:rsidRPr="00F45378">
        <w:rPr>
          <w:b/>
          <w:bCs/>
          <w:szCs w:val="22"/>
        </w:rPr>
        <w:t>Clarity and accessibility:</w:t>
      </w:r>
      <w:r w:rsidRPr="00F45378">
        <w:rPr>
          <w:szCs w:val="22"/>
        </w:rPr>
        <w:t xml:space="preserve"> Feedback called for plain-language policies, clear </w:t>
      </w:r>
      <w:r w:rsidR="00157F0C" w:rsidRPr="00F45378">
        <w:rPr>
          <w:szCs w:val="22"/>
        </w:rPr>
        <w:t>timelines,</w:t>
      </w:r>
      <w:r w:rsidRPr="00F45378">
        <w:rPr>
          <w:szCs w:val="22"/>
        </w:rPr>
        <w:t xml:space="preserve"> and prominent publication of relevant procedures.</w:t>
      </w:r>
    </w:p>
    <w:p w14:paraId="3E8A54E6" w14:textId="0F16CAB3" w:rsidR="00845320" w:rsidRPr="00F45378" w:rsidRDefault="00845320" w:rsidP="00374E2E">
      <w:pPr>
        <w:numPr>
          <w:ilvl w:val="3"/>
          <w:numId w:val="41"/>
        </w:numPr>
        <w:spacing w:after="0"/>
        <w:rPr>
          <w:szCs w:val="22"/>
        </w:rPr>
      </w:pPr>
      <w:r w:rsidRPr="00F45378">
        <w:rPr>
          <w:b/>
          <w:bCs/>
          <w:szCs w:val="22"/>
        </w:rPr>
        <w:t>Student accommodation:</w:t>
      </w:r>
      <w:r w:rsidRPr="00F45378">
        <w:rPr>
          <w:szCs w:val="22"/>
        </w:rPr>
        <w:t xml:space="preserve"> The complexity of legislative overlaps and privacy concerns was discussed; the </w:t>
      </w:r>
      <w:r w:rsidR="008743F1" w:rsidRPr="00F45378">
        <w:rPr>
          <w:szCs w:val="22"/>
        </w:rPr>
        <w:t>National Code</w:t>
      </w:r>
      <w:r w:rsidRPr="00F45378">
        <w:rPr>
          <w:szCs w:val="22"/>
        </w:rPr>
        <w:t xml:space="preserve"> addresses this by the introduction of three categories of accommodation with tailored requirements.</w:t>
      </w:r>
    </w:p>
    <w:p w14:paraId="5BE7D9BD" w14:textId="77777777" w:rsidR="00845320" w:rsidRPr="00F45378" w:rsidRDefault="00845320" w:rsidP="00374E2E">
      <w:pPr>
        <w:numPr>
          <w:ilvl w:val="3"/>
          <w:numId w:val="41"/>
        </w:numPr>
        <w:spacing w:after="0"/>
        <w:rPr>
          <w:szCs w:val="22"/>
        </w:rPr>
      </w:pPr>
      <w:r w:rsidRPr="00F45378">
        <w:rPr>
          <w:b/>
          <w:bCs/>
          <w:szCs w:val="22"/>
        </w:rPr>
        <w:t>Non-disclosure agreements:</w:t>
      </w:r>
      <w:r w:rsidRPr="00F45378">
        <w:rPr>
          <w:szCs w:val="22"/>
        </w:rPr>
        <w:t xml:space="preserve"> Concerns about the use of NDAs, notably their ability to silence victim-survivors, impact the ability to warn other colleagues of problematic behaviour and enable institutional hopping by perpetrators to evade responsibility and consequences of behaviours led to a proposed restriction on their use – only permitted at the request of the discloser.</w:t>
      </w:r>
    </w:p>
    <w:p w14:paraId="68990DDC" w14:textId="0EF1BEAE" w:rsidR="00845320" w:rsidRPr="00F45378" w:rsidRDefault="00845320" w:rsidP="00DD4830">
      <w:pPr>
        <w:numPr>
          <w:ilvl w:val="3"/>
          <w:numId w:val="41"/>
        </w:numPr>
        <w:rPr>
          <w:szCs w:val="22"/>
        </w:rPr>
      </w:pPr>
      <w:r w:rsidRPr="00F45378">
        <w:rPr>
          <w:b/>
          <w:bCs/>
          <w:szCs w:val="22"/>
        </w:rPr>
        <w:t>Academic and work support:</w:t>
      </w:r>
      <w:r w:rsidRPr="00F45378">
        <w:rPr>
          <w:szCs w:val="22"/>
        </w:rPr>
        <w:t xml:space="preserve">  Students and advocates highlighted the need for support that goes beyond internal university services. They called for access to external support services and academic accommodations that recognise the impact of </w:t>
      </w:r>
      <w:r w:rsidR="00B7771B" w:rsidRPr="00F45378">
        <w:rPr>
          <w:szCs w:val="22"/>
        </w:rPr>
        <w:t>GBV</w:t>
      </w:r>
      <w:r w:rsidRPr="00F45378">
        <w:rPr>
          <w:szCs w:val="22"/>
        </w:rPr>
        <w:t xml:space="preserve"> on educational outcomes.</w:t>
      </w:r>
    </w:p>
    <w:p w14:paraId="52B5A7D5" w14:textId="13177BBB" w:rsidR="00845320" w:rsidRPr="00F45378" w:rsidRDefault="00845320" w:rsidP="00845320">
      <w:pPr>
        <w:rPr>
          <w:szCs w:val="22"/>
        </w:rPr>
      </w:pPr>
      <w:r w:rsidRPr="00F45378">
        <w:rPr>
          <w:szCs w:val="22"/>
        </w:rPr>
        <w:lastRenderedPageBreak/>
        <w:t xml:space="preserve">Overall, stakeholders were broadly supportive of the </w:t>
      </w:r>
      <w:r w:rsidR="008743F1" w:rsidRPr="00F45378">
        <w:rPr>
          <w:szCs w:val="22"/>
        </w:rPr>
        <w:t>National Code</w:t>
      </w:r>
      <w:r w:rsidRPr="00F45378">
        <w:rPr>
          <w:szCs w:val="22"/>
        </w:rPr>
        <w:t xml:space="preserve">’s policy intent while seeking more information on how it would operate and interact with existing legislation and requirements. There was general interest in how the standards would be monitored and evaluated to ensure cultural change was being achieved. </w:t>
      </w:r>
    </w:p>
    <w:p w14:paraId="1DF47A56" w14:textId="77777777" w:rsidR="00845320" w:rsidRPr="00F45378" w:rsidRDefault="00845320" w:rsidP="00845320">
      <w:pPr>
        <w:rPr>
          <w:szCs w:val="22"/>
        </w:rPr>
      </w:pPr>
      <w:r w:rsidRPr="00F45378">
        <w:rPr>
          <w:szCs w:val="22"/>
        </w:rPr>
        <w:t>Stakeholders highlighted the need for effective communication strategies, including information delivery during orientation weeks, open days and in foundational academic settings.</w:t>
      </w:r>
    </w:p>
    <w:p w14:paraId="4705F48E" w14:textId="31EABE20" w:rsidR="00845320" w:rsidRPr="00F45378" w:rsidRDefault="00845320" w:rsidP="00845320">
      <w:pPr>
        <w:rPr>
          <w:b/>
          <w:bCs/>
          <w:szCs w:val="22"/>
        </w:rPr>
      </w:pPr>
      <w:r w:rsidRPr="00F45378">
        <w:rPr>
          <w:b/>
          <w:bCs/>
          <w:szCs w:val="22"/>
        </w:rPr>
        <w:t xml:space="preserve">Self-regulation vs mandatory regulation </w:t>
      </w:r>
    </w:p>
    <w:p w14:paraId="4A83D815" w14:textId="312288B2" w:rsidR="00845320" w:rsidRPr="00F45378" w:rsidRDefault="00845320" w:rsidP="00845320">
      <w:pPr>
        <w:rPr>
          <w:szCs w:val="22"/>
        </w:rPr>
      </w:pPr>
      <w:r w:rsidRPr="00F45378">
        <w:rPr>
          <w:szCs w:val="22"/>
        </w:rPr>
        <w:t xml:space="preserve">Consultations with victim-survivors, victim-survivor advocacy organisations, student groups, student and staff unions, and other sector stakeholders revealed a strong and consistent view that voluntary measures would be insufficient to address </w:t>
      </w:r>
      <w:r w:rsidR="00B7771B" w:rsidRPr="00F45378">
        <w:rPr>
          <w:szCs w:val="22"/>
        </w:rPr>
        <w:t>GBV</w:t>
      </w:r>
      <w:r w:rsidRPr="00F45378">
        <w:rPr>
          <w:szCs w:val="22"/>
        </w:rPr>
        <w:t xml:space="preserve"> within the higher education sector. There was overwhelming consensus that enforceable standards are necessary to ensure the safety and wellbeing of students and staff. Stakeholders emphasised that inadequate institutional responses have caused significant harm to victim-survivors, underscoring the need for a mandatory and accountable framework.</w:t>
      </w:r>
    </w:p>
    <w:p w14:paraId="3F057811" w14:textId="44112234" w:rsidR="00845320" w:rsidRPr="00F45378" w:rsidRDefault="00845320" w:rsidP="00374E2E">
      <w:pPr>
        <w:numPr>
          <w:ilvl w:val="0"/>
          <w:numId w:val="96"/>
        </w:numPr>
        <w:spacing w:after="0"/>
        <w:rPr>
          <w:szCs w:val="22"/>
        </w:rPr>
      </w:pPr>
      <w:r w:rsidRPr="00F45378">
        <w:rPr>
          <w:szCs w:val="22"/>
        </w:rPr>
        <w:t xml:space="preserve">There needs to be consequences for HEPs that do not take steps to prevent </w:t>
      </w:r>
      <w:r w:rsidR="008223FC" w:rsidRPr="00F45378">
        <w:rPr>
          <w:szCs w:val="22"/>
        </w:rPr>
        <w:t>GBV</w:t>
      </w:r>
      <w:r w:rsidRPr="00F45378">
        <w:rPr>
          <w:szCs w:val="22"/>
        </w:rPr>
        <w:t xml:space="preserve"> or respond appropriately to students and staff making reports </w:t>
      </w:r>
    </w:p>
    <w:p w14:paraId="4FDC073B" w14:textId="77777777" w:rsidR="00845320" w:rsidRPr="00F45378" w:rsidRDefault="00845320" w:rsidP="00374E2E">
      <w:pPr>
        <w:numPr>
          <w:ilvl w:val="0"/>
          <w:numId w:val="96"/>
        </w:numPr>
        <w:spacing w:after="0"/>
        <w:rPr>
          <w:szCs w:val="22"/>
        </w:rPr>
      </w:pPr>
      <w:r w:rsidRPr="00F45378">
        <w:rPr>
          <w:szCs w:val="22"/>
        </w:rPr>
        <w:t>If HEPs want large number of students, they need capacity to ensure their wellbeing</w:t>
      </w:r>
    </w:p>
    <w:p w14:paraId="470E4138" w14:textId="3B618ED9" w:rsidR="00845320" w:rsidRPr="00F45378" w:rsidRDefault="00845320" w:rsidP="00374E2E">
      <w:pPr>
        <w:numPr>
          <w:ilvl w:val="0"/>
          <w:numId w:val="96"/>
        </w:numPr>
        <w:spacing w:after="0"/>
        <w:rPr>
          <w:szCs w:val="22"/>
        </w:rPr>
      </w:pPr>
      <w:r w:rsidRPr="00F45378">
        <w:rPr>
          <w:szCs w:val="22"/>
        </w:rPr>
        <w:t>HEPs should</w:t>
      </w:r>
      <w:r w:rsidR="00AB6B30">
        <w:rPr>
          <w:szCs w:val="22"/>
        </w:rPr>
        <w:t xml:space="preserve"> </w:t>
      </w:r>
      <w:r w:rsidRPr="00F45378">
        <w:rPr>
          <w:szCs w:val="22"/>
        </w:rPr>
        <w:t>n</w:t>
      </w:r>
      <w:r w:rsidR="00AB6B30">
        <w:rPr>
          <w:szCs w:val="22"/>
        </w:rPr>
        <w:t>o</w:t>
      </w:r>
      <w:r w:rsidRPr="00F45378">
        <w:rPr>
          <w:szCs w:val="22"/>
        </w:rPr>
        <w:t>t be determining what the data is and how it is collected, as they will collect data in a way that does</w:t>
      </w:r>
      <w:r w:rsidR="00AB6B30">
        <w:rPr>
          <w:szCs w:val="22"/>
        </w:rPr>
        <w:t xml:space="preserve"> </w:t>
      </w:r>
      <w:r w:rsidRPr="00F45378">
        <w:rPr>
          <w:szCs w:val="22"/>
        </w:rPr>
        <w:t>n</w:t>
      </w:r>
      <w:r w:rsidR="00AB6B30">
        <w:rPr>
          <w:szCs w:val="22"/>
        </w:rPr>
        <w:t>o</w:t>
      </w:r>
      <w:r w:rsidRPr="00F45378">
        <w:rPr>
          <w:szCs w:val="22"/>
        </w:rPr>
        <w:t xml:space="preserve">t reflect badly on their institutions </w:t>
      </w:r>
    </w:p>
    <w:p w14:paraId="02409787" w14:textId="12FC0CFE" w:rsidR="0099567F" w:rsidRPr="00F45378" w:rsidRDefault="0099567F" w:rsidP="00DD4830">
      <w:pPr>
        <w:numPr>
          <w:ilvl w:val="0"/>
          <w:numId w:val="96"/>
        </w:numPr>
        <w:rPr>
          <w:szCs w:val="22"/>
        </w:rPr>
      </w:pPr>
      <w:r w:rsidRPr="00F45378">
        <w:rPr>
          <w:szCs w:val="22"/>
        </w:rPr>
        <w:t xml:space="preserve">When students are ‘consulted’ it is often to rubber-stamp </w:t>
      </w:r>
      <w:r w:rsidR="002634C7" w:rsidRPr="00F45378">
        <w:rPr>
          <w:szCs w:val="22"/>
        </w:rPr>
        <w:t xml:space="preserve">already agreed decisions </w:t>
      </w:r>
    </w:p>
    <w:p w14:paraId="08E8D292" w14:textId="1E9EEA2C" w:rsidR="00845320" w:rsidRPr="00F45378" w:rsidRDefault="00855199" w:rsidP="00997CC1">
      <w:pPr>
        <w:spacing w:after="0"/>
        <w:rPr>
          <w:szCs w:val="22"/>
        </w:rPr>
      </w:pPr>
      <w:r w:rsidRPr="00F45378">
        <w:rPr>
          <w:szCs w:val="22"/>
        </w:rPr>
        <w:t xml:space="preserve">Students and student groups also underscored that student trust in government mechanisms, especially in relation to safety and wellbeing has been eroded. </w:t>
      </w:r>
      <w:r w:rsidR="00F77802" w:rsidRPr="00F45378">
        <w:rPr>
          <w:szCs w:val="22"/>
        </w:rPr>
        <w:t>Consultations signalled a need to build student trust</w:t>
      </w:r>
      <w:r w:rsidR="00B94C71" w:rsidRPr="00F45378">
        <w:rPr>
          <w:szCs w:val="22"/>
        </w:rPr>
        <w:t xml:space="preserve"> from the ground up and the </w:t>
      </w:r>
      <w:r w:rsidR="008743F1" w:rsidRPr="00F45378">
        <w:rPr>
          <w:szCs w:val="22"/>
        </w:rPr>
        <w:t>National Code</w:t>
      </w:r>
      <w:r w:rsidR="00B94C71" w:rsidRPr="00F45378">
        <w:rPr>
          <w:szCs w:val="22"/>
        </w:rPr>
        <w:t xml:space="preserve"> needs to signal that student and staff are at the centre. </w:t>
      </w:r>
    </w:p>
    <w:p w14:paraId="272FC975" w14:textId="77777777" w:rsidR="00997CC1" w:rsidRPr="00F45378" w:rsidRDefault="00997CC1" w:rsidP="00997CC1">
      <w:pPr>
        <w:spacing w:after="0"/>
        <w:rPr>
          <w:szCs w:val="22"/>
        </w:rPr>
      </w:pPr>
    </w:p>
    <w:p w14:paraId="66E2DA9E" w14:textId="77777777" w:rsidR="00845320" w:rsidRPr="00F45378" w:rsidRDefault="00845320" w:rsidP="00845320">
      <w:pPr>
        <w:rPr>
          <w:szCs w:val="22"/>
        </w:rPr>
      </w:pPr>
      <w:r w:rsidRPr="00F45378">
        <w:rPr>
          <w:szCs w:val="22"/>
        </w:rPr>
        <w:t xml:space="preserve">A breakdown of all organisations that participated in consultation: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20"/>
      </w:tblGrid>
      <w:tr w:rsidR="00845320" w:rsidRPr="00845320" w14:paraId="7E1AA149" w14:textId="77777777">
        <w:trPr>
          <w:trHeight w:val="300"/>
        </w:trPr>
        <w:tc>
          <w:tcPr>
            <w:tcW w:w="1980" w:type="dxa"/>
            <w:tcBorders>
              <w:top w:val="single" w:sz="6" w:space="0" w:color="7F7F7F"/>
              <w:left w:val="nil"/>
              <w:bottom w:val="single" w:sz="6" w:space="0" w:color="7F7F7F"/>
              <w:right w:val="nil"/>
            </w:tcBorders>
            <w:hideMark/>
          </w:tcPr>
          <w:p w14:paraId="27E9C65A" w14:textId="77777777" w:rsidR="00845320" w:rsidRPr="00845320" w:rsidRDefault="00845320" w:rsidP="00845320">
            <w:pPr>
              <w:spacing w:after="0" w:line="240" w:lineRule="auto"/>
              <w:rPr>
                <w:b/>
                <w:bCs/>
                <w:sz w:val="20"/>
                <w:szCs w:val="20"/>
              </w:rPr>
            </w:pPr>
            <w:r w:rsidRPr="00845320">
              <w:rPr>
                <w:b/>
                <w:bCs/>
                <w:sz w:val="20"/>
                <w:szCs w:val="20"/>
              </w:rPr>
              <w:t>Student organisations </w:t>
            </w:r>
          </w:p>
          <w:p w14:paraId="4E6B3433" w14:textId="0B160098" w:rsidR="00845320" w:rsidRPr="00845320" w:rsidRDefault="00845320" w:rsidP="00845320">
            <w:pPr>
              <w:spacing w:after="0" w:line="240" w:lineRule="auto"/>
              <w:rPr>
                <w:b/>
                <w:bCs/>
                <w:sz w:val="20"/>
                <w:szCs w:val="20"/>
              </w:rPr>
            </w:pPr>
          </w:p>
        </w:tc>
        <w:tc>
          <w:tcPr>
            <w:tcW w:w="7020" w:type="dxa"/>
            <w:tcBorders>
              <w:top w:val="single" w:sz="6" w:space="0" w:color="7F7F7F"/>
              <w:left w:val="nil"/>
              <w:bottom w:val="single" w:sz="6" w:space="0" w:color="7F7F7F"/>
              <w:right w:val="nil"/>
            </w:tcBorders>
            <w:hideMark/>
          </w:tcPr>
          <w:p w14:paraId="01BE69A3" w14:textId="77777777" w:rsidR="00845320" w:rsidRPr="00845320" w:rsidRDefault="00845320" w:rsidP="00374E2E">
            <w:pPr>
              <w:numPr>
                <w:ilvl w:val="0"/>
                <w:numId w:val="93"/>
              </w:numPr>
              <w:spacing w:after="0" w:line="240" w:lineRule="auto"/>
              <w:rPr>
                <w:sz w:val="20"/>
                <w:szCs w:val="20"/>
              </w:rPr>
            </w:pPr>
            <w:r w:rsidRPr="00845320">
              <w:rPr>
                <w:sz w:val="20"/>
                <w:szCs w:val="20"/>
              </w:rPr>
              <w:t xml:space="preserve">National Union of Students  </w:t>
            </w:r>
          </w:p>
          <w:p w14:paraId="00E75548" w14:textId="77777777" w:rsidR="00845320" w:rsidRPr="00845320" w:rsidRDefault="00845320" w:rsidP="00374E2E">
            <w:pPr>
              <w:numPr>
                <w:ilvl w:val="0"/>
                <w:numId w:val="51"/>
              </w:numPr>
              <w:spacing w:after="0" w:line="240" w:lineRule="auto"/>
              <w:rPr>
                <w:sz w:val="20"/>
                <w:szCs w:val="20"/>
              </w:rPr>
            </w:pPr>
            <w:r w:rsidRPr="00845320">
              <w:rPr>
                <w:sz w:val="20"/>
                <w:szCs w:val="20"/>
              </w:rPr>
              <w:t xml:space="preserve">National Aboriginal and Torres Strait Islander Postgraduate Association   </w:t>
            </w:r>
          </w:p>
          <w:p w14:paraId="45BF4E13" w14:textId="77777777" w:rsidR="00845320" w:rsidRPr="00845320" w:rsidRDefault="00845320" w:rsidP="00374E2E">
            <w:pPr>
              <w:numPr>
                <w:ilvl w:val="0"/>
                <w:numId w:val="51"/>
              </w:numPr>
              <w:spacing w:after="0" w:line="240" w:lineRule="auto"/>
              <w:rPr>
                <w:sz w:val="20"/>
                <w:szCs w:val="20"/>
              </w:rPr>
            </w:pPr>
            <w:r w:rsidRPr="00845320">
              <w:rPr>
                <w:sz w:val="20"/>
                <w:szCs w:val="20"/>
              </w:rPr>
              <w:t xml:space="preserve">Council of Australian Postgraduate Associations  </w:t>
            </w:r>
          </w:p>
          <w:p w14:paraId="5723121A" w14:textId="77777777" w:rsidR="00845320" w:rsidRPr="00845320" w:rsidRDefault="00845320" w:rsidP="00374E2E">
            <w:pPr>
              <w:numPr>
                <w:ilvl w:val="0"/>
                <w:numId w:val="51"/>
              </w:numPr>
              <w:spacing w:after="0" w:line="240" w:lineRule="auto"/>
              <w:rPr>
                <w:sz w:val="20"/>
                <w:szCs w:val="20"/>
              </w:rPr>
            </w:pPr>
            <w:r w:rsidRPr="00845320">
              <w:rPr>
                <w:sz w:val="20"/>
                <w:szCs w:val="20"/>
              </w:rPr>
              <w:t xml:space="preserve">National Aboriginal and Torres Strait Islander Higher Education Consortium  </w:t>
            </w:r>
          </w:p>
          <w:p w14:paraId="777A490E" w14:textId="77777777" w:rsidR="00845320" w:rsidRPr="00845320" w:rsidRDefault="00845320" w:rsidP="00374E2E">
            <w:pPr>
              <w:numPr>
                <w:ilvl w:val="0"/>
                <w:numId w:val="51"/>
              </w:numPr>
              <w:spacing w:after="0" w:line="240" w:lineRule="auto"/>
              <w:rPr>
                <w:sz w:val="20"/>
                <w:szCs w:val="20"/>
              </w:rPr>
            </w:pPr>
            <w:r w:rsidRPr="00845320">
              <w:rPr>
                <w:sz w:val="20"/>
                <w:szCs w:val="20"/>
              </w:rPr>
              <w:t xml:space="preserve">University of Melbourne Postgraduate Student Association  </w:t>
            </w:r>
          </w:p>
          <w:p w14:paraId="2951A795" w14:textId="77777777" w:rsidR="00845320" w:rsidRPr="00845320" w:rsidRDefault="00845320" w:rsidP="00374E2E">
            <w:pPr>
              <w:numPr>
                <w:ilvl w:val="0"/>
                <w:numId w:val="51"/>
              </w:numPr>
              <w:spacing w:after="0" w:line="240" w:lineRule="auto"/>
              <w:rPr>
                <w:sz w:val="20"/>
                <w:szCs w:val="20"/>
              </w:rPr>
            </w:pPr>
            <w:r w:rsidRPr="00845320">
              <w:rPr>
                <w:sz w:val="20"/>
                <w:szCs w:val="20"/>
              </w:rPr>
              <w:t xml:space="preserve">National Association of Australian University Colleges  </w:t>
            </w:r>
          </w:p>
          <w:p w14:paraId="3C96BE98" w14:textId="77777777" w:rsidR="00845320" w:rsidRPr="00845320" w:rsidRDefault="00845320" w:rsidP="00374E2E">
            <w:pPr>
              <w:numPr>
                <w:ilvl w:val="0"/>
                <w:numId w:val="51"/>
              </w:numPr>
              <w:spacing w:after="0" w:line="240" w:lineRule="auto"/>
              <w:rPr>
                <w:b/>
                <w:bCs/>
                <w:sz w:val="20"/>
                <w:szCs w:val="20"/>
              </w:rPr>
            </w:pPr>
            <w:r w:rsidRPr="00845320">
              <w:rPr>
                <w:sz w:val="20"/>
                <w:szCs w:val="20"/>
              </w:rPr>
              <w:t>Australian Catholic University National Student Union</w:t>
            </w:r>
            <w:r w:rsidRPr="00845320">
              <w:rPr>
                <w:b/>
                <w:bCs/>
                <w:sz w:val="20"/>
                <w:szCs w:val="20"/>
              </w:rPr>
              <w:t xml:space="preserve">  </w:t>
            </w:r>
          </w:p>
        </w:tc>
      </w:tr>
      <w:tr w:rsidR="00845320" w:rsidRPr="00845320" w14:paraId="4673D24C" w14:textId="77777777">
        <w:trPr>
          <w:trHeight w:val="300"/>
        </w:trPr>
        <w:tc>
          <w:tcPr>
            <w:tcW w:w="1980" w:type="dxa"/>
            <w:tcBorders>
              <w:top w:val="single" w:sz="6" w:space="0" w:color="7F7F7F"/>
              <w:left w:val="nil"/>
              <w:bottom w:val="single" w:sz="6" w:space="0" w:color="7F7F7F"/>
              <w:right w:val="nil"/>
            </w:tcBorders>
          </w:tcPr>
          <w:p w14:paraId="5EAA6614" w14:textId="77777777" w:rsidR="00845320" w:rsidRPr="00845320" w:rsidRDefault="00845320" w:rsidP="00845320">
            <w:pPr>
              <w:spacing w:after="0" w:line="240" w:lineRule="auto"/>
              <w:rPr>
                <w:b/>
                <w:bCs/>
                <w:sz w:val="20"/>
                <w:szCs w:val="20"/>
              </w:rPr>
            </w:pPr>
            <w:r w:rsidRPr="00845320">
              <w:rPr>
                <w:b/>
                <w:bCs/>
                <w:sz w:val="20"/>
                <w:szCs w:val="20"/>
              </w:rPr>
              <w:t>LGBQTQIA+ Organisations</w:t>
            </w:r>
          </w:p>
        </w:tc>
        <w:tc>
          <w:tcPr>
            <w:tcW w:w="7020" w:type="dxa"/>
            <w:tcBorders>
              <w:top w:val="single" w:sz="6" w:space="0" w:color="7F7F7F"/>
              <w:left w:val="nil"/>
              <w:bottom w:val="single" w:sz="6" w:space="0" w:color="7F7F7F"/>
              <w:right w:val="nil"/>
            </w:tcBorders>
          </w:tcPr>
          <w:p w14:paraId="4A1AF125" w14:textId="77777777" w:rsidR="00845320" w:rsidRPr="00845320" w:rsidRDefault="00845320" w:rsidP="00374E2E">
            <w:pPr>
              <w:numPr>
                <w:ilvl w:val="0"/>
                <w:numId w:val="93"/>
              </w:numPr>
              <w:spacing w:after="0" w:line="240" w:lineRule="auto"/>
              <w:rPr>
                <w:sz w:val="20"/>
                <w:szCs w:val="20"/>
              </w:rPr>
            </w:pPr>
            <w:r w:rsidRPr="00845320">
              <w:rPr>
                <w:sz w:val="20"/>
                <w:szCs w:val="20"/>
              </w:rPr>
              <w:t>Rainbow Health Australia</w:t>
            </w:r>
          </w:p>
          <w:p w14:paraId="06A1F728" w14:textId="4CE1796C" w:rsidR="00845320" w:rsidRPr="00845320" w:rsidRDefault="00845320" w:rsidP="00374E2E">
            <w:pPr>
              <w:numPr>
                <w:ilvl w:val="0"/>
                <w:numId w:val="93"/>
              </w:numPr>
              <w:spacing w:after="0" w:line="240" w:lineRule="auto"/>
              <w:rPr>
                <w:sz w:val="20"/>
                <w:szCs w:val="20"/>
              </w:rPr>
            </w:pPr>
            <w:r w:rsidRPr="00845320">
              <w:rPr>
                <w:sz w:val="20"/>
                <w:szCs w:val="20"/>
              </w:rPr>
              <w:t>LGBTI</w:t>
            </w:r>
            <w:r w:rsidR="00F05F44">
              <w:rPr>
                <w:sz w:val="20"/>
                <w:szCs w:val="20"/>
              </w:rPr>
              <w:t>Q</w:t>
            </w:r>
            <w:r w:rsidRPr="00845320">
              <w:rPr>
                <w:sz w:val="20"/>
                <w:szCs w:val="20"/>
              </w:rPr>
              <w:t xml:space="preserve">+ Health Australia </w:t>
            </w:r>
          </w:p>
          <w:p w14:paraId="0E935D6D" w14:textId="77777777" w:rsidR="00845320" w:rsidRPr="00845320" w:rsidRDefault="00845320" w:rsidP="00374E2E">
            <w:pPr>
              <w:numPr>
                <w:ilvl w:val="0"/>
                <w:numId w:val="93"/>
              </w:numPr>
              <w:spacing w:after="0" w:line="240" w:lineRule="auto"/>
              <w:rPr>
                <w:sz w:val="20"/>
                <w:szCs w:val="20"/>
              </w:rPr>
            </w:pPr>
            <w:r w:rsidRPr="00845320">
              <w:rPr>
                <w:sz w:val="20"/>
                <w:szCs w:val="20"/>
              </w:rPr>
              <w:t>Twenty10</w:t>
            </w:r>
          </w:p>
        </w:tc>
      </w:tr>
      <w:tr w:rsidR="00845320" w:rsidRPr="00845320" w14:paraId="437D1D0C" w14:textId="77777777">
        <w:trPr>
          <w:trHeight w:val="300"/>
        </w:trPr>
        <w:tc>
          <w:tcPr>
            <w:tcW w:w="1980" w:type="dxa"/>
            <w:tcBorders>
              <w:top w:val="single" w:sz="6" w:space="0" w:color="7F7F7F"/>
              <w:left w:val="nil"/>
              <w:bottom w:val="single" w:sz="6" w:space="0" w:color="7F7F7F"/>
              <w:right w:val="nil"/>
            </w:tcBorders>
          </w:tcPr>
          <w:p w14:paraId="6457942F" w14:textId="77777777" w:rsidR="00845320" w:rsidRPr="00845320" w:rsidRDefault="00845320" w:rsidP="00845320">
            <w:pPr>
              <w:spacing w:after="0" w:line="240" w:lineRule="auto"/>
              <w:rPr>
                <w:b/>
                <w:bCs/>
                <w:sz w:val="20"/>
                <w:szCs w:val="20"/>
              </w:rPr>
            </w:pPr>
            <w:r w:rsidRPr="00845320">
              <w:rPr>
                <w:b/>
                <w:bCs/>
                <w:sz w:val="20"/>
                <w:szCs w:val="20"/>
              </w:rPr>
              <w:t>Disability organisations</w:t>
            </w:r>
          </w:p>
        </w:tc>
        <w:tc>
          <w:tcPr>
            <w:tcW w:w="7020" w:type="dxa"/>
            <w:tcBorders>
              <w:top w:val="single" w:sz="6" w:space="0" w:color="7F7F7F"/>
              <w:left w:val="nil"/>
              <w:bottom w:val="single" w:sz="6" w:space="0" w:color="7F7F7F"/>
              <w:right w:val="nil"/>
            </w:tcBorders>
          </w:tcPr>
          <w:p w14:paraId="0EDCC278" w14:textId="77777777" w:rsidR="00845320" w:rsidRPr="00845320" w:rsidRDefault="00845320" w:rsidP="00374E2E">
            <w:pPr>
              <w:numPr>
                <w:ilvl w:val="0"/>
                <w:numId w:val="94"/>
              </w:numPr>
              <w:spacing w:after="0" w:line="240" w:lineRule="auto"/>
              <w:rPr>
                <w:sz w:val="20"/>
                <w:szCs w:val="20"/>
              </w:rPr>
            </w:pPr>
            <w:r w:rsidRPr="00845320">
              <w:rPr>
                <w:sz w:val="20"/>
                <w:szCs w:val="20"/>
              </w:rPr>
              <w:t xml:space="preserve">Australian Tertiary Education Network on Disability </w:t>
            </w:r>
          </w:p>
          <w:p w14:paraId="461D1E94" w14:textId="77777777" w:rsidR="00845320" w:rsidRPr="00845320" w:rsidRDefault="00845320" w:rsidP="00374E2E">
            <w:pPr>
              <w:numPr>
                <w:ilvl w:val="0"/>
                <w:numId w:val="93"/>
              </w:numPr>
              <w:spacing w:after="0" w:line="240" w:lineRule="auto"/>
              <w:rPr>
                <w:sz w:val="20"/>
                <w:szCs w:val="20"/>
              </w:rPr>
            </w:pPr>
            <w:r w:rsidRPr="00845320">
              <w:rPr>
                <w:sz w:val="20"/>
                <w:szCs w:val="20"/>
              </w:rPr>
              <w:t xml:space="preserve">Australian Disability Clearinghouse on Education and Training   </w:t>
            </w:r>
          </w:p>
          <w:p w14:paraId="662AFB51" w14:textId="77777777" w:rsidR="00845320" w:rsidRPr="00845320" w:rsidRDefault="00845320" w:rsidP="00374E2E">
            <w:pPr>
              <w:numPr>
                <w:ilvl w:val="0"/>
                <w:numId w:val="93"/>
              </w:numPr>
              <w:spacing w:after="0" w:line="240" w:lineRule="auto"/>
              <w:rPr>
                <w:sz w:val="20"/>
                <w:szCs w:val="20"/>
              </w:rPr>
            </w:pPr>
            <w:r w:rsidRPr="00845320">
              <w:rPr>
                <w:sz w:val="20"/>
                <w:szCs w:val="20"/>
              </w:rPr>
              <w:t xml:space="preserve">Australian Autism Alliance  </w:t>
            </w:r>
          </w:p>
          <w:p w14:paraId="19F82D51" w14:textId="77777777" w:rsidR="00845320" w:rsidRPr="00845320" w:rsidRDefault="00845320" w:rsidP="00374E2E">
            <w:pPr>
              <w:numPr>
                <w:ilvl w:val="0"/>
                <w:numId w:val="93"/>
              </w:numPr>
              <w:spacing w:after="0" w:line="240" w:lineRule="auto"/>
              <w:rPr>
                <w:sz w:val="20"/>
                <w:szCs w:val="20"/>
              </w:rPr>
            </w:pPr>
            <w:r w:rsidRPr="00845320">
              <w:rPr>
                <w:sz w:val="20"/>
                <w:szCs w:val="20"/>
              </w:rPr>
              <w:t xml:space="preserve">Autistic Self-Advocacy Network  </w:t>
            </w:r>
          </w:p>
          <w:p w14:paraId="60EF3C90" w14:textId="77777777" w:rsidR="00845320" w:rsidRPr="00845320" w:rsidRDefault="00845320" w:rsidP="00374E2E">
            <w:pPr>
              <w:numPr>
                <w:ilvl w:val="0"/>
                <w:numId w:val="93"/>
              </w:numPr>
              <w:spacing w:after="0" w:line="240" w:lineRule="auto"/>
              <w:rPr>
                <w:sz w:val="20"/>
                <w:szCs w:val="20"/>
              </w:rPr>
            </w:pPr>
            <w:r w:rsidRPr="00845320">
              <w:rPr>
                <w:sz w:val="20"/>
                <w:szCs w:val="20"/>
              </w:rPr>
              <w:t xml:space="preserve">Women With Disabilities Australia  </w:t>
            </w:r>
          </w:p>
          <w:p w14:paraId="54F34CBC" w14:textId="77777777" w:rsidR="00845320" w:rsidRPr="00845320" w:rsidRDefault="00845320" w:rsidP="00374E2E">
            <w:pPr>
              <w:numPr>
                <w:ilvl w:val="0"/>
                <w:numId w:val="93"/>
              </w:numPr>
              <w:spacing w:after="0" w:line="240" w:lineRule="auto"/>
              <w:rPr>
                <w:sz w:val="20"/>
                <w:szCs w:val="20"/>
              </w:rPr>
            </w:pPr>
            <w:r w:rsidRPr="00845320">
              <w:rPr>
                <w:sz w:val="20"/>
                <w:szCs w:val="20"/>
              </w:rPr>
              <w:t xml:space="preserve">Children and Young People with Disabilities  </w:t>
            </w:r>
          </w:p>
          <w:p w14:paraId="14D39BC5" w14:textId="77777777" w:rsidR="00845320" w:rsidRPr="00845320" w:rsidRDefault="00845320" w:rsidP="00374E2E">
            <w:pPr>
              <w:numPr>
                <w:ilvl w:val="0"/>
                <w:numId w:val="93"/>
              </w:numPr>
              <w:spacing w:after="0" w:line="240" w:lineRule="auto"/>
              <w:rPr>
                <w:sz w:val="20"/>
                <w:szCs w:val="20"/>
              </w:rPr>
            </w:pPr>
            <w:r w:rsidRPr="00845320">
              <w:rPr>
                <w:sz w:val="20"/>
                <w:szCs w:val="20"/>
              </w:rPr>
              <w:t xml:space="preserve">Disability Advocacy Network Australia </w:t>
            </w:r>
          </w:p>
          <w:p w14:paraId="150B9562" w14:textId="77777777" w:rsidR="00845320" w:rsidRPr="00845320" w:rsidRDefault="00845320" w:rsidP="00374E2E">
            <w:pPr>
              <w:numPr>
                <w:ilvl w:val="0"/>
                <w:numId w:val="93"/>
              </w:numPr>
              <w:spacing w:after="0" w:line="240" w:lineRule="auto"/>
              <w:rPr>
                <w:sz w:val="20"/>
                <w:szCs w:val="20"/>
              </w:rPr>
            </w:pPr>
            <w:r w:rsidRPr="00845320">
              <w:rPr>
                <w:sz w:val="20"/>
                <w:szCs w:val="20"/>
              </w:rPr>
              <w:t xml:space="preserve">Youth Disability Advocacy Service  </w:t>
            </w:r>
          </w:p>
          <w:p w14:paraId="786E88A5" w14:textId="77777777" w:rsidR="00845320" w:rsidRPr="00845320" w:rsidRDefault="00845320" w:rsidP="00374E2E">
            <w:pPr>
              <w:numPr>
                <w:ilvl w:val="0"/>
                <w:numId w:val="93"/>
              </w:numPr>
              <w:spacing w:after="0" w:line="240" w:lineRule="auto"/>
              <w:rPr>
                <w:sz w:val="20"/>
                <w:szCs w:val="20"/>
              </w:rPr>
            </w:pPr>
            <w:r w:rsidRPr="00845320">
              <w:rPr>
                <w:sz w:val="20"/>
                <w:szCs w:val="20"/>
              </w:rPr>
              <w:t xml:space="preserve">UQ Disability Inclusion Group Chair  </w:t>
            </w:r>
          </w:p>
        </w:tc>
      </w:tr>
      <w:tr w:rsidR="00845320" w:rsidRPr="00845320" w14:paraId="3EE5A643" w14:textId="77777777">
        <w:trPr>
          <w:trHeight w:val="300"/>
        </w:trPr>
        <w:tc>
          <w:tcPr>
            <w:tcW w:w="1980" w:type="dxa"/>
            <w:tcBorders>
              <w:top w:val="single" w:sz="6" w:space="0" w:color="7F7F7F"/>
              <w:left w:val="nil"/>
              <w:bottom w:val="single" w:sz="6" w:space="0" w:color="7F7F7F"/>
              <w:right w:val="nil"/>
            </w:tcBorders>
          </w:tcPr>
          <w:p w14:paraId="31D03FFC" w14:textId="500D3B5C" w:rsidR="00845320" w:rsidRPr="00845320" w:rsidRDefault="00845320" w:rsidP="00845320">
            <w:pPr>
              <w:spacing w:after="0" w:line="240" w:lineRule="auto"/>
              <w:rPr>
                <w:b/>
                <w:bCs/>
                <w:sz w:val="20"/>
                <w:szCs w:val="20"/>
              </w:rPr>
            </w:pPr>
            <w:r w:rsidRPr="00845320">
              <w:rPr>
                <w:b/>
                <w:bCs/>
                <w:sz w:val="20"/>
                <w:szCs w:val="20"/>
              </w:rPr>
              <w:lastRenderedPageBreak/>
              <w:t>C</w:t>
            </w:r>
            <w:r w:rsidR="00C7047D">
              <w:rPr>
                <w:b/>
                <w:bCs/>
                <w:sz w:val="20"/>
                <w:szCs w:val="20"/>
              </w:rPr>
              <w:t>A</w:t>
            </w:r>
            <w:r w:rsidRPr="00845320">
              <w:rPr>
                <w:b/>
                <w:bCs/>
                <w:sz w:val="20"/>
                <w:szCs w:val="20"/>
              </w:rPr>
              <w:t xml:space="preserve">LD organisations </w:t>
            </w:r>
          </w:p>
        </w:tc>
        <w:tc>
          <w:tcPr>
            <w:tcW w:w="7020" w:type="dxa"/>
            <w:tcBorders>
              <w:top w:val="single" w:sz="6" w:space="0" w:color="7F7F7F"/>
              <w:left w:val="nil"/>
              <w:bottom w:val="single" w:sz="6" w:space="0" w:color="7F7F7F"/>
              <w:right w:val="nil"/>
            </w:tcBorders>
          </w:tcPr>
          <w:p w14:paraId="1D336C3C" w14:textId="77777777" w:rsidR="00845320" w:rsidRPr="00845320" w:rsidRDefault="00845320" w:rsidP="00374E2E">
            <w:pPr>
              <w:numPr>
                <w:ilvl w:val="0"/>
                <w:numId w:val="95"/>
              </w:numPr>
              <w:spacing w:after="0" w:line="240" w:lineRule="auto"/>
              <w:rPr>
                <w:sz w:val="20"/>
                <w:szCs w:val="20"/>
              </w:rPr>
            </w:pPr>
            <w:r w:rsidRPr="00845320">
              <w:rPr>
                <w:sz w:val="20"/>
                <w:szCs w:val="20"/>
              </w:rPr>
              <w:t xml:space="preserve">Multicultural Youth Advocacy Network Australia  </w:t>
            </w:r>
          </w:p>
          <w:p w14:paraId="58CBEA6D" w14:textId="77777777" w:rsidR="00845320" w:rsidRPr="00845320" w:rsidRDefault="00845320" w:rsidP="00374E2E">
            <w:pPr>
              <w:numPr>
                <w:ilvl w:val="0"/>
                <w:numId w:val="94"/>
              </w:numPr>
              <w:spacing w:after="0" w:line="240" w:lineRule="auto"/>
              <w:rPr>
                <w:sz w:val="20"/>
                <w:szCs w:val="20"/>
              </w:rPr>
            </w:pPr>
            <w:r w:rsidRPr="00845320">
              <w:rPr>
                <w:sz w:val="20"/>
                <w:szCs w:val="20"/>
              </w:rPr>
              <w:t xml:space="preserve">Democracy in Colour  </w:t>
            </w:r>
          </w:p>
          <w:p w14:paraId="21ED2D05" w14:textId="77777777" w:rsidR="00845320" w:rsidRPr="00845320" w:rsidRDefault="00845320" w:rsidP="00374E2E">
            <w:pPr>
              <w:numPr>
                <w:ilvl w:val="0"/>
                <w:numId w:val="94"/>
              </w:numPr>
              <w:spacing w:after="0" w:line="240" w:lineRule="auto"/>
              <w:rPr>
                <w:sz w:val="20"/>
                <w:szCs w:val="20"/>
              </w:rPr>
            </w:pPr>
            <w:r w:rsidRPr="00845320">
              <w:rPr>
                <w:sz w:val="20"/>
                <w:szCs w:val="20"/>
              </w:rPr>
              <w:t xml:space="preserve">Settlement Services International  </w:t>
            </w:r>
          </w:p>
          <w:p w14:paraId="22E4CEFE" w14:textId="77777777" w:rsidR="00845320" w:rsidRPr="00845320" w:rsidRDefault="00845320" w:rsidP="00374E2E">
            <w:pPr>
              <w:numPr>
                <w:ilvl w:val="0"/>
                <w:numId w:val="94"/>
              </w:numPr>
              <w:spacing w:after="0" w:line="240" w:lineRule="auto"/>
              <w:rPr>
                <w:sz w:val="20"/>
                <w:szCs w:val="20"/>
              </w:rPr>
            </w:pPr>
            <w:r w:rsidRPr="00845320">
              <w:rPr>
                <w:sz w:val="20"/>
                <w:szCs w:val="20"/>
              </w:rPr>
              <w:t xml:space="preserve">Migrant Resource Centre                                                                      </w:t>
            </w:r>
          </w:p>
        </w:tc>
      </w:tr>
      <w:tr w:rsidR="00845320" w:rsidRPr="00845320" w14:paraId="458F9312" w14:textId="77777777">
        <w:trPr>
          <w:trHeight w:val="300"/>
        </w:trPr>
        <w:tc>
          <w:tcPr>
            <w:tcW w:w="1980" w:type="dxa"/>
            <w:tcBorders>
              <w:top w:val="single" w:sz="6" w:space="0" w:color="7F7F7F"/>
              <w:left w:val="nil"/>
              <w:bottom w:val="single" w:sz="6" w:space="0" w:color="7F7F7F"/>
              <w:right w:val="nil"/>
            </w:tcBorders>
          </w:tcPr>
          <w:p w14:paraId="0B2836D4" w14:textId="77777777" w:rsidR="00845320" w:rsidRPr="00845320" w:rsidRDefault="00845320" w:rsidP="00845320">
            <w:pPr>
              <w:spacing w:after="0" w:line="240" w:lineRule="auto"/>
              <w:rPr>
                <w:b/>
                <w:bCs/>
                <w:sz w:val="20"/>
                <w:szCs w:val="20"/>
              </w:rPr>
            </w:pPr>
            <w:r w:rsidRPr="00845320">
              <w:rPr>
                <w:b/>
                <w:bCs/>
                <w:sz w:val="20"/>
                <w:szCs w:val="20"/>
              </w:rPr>
              <w:t>Victim-survivors</w:t>
            </w:r>
          </w:p>
        </w:tc>
        <w:tc>
          <w:tcPr>
            <w:tcW w:w="7020" w:type="dxa"/>
            <w:tcBorders>
              <w:top w:val="single" w:sz="6" w:space="0" w:color="7F7F7F"/>
              <w:left w:val="nil"/>
              <w:bottom w:val="single" w:sz="6" w:space="0" w:color="7F7F7F"/>
              <w:right w:val="nil"/>
            </w:tcBorders>
          </w:tcPr>
          <w:p w14:paraId="20CC185E" w14:textId="77777777" w:rsidR="00845320" w:rsidRPr="00845320" w:rsidRDefault="00845320" w:rsidP="00374E2E">
            <w:pPr>
              <w:numPr>
                <w:ilvl w:val="0"/>
                <w:numId w:val="95"/>
              </w:numPr>
              <w:spacing w:after="0" w:line="240" w:lineRule="auto"/>
              <w:rPr>
                <w:sz w:val="20"/>
                <w:szCs w:val="20"/>
              </w:rPr>
            </w:pPr>
            <w:r w:rsidRPr="00845320">
              <w:rPr>
                <w:sz w:val="20"/>
                <w:szCs w:val="20"/>
              </w:rPr>
              <w:t>Individual meetings</w:t>
            </w:r>
          </w:p>
          <w:p w14:paraId="50CF8E36" w14:textId="77777777" w:rsidR="00845320" w:rsidRPr="00845320" w:rsidRDefault="00845320" w:rsidP="00374E2E">
            <w:pPr>
              <w:numPr>
                <w:ilvl w:val="0"/>
                <w:numId w:val="95"/>
              </w:numPr>
              <w:spacing w:after="0" w:line="240" w:lineRule="auto"/>
              <w:rPr>
                <w:sz w:val="20"/>
                <w:szCs w:val="20"/>
              </w:rPr>
            </w:pPr>
            <w:r w:rsidRPr="00845320">
              <w:rPr>
                <w:sz w:val="20"/>
                <w:szCs w:val="20"/>
              </w:rPr>
              <w:t>Domestic, Family and Sexual Violence Commission Lived Experience Advisory Council</w:t>
            </w:r>
          </w:p>
        </w:tc>
      </w:tr>
      <w:tr w:rsidR="00845320" w:rsidRPr="00845320" w14:paraId="4726CAF8" w14:textId="77777777">
        <w:trPr>
          <w:trHeight w:val="300"/>
        </w:trPr>
        <w:tc>
          <w:tcPr>
            <w:tcW w:w="1980" w:type="dxa"/>
            <w:tcBorders>
              <w:top w:val="single" w:sz="6" w:space="0" w:color="7F7F7F"/>
              <w:left w:val="nil"/>
              <w:bottom w:val="single" w:sz="6" w:space="0" w:color="7F7F7F"/>
              <w:right w:val="nil"/>
            </w:tcBorders>
          </w:tcPr>
          <w:p w14:paraId="3009F122" w14:textId="77777777" w:rsidR="00845320" w:rsidRPr="00845320" w:rsidRDefault="00845320" w:rsidP="00845320">
            <w:pPr>
              <w:spacing w:after="0" w:line="240" w:lineRule="auto"/>
              <w:rPr>
                <w:b/>
                <w:bCs/>
                <w:sz w:val="20"/>
                <w:szCs w:val="20"/>
              </w:rPr>
            </w:pPr>
            <w:r w:rsidRPr="00845320">
              <w:rPr>
                <w:b/>
                <w:bCs/>
                <w:sz w:val="20"/>
                <w:szCs w:val="20"/>
              </w:rPr>
              <w:t>Victim-survivor advocates</w:t>
            </w:r>
          </w:p>
        </w:tc>
        <w:tc>
          <w:tcPr>
            <w:tcW w:w="7020" w:type="dxa"/>
            <w:tcBorders>
              <w:top w:val="single" w:sz="6" w:space="0" w:color="7F7F7F"/>
              <w:left w:val="nil"/>
              <w:bottom w:val="single" w:sz="6" w:space="0" w:color="7F7F7F"/>
              <w:right w:val="nil"/>
            </w:tcBorders>
          </w:tcPr>
          <w:p w14:paraId="087465CB" w14:textId="77777777" w:rsidR="00845320" w:rsidRPr="00845320" w:rsidRDefault="00845320" w:rsidP="00374E2E">
            <w:pPr>
              <w:numPr>
                <w:ilvl w:val="0"/>
                <w:numId w:val="95"/>
              </w:numPr>
              <w:spacing w:after="0" w:line="240" w:lineRule="auto"/>
              <w:rPr>
                <w:sz w:val="20"/>
                <w:szCs w:val="20"/>
              </w:rPr>
            </w:pPr>
            <w:r w:rsidRPr="00845320">
              <w:rPr>
                <w:sz w:val="20"/>
                <w:szCs w:val="20"/>
              </w:rPr>
              <w:t>STOP Campaign</w:t>
            </w:r>
          </w:p>
          <w:p w14:paraId="7471D850" w14:textId="77777777" w:rsidR="00845320" w:rsidRPr="00845320" w:rsidRDefault="00845320" w:rsidP="00374E2E">
            <w:pPr>
              <w:numPr>
                <w:ilvl w:val="0"/>
                <w:numId w:val="95"/>
              </w:numPr>
              <w:spacing w:after="0" w:line="240" w:lineRule="auto"/>
              <w:rPr>
                <w:sz w:val="20"/>
                <w:szCs w:val="20"/>
              </w:rPr>
            </w:pPr>
            <w:r w:rsidRPr="00845320">
              <w:rPr>
                <w:sz w:val="20"/>
                <w:szCs w:val="20"/>
              </w:rPr>
              <w:t xml:space="preserve">End Rape on Campus </w:t>
            </w:r>
          </w:p>
          <w:p w14:paraId="4E845E69" w14:textId="77777777" w:rsidR="00845320" w:rsidRPr="00845320" w:rsidRDefault="00845320" w:rsidP="00374E2E">
            <w:pPr>
              <w:numPr>
                <w:ilvl w:val="0"/>
                <w:numId w:val="95"/>
              </w:numPr>
              <w:spacing w:after="0" w:line="240" w:lineRule="auto"/>
              <w:rPr>
                <w:sz w:val="20"/>
                <w:szCs w:val="20"/>
              </w:rPr>
            </w:pPr>
            <w:r w:rsidRPr="00845320">
              <w:rPr>
                <w:sz w:val="20"/>
                <w:szCs w:val="20"/>
              </w:rPr>
              <w:t>Fair Agenda</w:t>
            </w:r>
          </w:p>
        </w:tc>
      </w:tr>
      <w:tr w:rsidR="00845320" w:rsidRPr="00845320" w14:paraId="397A42BF" w14:textId="77777777">
        <w:trPr>
          <w:trHeight w:val="300"/>
        </w:trPr>
        <w:tc>
          <w:tcPr>
            <w:tcW w:w="1980" w:type="dxa"/>
            <w:tcBorders>
              <w:top w:val="single" w:sz="6" w:space="0" w:color="7F7F7F"/>
              <w:left w:val="nil"/>
              <w:bottom w:val="single" w:sz="6" w:space="0" w:color="7F7F7F"/>
              <w:right w:val="nil"/>
            </w:tcBorders>
          </w:tcPr>
          <w:p w14:paraId="36456A5B" w14:textId="759442C0" w:rsidR="00845320" w:rsidRPr="00845320" w:rsidRDefault="008223FC" w:rsidP="00845320">
            <w:pPr>
              <w:spacing w:after="0" w:line="240" w:lineRule="auto"/>
              <w:rPr>
                <w:b/>
                <w:bCs/>
                <w:sz w:val="20"/>
                <w:szCs w:val="20"/>
              </w:rPr>
            </w:pPr>
            <w:r>
              <w:rPr>
                <w:b/>
                <w:bCs/>
                <w:sz w:val="20"/>
                <w:szCs w:val="20"/>
              </w:rPr>
              <w:t>GBV</w:t>
            </w:r>
            <w:r w:rsidR="00845320" w:rsidRPr="00845320">
              <w:rPr>
                <w:b/>
                <w:bCs/>
                <w:sz w:val="20"/>
                <w:szCs w:val="20"/>
              </w:rPr>
              <w:t xml:space="preserve"> Experts and Women’s Safety</w:t>
            </w:r>
          </w:p>
        </w:tc>
        <w:tc>
          <w:tcPr>
            <w:tcW w:w="7020" w:type="dxa"/>
            <w:tcBorders>
              <w:top w:val="single" w:sz="6" w:space="0" w:color="7F7F7F"/>
              <w:left w:val="nil"/>
              <w:bottom w:val="single" w:sz="6" w:space="0" w:color="7F7F7F"/>
              <w:right w:val="nil"/>
            </w:tcBorders>
          </w:tcPr>
          <w:p w14:paraId="200DEBDE" w14:textId="77777777" w:rsidR="00845320" w:rsidRPr="00845320" w:rsidRDefault="00845320" w:rsidP="00374E2E">
            <w:pPr>
              <w:numPr>
                <w:ilvl w:val="0"/>
                <w:numId w:val="95"/>
              </w:numPr>
              <w:spacing w:after="0" w:line="240" w:lineRule="auto"/>
              <w:rPr>
                <w:sz w:val="20"/>
                <w:szCs w:val="20"/>
              </w:rPr>
            </w:pPr>
            <w:r w:rsidRPr="00845320">
              <w:rPr>
                <w:sz w:val="20"/>
                <w:szCs w:val="20"/>
              </w:rPr>
              <w:t xml:space="preserve">Safe and Equal </w:t>
            </w:r>
          </w:p>
          <w:p w14:paraId="511E7013" w14:textId="77777777" w:rsidR="00845320" w:rsidRPr="00845320" w:rsidRDefault="00845320" w:rsidP="00374E2E">
            <w:pPr>
              <w:numPr>
                <w:ilvl w:val="0"/>
                <w:numId w:val="95"/>
              </w:numPr>
              <w:spacing w:after="0" w:line="240" w:lineRule="auto"/>
              <w:rPr>
                <w:sz w:val="20"/>
                <w:szCs w:val="20"/>
              </w:rPr>
            </w:pPr>
            <w:r w:rsidRPr="00845320">
              <w:rPr>
                <w:sz w:val="20"/>
                <w:szCs w:val="20"/>
              </w:rPr>
              <w:t>Our Watch</w:t>
            </w:r>
          </w:p>
          <w:p w14:paraId="17BE6D3C" w14:textId="77777777" w:rsidR="00845320" w:rsidRPr="00845320" w:rsidRDefault="00845320" w:rsidP="00374E2E">
            <w:pPr>
              <w:numPr>
                <w:ilvl w:val="0"/>
                <w:numId w:val="95"/>
              </w:numPr>
              <w:spacing w:after="0" w:line="240" w:lineRule="auto"/>
              <w:rPr>
                <w:sz w:val="20"/>
                <w:szCs w:val="20"/>
              </w:rPr>
            </w:pPr>
            <w:r w:rsidRPr="00845320">
              <w:rPr>
                <w:sz w:val="20"/>
                <w:szCs w:val="20"/>
              </w:rPr>
              <w:t>National Plan Advisory Groups</w:t>
            </w:r>
          </w:p>
          <w:p w14:paraId="7F715296" w14:textId="77777777" w:rsidR="00845320" w:rsidRPr="00845320" w:rsidRDefault="00845320" w:rsidP="00374E2E">
            <w:pPr>
              <w:numPr>
                <w:ilvl w:val="0"/>
                <w:numId w:val="95"/>
              </w:numPr>
              <w:spacing w:after="0" w:line="240" w:lineRule="auto"/>
              <w:rPr>
                <w:sz w:val="20"/>
                <w:szCs w:val="20"/>
              </w:rPr>
            </w:pPr>
            <w:r w:rsidRPr="00845320">
              <w:rPr>
                <w:sz w:val="20"/>
                <w:szCs w:val="20"/>
              </w:rPr>
              <w:t xml:space="preserve">Sexual Assault Services Victoria </w:t>
            </w:r>
          </w:p>
        </w:tc>
      </w:tr>
      <w:tr w:rsidR="00845320" w:rsidRPr="00845320" w14:paraId="6D3A5198" w14:textId="77777777">
        <w:trPr>
          <w:trHeight w:val="300"/>
        </w:trPr>
        <w:tc>
          <w:tcPr>
            <w:tcW w:w="1980" w:type="dxa"/>
            <w:tcBorders>
              <w:top w:val="single" w:sz="6" w:space="0" w:color="7F7F7F"/>
              <w:left w:val="nil"/>
              <w:bottom w:val="single" w:sz="6" w:space="0" w:color="7F7F7F"/>
              <w:right w:val="nil"/>
            </w:tcBorders>
          </w:tcPr>
          <w:p w14:paraId="225F75C7" w14:textId="77777777" w:rsidR="00845320" w:rsidRPr="00845320" w:rsidRDefault="00845320" w:rsidP="00845320">
            <w:pPr>
              <w:spacing w:after="0" w:line="240" w:lineRule="auto"/>
              <w:rPr>
                <w:b/>
                <w:bCs/>
                <w:sz w:val="20"/>
                <w:szCs w:val="20"/>
              </w:rPr>
            </w:pPr>
            <w:r w:rsidRPr="00845320">
              <w:rPr>
                <w:b/>
                <w:bCs/>
                <w:sz w:val="20"/>
                <w:szCs w:val="20"/>
              </w:rPr>
              <w:t>First Nations organisations</w:t>
            </w:r>
          </w:p>
        </w:tc>
        <w:tc>
          <w:tcPr>
            <w:tcW w:w="7020" w:type="dxa"/>
            <w:tcBorders>
              <w:top w:val="single" w:sz="6" w:space="0" w:color="7F7F7F"/>
              <w:left w:val="nil"/>
              <w:bottom w:val="single" w:sz="6" w:space="0" w:color="7F7F7F"/>
              <w:right w:val="nil"/>
            </w:tcBorders>
          </w:tcPr>
          <w:p w14:paraId="43360558" w14:textId="77777777" w:rsidR="00845320" w:rsidRPr="00845320" w:rsidRDefault="00845320" w:rsidP="00374E2E">
            <w:pPr>
              <w:numPr>
                <w:ilvl w:val="0"/>
                <w:numId w:val="95"/>
              </w:numPr>
              <w:spacing w:after="0" w:line="240" w:lineRule="auto"/>
              <w:rPr>
                <w:sz w:val="20"/>
                <w:szCs w:val="20"/>
              </w:rPr>
            </w:pPr>
            <w:r w:rsidRPr="00845320">
              <w:rPr>
                <w:sz w:val="20"/>
                <w:szCs w:val="20"/>
              </w:rPr>
              <w:t>First Nations Justice</w:t>
            </w:r>
          </w:p>
          <w:p w14:paraId="0A77E7B3" w14:textId="77777777" w:rsidR="00845320" w:rsidRPr="00845320" w:rsidRDefault="00845320" w:rsidP="00374E2E">
            <w:pPr>
              <w:numPr>
                <w:ilvl w:val="0"/>
                <w:numId w:val="95"/>
              </w:numPr>
              <w:spacing w:after="0" w:line="240" w:lineRule="auto"/>
              <w:rPr>
                <w:sz w:val="20"/>
                <w:szCs w:val="20"/>
              </w:rPr>
            </w:pPr>
            <w:r w:rsidRPr="00845320">
              <w:rPr>
                <w:sz w:val="20"/>
                <w:szCs w:val="20"/>
              </w:rPr>
              <w:t>Aboriginal and Torres Strait Islander Advisory Council</w:t>
            </w:r>
          </w:p>
          <w:p w14:paraId="350072A1" w14:textId="77777777" w:rsidR="00845320" w:rsidRPr="00845320" w:rsidRDefault="00845320" w:rsidP="00374E2E">
            <w:pPr>
              <w:numPr>
                <w:ilvl w:val="0"/>
                <w:numId w:val="95"/>
              </w:numPr>
              <w:spacing w:after="0" w:line="240" w:lineRule="auto"/>
              <w:rPr>
                <w:sz w:val="20"/>
                <w:szCs w:val="20"/>
              </w:rPr>
            </w:pPr>
            <w:r w:rsidRPr="00845320">
              <w:rPr>
                <w:sz w:val="20"/>
                <w:szCs w:val="20"/>
              </w:rPr>
              <w:t>Wiyi Yani Y Thangani Institute for First Nations Gender Justice </w:t>
            </w:r>
          </w:p>
        </w:tc>
      </w:tr>
      <w:tr w:rsidR="00845320" w:rsidRPr="00845320" w14:paraId="7F687E9F" w14:textId="77777777">
        <w:trPr>
          <w:trHeight w:val="300"/>
        </w:trPr>
        <w:tc>
          <w:tcPr>
            <w:tcW w:w="1980" w:type="dxa"/>
            <w:tcBorders>
              <w:top w:val="single" w:sz="6" w:space="0" w:color="7F7F7F"/>
              <w:left w:val="nil"/>
              <w:bottom w:val="single" w:sz="6" w:space="0" w:color="7F7F7F"/>
              <w:right w:val="nil"/>
            </w:tcBorders>
            <w:hideMark/>
          </w:tcPr>
          <w:p w14:paraId="71591C84" w14:textId="77777777" w:rsidR="00845320" w:rsidRPr="00845320" w:rsidRDefault="00845320" w:rsidP="00845320">
            <w:pPr>
              <w:spacing w:after="0" w:line="240" w:lineRule="auto"/>
              <w:rPr>
                <w:b/>
                <w:bCs/>
                <w:sz w:val="20"/>
                <w:szCs w:val="20"/>
              </w:rPr>
            </w:pPr>
            <w:r w:rsidRPr="00845320">
              <w:rPr>
                <w:b/>
                <w:bCs/>
                <w:sz w:val="20"/>
                <w:szCs w:val="20"/>
              </w:rPr>
              <w:t xml:space="preserve">Young People </w:t>
            </w:r>
          </w:p>
        </w:tc>
        <w:tc>
          <w:tcPr>
            <w:tcW w:w="7020" w:type="dxa"/>
            <w:tcBorders>
              <w:top w:val="single" w:sz="6" w:space="0" w:color="7F7F7F"/>
              <w:left w:val="nil"/>
              <w:bottom w:val="single" w:sz="6" w:space="0" w:color="7F7F7F"/>
              <w:right w:val="nil"/>
            </w:tcBorders>
            <w:hideMark/>
          </w:tcPr>
          <w:p w14:paraId="02A7EE2A" w14:textId="77777777" w:rsidR="00845320" w:rsidRPr="00845320" w:rsidRDefault="00845320" w:rsidP="00374E2E">
            <w:pPr>
              <w:numPr>
                <w:ilvl w:val="0"/>
                <w:numId w:val="52"/>
              </w:numPr>
              <w:spacing w:after="0" w:line="240" w:lineRule="auto"/>
              <w:rPr>
                <w:sz w:val="20"/>
                <w:szCs w:val="20"/>
              </w:rPr>
            </w:pPr>
            <w:r w:rsidRPr="00845320">
              <w:rPr>
                <w:sz w:val="20"/>
                <w:szCs w:val="20"/>
              </w:rPr>
              <w:t>Youth Advisory Group (DSS)</w:t>
            </w:r>
          </w:p>
        </w:tc>
      </w:tr>
      <w:tr w:rsidR="00845320" w:rsidRPr="00845320" w14:paraId="10AABE35" w14:textId="77777777">
        <w:trPr>
          <w:trHeight w:val="300"/>
        </w:trPr>
        <w:tc>
          <w:tcPr>
            <w:tcW w:w="1980" w:type="dxa"/>
            <w:tcBorders>
              <w:top w:val="nil"/>
              <w:left w:val="nil"/>
              <w:bottom w:val="nil"/>
              <w:right w:val="nil"/>
            </w:tcBorders>
            <w:hideMark/>
          </w:tcPr>
          <w:p w14:paraId="66CE90E6" w14:textId="77777777" w:rsidR="00845320" w:rsidRPr="00845320" w:rsidRDefault="00845320" w:rsidP="00845320">
            <w:pPr>
              <w:spacing w:after="0" w:line="240" w:lineRule="auto"/>
              <w:rPr>
                <w:b/>
                <w:bCs/>
                <w:sz w:val="20"/>
                <w:szCs w:val="20"/>
              </w:rPr>
            </w:pPr>
            <w:r w:rsidRPr="00845320">
              <w:rPr>
                <w:b/>
                <w:bCs/>
                <w:sz w:val="20"/>
                <w:szCs w:val="20"/>
              </w:rPr>
              <w:t>Higher education providers   </w:t>
            </w:r>
          </w:p>
          <w:p w14:paraId="1D99B122" w14:textId="77777777" w:rsidR="00845320" w:rsidRPr="00845320" w:rsidRDefault="00845320" w:rsidP="00845320">
            <w:pPr>
              <w:spacing w:after="0" w:line="240" w:lineRule="auto"/>
              <w:rPr>
                <w:b/>
                <w:bCs/>
                <w:sz w:val="20"/>
                <w:szCs w:val="20"/>
              </w:rPr>
            </w:pPr>
            <w:r w:rsidRPr="00845320">
              <w:rPr>
                <w:b/>
                <w:bCs/>
                <w:sz w:val="20"/>
                <w:szCs w:val="20"/>
              </w:rPr>
              <w:t> </w:t>
            </w:r>
          </w:p>
          <w:p w14:paraId="2C2D1635" w14:textId="77777777" w:rsidR="00845320" w:rsidRPr="00845320" w:rsidRDefault="00845320" w:rsidP="00845320">
            <w:pPr>
              <w:spacing w:after="0" w:line="240" w:lineRule="auto"/>
              <w:rPr>
                <w:b/>
                <w:bCs/>
                <w:sz w:val="20"/>
                <w:szCs w:val="20"/>
              </w:rPr>
            </w:pPr>
            <w:r w:rsidRPr="00845320">
              <w:rPr>
                <w:b/>
                <w:bCs/>
                <w:sz w:val="20"/>
                <w:szCs w:val="20"/>
              </w:rPr>
              <w:t> </w:t>
            </w:r>
          </w:p>
          <w:p w14:paraId="58B9B336" w14:textId="77777777" w:rsidR="00845320" w:rsidRPr="00845320" w:rsidRDefault="00845320" w:rsidP="00845320">
            <w:pPr>
              <w:spacing w:after="0" w:line="240" w:lineRule="auto"/>
              <w:rPr>
                <w:b/>
                <w:bCs/>
                <w:sz w:val="20"/>
                <w:szCs w:val="20"/>
              </w:rPr>
            </w:pPr>
            <w:r w:rsidRPr="00845320">
              <w:rPr>
                <w:b/>
                <w:bCs/>
                <w:sz w:val="20"/>
                <w:szCs w:val="20"/>
              </w:rPr>
              <w:t> </w:t>
            </w:r>
          </w:p>
        </w:tc>
        <w:tc>
          <w:tcPr>
            <w:tcW w:w="7020" w:type="dxa"/>
            <w:tcBorders>
              <w:top w:val="nil"/>
              <w:left w:val="nil"/>
              <w:bottom w:val="nil"/>
              <w:right w:val="nil"/>
            </w:tcBorders>
            <w:hideMark/>
          </w:tcPr>
          <w:p w14:paraId="671D1527" w14:textId="77777777" w:rsidR="00845320" w:rsidRPr="00845320" w:rsidRDefault="00845320" w:rsidP="00374E2E">
            <w:pPr>
              <w:numPr>
                <w:ilvl w:val="0"/>
                <w:numId w:val="92"/>
              </w:numPr>
              <w:spacing w:after="0" w:line="240" w:lineRule="auto"/>
              <w:rPr>
                <w:sz w:val="20"/>
                <w:szCs w:val="20"/>
              </w:rPr>
            </w:pPr>
            <w:r w:rsidRPr="00845320">
              <w:rPr>
                <w:sz w:val="20"/>
                <w:szCs w:val="20"/>
              </w:rPr>
              <w:t xml:space="preserve">Deakin University </w:t>
            </w:r>
          </w:p>
          <w:p w14:paraId="61C160A4"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Australian Catholic University </w:t>
            </w:r>
          </w:p>
          <w:p w14:paraId="52A56DDC"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Southern Queensland </w:t>
            </w:r>
          </w:p>
          <w:p w14:paraId="2F747B8C"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Melbourne </w:t>
            </w:r>
          </w:p>
          <w:p w14:paraId="22B46F8B"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Swinburne University of Technology </w:t>
            </w:r>
          </w:p>
          <w:p w14:paraId="7F27FE7C"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Murdoch University </w:t>
            </w:r>
          </w:p>
          <w:p w14:paraId="3C5AD6D4"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Canberra </w:t>
            </w:r>
          </w:p>
          <w:p w14:paraId="03F05F8E"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CQUniversity </w:t>
            </w:r>
          </w:p>
          <w:p w14:paraId="378E8A93"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Bond University </w:t>
            </w:r>
          </w:p>
          <w:p w14:paraId="726707E2"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RMIT University </w:t>
            </w:r>
          </w:p>
          <w:p w14:paraId="75A66B2D"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Newcastle </w:t>
            </w:r>
          </w:p>
          <w:p w14:paraId="0C6A83C7"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The Australian National University </w:t>
            </w:r>
          </w:p>
          <w:p w14:paraId="6D4E2875"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Victoria University </w:t>
            </w:r>
          </w:p>
          <w:p w14:paraId="6A72EF10"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the Sunshine Coast </w:t>
            </w:r>
          </w:p>
          <w:p w14:paraId="564A1BA4"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Notre Dame Australia </w:t>
            </w:r>
          </w:p>
          <w:p w14:paraId="741352D1"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Sydney </w:t>
            </w:r>
          </w:p>
          <w:p w14:paraId="245D1FE0"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Queensland </w:t>
            </w:r>
          </w:p>
          <w:p w14:paraId="239CA945"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Griffith University </w:t>
            </w:r>
          </w:p>
          <w:p w14:paraId="4C168E30"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South Australia </w:t>
            </w:r>
          </w:p>
          <w:p w14:paraId="1859A447"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Queensland University of Technology </w:t>
            </w:r>
          </w:p>
          <w:p w14:paraId="41FFED4B"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Western Sydney University </w:t>
            </w:r>
          </w:p>
          <w:p w14:paraId="123F2440"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Monash University </w:t>
            </w:r>
          </w:p>
          <w:p w14:paraId="1B5E621A"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UNSW Sydney </w:t>
            </w:r>
          </w:p>
          <w:p w14:paraId="0EE6316D"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University of Technology Sydney </w:t>
            </w:r>
          </w:p>
          <w:p w14:paraId="3002DBFE"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Federation University </w:t>
            </w:r>
          </w:p>
          <w:p w14:paraId="78BE7E5B"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Charles Darwin University </w:t>
            </w:r>
          </w:p>
          <w:p w14:paraId="3F025628"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The University of Adelaide </w:t>
            </w:r>
          </w:p>
          <w:p w14:paraId="57B001FD"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The University of New England </w:t>
            </w:r>
          </w:p>
          <w:p w14:paraId="16492F5D" w14:textId="77777777" w:rsidR="00845320" w:rsidRPr="00845320" w:rsidRDefault="00845320" w:rsidP="00374E2E">
            <w:pPr>
              <w:numPr>
                <w:ilvl w:val="0"/>
                <w:numId w:val="58"/>
              </w:numPr>
              <w:spacing w:after="0" w:line="240" w:lineRule="auto"/>
              <w:rPr>
                <w:sz w:val="20"/>
                <w:szCs w:val="20"/>
              </w:rPr>
            </w:pPr>
            <w:r w:rsidRPr="00845320">
              <w:rPr>
                <w:sz w:val="20"/>
                <w:szCs w:val="20"/>
              </w:rPr>
              <w:t xml:space="preserve">The University of Western Australia </w:t>
            </w:r>
          </w:p>
        </w:tc>
      </w:tr>
      <w:tr w:rsidR="00845320" w:rsidRPr="00845320" w14:paraId="284E88D8" w14:textId="77777777">
        <w:trPr>
          <w:trHeight w:val="300"/>
        </w:trPr>
        <w:tc>
          <w:tcPr>
            <w:tcW w:w="1980" w:type="dxa"/>
            <w:tcBorders>
              <w:top w:val="single" w:sz="6" w:space="0" w:color="7F7F7F"/>
              <w:left w:val="nil"/>
              <w:bottom w:val="single" w:sz="6" w:space="0" w:color="7F7F7F"/>
              <w:right w:val="nil"/>
            </w:tcBorders>
            <w:hideMark/>
          </w:tcPr>
          <w:p w14:paraId="014FAC4F" w14:textId="77777777" w:rsidR="00845320" w:rsidRPr="00845320" w:rsidRDefault="00845320" w:rsidP="00845320">
            <w:pPr>
              <w:spacing w:after="0" w:line="240" w:lineRule="auto"/>
              <w:rPr>
                <w:b/>
                <w:bCs/>
                <w:sz w:val="20"/>
                <w:szCs w:val="20"/>
              </w:rPr>
            </w:pPr>
            <w:r w:rsidRPr="00845320">
              <w:rPr>
                <w:b/>
                <w:bCs/>
                <w:sz w:val="20"/>
                <w:szCs w:val="20"/>
              </w:rPr>
              <w:t>Higher education bodies </w:t>
            </w:r>
          </w:p>
          <w:p w14:paraId="6891F6E3" w14:textId="77777777" w:rsidR="00845320" w:rsidRPr="00845320" w:rsidRDefault="00845320" w:rsidP="00845320">
            <w:pPr>
              <w:spacing w:after="0" w:line="240" w:lineRule="auto"/>
              <w:rPr>
                <w:b/>
                <w:bCs/>
                <w:sz w:val="20"/>
                <w:szCs w:val="20"/>
              </w:rPr>
            </w:pPr>
            <w:r w:rsidRPr="00845320">
              <w:rPr>
                <w:b/>
                <w:bCs/>
                <w:sz w:val="20"/>
                <w:szCs w:val="20"/>
              </w:rPr>
              <w:t> </w:t>
            </w:r>
          </w:p>
        </w:tc>
        <w:tc>
          <w:tcPr>
            <w:tcW w:w="7020" w:type="dxa"/>
            <w:tcBorders>
              <w:top w:val="single" w:sz="6" w:space="0" w:color="7F7F7F"/>
              <w:left w:val="nil"/>
              <w:bottom w:val="single" w:sz="6" w:space="0" w:color="7F7F7F"/>
              <w:right w:val="nil"/>
            </w:tcBorders>
            <w:hideMark/>
          </w:tcPr>
          <w:p w14:paraId="42B95867" w14:textId="77777777" w:rsidR="00845320" w:rsidRPr="00845320" w:rsidRDefault="00845320" w:rsidP="00374E2E">
            <w:pPr>
              <w:numPr>
                <w:ilvl w:val="0"/>
                <w:numId w:val="78"/>
              </w:numPr>
              <w:spacing w:after="0" w:line="240" w:lineRule="auto"/>
              <w:rPr>
                <w:sz w:val="20"/>
                <w:szCs w:val="20"/>
              </w:rPr>
            </w:pPr>
            <w:r w:rsidRPr="00845320">
              <w:rPr>
                <w:sz w:val="20"/>
                <w:szCs w:val="20"/>
              </w:rPr>
              <w:t>Universities Australia </w:t>
            </w:r>
          </w:p>
          <w:p w14:paraId="5B8148F9" w14:textId="77777777" w:rsidR="00845320" w:rsidRPr="00845320" w:rsidRDefault="00845320" w:rsidP="00374E2E">
            <w:pPr>
              <w:numPr>
                <w:ilvl w:val="0"/>
                <w:numId w:val="81"/>
              </w:numPr>
              <w:spacing w:after="0" w:line="240" w:lineRule="auto"/>
              <w:rPr>
                <w:sz w:val="20"/>
                <w:szCs w:val="20"/>
              </w:rPr>
            </w:pPr>
            <w:r w:rsidRPr="00845320">
              <w:rPr>
                <w:sz w:val="20"/>
                <w:szCs w:val="20"/>
              </w:rPr>
              <w:t xml:space="preserve">Group of Eight  </w:t>
            </w:r>
          </w:p>
          <w:p w14:paraId="09D96555" w14:textId="77777777" w:rsidR="00845320" w:rsidRPr="00845320" w:rsidRDefault="00845320" w:rsidP="00374E2E">
            <w:pPr>
              <w:numPr>
                <w:ilvl w:val="0"/>
                <w:numId w:val="81"/>
              </w:numPr>
              <w:spacing w:after="0" w:line="240" w:lineRule="auto"/>
              <w:rPr>
                <w:sz w:val="20"/>
                <w:szCs w:val="20"/>
              </w:rPr>
            </w:pPr>
            <w:r w:rsidRPr="00845320">
              <w:rPr>
                <w:sz w:val="20"/>
                <w:szCs w:val="20"/>
              </w:rPr>
              <w:t xml:space="preserve">Australian Technology Network   </w:t>
            </w:r>
          </w:p>
          <w:p w14:paraId="74111E6E" w14:textId="77777777" w:rsidR="00845320" w:rsidRPr="00845320" w:rsidRDefault="00845320" w:rsidP="00374E2E">
            <w:pPr>
              <w:numPr>
                <w:ilvl w:val="0"/>
                <w:numId w:val="81"/>
              </w:numPr>
              <w:spacing w:after="0" w:line="240" w:lineRule="auto"/>
              <w:rPr>
                <w:sz w:val="20"/>
                <w:szCs w:val="20"/>
              </w:rPr>
            </w:pPr>
            <w:r w:rsidRPr="00845320">
              <w:rPr>
                <w:sz w:val="20"/>
                <w:szCs w:val="20"/>
              </w:rPr>
              <w:t xml:space="preserve">Innovative Research Universities  </w:t>
            </w:r>
          </w:p>
          <w:p w14:paraId="4FC956C6" w14:textId="77777777" w:rsidR="00845320" w:rsidRPr="00845320" w:rsidRDefault="00845320" w:rsidP="00374E2E">
            <w:pPr>
              <w:numPr>
                <w:ilvl w:val="0"/>
                <w:numId w:val="81"/>
              </w:numPr>
              <w:spacing w:after="0" w:line="240" w:lineRule="auto"/>
              <w:rPr>
                <w:sz w:val="20"/>
                <w:szCs w:val="20"/>
              </w:rPr>
            </w:pPr>
            <w:r w:rsidRPr="00845320">
              <w:rPr>
                <w:sz w:val="20"/>
                <w:szCs w:val="20"/>
              </w:rPr>
              <w:t xml:space="preserve">Regional Universities Network </w:t>
            </w:r>
          </w:p>
          <w:p w14:paraId="7A12CAA9" w14:textId="77777777" w:rsidR="00845320" w:rsidRPr="00845320" w:rsidRDefault="00845320" w:rsidP="00374E2E">
            <w:pPr>
              <w:numPr>
                <w:ilvl w:val="0"/>
                <w:numId w:val="81"/>
              </w:numPr>
              <w:spacing w:after="0" w:line="240" w:lineRule="auto"/>
              <w:rPr>
                <w:sz w:val="20"/>
                <w:szCs w:val="20"/>
              </w:rPr>
            </w:pPr>
            <w:r w:rsidRPr="00845320">
              <w:rPr>
                <w:sz w:val="20"/>
                <w:szCs w:val="20"/>
              </w:rPr>
              <w:t xml:space="preserve">Independent Higher Education Australia  </w:t>
            </w:r>
          </w:p>
          <w:p w14:paraId="3DF5A257" w14:textId="77777777" w:rsidR="00845320" w:rsidRPr="00845320" w:rsidRDefault="00845320" w:rsidP="00374E2E">
            <w:pPr>
              <w:numPr>
                <w:ilvl w:val="0"/>
                <w:numId w:val="81"/>
              </w:numPr>
              <w:spacing w:after="0" w:line="240" w:lineRule="auto"/>
              <w:rPr>
                <w:sz w:val="20"/>
                <w:szCs w:val="20"/>
              </w:rPr>
            </w:pPr>
            <w:r w:rsidRPr="00845320">
              <w:rPr>
                <w:sz w:val="20"/>
                <w:szCs w:val="20"/>
              </w:rPr>
              <w:t xml:space="preserve">Independent Tertiary Education Council Australia   </w:t>
            </w:r>
          </w:p>
          <w:p w14:paraId="1361C1A5" w14:textId="77777777" w:rsidR="00845320" w:rsidRPr="00845320" w:rsidRDefault="00845320" w:rsidP="00374E2E">
            <w:pPr>
              <w:numPr>
                <w:ilvl w:val="0"/>
                <w:numId w:val="81"/>
              </w:numPr>
              <w:spacing w:after="0" w:line="240" w:lineRule="auto"/>
              <w:rPr>
                <w:sz w:val="20"/>
                <w:szCs w:val="20"/>
              </w:rPr>
            </w:pPr>
            <w:r w:rsidRPr="00845320">
              <w:rPr>
                <w:sz w:val="20"/>
                <w:szCs w:val="20"/>
              </w:rPr>
              <w:t>University Chancellor’s Council</w:t>
            </w:r>
          </w:p>
        </w:tc>
      </w:tr>
      <w:tr w:rsidR="00845320" w:rsidRPr="00845320" w14:paraId="21D2B24E" w14:textId="77777777">
        <w:trPr>
          <w:trHeight w:val="300"/>
        </w:trPr>
        <w:tc>
          <w:tcPr>
            <w:tcW w:w="1980" w:type="dxa"/>
            <w:tcBorders>
              <w:top w:val="nil"/>
              <w:left w:val="nil"/>
              <w:bottom w:val="nil"/>
              <w:right w:val="nil"/>
            </w:tcBorders>
            <w:hideMark/>
          </w:tcPr>
          <w:p w14:paraId="67E49F42" w14:textId="77777777" w:rsidR="00845320" w:rsidRPr="00845320" w:rsidRDefault="00845320" w:rsidP="00845320">
            <w:pPr>
              <w:spacing w:after="0" w:line="240" w:lineRule="auto"/>
              <w:rPr>
                <w:b/>
                <w:bCs/>
                <w:sz w:val="20"/>
                <w:szCs w:val="20"/>
              </w:rPr>
            </w:pPr>
            <w:r w:rsidRPr="00845320">
              <w:rPr>
                <w:b/>
                <w:bCs/>
                <w:sz w:val="20"/>
                <w:szCs w:val="20"/>
              </w:rPr>
              <w:lastRenderedPageBreak/>
              <w:t>Student accommodation providers and groups </w:t>
            </w:r>
          </w:p>
        </w:tc>
        <w:tc>
          <w:tcPr>
            <w:tcW w:w="7020" w:type="dxa"/>
            <w:tcBorders>
              <w:top w:val="nil"/>
              <w:left w:val="nil"/>
              <w:bottom w:val="nil"/>
              <w:right w:val="nil"/>
            </w:tcBorders>
            <w:hideMark/>
          </w:tcPr>
          <w:p w14:paraId="48BE8A2E" w14:textId="77777777" w:rsidR="00845320" w:rsidRPr="00845320" w:rsidRDefault="00845320" w:rsidP="00374E2E">
            <w:pPr>
              <w:numPr>
                <w:ilvl w:val="0"/>
                <w:numId w:val="85"/>
              </w:numPr>
              <w:spacing w:after="0" w:line="240" w:lineRule="auto"/>
              <w:rPr>
                <w:sz w:val="20"/>
                <w:szCs w:val="20"/>
              </w:rPr>
            </w:pPr>
            <w:r w:rsidRPr="00845320">
              <w:rPr>
                <w:sz w:val="20"/>
                <w:szCs w:val="20"/>
              </w:rPr>
              <w:t xml:space="preserve">Asia-Pacific Student Accommodation Association </w:t>
            </w:r>
          </w:p>
          <w:p w14:paraId="50C7F36E" w14:textId="77777777" w:rsidR="00845320" w:rsidRPr="00845320" w:rsidRDefault="00845320" w:rsidP="00374E2E">
            <w:pPr>
              <w:numPr>
                <w:ilvl w:val="0"/>
                <w:numId w:val="85"/>
              </w:numPr>
              <w:spacing w:after="0" w:line="240" w:lineRule="auto"/>
              <w:rPr>
                <w:sz w:val="20"/>
                <w:szCs w:val="20"/>
              </w:rPr>
            </w:pPr>
            <w:r w:rsidRPr="00845320">
              <w:rPr>
                <w:sz w:val="20"/>
                <w:szCs w:val="20"/>
              </w:rPr>
              <w:t xml:space="preserve">Student Accommodation Association </w:t>
            </w:r>
          </w:p>
        </w:tc>
      </w:tr>
      <w:tr w:rsidR="00845320" w:rsidRPr="00845320" w14:paraId="154F5DCD" w14:textId="77777777">
        <w:trPr>
          <w:trHeight w:val="300"/>
        </w:trPr>
        <w:tc>
          <w:tcPr>
            <w:tcW w:w="1980" w:type="dxa"/>
            <w:tcBorders>
              <w:top w:val="single" w:sz="6" w:space="0" w:color="7F7F7F"/>
              <w:left w:val="nil"/>
              <w:bottom w:val="single" w:sz="6" w:space="0" w:color="7F7F7F"/>
              <w:right w:val="nil"/>
            </w:tcBorders>
            <w:hideMark/>
          </w:tcPr>
          <w:p w14:paraId="2B0F3108" w14:textId="77777777" w:rsidR="00845320" w:rsidRPr="00845320" w:rsidRDefault="00845320" w:rsidP="00845320">
            <w:pPr>
              <w:spacing w:after="0" w:line="240" w:lineRule="auto"/>
              <w:rPr>
                <w:b/>
                <w:bCs/>
                <w:sz w:val="20"/>
                <w:szCs w:val="20"/>
              </w:rPr>
            </w:pPr>
            <w:r w:rsidRPr="00845320">
              <w:rPr>
                <w:b/>
                <w:bCs/>
                <w:sz w:val="20"/>
                <w:szCs w:val="20"/>
              </w:rPr>
              <w:t>Staff </w:t>
            </w:r>
          </w:p>
        </w:tc>
        <w:tc>
          <w:tcPr>
            <w:tcW w:w="7020" w:type="dxa"/>
            <w:tcBorders>
              <w:top w:val="single" w:sz="6" w:space="0" w:color="7F7F7F"/>
              <w:left w:val="nil"/>
              <w:bottom w:val="single" w:sz="6" w:space="0" w:color="7F7F7F"/>
              <w:right w:val="nil"/>
            </w:tcBorders>
            <w:hideMark/>
          </w:tcPr>
          <w:p w14:paraId="00D8B975" w14:textId="77777777" w:rsidR="00845320" w:rsidRPr="00845320" w:rsidRDefault="00845320" w:rsidP="00374E2E">
            <w:pPr>
              <w:numPr>
                <w:ilvl w:val="0"/>
                <w:numId w:val="86"/>
              </w:numPr>
              <w:spacing w:after="0" w:line="240" w:lineRule="auto"/>
              <w:rPr>
                <w:sz w:val="20"/>
                <w:szCs w:val="20"/>
              </w:rPr>
            </w:pPr>
            <w:r w:rsidRPr="00845320">
              <w:rPr>
                <w:sz w:val="20"/>
                <w:szCs w:val="20"/>
              </w:rPr>
              <w:t>National Tertiary Education Union</w:t>
            </w:r>
          </w:p>
        </w:tc>
      </w:tr>
      <w:tr w:rsidR="00845320" w:rsidRPr="00845320" w14:paraId="677A6C4A" w14:textId="77777777">
        <w:trPr>
          <w:trHeight w:val="300"/>
        </w:trPr>
        <w:tc>
          <w:tcPr>
            <w:tcW w:w="1980" w:type="dxa"/>
            <w:tcBorders>
              <w:top w:val="nil"/>
              <w:left w:val="nil"/>
              <w:bottom w:val="nil"/>
              <w:right w:val="nil"/>
            </w:tcBorders>
            <w:hideMark/>
          </w:tcPr>
          <w:p w14:paraId="20CE3FF7" w14:textId="77777777" w:rsidR="00845320" w:rsidRPr="00845320" w:rsidRDefault="00845320" w:rsidP="00845320">
            <w:pPr>
              <w:spacing w:after="0" w:line="240" w:lineRule="auto"/>
              <w:rPr>
                <w:b/>
                <w:bCs/>
                <w:sz w:val="20"/>
                <w:szCs w:val="20"/>
              </w:rPr>
            </w:pPr>
            <w:r w:rsidRPr="00845320">
              <w:rPr>
                <w:b/>
                <w:bCs/>
                <w:sz w:val="20"/>
                <w:szCs w:val="20"/>
              </w:rPr>
              <w:t>Government </w:t>
            </w:r>
          </w:p>
        </w:tc>
        <w:tc>
          <w:tcPr>
            <w:tcW w:w="7020" w:type="dxa"/>
            <w:tcBorders>
              <w:top w:val="nil"/>
              <w:left w:val="nil"/>
              <w:bottom w:val="nil"/>
              <w:right w:val="nil"/>
            </w:tcBorders>
            <w:hideMark/>
          </w:tcPr>
          <w:p w14:paraId="2378B871" w14:textId="77777777" w:rsidR="00845320" w:rsidRPr="00845320" w:rsidRDefault="00845320" w:rsidP="00374E2E">
            <w:pPr>
              <w:numPr>
                <w:ilvl w:val="0"/>
                <w:numId w:val="87"/>
              </w:numPr>
              <w:spacing w:after="0" w:line="240" w:lineRule="auto"/>
              <w:rPr>
                <w:sz w:val="20"/>
                <w:szCs w:val="20"/>
              </w:rPr>
            </w:pPr>
            <w:r w:rsidRPr="00845320">
              <w:rPr>
                <w:sz w:val="20"/>
                <w:szCs w:val="20"/>
              </w:rPr>
              <w:t>Australian Human Rights Commission </w:t>
            </w:r>
          </w:p>
          <w:p w14:paraId="694890BE" w14:textId="77777777" w:rsidR="00845320" w:rsidRPr="00845320" w:rsidRDefault="00845320" w:rsidP="00374E2E">
            <w:pPr>
              <w:numPr>
                <w:ilvl w:val="0"/>
                <w:numId w:val="88"/>
              </w:numPr>
              <w:spacing w:after="0" w:line="240" w:lineRule="auto"/>
              <w:rPr>
                <w:sz w:val="20"/>
                <w:szCs w:val="20"/>
              </w:rPr>
            </w:pPr>
            <w:r w:rsidRPr="00845320">
              <w:rPr>
                <w:sz w:val="20"/>
                <w:szCs w:val="20"/>
              </w:rPr>
              <w:t xml:space="preserve">eSafety Commission </w:t>
            </w:r>
          </w:p>
          <w:p w14:paraId="1FE5A85F" w14:textId="77777777" w:rsidR="00845320" w:rsidRPr="00845320" w:rsidRDefault="00845320" w:rsidP="00374E2E">
            <w:pPr>
              <w:numPr>
                <w:ilvl w:val="0"/>
                <w:numId w:val="88"/>
              </w:numPr>
              <w:spacing w:after="0" w:line="240" w:lineRule="auto"/>
              <w:rPr>
                <w:sz w:val="20"/>
                <w:szCs w:val="20"/>
              </w:rPr>
            </w:pPr>
            <w:r w:rsidRPr="00845320">
              <w:rPr>
                <w:sz w:val="20"/>
                <w:szCs w:val="20"/>
              </w:rPr>
              <w:t xml:space="preserve">Victorian Government Departmental Officials </w:t>
            </w:r>
          </w:p>
          <w:p w14:paraId="4879107D" w14:textId="77777777" w:rsidR="00845320" w:rsidRPr="00845320" w:rsidRDefault="00845320" w:rsidP="00374E2E">
            <w:pPr>
              <w:numPr>
                <w:ilvl w:val="0"/>
                <w:numId w:val="88"/>
              </w:numPr>
              <w:spacing w:after="0" w:line="240" w:lineRule="auto"/>
              <w:rPr>
                <w:sz w:val="20"/>
                <w:szCs w:val="20"/>
              </w:rPr>
            </w:pPr>
            <w:r w:rsidRPr="00845320">
              <w:rPr>
                <w:sz w:val="20"/>
                <w:szCs w:val="20"/>
              </w:rPr>
              <w:t>Higher Education Standards Panel</w:t>
            </w:r>
          </w:p>
        </w:tc>
      </w:tr>
    </w:tbl>
    <w:p w14:paraId="51055335" w14:textId="3F7E7E25" w:rsidR="00845320" w:rsidRDefault="00845320" w:rsidP="00845320">
      <w:pPr>
        <w:pStyle w:val="Heading2"/>
      </w:pPr>
      <w:bookmarkStart w:id="202" w:name="_Toc204699896"/>
      <w:bookmarkStart w:id="203" w:name="_Toc210050249"/>
      <w:r>
        <w:t xml:space="preserve">Expert Reference Group and Finalisation of the </w:t>
      </w:r>
      <w:r w:rsidR="008743F1">
        <w:t>National Code</w:t>
      </w:r>
      <w:bookmarkEnd w:id="202"/>
      <w:bookmarkEnd w:id="203"/>
    </w:p>
    <w:p w14:paraId="2BC91778" w14:textId="3B464D6E" w:rsidR="000B7C30" w:rsidRPr="00F45378" w:rsidRDefault="000B7C30" w:rsidP="000B7C30">
      <w:pPr>
        <w:rPr>
          <w:szCs w:val="22"/>
        </w:rPr>
      </w:pPr>
      <w:r w:rsidRPr="00F45378">
        <w:rPr>
          <w:szCs w:val="22"/>
        </w:rPr>
        <w:t xml:space="preserve">The ERG was established to provide ongoing strategic advice throughout the development process of the </w:t>
      </w:r>
      <w:r w:rsidR="008743F1" w:rsidRPr="00F45378">
        <w:rPr>
          <w:szCs w:val="22"/>
        </w:rPr>
        <w:t>National Code</w:t>
      </w:r>
      <w:r w:rsidRPr="00F45378">
        <w:rPr>
          <w:szCs w:val="22"/>
        </w:rPr>
        <w:t>. After careful consideration, the ERG was established, comprising of victim-survivor advocates, women’s safety sector representatives, subject matter experts, the higher education sector and student accommodation providers. The objectives of this phase of consultation were to:</w:t>
      </w:r>
    </w:p>
    <w:p w14:paraId="5C961203" w14:textId="6BC4EC8E" w:rsidR="000B7C30" w:rsidRPr="00F45378" w:rsidRDefault="000B7C30" w:rsidP="00DD4830">
      <w:pPr>
        <w:numPr>
          <w:ilvl w:val="0"/>
          <w:numId w:val="97"/>
        </w:numPr>
        <w:spacing w:after="0"/>
        <w:rPr>
          <w:szCs w:val="22"/>
        </w:rPr>
      </w:pPr>
      <w:r w:rsidRPr="00F45378">
        <w:rPr>
          <w:szCs w:val="22"/>
        </w:rPr>
        <w:t>Ensure a diverse range of issues were considered and synthesise</w:t>
      </w:r>
      <w:r w:rsidR="00941CE4">
        <w:rPr>
          <w:szCs w:val="22"/>
        </w:rPr>
        <w:t>d</w:t>
      </w:r>
    </w:p>
    <w:p w14:paraId="043DD882" w14:textId="77777777" w:rsidR="000B7C30" w:rsidRPr="00F45378" w:rsidRDefault="000B7C30" w:rsidP="00DD4830">
      <w:pPr>
        <w:numPr>
          <w:ilvl w:val="0"/>
          <w:numId w:val="97"/>
        </w:numPr>
        <w:spacing w:after="0"/>
        <w:rPr>
          <w:szCs w:val="22"/>
        </w:rPr>
      </w:pPr>
      <w:r w:rsidRPr="00F45378">
        <w:rPr>
          <w:szCs w:val="22"/>
        </w:rPr>
        <w:t>Identify and advise on additional opportunities and risks</w:t>
      </w:r>
    </w:p>
    <w:p w14:paraId="53A7976B" w14:textId="16D4232E" w:rsidR="000B7C30" w:rsidRPr="00F45378" w:rsidRDefault="000B7C30" w:rsidP="00374E2E">
      <w:pPr>
        <w:numPr>
          <w:ilvl w:val="0"/>
          <w:numId w:val="97"/>
        </w:numPr>
        <w:rPr>
          <w:szCs w:val="22"/>
        </w:rPr>
      </w:pPr>
      <w:r w:rsidRPr="00F45378">
        <w:rPr>
          <w:szCs w:val="22"/>
        </w:rPr>
        <w:t xml:space="preserve">Final refinement of </w:t>
      </w:r>
      <w:r w:rsidR="008743F1" w:rsidRPr="00F45378">
        <w:rPr>
          <w:szCs w:val="22"/>
        </w:rPr>
        <w:t>National Code</w:t>
      </w:r>
    </w:p>
    <w:p w14:paraId="5F68B371" w14:textId="58A05C91" w:rsidR="000B7C30" w:rsidRPr="00F45378" w:rsidRDefault="000B7C30" w:rsidP="000B7C30">
      <w:pPr>
        <w:rPr>
          <w:szCs w:val="22"/>
        </w:rPr>
      </w:pPr>
      <w:r w:rsidRPr="00F45378">
        <w:rPr>
          <w:szCs w:val="22"/>
        </w:rPr>
        <w:t xml:space="preserve">The ERG held 7 formal meetings between July 2024 and January 2025. Informal meetings were also undertaken and opportunities to review and comment on the </w:t>
      </w:r>
      <w:r w:rsidR="008743F1" w:rsidRPr="00F45378">
        <w:rPr>
          <w:szCs w:val="22"/>
        </w:rPr>
        <w:t>National Code</w:t>
      </w:r>
      <w:r w:rsidRPr="00F45378">
        <w:rPr>
          <w:szCs w:val="22"/>
        </w:rPr>
        <w:t xml:space="preserve"> were provided, with concentrated involvement as the </w:t>
      </w:r>
      <w:r w:rsidR="008743F1" w:rsidRPr="00F45378">
        <w:rPr>
          <w:szCs w:val="22"/>
        </w:rPr>
        <w:t>National Code</w:t>
      </w:r>
      <w:r w:rsidRPr="00F45378">
        <w:rPr>
          <w:szCs w:val="22"/>
        </w:rPr>
        <w:t xml:space="preserve"> was being finalised. Due to its members’ wide ranging-expertise, ERG members were able to provide valuable insights, </w:t>
      </w:r>
      <w:r w:rsidR="00157F0C" w:rsidRPr="00F45378">
        <w:rPr>
          <w:szCs w:val="22"/>
        </w:rPr>
        <w:t>perspectives,</w:t>
      </w:r>
      <w:r w:rsidRPr="00F45378">
        <w:rPr>
          <w:szCs w:val="22"/>
        </w:rPr>
        <w:t xml:space="preserve"> and advice on existing regulatory requirements, how policy translates to on the ground experiences, including identifying potential barriers to proper policy implementation and potential unintended consequences of proposed policies. </w:t>
      </w:r>
    </w:p>
    <w:p w14:paraId="4EB8F282" w14:textId="77777777" w:rsidR="000B7C30" w:rsidRPr="00F45378" w:rsidRDefault="000B7C30" w:rsidP="000B7C30">
      <w:pPr>
        <w:rPr>
          <w:b/>
          <w:bCs/>
          <w:szCs w:val="22"/>
        </w:rPr>
      </w:pPr>
      <w:r w:rsidRPr="00F45378">
        <w:rPr>
          <w:b/>
          <w:bCs/>
          <w:szCs w:val="22"/>
        </w:rPr>
        <w:t>Key issues that were identified included:</w:t>
      </w:r>
    </w:p>
    <w:p w14:paraId="283C33C1" w14:textId="309181C5" w:rsidR="000B7C30" w:rsidRPr="00F45378" w:rsidRDefault="000B7C30" w:rsidP="00374E2E">
      <w:pPr>
        <w:numPr>
          <w:ilvl w:val="0"/>
          <w:numId w:val="98"/>
        </w:numPr>
        <w:spacing w:after="0"/>
        <w:rPr>
          <w:szCs w:val="22"/>
        </w:rPr>
      </w:pPr>
      <w:r w:rsidRPr="00F45378">
        <w:rPr>
          <w:b/>
          <w:bCs/>
          <w:szCs w:val="22"/>
        </w:rPr>
        <w:t>Case resolution timelines:</w:t>
      </w:r>
      <w:r w:rsidRPr="00F45378">
        <w:rPr>
          <w:szCs w:val="22"/>
        </w:rPr>
        <w:t xml:space="preserve"> Victim-survivor’s experience of the resolution of cases taking exorbitant amounts of time, compounding their distress was considered against the higher education sector’s advice that cases, particularly complex ones, needed time to be appropriately resolved. The </w:t>
      </w:r>
      <w:r w:rsidR="008743F1" w:rsidRPr="00F45378">
        <w:rPr>
          <w:szCs w:val="22"/>
        </w:rPr>
        <w:t>National Code</w:t>
      </w:r>
      <w:r w:rsidRPr="00F45378">
        <w:rPr>
          <w:szCs w:val="22"/>
        </w:rPr>
        <w:t>’s 45-day timeline balances the lowest timeline victim-survivors were prepared to contemplate with the higher education’s need to have time to adequately investigate and resolve cases.</w:t>
      </w:r>
    </w:p>
    <w:p w14:paraId="289A3461" w14:textId="3978FC18" w:rsidR="000B7C30" w:rsidRPr="00F45378" w:rsidRDefault="000B7C30" w:rsidP="00374E2E">
      <w:pPr>
        <w:numPr>
          <w:ilvl w:val="0"/>
          <w:numId w:val="98"/>
        </w:numPr>
        <w:spacing w:after="0"/>
        <w:rPr>
          <w:szCs w:val="22"/>
        </w:rPr>
      </w:pPr>
      <w:r w:rsidRPr="00F45378">
        <w:rPr>
          <w:b/>
          <w:bCs/>
          <w:szCs w:val="22"/>
        </w:rPr>
        <w:t>Sector diversity and resourcing:</w:t>
      </w:r>
      <w:r w:rsidRPr="00F45378">
        <w:rPr>
          <w:szCs w:val="22"/>
        </w:rPr>
        <w:t xml:space="preserve"> the variation between small and large, </w:t>
      </w:r>
      <w:r w:rsidR="00157F0C" w:rsidRPr="00F45378">
        <w:rPr>
          <w:szCs w:val="22"/>
        </w:rPr>
        <w:t>metropolitan,</w:t>
      </w:r>
      <w:r w:rsidRPr="00F45378">
        <w:rPr>
          <w:szCs w:val="22"/>
        </w:rPr>
        <w:t xml:space="preserve"> and regional providers, particularly in their ability to source support services was raised. The </w:t>
      </w:r>
      <w:r w:rsidR="008743F1" w:rsidRPr="00F45378">
        <w:rPr>
          <w:szCs w:val="22"/>
        </w:rPr>
        <w:t>National Code</w:t>
      </w:r>
      <w:r w:rsidRPr="00F45378">
        <w:rPr>
          <w:szCs w:val="22"/>
        </w:rPr>
        <w:t xml:space="preserve"> has endeavoured to address this issue by providing flexibility on the requirement for in-house capability, allowing for outsourcing of some functions when in-house capability may not be available. Moreover, the </w:t>
      </w:r>
      <w:r w:rsidR="008743F1" w:rsidRPr="00F45378">
        <w:rPr>
          <w:szCs w:val="22"/>
        </w:rPr>
        <w:t>National Code</w:t>
      </w:r>
      <w:r w:rsidRPr="00F45378">
        <w:rPr>
          <w:szCs w:val="22"/>
        </w:rPr>
        <w:t xml:space="preserve"> consistently emphasises the importance of contextual implementation, with repeated mention for providers to tailor requirements to their context to ensure meaningful and effective compliance</w:t>
      </w:r>
      <w:r w:rsidR="00157F0C" w:rsidRPr="00F45378">
        <w:rPr>
          <w:szCs w:val="22"/>
        </w:rPr>
        <w:t xml:space="preserve">. </w:t>
      </w:r>
    </w:p>
    <w:p w14:paraId="3ED828BB" w14:textId="7D954736" w:rsidR="000B7C30" w:rsidRPr="00F45378" w:rsidRDefault="000B7C30" w:rsidP="00374E2E">
      <w:pPr>
        <w:numPr>
          <w:ilvl w:val="0"/>
          <w:numId w:val="98"/>
        </w:numPr>
        <w:spacing w:after="0"/>
        <w:rPr>
          <w:szCs w:val="22"/>
        </w:rPr>
      </w:pPr>
      <w:r w:rsidRPr="00F45378">
        <w:rPr>
          <w:b/>
          <w:bCs/>
          <w:szCs w:val="22"/>
        </w:rPr>
        <w:t xml:space="preserve">Data collection and privacy: </w:t>
      </w:r>
      <w:r w:rsidRPr="00F45378">
        <w:rPr>
          <w:szCs w:val="22"/>
        </w:rPr>
        <w:t xml:space="preserve">The need to avoid duplication of existing data collection and reporting requirements, as well as privacy considerations, particularly in smaller higher education providers were raised. Higher education providers were </w:t>
      </w:r>
      <w:r w:rsidRPr="00F45378">
        <w:rPr>
          <w:szCs w:val="22"/>
        </w:rPr>
        <w:lastRenderedPageBreak/>
        <w:t xml:space="preserve">keen to ensure the </w:t>
      </w:r>
      <w:r w:rsidR="008743F1" w:rsidRPr="00F45378">
        <w:rPr>
          <w:szCs w:val="22"/>
        </w:rPr>
        <w:t>National Code</w:t>
      </w:r>
      <w:r w:rsidRPr="00F45378">
        <w:rPr>
          <w:szCs w:val="22"/>
        </w:rPr>
        <w:t xml:space="preserve"> did not add unnecessary additional regulatory burden. The </w:t>
      </w:r>
      <w:r w:rsidR="008743F1" w:rsidRPr="00F45378">
        <w:rPr>
          <w:szCs w:val="22"/>
        </w:rPr>
        <w:t>National Code</w:t>
      </w:r>
      <w:r w:rsidRPr="00F45378">
        <w:rPr>
          <w:szCs w:val="22"/>
        </w:rPr>
        <w:t xml:space="preserve"> has, as much as possible, tailored data collection requirements to align with existing requirements.</w:t>
      </w:r>
    </w:p>
    <w:p w14:paraId="059F7051" w14:textId="605AA2BE" w:rsidR="000B7C30" w:rsidRPr="00F45378" w:rsidRDefault="000B7C30" w:rsidP="00374E2E">
      <w:pPr>
        <w:numPr>
          <w:ilvl w:val="0"/>
          <w:numId w:val="98"/>
        </w:numPr>
        <w:spacing w:after="0"/>
        <w:rPr>
          <w:szCs w:val="22"/>
        </w:rPr>
      </w:pPr>
      <w:r w:rsidRPr="00F45378">
        <w:rPr>
          <w:b/>
          <w:bCs/>
          <w:szCs w:val="22"/>
        </w:rPr>
        <w:t>Student accommodation:</w:t>
      </w:r>
      <w:r w:rsidRPr="00F45378">
        <w:rPr>
          <w:szCs w:val="22"/>
        </w:rPr>
        <w:t xml:space="preserve"> Victim-survivors reiterated student accommodation as an especially high risk setting for </w:t>
      </w:r>
      <w:r w:rsidR="00B7771B" w:rsidRPr="00F45378">
        <w:rPr>
          <w:szCs w:val="22"/>
        </w:rPr>
        <w:t>GBV</w:t>
      </w:r>
      <w:r w:rsidRPr="00F45378">
        <w:rPr>
          <w:szCs w:val="22"/>
        </w:rPr>
        <w:t xml:space="preserve">. A discrete standard reflects the importance of considering this sector, particularly as it pertains to influencing cultural change. </w:t>
      </w:r>
    </w:p>
    <w:p w14:paraId="50A499DC" w14:textId="77777777" w:rsidR="000B7C30" w:rsidRPr="000B7C30" w:rsidRDefault="000B7C30" w:rsidP="00EA238A">
      <w:pPr>
        <w:pStyle w:val="Heading2"/>
      </w:pPr>
      <w:bookmarkStart w:id="204" w:name="_Toc204699897"/>
      <w:bookmarkStart w:id="205" w:name="_Toc210050250"/>
      <w:r w:rsidRPr="000B7C30">
        <w:t>Whole-of-government consultation</w:t>
      </w:r>
      <w:bookmarkEnd w:id="204"/>
      <w:bookmarkEnd w:id="205"/>
      <w:r w:rsidRPr="000B7C30">
        <w:t xml:space="preserve"> </w:t>
      </w:r>
    </w:p>
    <w:p w14:paraId="55AF5CDF" w14:textId="569D558C" w:rsidR="000B7C30" w:rsidRPr="00F45378" w:rsidRDefault="000B7C30" w:rsidP="000B7C30">
      <w:pPr>
        <w:rPr>
          <w:i/>
          <w:iCs/>
          <w:szCs w:val="22"/>
        </w:rPr>
      </w:pPr>
      <w:r w:rsidRPr="00F45378">
        <w:rPr>
          <w:szCs w:val="22"/>
        </w:rPr>
        <w:t xml:space="preserve">Ongoing consultation is occurring across Commonwealth agencies, particularly agencies leading work on domestic, </w:t>
      </w:r>
      <w:r w:rsidR="00157F0C" w:rsidRPr="00F45378">
        <w:rPr>
          <w:szCs w:val="22"/>
        </w:rPr>
        <w:t>family,</w:t>
      </w:r>
      <w:r w:rsidRPr="00F45378">
        <w:rPr>
          <w:szCs w:val="22"/>
        </w:rPr>
        <w:t xml:space="preserve"> and sexual violence. This includes the Department of Social Services, Office for Women, the Attorney-General’s Department, the Department of Defence and the Domestic, Family and Sexual Violence Commission. Consulting across the Commonwealth agencies supports whole-of-government coordination and ensures that the </w:t>
      </w:r>
      <w:r w:rsidR="008743F1" w:rsidRPr="00F45378">
        <w:rPr>
          <w:szCs w:val="22"/>
        </w:rPr>
        <w:t>National Code</w:t>
      </w:r>
      <w:r w:rsidRPr="00F45378">
        <w:rPr>
          <w:szCs w:val="22"/>
        </w:rPr>
        <w:t xml:space="preserve"> aligns with broader national strategies, particularly the </w:t>
      </w:r>
      <w:r w:rsidRPr="00F45378" w:rsidDel="008D431C">
        <w:rPr>
          <w:szCs w:val="22"/>
        </w:rPr>
        <w:t>National Plan</w:t>
      </w:r>
      <w:r w:rsidRPr="00F45378">
        <w:rPr>
          <w:iCs/>
          <w:szCs w:val="22"/>
        </w:rPr>
        <w:t>.</w:t>
      </w:r>
    </w:p>
    <w:p w14:paraId="438AA995" w14:textId="100D0762" w:rsidR="000B7C30" w:rsidRPr="00F45378" w:rsidRDefault="000B7C30" w:rsidP="000B7C30">
      <w:pPr>
        <w:rPr>
          <w:szCs w:val="22"/>
        </w:rPr>
      </w:pPr>
      <w:r w:rsidRPr="00F45378">
        <w:rPr>
          <w:szCs w:val="22"/>
        </w:rPr>
        <w:t xml:space="preserve">Ministers and their departments with responsibility for ending violence against women have been consulted throughout the development of the </w:t>
      </w:r>
      <w:r w:rsidR="008743F1" w:rsidRPr="00F45378">
        <w:rPr>
          <w:szCs w:val="22"/>
        </w:rPr>
        <w:t>National Code</w:t>
      </w:r>
      <w:r w:rsidRPr="00F45378">
        <w:rPr>
          <w:szCs w:val="22"/>
        </w:rPr>
        <w:t xml:space="preserve"> and have expressed their support for its development and intentions. They provided invaluable assistance in settling a definition for </w:t>
      </w:r>
      <w:r w:rsidR="008223FC" w:rsidRPr="00F45378">
        <w:rPr>
          <w:szCs w:val="22"/>
        </w:rPr>
        <w:t>GBV</w:t>
      </w:r>
      <w:r w:rsidRPr="00F45378">
        <w:rPr>
          <w:szCs w:val="22"/>
        </w:rPr>
        <w:t xml:space="preserve"> in the </w:t>
      </w:r>
      <w:r w:rsidR="008743F1" w:rsidRPr="00F45378">
        <w:rPr>
          <w:szCs w:val="22"/>
        </w:rPr>
        <w:t>National Code</w:t>
      </w:r>
      <w:r w:rsidRPr="00F45378">
        <w:rPr>
          <w:szCs w:val="22"/>
        </w:rPr>
        <w:t xml:space="preserve">, as well as providing linkages on initiatives underway in their portfolios to promote gender equity and address </w:t>
      </w:r>
      <w:r w:rsidR="008223FC" w:rsidRPr="00F45378">
        <w:rPr>
          <w:szCs w:val="22"/>
        </w:rPr>
        <w:t>GBV</w:t>
      </w:r>
      <w:r w:rsidR="00157F0C" w:rsidRPr="00F45378">
        <w:rPr>
          <w:szCs w:val="22"/>
        </w:rPr>
        <w:t xml:space="preserve">. </w:t>
      </w:r>
    </w:p>
    <w:p w14:paraId="3998996A" w14:textId="2C5995C3" w:rsidR="000B7C30" w:rsidRPr="00F45378" w:rsidRDefault="000B7C30" w:rsidP="000B7C30">
      <w:pPr>
        <w:rPr>
          <w:szCs w:val="22"/>
        </w:rPr>
      </w:pPr>
      <w:r w:rsidRPr="00F45378">
        <w:rPr>
          <w:szCs w:val="22"/>
        </w:rPr>
        <w:t xml:space="preserve">Further, agencies with expertise in the sector have expressed willingness to share their knowledge and resources with the department as the fact sheets, companion documents and other resources are developed to assist the higher education sector implement the </w:t>
      </w:r>
      <w:r w:rsidR="008743F1" w:rsidRPr="00F45378">
        <w:rPr>
          <w:szCs w:val="22"/>
        </w:rPr>
        <w:t>National Code</w:t>
      </w:r>
      <w:r w:rsidRPr="00F45378">
        <w:rPr>
          <w:szCs w:val="22"/>
        </w:rPr>
        <w:t>.</w:t>
      </w:r>
    </w:p>
    <w:p w14:paraId="556FD622" w14:textId="63367973" w:rsidR="00D44EC7" w:rsidRDefault="00C75059" w:rsidP="00654C44">
      <w:pPr>
        <w:pStyle w:val="Heading3"/>
      </w:pPr>
      <w:r>
        <w:t xml:space="preserve">Areas of agreement </w:t>
      </w:r>
    </w:p>
    <w:p w14:paraId="705725B5" w14:textId="0BA040F7" w:rsidR="00C65F65" w:rsidRPr="00B37429" w:rsidRDefault="00C65F65" w:rsidP="00C65F65">
      <w:pPr>
        <w:rPr>
          <w:b/>
          <w:bCs/>
        </w:rPr>
      </w:pPr>
      <w:r w:rsidRPr="00B37429">
        <w:rPr>
          <w:b/>
          <w:bCs/>
        </w:rPr>
        <w:t xml:space="preserve">Non-disclosure agreements </w:t>
      </w:r>
    </w:p>
    <w:p w14:paraId="2A949F18" w14:textId="7920F497" w:rsidR="00C65F65" w:rsidRPr="00C65F65" w:rsidRDefault="00C65F65" w:rsidP="00C65F65">
      <w:r>
        <w:t>Stakeholders were largely critical and cautious of non-disclosure agreements</w:t>
      </w:r>
      <w:r w:rsidR="00585230">
        <w:t xml:space="preserve"> (NDAs)</w:t>
      </w:r>
      <w:r>
        <w:t xml:space="preserve"> used in the context of </w:t>
      </w:r>
      <w:r w:rsidR="002421E2">
        <w:t>GBV</w:t>
      </w:r>
      <w:r>
        <w:t>. Many participants, particularly student groups and victim-survivor advocate</w:t>
      </w:r>
      <w:r w:rsidR="00585230">
        <w:t>s</w:t>
      </w:r>
      <w:r w:rsidR="004733DF">
        <w:t xml:space="preserve">, </w:t>
      </w:r>
      <w:r>
        <w:t xml:space="preserve">expressed that NDAs are used to silence victim-survivors and avoid transparency, especially in student accommodation. There was strong support on prohibiting NDAs unless they are explicitly requested by the </w:t>
      </w:r>
      <w:r w:rsidR="00585230">
        <w:t>D</w:t>
      </w:r>
      <w:r>
        <w:t xml:space="preserve">iscloser, with an emphasis that these agreements do not prevent </w:t>
      </w:r>
      <w:r w:rsidR="00BD7416">
        <w:t xml:space="preserve">them from sharing their experiences. </w:t>
      </w:r>
      <w:r w:rsidR="00D229EB">
        <w:t xml:space="preserve">Student and </w:t>
      </w:r>
      <w:r w:rsidR="00256DA3">
        <w:t>s</w:t>
      </w:r>
      <w:r w:rsidR="00D229EB">
        <w:t>taff</w:t>
      </w:r>
      <w:r w:rsidR="00BD7416">
        <w:t xml:space="preserve"> stakeholders also highlighted the risk of NDAs enabling ‘perpetrator hopping’ where individuals avoid accountability by moving between </w:t>
      </w:r>
      <w:r w:rsidR="00C14A7F">
        <w:t>HEP</w:t>
      </w:r>
      <w:r w:rsidR="004733DF">
        <w:t xml:space="preserve">s </w:t>
      </w:r>
      <w:r w:rsidR="00BD7416">
        <w:t xml:space="preserve">or student accommodation. </w:t>
      </w:r>
    </w:p>
    <w:p w14:paraId="78D10507" w14:textId="5B9C21B2" w:rsidR="00E21924" w:rsidRPr="00C65F65" w:rsidRDefault="00E21924" w:rsidP="00C65F65">
      <w:r>
        <w:t>This was included in the final National Code</w:t>
      </w:r>
      <w:r w:rsidR="00CD0807">
        <w:t xml:space="preserve"> under standard 2,</w:t>
      </w:r>
      <w:r w:rsidR="00910E16">
        <w:t xml:space="preserve"> </w:t>
      </w:r>
      <w:r w:rsidR="00B6666F">
        <w:t xml:space="preserve">with NDAs </w:t>
      </w:r>
      <w:r w:rsidR="00405449">
        <w:t>explicitly</w:t>
      </w:r>
      <w:r w:rsidR="00B6666F">
        <w:t xml:space="preserve"> prohibited (unless requested by the </w:t>
      </w:r>
      <w:r w:rsidR="00910E16">
        <w:t>D</w:t>
      </w:r>
      <w:r w:rsidR="00B6666F">
        <w:t>iscloser)</w:t>
      </w:r>
      <w:r w:rsidR="00256DA3">
        <w:t>,</w:t>
      </w:r>
      <w:r w:rsidR="00B6666F">
        <w:t xml:space="preserve"> ensuring that NDAs cannot be used to silence </w:t>
      </w:r>
      <w:r w:rsidR="007B1C41">
        <w:t xml:space="preserve">victim-survivors or </w:t>
      </w:r>
      <w:r w:rsidR="00405449">
        <w:t xml:space="preserve">prevent them from accessing support. Beyond this, the National Code also bans the use of non-disparagement clauses that would restrict students and staff from sharing their experiences. </w:t>
      </w:r>
    </w:p>
    <w:p w14:paraId="44F492AF" w14:textId="67552DDF" w:rsidR="00BF6A09" w:rsidRDefault="00BF6A09" w:rsidP="00C65F65">
      <w:pPr>
        <w:rPr>
          <w:b/>
          <w:bCs/>
        </w:rPr>
      </w:pPr>
      <w:r>
        <w:rPr>
          <w:b/>
          <w:bCs/>
        </w:rPr>
        <w:t>Whole-of-organisation</w:t>
      </w:r>
    </w:p>
    <w:p w14:paraId="6E82709A" w14:textId="3D63FC03" w:rsidR="008B0BD9" w:rsidRDefault="008B0BD9" w:rsidP="00287BC9">
      <w:pPr>
        <w:spacing w:before="120" w:after="120" w:line="276" w:lineRule="auto"/>
      </w:pPr>
      <w:r>
        <w:t>Across all phases of consultation</w:t>
      </w:r>
      <w:r w:rsidR="00910E16">
        <w:t xml:space="preserve">, </w:t>
      </w:r>
      <w:r>
        <w:t xml:space="preserve">there </w:t>
      </w:r>
      <w:r w:rsidR="00B03F4D">
        <w:t>w</w:t>
      </w:r>
      <w:r>
        <w:t xml:space="preserve">as strong and consistent support for embedding a whole-of-organisation approach to preventing and responding to GBV in higher education. </w:t>
      </w:r>
    </w:p>
    <w:p w14:paraId="301DA43E" w14:textId="74D27081" w:rsidR="008B0BD9" w:rsidRDefault="00C14A7F" w:rsidP="00287BC9">
      <w:pPr>
        <w:spacing w:before="120" w:after="120" w:line="276" w:lineRule="auto"/>
      </w:pPr>
      <w:r>
        <w:lastRenderedPageBreak/>
        <w:t>In</w:t>
      </w:r>
      <w:r w:rsidR="008B0BD9">
        <w:t xml:space="preserve"> early consultation, HEPs and student accommodation providers suggested that the framing of a ‘whole-of-institution’ approach in the draft Action Plan did not adequately reflect the complexity and diversity of provider operations. In response, the terminology was revised to ‘whole-of-organisation</w:t>
      </w:r>
      <w:r w:rsidR="00B03F4D">
        <w:t>’ to</w:t>
      </w:r>
      <w:r w:rsidR="008B0BD9">
        <w:t xml:space="preserve"> better capture the breadth of responsibilities across all facets of operations. </w:t>
      </w:r>
    </w:p>
    <w:p w14:paraId="3A5FF2D0" w14:textId="2279A620" w:rsidR="008B0BD9" w:rsidRDefault="008B0BD9" w:rsidP="00287BC9">
      <w:pPr>
        <w:spacing w:before="120" w:after="120" w:line="276" w:lineRule="auto"/>
      </w:pPr>
      <w:r>
        <w:t>Government stakeholder</w:t>
      </w:r>
      <w:r w:rsidR="000F75DE">
        <w:t>s</w:t>
      </w:r>
      <w:r>
        <w:t xml:space="preserve"> endorsed the whole-of-organisation approach, noting that it aligns with positive duty obligations</w:t>
      </w:r>
      <w:r w:rsidR="00182C4F">
        <w:t xml:space="preserve">. </w:t>
      </w:r>
      <w:r>
        <w:t xml:space="preserve">Staff stakeholders </w:t>
      </w:r>
      <w:r w:rsidR="000F75DE">
        <w:t>cautioned</w:t>
      </w:r>
      <w:r>
        <w:t xml:space="preserve"> the risk </w:t>
      </w:r>
      <w:r w:rsidR="00875515">
        <w:t>that HEPs may</w:t>
      </w:r>
      <w:r>
        <w:t xml:space="preserve"> ‘delegat</w:t>
      </w:r>
      <w:r w:rsidR="00875515">
        <w:t>e</w:t>
      </w:r>
      <w:r>
        <w:t xml:space="preserve"> down’ </w:t>
      </w:r>
      <w:r w:rsidR="00D02DAD">
        <w:t>responsibility</w:t>
      </w:r>
      <w:r w:rsidR="002132CB">
        <w:t>, making their</w:t>
      </w:r>
      <w:r w:rsidR="00B4466D">
        <w:t xml:space="preserve"> frontline </w:t>
      </w:r>
      <w:r w:rsidR="002132CB">
        <w:t>staff responsible for meeting the</w:t>
      </w:r>
      <w:r w:rsidR="00D02DAD">
        <w:t xml:space="preserve"> provisions of the National Code</w:t>
      </w:r>
      <w:r w:rsidR="002132CB">
        <w:t xml:space="preserve">, rather than </w:t>
      </w:r>
      <w:r w:rsidR="00875515">
        <w:t>the</w:t>
      </w:r>
      <w:r w:rsidR="002132CB">
        <w:t xml:space="preserve"> leadership</w:t>
      </w:r>
      <w:r w:rsidR="00875515">
        <w:t xml:space="preserve"> group and governing body</w:t>
      </w:r>
      <w:r w:rsidR="002132CB">
        <w:t>.</w:t>
      </w:r>
      <w:r w:rsidR="00B4466D">
        <w:t xml:space="preserve"> </w:t>
      </w:r>
      <w:r w:rsidR="00D02DAD">
        <w:t xml:space="preserve">They stressed that senior leadership and governance structures must remain accountable for compliance with the National Code, rather than relying on student services or individual staff to carry the burden of implementation. </w:t>
      </w:r>
    </w:p>
    <w:p w14:paraId="03B8AF42" w14:textId="3E439F69" w:rsidR="00C74C7B" w:rsidRDefault="00D02DAD" w:rsidP="007E0CA1">
      <w:pPr>
        <w:spacing w:before="120" w:after="120" w:line="276" w:lineRule="auto"/>
      </w:pPr>
      <w:r>
        <w:t xml:space="preserve">This feedback is directly reflected in the final National Code. Standard 1 </w:t>
      </w:r>
      <w:r w:rsidR="00DF1946">
        <w:t>mandate</w:t>
      </w:r>
      <w:r w:rsidR="00EF7806">
        <w:t>s</w:t>
      </w:r>
      <w:r>
        <w:t xml:space="preserve"> that the</w:t>
      </w:r>
      <w:r w:rsidR="002F4F96">
        <w:t xml:space="preserve"> V</w:t>
      </w:r>
      <w:r>
        <w:t>ice-</w:t>
      </w:r>
      <w:r w:rsidR="002F4F96">
        <w:t>C</w:t>
      </w:r>
      <w:r>
        <w:t xml:space="preserve">hancellor, CEO or equivalent, is accountable for compliance and must lead the development and publication of a whole-of-organisation prevention and response plan. This plan must be endorsed by the governing body. The National Code further requires </w:t>
      </w:r>
      <w:r w:rsidR="00EF7806">
        <w:t>HEPs</w:t>
      </w:r>
      <w:r>
        <w:t xml:space="preserve"> report regularly to their governing body on the progress of their plan, including data on incidents and trends</w:t>
      </w:r>
      <w:r w:rsidR="00182C4F">
        <w:t xml:space="preserve">. </w:t>
      </w:r>
      <w:r>
        <w:t xml:space="preserve">This ensures that leadership and governance bodies </w:t>
      </w:r>
      <w:r w:rsidR="00DF1946">
        <w:t>prioritise GBV</w:t>
      </w:r>
      <w:r w:rsidR="0096380E">
        <w:t xml:space="preserve">, </w:t>
      </w:r>
      <w:r w:rsidR="00DF1946">
        <w:t>are accountable, and</w:t>
      </w:r>
      <w:r w:rsidR="0096380E">
        <w:t xml:space="preserve"> that prevention and response to GBV</w:t>
      </w:r>
      <w:r w:rsidR="00DF1946">
        <w:t xml:space="preserve"> is embedded as a strategic priority across the organisation. </w:t>
      </w:r>
    </w:p>
    <w:p w14:paraId="1ED4AD78" w14:textId="52E8B856" w:rsidR="002314EA" w:rsidRPr="00513270" w:rsidRDefault="00513270" w:rsidP="007E0CA1">
      <w:r w:rsidRPr="007E0CA1">
        <w:rPr>
          <w:b/>
          <w:bCs/>
        </w:rPr>
        <w:t>E</w:t>
      </w:r>
      <w:r w:rsidR="002314EA" w:rsidRPr="00513270">
        <w:rPr>
          <w:b/>
          <w:bCs/>
        </w:rPr>
        <w:t>x</w:t>
      </w:r>
      <w:r w:rsidR="002314EA">
        <w:rPr>
          <w:b/>
          <w:bCs/>
        </w:rPr>
        <w:t xml:space="preserve">pertise </w:t>
      </w:r>
    </w:p>
    <w:p w14:paraId="19441F8C" w14:textId="4A99D6D7" w:rsidR="00513270" w:rsidRDefault="00013F9F" w:rsidP="00654C44">
      <w:r>
        <w:t>S</w:t>
      </w:r>
      <w:r w:rsidR="00513270">
        <w:t>tudents and victim-survivors consistently emphasised the need for expertise</w:t>
      </w:r>
      <w:r w:rsidR="00FE26FA">
        <w:t xml:space="preserve"> in various aspects of </w:t>
      </w:r>
      <w:r w:rsidR="00FB648E">
        <w:t>GBV</w:t>
      </w:r>
      <w:r w:rsidR="00FE26FA">
        <w:t xml:space="preserve"> prevention and response. </w:t>
      </w:r>
      <w:r w:rsidR="00BD65A0">
        <w:t>Consultation highlight</w:t>
      </w:r>
      <w:r w:rsidR="00F530FA">
        <w:t>ed</w:t>
      </w:r>
      <w:r w:rsidR="00BD65A0">
        <w:t xml:space="preserve"> that disclosures and formal report processes were often handled by staff wh</w:t>
      </w:r>
      <w:r w:rsidR="00F530FA">
        <w:t>o</w:t>
      </w:r>
      <w:r w:rsidR="00BD65A0">
        <w:t xml:space="preserve"> lacked the appropriate experience or expertise</w:t>
      </w:r>
      <w:r w:rsidR="00F530FA">
        <w:t xml:space="preserve">. This </w:t>
      </w:r>
      <w:r w:rsidR="00BD65A0">
        <w:t>often lead</w:t>
      </w:r>
      <w:r w:rsidR="00F530FA">
        <w:t>s</w:t>
      </w:r>
      <w:r w:rsidR="00BD65A0">
        <w:t xml:space="preserve"> to </w:t>
      </w:r>
      <w:r w:rsidR="00C23700">
        <w:t>retraumatisation</w:t>
      </w:r>
      <w:r w:rsidR="00BD65A0">
        <w:t xml:space="preserve"> and erode</w:t>
      </w:r>
      <w:r w:rsidR="00F530FA">
        <w:t>s</w:t>
      </w:r>
      <w:r w:rsidR="00C23700">
        <w:t xml:space="preserve"> trust in the organisation itself. There was support for the need for staff with expertise to conduct risk assessments, manage investigations</w:t>
      </w:r>
      <w:r w:rsidR="00BF5781">
        <w:t>,</w:t>
      </w:r>
      <w:r w:rsidR="00C23700">
        <w:t xml:space="preserve"> and participate in disciplinary and appeals processes, recognising the critical role these functions play in ensuring safety and fairness. </w:t>
      </w:r>
    </w:p>
    <w:p w14:paraId="43B70C21" w14:textId="3A486992" w:rsidR="00B5167A" w:rsidRDefault="00B5167A" w:rsidP="00654C44">
      <w:r>
        <w:t>This was included in the final National Code</w:t>
      </w:r>
      <w:r w:rsidR="00CD0807">
        <w:t>, specifically in Standard 3, with</w:t>
      </w:r>
      <w:r w:rsidR="00271F26">
        <w:t xml:space="preserve"> requirements that </w:t>
      </w:r>
      <w:r w:rsidR="00A4147B">
        <w:t>staff undertaking risk assessments must have GBV expertise</w:t>
      </w:r>
      <w:r w:rsidR="00F33D9D">
        <w:t xml:space="preserve"> and </w:t>
      </w:r>
      <w:r w:rsidR="00BA2A0D">
        <w:t>experience</w:t>
      </w:r>
      <w:r w:rsidR="00F33D9D">
        <w:t>,</w:t>
      </w:r>
      <w:r w:rsidR="002E2668">
        <w:t xml:space="preserve"> and where a HEP does not have this </w:t>
      </w:r>
      <w:r w:rsidR="00BA2A0D">
        <w:t>expertise,</w:t>
      </w:r>
      <w:r w:rsidR="002E2668">
        <w:t xml:space="preserve"> they must engage an external person who does.</w:t>
      </w:r>
      <w:r w:rsidR="00F33D9D">
        <w:t xml:space="preserve"> The National Code has </w:t>
      </w:r>
      <w:r w:rsidR="00B1705F">
        <w:t>defined what is considered expertise and experience in GBV</w:t>
      </w:r>
      <w:r w:rsidR="00182C4F">
        <w:t xml:space="preserve">. </w:t>
      </w:r>
    </w:p>
    <w:p w14:paraId="0C23BBDE" w14:textId="77777777" w:rsidR="00797D7C" w:rsidRDefault="00797D7C" w:rsidP="00654C44">
      <w:pPr>
        <w:rPr>
          <w:b/>
          <w:bCs/>
        </w:rPr>
      </w:pPr>
    </w:p>
    <w:p w14:paraId="49D73515" w14:textId="05A7A9A4" w:rsidR="00C23700" w:rsidRPr="00B37429" w:rsidRDefault="00C23700" w:rsidP="00654C44">
      <w:pPr>
        <w:rPr>
          <w:b/>
          <w:bCs/>
        </w:rPr>
      </w:pPr>
      <w:r w:rsidRPr="00B37429">
        <w:rPr>
          <w:b/>
          <w:bCs/>
        </w:rPr>
        <w:t>Support services</w:t>
      </w:r>
    </w:p>
    <w:p w14:paraId="792808D7" w14:textId="0FF4E5EC" w:rsidR="00C23700" w:rsidRDefault="00D84B19" w:rsidP="00654C44">
      <w:r>
        <w:t>S</w:t>
      </w:r>
      <w:r w:rsidR="00C23700">
        <w:t xml:space="preserve">takeholders highlighted the importance of </w:t>
      </w:r>
      <w:r w:rsidR="007A4B9C">
        <w:t>support services.</w:t>
      </w:r>
      <w:r w:rsidR="00F96BBE">
        <w:t xml:space="preserve"> </w:t>
      </w:r>
      <w:r>
        <w:t>They</w:t>
      </w:r>
      <w:r w:rsidR="00F96BBE">
        <w:t xml:space="preserve"> advocated for support services to extend beyond non-specific counselling to also include medical care, academic support, and crisis response. </w:t>
      </w:r>
      <w:r w:rsidR="004F5FC4">
        <w:t xml:space="preserve">Some victim-survivors described experiences </w:t>
      </w:r>
      <w:r w:rsidR="00BA2A0D">
        <w:t>of seeking</w:t>
      </w:r>
      <w:r w:rsidR="004F5FC4">
        <w:t xml:space="preserve"> out support services, only to be referred to a general counsellor who w</w:t>
      </w:r>
      <w:r w:rsidR="00BA2A0D">
        <w:t>as</w:t>
      </w:r>
      <w:r w:rsidR="004F5FC4">
        <w:t xml:space="preserve"> not equipped to deal with </w:t>
      </w:r>
      <w:r w:rsidR="00ED5461">
        <w:t xml:space="preserve">complex trauma relating to GBV. </w:t>
      </w:r>
      <w:r w:rsidR="00BF5C55">
        <w:t>T</w:t>
      </w:r>
      <w:r w:rsidR="00ED5461">
        <w:t>h</w:t>
      </w:r>
      <w:r w:rsidR="00BF5C55">
        <w:t>is was included in the</w:t>
      </w:r>
      <w:r w:rsidR="00ED5461">
        <w:t xml:space="preserve"> National Code </w:t>
      </w:r>
      <w:r w:rsidR="00BF5C55">
        <w:t>where there are multiple</w:t>
      </w:r>
      <w:r w:rsidR="00ED5461">
        <w:t xml:space="preserve"> requirements</w:t>
      </w:r>
      <w:r w:rsidR="001B506C">
        <w:t xml:space="preserve"> to provide </w:t>
      </w:r>
      <w:r w:rsidR="008573D6">
        <w:t>a variety of supports</w:t>
      </w:r>
      <w:r w:rsidR="001B506C">
        <w:t xml:space="preserve">, including accredited specialists. </w:t>
      </w:r>
    </w:p>
    <w:p w14:paraId="63F8B8B3" w14:textId="2C7A1B6A" w:rsidR="009A14D5" w:rsidRDefault="00BF1145" w:rsidP="00654C44">
      <w:r>
        <w:t xml:space="preserve">Staff raised concerns about HEPs </w:t>
      </w:r>
      <w:r w:rsidR="00DF7E90">
        <w:t>outsourcing support services to technological substitutes, such as AI-driven apps</w:t>
      </w:r>
      <w:r w:rsidR="00460297">
        <w:t xml:space="preserve"> that </w:t>
      </w:r>
      <w:r w:rsidR="00DF7E90">
        <w:t>do not adequatel</w:t>
      </w:r>
      <w:r w:rsidR="009A14D5">
        <w:t xml:space="preserve">y meet the needs of students experiencing trauma. To maintain service quality, stakeholders recommended ongoing evaluation, </w:t>
      </w:r>
      <w:r w:rsidR="009A14D5">
        <w:lastRenderedPageBreak/>
        <w:t>feedback loops, and clear standards for the qualification of support</w:t>
      </w:r>
      <w:r w:rsidR="00424075">
        <w:t xml:space="preserve"> staff</w:t>
      </w:r>
      <w:r w:rsidR="009A14D5">
        <w:t xml:space="preserve">. Smaller and regional </w:t>
      </w:r>
      <w:r w:rsidR="00424075">
        <w:t>HEPs</w:t>
      </w:r>
      <w:r w:rsidR="009A14D5">
        <w:t xml:space="preserve"> expressed concerns about providing in-house services and advocated for third-party referrals to be used. </w:t>
      </w:r>
      <w:r w:rsidR="00072401">
        <w:t>Consequently, t</w:t>
      </w:r>
      <w:r w:rsidR="00340298">
        <w:t xml:space="preserve">he National Code </w:t>
      </w:r>
      <w:r w:rsidR="00072401">
        <w:t>includes ongoing evaluation mechanisms</w:t>
      </w:r>
      <w:r w:rsidR="004A125E">
        <w:t xml:space="preserve"> </w:t>
      </w:r>
      <w:r w:rsidR="007A3FCB">
        <w:t>that require HEPs to monitor and evaluate their support service</w:t>
      </w:r>
      <w:r w:rsidR="000D09F0">
        <w:t>s</w:t>
      </w:r>
      <w:r w:rsidR="00017A1A">
        <w:t>,</w:t>
      </w:r>
      <w:r w:rsidR="000D09F0">
        <w:t xml:space="preserve"> including how effective they are, and </w:t>
      </w:r>
      <w:r w:rsidR="00F66572">
        <w:t>requirements</w:t>
      </w:r>
      <w:r w:rsidR="000D09F0">
        <w:t xml:space="preserve"> to </w:t>
      </w:r>
      <w:r w:rsidR="00F66572">
        <w:t>incorporate</w:t>
      </w:r>
      <w:r w:rsidR="000D09F0">
        <w:t xml:space="preserve"> findings into future service delivery. The National Code has also made provisions for third-party referrals to be used</w:t>
      </w:r>
      <w:r w:rsidR="00637FDB">
        <w:t xml:space="preserve"> but </w:t>
      </w:r>
      <w:r w:rsidR="00F66572">
        <w:t>that that the ongoing care and support of a Discloser or Respondent remains the responsibility of the HEP</w:t>
      </w:r>
      <w:r w:rsidR="00182C4F">
        <w:t xml:space="preserve">. </w:t>
      </w:r>
    </w:p>
    <w:p w14:paraId="4CEE61B2" w14:textId="0C76B047" w:rsidR="00764245" w:rsidRDefault="009A14D5" w:rsidP="00654C44">
      <w:r>
        <w:t>Feedback from First Nations, LGBTQIA</w:t>
      </w:r>
      <w:r w:rsidR="00AC6CA1">
        <w:t>+, disability and CALD groups and organisation repeatedly highlighted how support services must also be inclusive and reflective of the HEPs community and needs.</w:t>
      </w:r>
      <w:r w:rsidR="00490865">
        <w:t xml:space="preserve"> First Nations stakeholders highlighted that </w:t>
      </w:r>
      <w:r w:rsidR="00CE56B1">
        <w:t>HEPs</w:t>
      </w:r>
      <w:r w:rsidR="00490865">
        <w:t xml:space="preserve"> often failed to provide culturally safe </w:t>
      </w:r>
      <w:r w:rsidR="00324245">
        <w:t>experiences</w:t>
      </w:r>
      <w:r w:rsidR="00CE56B1">
        <w:t xml:space="preserve"> that</w:t>
      </w:r>
      <w:r w:rsidR="00324245">
        <w:t xml:space="preserve"> </w:t>
      </w:r>
      <w:r w:rsidR="00DD64CC">
        <w:t xml:space="preserve">created feelings of isolation in higher education settings, and recommended </w:t>
      </w:r>
      <w:r w:rsidR="00FC4F86">
        <w:t>HEPs</w:t>
      </w:r>
      <w:r w:rsidR="00DD64CC">
        <w:t xml:space="preserve"> partner with community-controlled organisations to ensure appropriate care. </w:t>
      </w:r>
      <w:r w:rsidR="00C926E0">
        <w:t>LQBTQIA</w:t>
      </w:r>
      <w:r w:rsidR="00F778B0">
        <w:t xml:space="preserve">+ stakeholders emphasised the need for intersectionality and services to be affirming, as gender and sexuality diverse students shared experiences of seeking </w:t>
      </w:r>
      <w:r w:rsidR="00544420">
        <w:t>support that were heteronormative and invalidated their identities</w:t>
      </w:r>
      <w:r w:rsidR="00FF0B46">
        <w:t xml:space="preserve">. </w:t>
      </w:r>
      <w:r w:rsidR="00A82DBF">
        <w:t xml:space="preserve">Disability </w:t>
      </w:r>
      <w:r w:rsidR="00AD21A0">
        <w:t xml:space="preserve">and CALD </w:t>
      </w:r>
      <w:r w:rsidR="00A82DBF">
        <w:t xml:space="preserve">organisations and students emphasised the need for accessible and inclusive services, </w:t>
      </w:r>
      <w:r w:rsidR="00AD21A0">
        <w:t xml:space="preserve">including interpreters and translators to ensure that students and staff can access support services. </w:t>
      </w:r>
    </w:p>
    <w:p w14:paraId="3B896633" w14:textId="24C30596" w:rsidR="00764245" w:rsidRDefault="00764245" w:rsidP="00654C44">
      <w:r>
        <w:t>This feedback has been embedded into the National Code</w:t>
      </w:r>
      <w:r w:rsidR="00AF6CDB">
        <w:t>,</w:t>
      </w:r>
      <w:r>
        <w:t xml:space="preserve"> </w:t>
      </w:r>
      <w:r w:rsidR="007D342C">
        <w:t xml:space="preserve">with multiple requirements for HEPs to consult with </w:t>
      </w:r>
      <w:r w:rsidR="002109ED">
        <w:t xml:space="preserve">groups that are disproportionately affected by GBV and incorporate their feedback into their policies, </w:t>
      </w:r>
      <w:r w:rsidR="00182C4F">
        <w:t>plans,</w:t>
      </w:r>
      <w:r w:rsidR="002109ED">
        <w:t xml:space="preserve"> and procedures. There are also requirements for all education and training to be inclusive and accessible. </w:t>
      </w:r>
      <w:r w:rsidR="00AF6CDB">
        <w:t>The principles of respect, inclusivity</w:t>
      </w:r>
      <w:r w:rsidR="00DC0987">
        <w:t>,</w:t>
      </w:r>
      <w:r w:rsidR="00AF6CDB">
        <w:t xml:space="preserve"> ensuring implementation responds to the unique community of each HEP,</w:t>
      </w:r>
      <w:r w:rsidR="00DC0987">
        <w:t xml:space="preserve"> and applying a trauma-informed and person-centred approach</w:t>
      </w:r>
      <w:r w:rsidR="00AF6CDB">
        <w:t xml:space="preserve"> are embedded throughout the National Code. </w:t>
      </w:r>
    </w:p>
    <w:p w14:paraId="7DBE1F28" w14:textId="77777777" w:rsidR="005727D9" w:rsidRDefault="005727D9" w:rsidP="00654C44">
      <w:pPr>
        <w:rPr>
          <w:b/>
          <w:bCs/>
        </w:rPr>
      </w:pPr>
      <w:r>
        <w:rPr>
          <w:b/>
          <w:bCs/>
        </w:rPr>
        <w:t>Education and training</w:t>
      </w:r>
    </w:p>
    <w:p w14:paraId="0E1CCEA8" w14:textId="714308AC" w:rsidR="005727D9" w:rsidRDefault="00DC0987" w:rsidP="00654C44">
      <w:r>
        <w:t>S</w:t>
      </w:r>
      <w:r w:rsidR="00295A2C">
        <w:t xml:space="preserve">tudents, advocates, and sector experts emphasised the need </w:t>
      </w:r>
      <w:r w:rsidR="00A74AF6">
        <w:t>that</w:t>
      </w:r>
      <w:r w:rsidR="00295A2C">
        <w:t xml:space="preserve"> trauma-informe</w:t>
      </w:r>
      <w:r w:rsidR="00B119D5">
        <w:t>d</w:t>
      </w:r>
      <w:r w:rsidR="0065085C">
        <w:t xml:space="preserve">, inclusive </w:t>
      </w:r>
      <w:r w:rsidR="00F7011B">
        <w:t>training</w:t>
      </w:r>
      <w:r w:rsidR="0065085C">
        <w:t xml:space="preserve"> </w:t>
      </w:r>
      <w:r w:rsidR="00A74AF6">
        <w:t xml:space="preserve">must </w:t>
      </w:r>
      <w:r w:rsidR="0065085C">
        <w:t xml:space="preserve">go beyond basic </w:t>
      </w:r>
      <w:r w:rsidR="0048345E">
        <w:t>awareness and</w:t>
      </w:r>
      <w:r w:rsidR="0065085C">
        <w:t xml:space="preserve"> moves towards building c</w:t>
      </w:r>
      <w:r w:rsidR="00F7011B">
        <w:t>apability. In response, Standard 3 of the final</w:t>
      </w:r>
      <w:r w:rsidR="00BB4583">
        <w:t xml:space="preserve"> National</w:t>
      </w:r>
      <w:r w:rsidR="00F7011B">
        <w:t xml:space="preserve"> </w:t>
      </w:r>
      <w:r w:rsidR="00BB4583">
        <w:t>C</w:t>
      </w:r>
      <w:r w:rsidR="00F7011B">
        <w:t xml:space="preserve">ode requires comprehensive, ongoing education and training for students, </w:t>
      </w:r>
      <w:r w:rsidR="00182C4F">
        <w:t>staff,</w:t>
      </w:r>
      <w:r w:rsidR="00F7011B">
        <w:t xml:space="preserve"> </w:t>
      </w:r>
      <w:r w:rsidR="00263981">
        <w:t xml:space="preserve">and </w:t>
      </w:r>
      <w:r w:rsidR="00F7011B">
        <w:t>leadership, wit</w:t>
      </w:r>
      <w:r w:rsidR="00263981">
        <w:t>h</w:t>
      </w:r>
      <w:r w:rsidR="00F7011B">
        <w:t xml:space="preserve"> clearly defined learning outcomes. This includes understanding the drivers of GBV, </w:t>
      </w:r>
      <w:r w:rsidR="00263981">
        <w:t>ethical bystander training, and available support services.</w:t>
      </w:r>
      <w:r w:rsidR="0048345E">
        <w:t xml:space="preserve"> </w:t>
      </w:r>
      <w:r w:rsidR="00BB4583">
        <w:t>T</w:t>
      </w:r>
      <w:r w:rsidR="00AA1118">
        <w:t xml:space="preserve">his training must be tailored to the </w:t>
      </w:r>
      <w:r w:rsidR="00BB4583">
        <w:t>HEPs</w:t>
      </w:r>
      <w:r w:rsidR="00AA1118">
        <w:t xml:space="preserve"> context, and culturally appropriate. It must also be developed in collaboration with students</w:t>
      </w:r>
      <w:r w:rsidR="00282171">
        <w:t xml:space="preserve"> and</w:t>
      </w:r>
      <w:r w:rsidR="00BC2849">
        <w:t xml:space="preserve"> </w:t>
      </w:r>
      <w:r w:rsidR="00AA1118">
        <w:t>staff, including those with lived experience, and experts</w:t>
      </w:r>
      <w:r w:rsidR="00282171">
        <w:t xml:space="preserve"> in GBV.</w:t>
      </w:r>
    </w:p>
    <w:p w14:paraId="57A94405" w14:textId="18A60CEE" w:rsidR="001F5C59" w:rsidRPr="00B37429" w:rsidRDefault="001F5C59" w:rsidP="00654C44">
      <w:pPr>
        <w:rPr>
          <w:b/>
          <w:bCs/>
        </w:rPr>
      </w:pPr>
      <w:r w:rsidRPr="00B37429">
        <w:rPr>
          <w:b/>
          <w:bCs/>
        </w:rPr>
        <w:t xml:space="preserve">Data and reporting </w:t>
      </w:r>
    </w:p>
    <w:p w14:paraId="097CE382" w14:textId="1E43EB5D" w:rsidR="001C70A6" w:rsidRDefault="00422DB7" w:rsidP="00654C44">
      <w:r>
        <w:t xml:space="preserve">Stakeholders provided detailed and diverse feedback </w:t>
      </w:r>
      <w:r w:rsidR="00452926">
        <w:t>on data and reporting. Students</w:t>
      </w:r>
      <w:r w:rsidR="008123C5">
        <w:t xml:space="preserve">, </w:t>
      </w:r>
      <w:r w:rsidR="00452926">
        <w:t>victim-survivor advocat</w:t>
      </w:r>
      <w:r w:rsidR="008123C5">
        <w:t>es</w:t>
      </w:r>
      <w:r w:rsidR="007F4823">
        <w:t>,</w:t>
      </w:r>
      <w:r w:rsidR="008123C5">
        <w:t xml:space="preserve"> and women’s safety organisations called for robust data collection to inform improvements and sector-wide accountability. </w:t>
      </w:r>
      <w:r w:rsidR="00153C29">
        <w:t xml:space="preserve">They </w:t>
      </w:r>
      <w:r w:rsidR="00136B84">
        <w:t xml:space="preserve">spoke about the </w:t>
      </w:r>
      <w:r w:rsidR="000C47BF">
        <w:t xml:space="preserve">need for </w:t>
      </w:r>
      <w:r w:rsidR="00136B84">
        <w:t xml:space="preserve">HEPs </w:t>
      </w:r>
      <w:r w:rsidR="000C47BF">
        <w:t xml:space="preserve">to be transparent to their students and staff around why the data is collected, who has access, and how it will be used. </w:t>
      </w:r>
      <w:r w:rsidR="006501BC">
        <w:t xml:space="preserve">Conversely, </w:t>
      </w:r>
      <w:r w:rsidR="001C70A6">
        <w:t>H</w:t>
      </w:r>
      <w:r w:rsidR="007E15A6">
        <w:t>EPs raised privacy concerns, particularly for small</w:t>
      </w:r>
      <w:r w:rsidR="006501BC">
        <w:t xml:space="preserve"> HEPs</w:t>
      </w:r>
      <w:r w:rsidR="007E15A6">
        <w:t xml:space="preserve"> or small datasets</w:t>
      </w:r>
      <w:r w:rsidR="006501BC">
        <w:t>,</w:t>
      </w:r>
      <w:r w:rsidR="007E15A6">
        <w:t xml:space="preserve"> where there may be a potential for individuals </w:t>
      </w:r>
      <w:r w:rsidR="001D52A2">
        <w:t>to be identified</w:t>
      </w:r>
      <w:r w:rsidR="006501BC">
        <w:t xml:space="preserve">. </w:t>
      </w:r>
    </w:p>
    <w:p w14:paraId="74B760F2" w14:textId="75FFD48A" w:rsidR="001C70A6" w:rsidRPr="00B37429" w:rsidRDefault="001C70A6" w:rsidP="00654C44">
      <w:r>
        <w:lastRenderedPageBreak/>
        <w:t>In response</w:t>
      </w:r>
      <w:r w:rsidR="003D7A6E">
        <w:t xml:space="preserve"> to this </w:t>
      </w:r>
      <w:r w:rsidR="006501BC">
        <w:t>feedback, the</w:t>
      </w:r>
      <w:r>
        <w:t xml:space="preserve"> final National Code mandates </w:t>
      </w:r>
      <w:r w:rsidR="007E15A6">
        <w:t>annual reporting and data collection on disclosures,</w:t>
      </w:r>
      <w:r w:rsidR="00EB3B85">
        <w:t xml:space="preserve"> </w:t>
      </w:r>
      <w:r w:rsidR="007E15A6">
        <w:t>formal reports</w:t>
      </w:r>
      <w:r w:rsidR="00EB3B85">
        <w:t>,</w:t>
      </w:r>
      <w:r w:rsidR="00442C87">
        <w:t xml:space="preserve"> and on other requirements of the National Code,</w:t>
      </w:r>
      <w:r w:rsidR="007E15A6">
        <w:t xml:space="preserve"> to inform prevention, </w:t>
      </w:r>
      <w:r w:rsidR="00182C4F">
        <w:t>policy,</w:t>
      </w:r>
      <w:r w:rsidR="007E15A6">
        <w:t xml:space="preserve"> and continuous </w:t>
      </w:r>
      <w:r w:rsidR="003D7A6E">
        <w:t>improvement</w:t>
      </w:r>
      <w:r w:rsidR="007E15A6">
        <w:t xml:space="preserve">. </w:t>
      </w:r>
      <w:r w:rsidR="00442C87">
        <w:t xml:space="preserve">The National Code </w:t>
      </w:r>
      <w:r w:rsidR="002A52DB">
        <w:t>is clear that</w:t>
      </w:r>
      <w:r w:rsidR="00FF19ED">
        <w:t xml:space="preserve"> all data collected must be </w:t>
      </w:r>
      <w:r w:rsidR="007E15A6">
        <w:t>de-identified</w:t>
      </w:r>
      <w:r w:rsidR="00FF19ED">
        <w:t xml:space="preserve">, </w:t>
      </w:r>
      <w:r w:rsidR="007E15A6">
        <w:t>trauma-</w:t>
      </w:r>
      <w:r w:rsidR="00182C4F">
        <w:t>informed,</w:t>
      </w:r>
      <w:r w:rsidR="00FF19ED">
        <w:t xml:space="preserve"> and person-centred</w:t>
      </w:r>
      <w:r w:rsidR="008F4624">
        <w:t xml:space="preserve">, </w:t>
      </w:r>
      <w:r w:rsidR="00843154">
        <w:t xml:space="preserve">must </w:t>
      </w:r>
      <w:r w:rsidR="008F4624">
        <w:t>comply with all Commonwealth, State and Territory Privacy Laws</w:t>
      </w:r>
      <w:r w:rsidR="00605541">
        <w:t xml:space="preserve">, and the Australian Privacy Principles. </w:t>
      </w:r>
    </w:p>
    <w:p w14:paraId="457EFBE1" w14:textId="19E570A0" w:rsidR="007D4E23" w:rsidRDefault="00562F58" w:rsidP="00B37429">
      <w:pPr>
        <w:pStyle w:val="Heading3"/>
      </w:pPr>
      <w:r>
        <w:t>Areas</w:t>
      </w:r>
      <w:r w:rsidR="007D4E23">
        <w:t xml:space="preserve"> of disagreement </w:t>
      </w:r>
    </w:p>
    <w:p w14:paraId="452C2A6E" w14:textId="3407D71D" w:rsidR="007D4E23" w:rsidRPr="00B37429" w:rsidRDefault="007D4E23">
      <w:pPr>
        <w:rPr>
          <w:b/>
          <w:bCs/>
          <w:szCs w:val="22"/>
        </w:rPr>
      </w:pPr>
      <w:r w:rsidRPr="00B37429">
        <w:rPr>
          <w:b/>
          <w:bCs/>
          <w:szCs w:val="22"/>
        </w:rPr>
        <w:t xml:space="preserve">Scope of Responsibility </w:t>
      </w:r>
    </w:p>
    <w:p w14:paraId="16726579" w14:textId="4667EB92" w:rsidR="00F97C5E" w:rsidRPr="00F97C5E" w:rsidRDefault="00F97C5E" w:rsidP="00F97C5E">
      <w:pPr>
        <w:rPr>
          <w:szCs w:val="22"/>
        </w:rPr>
      </w:pPr>
      <w:r>
        <w:rPr>
          <w:szCs w:val="22"/>
        </w:rPr>
        <w:t xml:space="preserve">HEPs </w:t>
      </w:r>
      <w:r w:rsidRPr="00F97C5E">
        <w:rPr>
          <w:szCs w:val="22"/>
        </w:rPr>
        <w:t>consistently expressed concern about being held accountable for incidents of</w:t>
      </w:r>
      <w:r>
        <w:rPr>
          <w:szCs w:val="22"/>
        </w:rPr>
        <w:t xml:space="preserve"> </w:t>
      </w:r>
      <w:r w:rsidRPr="00F97C5E">
        <w:rPr>
          <w:szCs w:val="22"/>
        </w:rPr>
        <w:t>GBV</w:t>
      </w:r>
      <w:r>
        <w:rPr>
          <w:szCs w:val="22"/>
        </w:rPr>
        <w:t xml:space="preserve"> </w:t>
      </w:r>
      <w:r w:rsidRPr="00F97C5E">
        <w:rPr>
          <w:szCs w:val="22"/>
        </w:rPr>
        <w:t>occurring outside their immediate control</w:t>
      </w:r>
      <w:r>
        <w:rPr>
          <w:szCs w:val="22"/>
        </w:rPr>
        <w:t xml:space="preserve">, </w:t>
      </w:r>
      <w:r w:rsidRPr="00F97C5E">
        <w:rPr>
          <w:szCs w:val="22"/>
        </w:rPr>
        <w:t xml:space="preserve">such as in privately owned student accommodation, off-campus events, work placements, internships, and online environments. Many </w:t>
      </w:r>
      <w:r w:rsidR="00D80F06">
        <w:rPr>
          <w:szCs w:val="22"/>
        </w:rPr>
        <w:t>HEPs</w:t>
      </w:r>
      <w:r w:rsidRPr="00F97C5E">
        <w:rPr>
          <w:szCs w:val="22"/>
        </w:rPr>
        <w:t xml:space="preserve"> also questioned their responsibility to respond to incidents of family and domestic violence, particularly when these</w:t>
      </w:r>
      <w:r w:rsidR="00530FA8">
        <w:rPr>
          <w:szCs w:val="22"/>
        </w:rPr>
        <w:t xml:space="preserve"> can</w:t>
      </w:r>
      <w:r w:rsidRPr="00F97C5E">
        <w:rPr>
          <w:szCs w:val="22"/>
        </w:rPr>
        <w:t xml:space="preserve"> occur in personal or home settings.</w:t>
      </w:r>
    </w:p>
    <w:p w14:paraId="7C1F9627" w14:textId="49E6BA58" w:rsidR="00F97C5E" w:rsidRPr="00F97C5E" w:rsidRDefault="00F97C5E" w:rsidP="00F97C5E">
      <w:pPr>
        <w:rPr>
          <w:szCs w:val="22"/>
        </w:rPr>
      </w:pPr>
      <w:r w:rsidRPr="00F97C5E">
        <w:rPr>
          <w:szCs w:val="22"/>
        </w:rPr>
        <w:t xml:space="preserve">While these concerns are acknowledged, it is the position of the Government that </w:t>
      </w:r>
      <w:r w:rsidR="00530FA8">
        <w:rPr>
          <w:szCs w:val="22"/>
        </w:rPr>
        <w:t>HEPs</w:t>
      </w:r>
      <w:r w:rsidRPr="00F97C5E">
        <w:rPr>
          <w:szCs w:val="22"/>
        </w:rPr>
        <w:t xml:space="preserve"> have a duty of care to support students affected by GBV, regardless of where the incident occurs. This reflects the broader framing of GBV under the </w:t>
      </w:r>
      <w:r w:rsidRPr="00B37429">
        <w:rPr>
          <w:i/>
          <w:iCs/>
          <w:szCs w:val="22"/>
        </w:rPr>
        <w:t>National Plan to End Violence Against Women and Children</w:t>
      </w:r>
      <w:r w:rsidRPr="00F97C5E">
        <w:rPr>
          <w:szCs w:val="22"/>
        </w:rPr>
        <w:t>, which recognises GBV as a whole-of-society issue requiring coordinated, cross-sectoral responses.</w:t>
      </w:r>
    </w:p>
    <w:p w14:paraId="4E77DB7B" w14:textId="26496D7A" w:rsidR="00E0737D" w:rsidRDefault="00F97C5E" w:rsidP="00F97C5E">
      <w:pPr>
        <w:rPr>
          <w:szCs w:val="22"/>
        </w:rPr>
      </w:pPr>
      <w:r w:rsidRPr="00F97C5E">
        <w:rPr>
          <w:szCs w:val="22"/>
        </w:rPr>
        <w:t>Consultation with students and victim-survivors repeatedly highlighted that experiences of GBV</w:t>
      </w:r>
      <w:r>
        <w:rPr>
          <w:szCs w:val="22"/>
        </w:rPr>
        <w:t>, w</w:t>
      </w:r>
      <w:r w:rsidRPr="00F97C5E">
        <w:rPr>
          <w:szCs w:val="22"/>
        </w:rPr>
        <w:t>hether</w:t>
      </w:r>
      <w:r>
        <w:rPr>
          <w:szCs w:val="22"/>
        </w:rPr>
        <w:t xml:space="preserve"> they</w:t>
      </w:r>
      <w:r w:rsidRPr="00F97C5E">
        <w:rPr>
          <w:szCs w:val="22"/>
        </w:rPr>
        <w:t xml:space="preserve"> occurr</w:t>
      </w:r>
      <w:r>
        <w:rPr>
          <w:szCs w:val="22"/>
        </w:rPr>
        <w:t>ed</w:t>
      </w:r>
      <w:r w:rsidRPr="00F97C5E">
        <w:rPr>
          <w:szCs w:val="22"/>
        </w:rPr>
        <w:t xml:space="preserve"> at home, in accommodation, or during placements</w:t>
      </w:r>
      <w:r>
        <w:rPr>
          <w:szCs w:val="22"/>
        </w:rPr>
        <w:t xml:space="preserve">, </w:t>
      </w:r>
      <w:r w:rsidRPr="00F97C5E">
        <w:rPr>
          <w:szCs w:val="22"/>
        </w:rPr>
        <w:t>can significantly impact a student’s ability to participate in and succeed in their education</w:t>
      </w:r>
      <w:r w:rsidR="00E05877">
        <w:rPr>
          <w:szCs w:val="22"/>
        </w:rPr>
        <w:t xml:space="preserve">, or </w:t>
      </w:r>
      <w:r w:rsidR="00A74E5B">
        <w:rPr>
          <w:szCs w:val="22"/>
        </w:rPr>
        <w:t>staffs’</w:t>
      </w:r>
      <w:r w:rsidR="00E05877">
        <w:rPr>
          <w:szCs w:val="22"/>
        </w:rPr>
        <w:t xml:space="preserve"> </w:t>
      </w:r>
      <w:r w:rsidR="00D36B69">
        <w:rPr>
          <w:szCs w:val="22"/>
        </w:rPr>
        <w:t>ability to continue work or progress their career</w:t>
      </w:r>
      <w:r w:rsidR="00182C4F">
        <w:rPr>
          <w:szCs w:val="22"/>
        </w:rPr>
        <w:t xml:space="preserve">. </w:t>
      </w:r>
      <w:r w:rsidRPr="00F97C5E">
        <w:rPr>
          <w:szCs w:val="22"/>
        </w:rPr>
        <w:t xml:space="preserve">As such, </w:t>
      </w:r>
      <w:r w:rsidR="00395442">
        <w:rPr>
          <w:szCs w:val="22"/>
        </w:rPr>
        <w:t>HEPs</w:t>
      </w:r>
      <w:r w:rsidRPr="00F97C5E">
        <w:rPr>
          <w:szCs w:val="22"/>
        </w:rPr>
        <w:t xml:space="preserve"> are expected to take reasonable steps to support affected students</w:t>
      </w:r>
      <w:r w:rsidR="00067B21">
        <w:rPr>
          <w:szCs w:val="22"/>
        </w:rPr>
        <w:t xml:space="preserve"> and staff</w:t>
      </w:r>
      <w:r w:rsidRPr="00F97C5E">
        <w:rPr>
          <w:szCs w:val="22"/>
        </w:rPr>
        <w:t>, including facilitating access to appropriate services</w:t>
      </w:r>
      <w:r w:rsidR="00395442">
        <w:rPr>
          <w:szCs w:val="22"/>
        </w:rPr>
        <w:t>,</w:t>
      </w:r>
      <w:r w:rsidRPr="00F97C5E">
        <w:rPr>
          <w:szCs w:val="22"/>
        </w:rPr>
        <w:t xml:space="preserve"> and ensuring that institutional responses are trauma-informed, inclusive, and responsive to individual needs.</w:t>
      </w:r>
    </w:p>
    <w:p w14:paraId="66074CE9" w14:textId="77777777" w:rsidR="00E0737D" w:rsidRDefault="00E0737D" w:rsidP="00F97C5E">
      <w:pPr>
        <w:rPr>
          <w:b/>
          <w:bCs/>
          <w:szCs w:val="22"/>
        </w:rPr>
      </w:pPr>
      <w:r w:rsidRPr="00B37429">
        <w:rPr>
          <w:b/>
          <w:bCs/>
          <w:szCs w:val="22"/>
        </w:rPr>
        <w:t xml:space="preserve">Regulatory burden </w:t>
      </w:r>
    </w:p>
    <w:p w14:paraId="59E36207" w14:textId="286ECBFC" w:rsidR="00B05683" w:rsidRDefault="00E40249" w:rsidP="00F97C5E">
      <w:pPr>
        <w:rPr>
          <w:szCs w:val="22"/>
        </w:rPr>
      </w:pPr>
      <w:r w:rsidRPr="00E40249">
        <w:rPr>
          <w:szCs w:val="22"/>
        </w:rPr>
        <w:t xml:space="preserve">During Phase 1 of consultation, many </w:t>
      </w:r>
      <w:r w:rsidR="00B67732">
        <w:rPr>
          <w:szCs w:val="22"/>
        </w:rPr>
        <w:t>HEPs</w:t>
      </w:r>
      <w:r>
        <w:rPr>
          <w:szCs w:val="22"/>
        </w:rPr>
        <w:t xml:space="preserve"> </w:t>
      </w:r>
      <w:r w:rsidRPr="00E40249">
        <w:rPr>
          <w:szCs w:val="22"/>
        </w:rPr>
        <w:t xml:space="preserve">expressed reservations about the introduction of regulation in this space, with some rejecting the need for any formal framework altogether. However, as consultation progressed through Phases 2 and 3, there was a noticeable shift in sentiment. </w:t>
      </w:r>
      <w:r w:rsidR="00B67732">
        <w:rPr>
          <w:szCs w:val="22"/>
        </w:rPr>
        <w:t>HEPs</w:t>
      </w:r>
      <w:r w:rsidRPr="00E40249">
        <w:rPr>
          <w:szCs w:val="22"/>
        </w:rPr>
        <w:t xml:space="preserve"> began to acknowledge</w:t>
      </w:r>
      <w:r w:rsidR="006158DC">
        <w:rPr>
          <w:szCs w:val="22"/>
        </w:rPr>
        <w:t xml:space="preserve"> the extent of GBV within</w:t>
      </w:r>
      <w:r w:rsidR="00680CC9">
        <w:rPr>
          <w:szCs w:val="22"/>
        </w:rPr>
        <w:t xml:space="preserve"> the</w:t>
      </w:r>
      <w:r w:rsidR="006158DC">
        <w:rPr>
          <w:szCs w:val="22"/>
        </w:rPr>
        <w:t xml:space="preserve"> higher education sector and the </w:t>
      </w:r>
      <w:r w:rsidR="000E1A84">
        <w:rPr>
          <w:szCs w:val="22"/>
        </w:rPr>
        <w:t>benefits of some form of</w:t>
      </w:r>
      <w:r w:rsidRPr="00E40249">
        <w:rPr>
          <w:szCs w:val="22"/>
        </w:rPr>
        <w:t xml:space="preserve"> regulation</w:t>
      </w:r>
      <w:r w:rsidR="006158DC">
        <w:rPr>
          <w:szCs w:val="22"/>
        </w:rPr>
        <w:t xml:space="preserve">. Their </w:t>
      </w:r>
      <w:r w:rsidRPr="00E40249">
        <w:rPr>
          <w:szCs w:val="22"/>
        </w:rPr>
        <w:t>feedback</w:t>
      </w:r>
      <w:r w:rsidR="006158DC">
        <w:rPr>
          <w:szCs w:val="22"/>
        </w:rPr>
        <w:t xml:space="preserve"> then focused</w:t>
      </w:r>
      <w:r w:rsidRPr="00E40249">
        <w:rPr>
          <w:szCs w:val="22"/>
        </w:rPr>
        <w:t xml:space="preserve"> on </w:t>
      </w:r>
      <w:r w:rsidR="006158DC" w:rsidRPr="00E40249">
        <w:rPr>
          <w:szCs w:val="22"/>
        </w:rPr>
        <w:t xml:space="preserve">reducing </w:t>
      </w:r>
      <w:r w:rsidR="006158DC">
        <w:rPr>
          <w:szCs w:val="22"/>
        </w:rPr>
        <w:t>regulatory</w:t>
      </w:r>
      <w:r w:rsidR="000E1A84">
        <w:rPr>
          <w:szCs w:val="22"/>
        </w:rPr>
        <w:t xml:space="preserve"> burden and </w:t>
      </w:r>
      <w:r w:rsidRPr="00E40249">
        <w:rPr>
          <w:szCs w:val="22"/>
        </w:rPr>
        <w:t>duplication</w:t>
      </w:r>
      <w:r w:rsidR="000E1A84">
        <w:rPr>
          <w:szCs w:val="22"/>
        </w:rPr>
        <w:t xml:space="preserve">. HEPs </w:t>
      </w:r>
      <w:r w:rsidR="001F047F">
        <w:rPr>
          <w:szCs w:val="22"/>
        </w:rPr>
        <w:t>sought clarity</w:t>
      </w:r>
      <w:r w:rsidRPr="00E40249">
        <w:rPr>
          <w:szCs w:val="22"/>
        </w:rPr>
        <w:t xml:space="preserve"> on how the National Code would interact with current legislative and policy frameworks</w:t>
      </w:r>
      <w:r w:rsidR="001F047F">
        <w:rPr>
          <w:szCs w:val="22"/>
        </w:rPr>
        <w:t xml:space="preserve">, and their </w:t>
      </w:r>
      <w:r w:rsidR="001F047F" w:rsidRPr="00E40249">
        <w:rPr>
          <w:szCs w:val="22"/>
        </w:rPr>
        <w:t>existing obligation</w:t>
      </w:r>
      <w:r w:rsidR="001F047F">
        <w:rPr>
          <w:szCs w:val="22"/>
        </w:rPr>
        <w:t>s.</w:t>
      </w:r>
    </w:p>
    <w:p w14:paraId="64AD4A48" w14:textId="62E333F3" w:rsidR="00740ABF" w:rsidRDefault="00740ABF" w:rsidP="00F97C5E">
      <w:pPr>
        <w:rPr>
          <w:szCs w:val="22"/>
        </w:rPr>
      </w:pPr>
      <w:r w:rsidRPr="00740ABF">
        <w:rPr>
          <w:szCs w:val="22"/>
        </w:rPr>
        <w:t xml:space="preserve">While the Government recognises the diversity of </w:t>
      </w:r>
      <w:r w:rsidR="006158DC">
        <w:rPr>
          <w:szCs w:val="22"/>
        </w:rPr>
        <w:t xml:space="preserve">HEP </w:t>
      </w:r>
      <w:r w:rsidRPr="00740ABF">
        <w:rPr>
          <w:szCs w:val="22"/>
        </w:rPr>
        <w:t xml:space="preserve">contexts and the complexity of existing regulatory environments, it remains the responsibility of each </w:t>
      </w:r>
      <w:r w:rsidR="00F77CC6">
        <w:rPr>
          <w:szCs w:val="22"/>
        </w:rPr>
        <w:t xml:space="preserve">HEP </w:t>
      </w:r>
      <w:r w:rsidRPr="00740ABF">
        <w:rPr>
          <w:szCs w:val="22"/>
        </w:rPr>
        <w:t>to ensure they understand and meet their obligations under the National Code</w:t>
      </w:r>
      <w:r w:rsidR="00F77CC6">
        <w:rPr>
          <w:szCs w:val="22"/>
        </w:rPr>
        <w:t xml:space="preserve">, and other regulatory frameworks. </w:t>
      </w:r>
      <w:r w:rsidR="001B5A63">
        <w:rPr>
          <w:szCs w:val="22"/>
        </w:rPr>
        <w:t xml:space="preserve">The National Code is not </w:t>
      </w:r>
      <w:r w:rsidR="002F3167">
        <w:rPr>
          <w:szCs w:val="22"/>
        </w:rPr>
        <w:t>duplicative and</w:t>
      </w:r>
      <w:r w:rsidR="001B5A63">
        <w:rPr>
          <w:szCs w:val="22"/>
        </w:rPr>
        <w:t xml:space="preserve"> works alongside and strengthens the existing regulatory framewor</w:t>
      </w:r>
      <w:r w:rsidR="002F3167">
        <w:rPr>
          <w:szCs w:val="22"/>
        </w:rPr>
        <w:t>k within the higher education sector</w:t>
      </w:r>
      <w:r w:rsidR="001B5A63">
        <w:rPr>
          <w:szCs w:val="22"/>
        </w:rPr>
        <w:t xml:space="preserve">. </w:t>
      </w:r>
      <w:r w:rsidR="00253C41">
        <w:rPr>
          <w:szCs w:val="22"/>
        </w:rPr>
        <w:t xml:space="preserve">Government </w:t>
      </w:r>
      <w:r w:rsidR="002F3167">
        <w:rPr>
          <w:szCs w:val="22"/>
        </w:rPr>
        <w:t>will work</w:t>
      </w:r>
      <w:r w:rsidR="00CF214C">
        <w:rPr>
          <w:szCs w:val="22"/>
        </w:rPr>
        <w:t xml:space="preserve"> with co-regulators</w:t>
      </w:r>
      <w:r w:rsidR="0026418C">
        <w:rPr>
          <w:szCs w:val="22"/>
        </w:rPr>
        <w:t xml:space="preserve"> to ensure</w:t>
      </w:r>
      <w:r w:rsidR="002F3167">
        <w:rPr>
          <w:szCs w:val="22"/>
        </w:rPr>
        <w:t xml:space="preserve"> that</w:t>
      </w:r>
      <w:r w:rsidR="0026418C">
        <w:rPr>
          <w:szCs w:val="22"/>
        </w:rPr>
        <w:t xml:space="preserve"> regulatory burden is reduced where possible. </w:t>
      </w:r>
      <w:r w:rsidR="002F3167">
        <w:rPr>
          <w:szCs w:val="22"/>
        </w:rPr>
        <w:t>They will also provide s</w:t>
      </w:r>
      <w:r w:rsidRPr="00740ABF">
        <w:rPr>
          <w:szCs w:val="22"/>
        </w:rPr>
        <w:t>upport</w:t>
      </w:r>
      <w:r w:rsidR="002F3167">
        <w:rPr>
          <w:szCs w:val="22"/>
        </w:rPr>
        <w:t xml:space="preserve"> and regulatory </w:t>
      </w:r>
      <w:r w:rsidRPr="00740ABF">
        <w:rPr>
          <w:szCs w:val="22"/>
        </w:rPr>
        <w:t>guidance</w:t>
      </w:r>
      <w:r w:rsidR="002F3167">
        <w:rPr>
          <w:szCs w:val="22"/>
        </w:rPr>
        <w:t xml:space="preserve"> to assist HEPs in meeting their obligations under the National Code. </w:t>
      </w:r>
    </w:p>
    <w:p w14:paraId="0A311F39" w14:textId="0440F371" w:rsidR="00911454" w:rsidRPr="00DB24E7" w:rsidRDefault="001403E0" w:rsidP="00F97C5E">
      <w:pPr>
        <w:rPr>
          <w:b/>
          <w:bCs/>
          <w:szCs w:val="22"/>
        </w:rPr>
      </w:pPr>
      <w:r w:rsidRPr="00DB24E7">
        <w:rPr>
          <w:b/>
          <w:bCs/>
          <w:szCs w:val="22"/>
        </w:rPr>
        <w:t xml:space="preserve">Trauma-informed </w:t>
      </w:r>
      <w:r w:rsidR="00A05C59" w:rsidRPr="00DB24E7">
        <w:rPr>
          <w:b/>
          <w:bCs/>
          <w:szCs w:val="22"/>
        </w:rPr>
        <w:t xml:space="preserve">vs </w:t>
      </w:r>
      <w:r w:rsidR="00694A91" w:rsidRPr="00DB24E7">
        <w:rPr>
          <w:b/>
          <w:bCs/>
          <w:szCs w:val="22"/>
        </w:rPr>
        <w:t>procedural fairness</w:t>
      </w:r>
    </w:p>
    <w:p w14:paraId="4B199A44" w14:textId="3D9438F2" w:rsidR="00911454" w:rsidRDefault="0011693E" w:rsidP="00F97C5E">
      <w:pPr>
        <w:rPr>
          <w:szCs w:val="22"/>
        </w:rPr>
      </w:pPr>
      <w:r>
        <w:rPr>
          <w:szCs w:val="22"/>
        </w:rPr>
        <w:lastRenderedPageBreak/>
        <w:t>Stakeholders had differing views on how the use of trauma-informed practices affected procedural fairness. HEPs</w:t>
      </w:r>
      <w:r w:rsidR="00487D44">
        <w:rPr>
          <w:szCs w:val="22"/>
        </w:rPr>
        <w:t xml:space="preserve"> raised concerns in consultations that the focus on trauma-informed practice would come at the cost of procedural fairness to Respondents</w:t>
      </w:r>
      <w:r w:rsidR="00E947AF">
        <w:rPr>
          <w:szCs w:val="22"/>
        </w:rPr>
        <w:t xml:space="preserve">. </w:t>
      </w:r>
      <w:r w:rsidR="00E947AF" w:rsidRPr="00061993">
        <w:rPr>
          <w:szCs w:val="22"/>
        </w:rPr>
        <w:t>Universities and accommodation providers</w:t>
      </w:r>
      <w:r w:rsidR="00E947AF">
        <w:rPr>
          <w:szCs w:val="22"/>
        </w:rPr>
        <w:t xml:space="preserve"> </w:t>
      </w:r>
      <w:r w:rsidR="00E947AF" w:rsidRPr="00061993">
        <w:rPr>
          <w:szCs w:val="22"/>
        </w:rPr>
        <w:t xml:space="preserve">sought clarity on jurisdiction, information-sharing protocols, and how to balance victim autonomy with institutional duty of care. </w:t>
      </w:r>
      <w:r w:rsidR="0049337E">
        <w:rPr>
          <w:szCs w:val="22"/>
        </w:rPr>
        <w:t>S</w:t>
      </w:r>
      <w:r w:rsidR="00061993">
        <w:rPr>
          <w:szCs w:val="22"/>
        </w:rPr>
        <w:t>t</w:t>
      </w:r>
      <w:r w:rsidR="00061993" w:rsidRPr="00061993">
        <w:rPr>
          <w:szCs w:val="22"/>
        </w:rPr>
        <w:t>udents and advocates</w:t>
      </w:r>
      <w:r w:rsidR="00E947AF">
        <w:rPr>
          <w:szCs w:val="22"/>
        </w:rPr>
        <w:t xml:space="preserve"> </w:t>
      </w:r>
      <w:r w:rsidR="00061993" w:rsidRPr="00061993">
        <w:rPr>
          <w:szCs w:val="22"/>
        </w:rPr>
        <w:t>pushed for culturally safe, accessible, and flexible reporting mechanisms, with clear timeframes and options for anonymous reporting. Some stakeholders advocated for restorative justice approaches, while others questioned how disciplinary processes would be handled.</w:t>
      </w:r>
    </w:p>
    <w:p w14:paraId="1D4D45BC" w14:textId="4730795D" w:rsidR="00694A91" w:rsidRDefault="00FF2AA5" w:rsidP="00F97C5E">
      <w:pPr>
        <w:rPr>
          <w:szCs w:val="22"/>
        </w:rPr>
      </w:pPr>
      <w:r w:rsidRPr="00FF2AA5">
        <w:rPr>
          <w:szCs w:val="22"/>
        </w:rPr>
        <w:t xml:space="preserve">Students and victim-survivor advocates called for mechanisms to prevent perpetrators from moving between </w:t>
      </w:r>
      <w:r w:rsidR="00A74E5B" w:rsidRPr="00FF2AA5">
        <w:rPr>
          <w:szCs w:val="22"/>
        </w:rPr>
        <w:t>institutions</w:t>
      </w:r>
      <w:r w:rsidR="00A74E5B">
        <w:rPr>
          <w:szCs w:val="22"/>
        </w:rPr>
        <w:t xml:space="preserve"> and</w:t>
      </w:r>
      <w:r w:rsidRPr="00FF2AA5">
        <w:rPr>
          <w:szCs w:val="22"/>
        </w:rPr>
        <w:t xml:space="preserve"> highlighted the need for policies that address historical harm and external placements. </w:t>
      </w:r>
      <w:r w:rsidR="000E5AA8">
        <w:rPr>
          <w:szCs w:val="22"/>
        </w:rPr>
        <w:t>HEPs</w:t>
      </w:r>
      <w:r w:rsidRPr="00FF2AA5">
        <w:rPr>
          <w:szCs w:val="22"/>
        </w:rPr>
        <w:t xml:space="preserve"> raised concerns about the complexity of aligning policies across institutions and external partners given privacy laws and jurisdictional differences. Accommodation providers stressed that policy alignment should be based on shared principles rather than identical procedures.</w:t>
      </w:r>
    </w:p>
    <w:p w14:paraId="7EB5B69A" w14:textId="1E5B83FC" w:rsidR="005D36B7" w:rsidRDefault="00457A88" w:rsidP="00F97C5E">
      <w:pPr>
        <w:rPr>
          <w:szCs w:val="22"/>
        </w:rPr>
      </w:pPr>
      <w:r>
        <w:rPr>
          <w:szCs w:val="22"/>
        </w:rPr>
        <w:t xml:space="preserve">Based on these concerns, the National Code </w:t>
      </w:r>
      <w:r w:rsidR="00DA51A9">
        <w:rPr>
          <w:szCs w:val="22"/>
        </w:rPr>
        <w:t xml:space="preserve">includes codified requirements for </w:t>
      </w:r>
      <w:r w:rsidR="00611A6E">
        <w:rPr>
          <w:szCs w:val="22"/>
        </w:rPr>
        <w:t>procedural fairness and trauma-informed practice</w:t>
      </w:r>
      <w:r w:rsidR="00A53D42">
        <w:rPr>
          <w:szCs w:val="22"/>
        </w:rPr>
        <w:t xml:space="preserve">. </w:t>
      </w:r>
      <w:r w:rsidR="005D36B7">
        <w:rPr>
          <w:szCs w:val="22"/>
        </w:rPr>
        <w:t>Trauma-informed practices prioritise the safety and wellbeing of the Disclose</w:t>
      </w:r>
      <w:r w:rsidR="00C62207">
        <w:rPr>
          <w:szCs w:val="22"/>
        </w:rPr>
        <w:t>r and is a core approach to implementing the entirety of the National Code. The National Code also embe</w:t>
      </w:r>
      <w:r w:rsidR="00DA51A9">
        <w:rPr>
          <w:szCs w:val="22"/>
        </w:rPr>
        <w:t>ds</w:t>
      </w:r>
      <w:r w:rsidR="00C62207">
        <w:rPr>
          <w:szCs w:val="22"/>
        </w:rPr>
        <w:t xml:space="preserve"> procedural fairness and support for Respondents</w:t>
      </w:r>
      <w:r w:rsidR="000C6BFF">
        <w:rPr>
          <w:szCs w:val="22"/>
        </w:rPr>
        <w:t>,</w:t>
      </w:r>
      <w:r w:rsidR="00C62207">
        <w:rPr>
          <w:szCs w:val="22"/>
        </w:rPr>
        <w:t xml:space="preserve"> with c</w:t>
      </w:r>
      <w:r w:rsidR="000C6BFF">
        <w:rPr>
          <w:szCs w:val="22"/>
        </w:rPr>
        <w:t>lear</w:t>
      </w:r>
      <w:r w:rsidR="00C62207">
        <w:rPr>
          <w:szCs w:val="22"/>
        </w:rPr>
        <w:t xml:space="preserve"> and specific requirements around processes and procedures. </w:t>
      </w:r>
    </w:p>
    <w:p w14:paraId="7676356C" w14:textId="77777777" w:rsidR="00853B87" w:rsidRPr="00B37429" w:rsidRDefault="00853B87" w:rsidP="00F97C5E">
      <w:pPr>
        <w:rPr>
          <w:b/>
          <w:bCs/>
          <w:szCs w:val="22"/>
        </w:rPr>
      </w:pPr>
      <w:r w:rsidRPr="00B37429">
        <w:rPr>
          <w:b/>
          <w:bCs/>
          <w:szCs w:val="22"/>
        </w:rPr>
        <w:t>Student accommodation</w:t>
      </w:r>
    </w:p>
    <w:p w14:paraId="6AE6B5B9" w14:textId="15B14D4E" w:rsidR="0011755D" w:rsidRDefault="007B4CDF" w:rsidP="00F97C5E">
      <w:pPr>
        <w:rPr>
          <w:szCs w:val="22"/>
        </w:rPr>
      </w:pPr>
      <w:r w:rsidRPr="007B4CDF">
        <w:rPr>
          <w:szCs w:val="22"/>
        </w:rPr>
        <w:t xml:space="preserve">Student accommodation </w:t>
      </w:r>
      <w:r w:rsidR="00751810">
        <w:rPr>
          <w:szCs w:val="22"/>
        </w:rPr>
        <w:t xml:space="preserve">was discussed at length during the </w:t>
      </w:r>
      <w:r w:rsidRPr="007B4CDF">
        <w:rPr>
          <w:szCs w:val="22"/>
        </w:rPr>
        <w:t xml:space="preserve">consultation process, largely due to its multi-regulatory environment and the diversity of </w:t>
      </w:r>
      <w:r w:rsidR="001A5AA4">
        <w:rPr>
          <w:szCs w:val="22"/>
        </w:rPr>
        <w:t>business</w:t>
      </w:r>
      <w:r w:rsidRPr="007B4CDF">
        <w:rPr>
          <w:szCs w:val="22"/>
        </w:rPr>
        <w:t xml:space="preserve"> models</w:t>
      </w:r>
      <w:r w:rsidR="001A5AA4">
        <w:rPr>
          <w:szCs w:val="22"/>
        </w:rPr>
        <w:t xml:space="preserve"> and relationships with HEPs</w:t>
      </w:r>
      <w:r w:rsidRPr="007B4CDF">
        <w:rPr>
          <w:szCs w:val="22"/>
        </w:rPr>
        <w:t>. Stakeholders acknowledged that student accommodation intersects with state-based residential tenancy legislation</w:t>
      </w:r>
      <w:r w:rsidR="003A010B">
        <w:rPr>
          <w:szCs w:val="22"/>
        </w:rPr>
        <w:t xml:space="preserve"> that</w:t>
      </w:r>
      <w:r w:rsidRPr="007B4CDF">
        <w:rPr>
          <w:szCs w:val="22"/>
        </w:rPr>
        <w:t xml:space="preserve"> can complicate the enforcement of safety measures</w:t>
      </w:r>
      <w:r w:rsidR="00CE7C1C">
        <w:rPr>
          <w:szCs w:val="22"/>
        </w:rPr>
        <w:t>.</w:t>
      </w:r>
      <w:r w:rsidR="003A010B">
        <w:rPr>
          <w:szCs w:val="22"/>
        </w:rPr>
        <w:t xml:space="preserve"> </w:t>
      </w:r>
      <w:r w:rsidR="00555CA6">
        <w:rPr>
          <w:szCs w:val="22"/>
        </w:rPr>
        <w:t>S</w:t>
      </w:r>
      <w:r w:rsidRPr="007B4CDF">
        <w:rPr>
          <w:szCs w:val="22"/>
        </w:rPr>
        <w:t>tudents and advocates emphasi</w:t>
      </w:r>
      <w:r>
        <w:rPr>
          <w:szCs w:val="22"/>
        </w:rPr>
        <w:t>s</w:t>
      </w:r>
      <w:r w:rsidRPr="007B4CDF">
        <w:rPr>
          <w:szCs w:val="22"/>
        </w:rPr>
        <w:t xml:space="preserve">ed the need for stronger oversight, mandatory training for staff and residents, and clear pathways for support and reporting. </w:t>
      </w:r>
    </w:p>
    <w:p w14:paraId="52B8365D" w14:textId="1A7401AD" w:rsidR="004779FD" w:rsidRDefault="004779FD" w:rsidP="00F97C5E">
      <w:pPr>
        <w:rPr>
          <w:szCs w:val="22"/>
        </w:rPr>
      </w:pPr>
      <w:r>
        <w:rPr>
          <w:szCs w:val="22"/>
        </w:rPr>
        <w:t xml:space="preserve">As highlighted in the policy problem in Chapter 1, student accommodation is a high risk setting for GBV. </w:t>
      </w:r>
      <w:r w:rsidR="00CE7C1C">
        <w:rPr>
          <w:szCs w:val="22"/>
        </w:rPr>
        <w:t>For</w:t>
      </w:r>
      <w:r>
        <w:rPr>
          <w:szCs w:val="22"/>
        </w:rPr>
        <w:t xml:space="preserve"> the National Code to drive cultural change across the sec</w:t>
      </w:r>
      <w:r w:rsidR="00CE7C1C">
        <w:rPr>
          <w:szCs w:val="22"/>
        </w:rPr>
        <w:t>tor</w:t>
      </w:r>
      <w:r w:rsidR="00557B88">
        <w:rPr>
          <w:szCs w:val="22"/>
        </w:rPr>
        <w:t>,</w:t>
      </w:r>
      <w:r w:rsidR="00CE7C1C">
        <w:rPr>
          <w:szCs w:val="22"/>
        </w:rPr>
        <w:t xml:space="preserve"> and keep students and staff safe, it must </w:t>
      </w:r>
      <w:r w:rsidR="001523D9">
        <w:rPr>
          <w:szCs w:val="22"/>
        </w:rPr>
        <w:t>cover</w:t>
      </w:r>
      <w:r w:rsidR="00CE7C1C">
        <w:rPr>
          <w:szCs w:val="22"/>
        </w:rPr>
        <w:t xml:space="preserve"> student accommodation settings. Standard 7 of the National Code</w:t>
      </w:r>
      <w:r w:rsidR="001523D9">
        <w:rPr>
          <w:szCs w:val="22"/>
        </w:rPr>
        <w:t xml:space="preserve"> are </w:t>
      </w:r>
      <w:r w:rsidR="00CE7C1C">
        <w:rPr>
          <w:szCs w:val="22"/>
        </w:rPr>
        <w:t>requirements for student accommodation. To account for the variation</w:t>
      </w:r>
      <w:r w:rsidR="001523D9">
        <w:rPr>
          <w:szCs w:val="22"/>
        </w:rPr>
        <w:t xml:space="preserve"> in models</w:t>
      </w:r>
      <w:r w:rsidR="00CE7C1C">
        <w:rPr>
          <w:szCs w:val="22"/>
        </w:rPr>
        <w:t xml:space="preserve"> and concerns raised, these requirements vary depending on whether the accommodation is controlled, managed, owned, </w:t>
      </w:r>
      <w:r w:rsidR="00182C4F">
        <w:rPr>
          <w:szCs w:val="22"/>
        </w:rPr>
        <w:t>operated,</w:t>
      </w:r>
      <w:r w:rsidR="00CE7C1C">
        <w:rPr>
          <w:szCs w:val="22"/>
        </w:rPr>
        <w:t xml:space="preserve"> or affiliated with a HEP. </w:t>
      </w:r>
    </w:p>
    <w:p w14:paraId="62B7FEBF" w14:textId="0ED51CCC" w:rsidR="009D5AE0" w:rsidRDefault="00D249C5" w:rsidP="00B37429">
      <w:pPr>
        <w:pStyle w:val="Heading2"/>
      </w:pPr>
      <w:bookmarkStart w:id="206" w:name="_Toc210050251"/>
      <w:r>
        <w:t>Critical evaluation of the</w:t>
      </w:r>
      <w:r w:rsidR="00663958">
        <w:t xml:space="preserve"> </w:t>
      </w:r>
      <w:r w:rsidR="009D5AE0">
        <w:t>consultation</w:t>
      </w:r>
      <w:r>
        <w:t xml:space="preserve"> process</w:t>
      </w:r>
      <w:bookmarkEnd w:id="206"/>
    </w:p>
    <w:p w14:paraId="54CF4EF5" w14:textId="77777777" w:rsidR="00B37429" w:rsidRDefault="00E8007C" w:rsidP="00F97C5E">
      <w:pPr>
        <w:rPr>
          <w:szCs w:val="22"/>
        </w:rPr>
      </w:pPr>
      <w:r>
        <w:rPr>
          <w:szCs w:val="22"/>
        </w:rPr>
        <w:t xml:space="preserve">As demonstrated, the consultation for the development of the National Code was extensive and multilayered with contributions from a broad range of stakeholders. </w:t>
      </w:r>
      <w:r w:rsidR="00A55D0E">
        <w:rPr>
          <w:szCs w:val="22"/>
        </w:rPr>
        <w:t xml:space="preserve">Despite this, the IA acknowledges that there were some limitations. </w:t>
      </w:r>
    </w:p>
    <w:p w14:paraId="06DA5FDE" w14:textId="26D321CC" w:rsidR="002E69C8" w:rsidRPr="00B37429" w:rsidRDefault="002E69C8" w:rsidP="00F97C5E">
      <w:pPr>
        <w:rPr>
          <w:szCs w:val="22"/>
        </w:rPr>
      </w:pPr>
      <w:r w:rsidRPr="00B37429">
        <w:rPr>
          <w:b/>
          <w:bCs/>
          <w:szCs w:val="22"/>
        </w:rPr>
        <w:t>Timing of targeted consultation</w:t>
      </w:r>
      <w:r>
        <w:rPr>
          <w:b/>
          <w:bCs/>
          <w:szCs w:val="22"/>
        </w:rPr>
        <w:t>s</w:t>
      </w:r>
    </w:p>
    <w:p w14:paraId="5F88760C" w14:textId="584D1EB7" w:rsidR="002E69C8" w:rsidRPr="00F45378" w:rsidRDefault="00B07BC8" w:rsidP="00F97C5E">
      <w:pPr>
        <w:rPr>
          <w:szCs w:val="22"/>
        </w:rPr>
      </w:pPr>
      <w:r>
        <w:rPr>
          <w:szCs w:val="22"/>
        </w:rPr>
        <w:t>The timing of</w:t>
      </w:r>
      <w:r w:rsidR="002E69C8" w:rsidRPr="002E69C8">
        <w:rPr>
          <w:szCs w:val="22"/>
        </w:rPr>
        <w:t xml:space="preserve"> </w:t>
      </w:r>
      <w:r>
        <w:rPr>
          <w:szCs w:val="22"/>
        </w:rPr>
        <w:t xml:space="preserve">some of the </w:t>
      </w:r>
      <w:r w:rsidR="002E69C8" w:rsidRPr="002E69C8">
        <w:rPr>
          <w:szCs w:val="22"/>
        </w:rPr>
        <w:t>student consultations</w:t>
      </w:r>
      <w:r>
        <w:rPr>
          <w:szCs w:val="22"/>
        </w:rPr>
        <w:t xml:space="preserve"> </w:t>
      </w:r>
      <w:r w:rsidR="002E69C8" w:rsidRPr="002E69C8">
        <w:rPr>
          <w:szCs w:val="22"/>
        </w:rPr>
        <w:t xml:space="preserve">coincided with exam periods. This created accessibility challenges and may have reduced participation from students who would otherwise have contributed. While this was a result of broader time constraints associated </w:t>
      </w:r>
      <w:r w:rsidR="002E69C8" w:rsidRPr="002E69C8">
        <w:rPr>
          <w:szCs w:val="22"/>
        </w:rPr>
        <w:lastRenderedPageBreak/>
        <w:t xml:space="preserve">with progressing urgent reform, future engagement </w:t>
      </w:r>
      <w:r w:rsidR="00DE2EB2">
        <w:rPr>
          <w:szCs w:val="22"/>
        </w:rPr>
        <w:t>will</w:t>
      </w:r>
      <w:r w:rsidR="002E69C8" w:rsidRPr="002E69C8">
        <w:rPr>
          <w:szCs w:val="22"/>
        </w:rPr>
        <w:t xml:space="preserve"> consider academic calendars to maximise inclusivity.</w:t>
      </w:r>
    </w:p>
    <w:p w14:paraId="3A283ECB" w14:textId="1A702041" w:rsidR="008E727A" w:rsidRPr="00B37429" w:rsidRDefault="008E727A" w:rsidP="00F97C5E">
      <w:pPr>
        <w:rPr>
          <w:b/>
          <w:bCs/>
          <w:szCs w:val="22"/>
        </w:rPr>
      </w:pPr>
      <w:r w:rsidRPr="00B37429">
        <w:rPr>
          <w:b/>
          <w:bCs/>
          <w:szCs w:val="22"/>
        </w:rPr>
        <w:t>Closu</w:t>
      </w:r>
      <w:r>
        <w:rPr>
          <w:b/>
          <w:bCs/>
          <w:szCs w:val="22"/>
        </w:rPr>
        <w:t>r</w:t>
      </w:r>
      <w:r w:rsidRPr="00B37429">
        <w:rPr>
          <w:b/>
          <w:bCs/>
          <w:szCs w:val="22"/>
        </w:rPr>
        <w:t xml:space="preserve">e of </w:t>
      </w:r>
      <w:r w:rsidR="0082136F">
        <w:rPr>
          <w:b/>
          <w:bCs/>
          <w:szCs w:val="22"/>
        </w:rPr>
        <w:t xml:space="preserve">the Council for International Students Australia </w:t>
      </w:r>
    </w:p>
    <w:p w14:paraId="57649877" w14:textId="2AEF8C52" w:rsidR="008E727A" w:rsidRPr="000B68C0" w:rsidRDefault="001C51D2" w:rsidP="00F97C5E">
      <w:pPr>
        <w:rPr>
          <w:szCs w:val="22"/>
        </w:rPr>
      </w:pPr>
      <w:r>
        <w:rPr>
          <w:szCs w:val="22"/>
        </w:rPr>
        <w:t xml:space="preserve">The </w:t>
      </w:r>
      <w:r w:rsidR="008E727A" w:rsidRPr="008E727A">
        <w:rPr>
          <w:szCs w:val="22"/>
        </w:rPr>
        <w:t>closure of the Council for International Students Australia (CISA), which previously served as a nationa</w:t>
      </w:r>
      <w:r w:rsidR="00E757D9">
        <w:rPr>
          <w:szCs w:val="22"/>
        </w:rPr>
        <w:t>l peak</w:t>
      </w:r>
      <w:r w:rsidR="008E727A" w:rsidRPr="008E727A">
        <w:rPr>
          <w:szCs w:val="22"/>
        </w:rPr>
        <w:t xml:space="preserve"> body for international students</w:t>
      </w:r>
      <w:r>
        <w:rPr>
          <w:szCs w:val="22"/>
        </w:rPr>
        <w:t>,</w:t>
      </w:r>
      <w:r w:rsidR="002D7FF2">
        <w:rPr>
          <w:szCs w:val="22"/>
        </w:rPr>
        <w:t xml:space="preserve"> </w:t>
      </w:r>
      <w:r w:rsidR="008E727A" w:rsidRPr="008E727A">
        <w:rPr>
          <w:szCs w:val="22"/>
        </w:rPr>
        <w:t>created a gap in formal representation during consultation. To mitigate this, the department engaged with a range of smaller organisations a</w:t>
      </w:r>
      <w:r w:rsidR="00CB0A9B">
        <w:rPr>
          <w:szCs w:val="22"/>
        </w:rPr>
        <w:t>nd individual students</w:t>
      </w:r>
      <w:r w:rsidR="008E727A" w:rsidRPr="008E727A">
        <w:rPr>
          <w:szCs w:val="22"/>
        </w:rPr>
        <w:t>. Nonetheless, the absence of a centralised voice for international students remains a gap that should be addressed in future consultation and evaluation efforts.</w:t>
      </w:r>
    </w:p>
    <w:p w14:paraId="6C9AC33E" w14:textId="2BA43D41" w:rsidR="008E727A" w:rsidRPr="000B68C0" w:rsidRDefault="002A3B8C" w:rsidP="00F97C5E">
      <w:pPr>
        <w:rPr>
          <w:szCs w:val="22"/>
        </w:rPr>
      </w:pPr>
      <w:r>
        <w:rPr>
          <w:szCs w:val="22"/>
        </w:rPr>
        <w:br w:type="page"/>
      </w:r>
    </w:p>
    <w:p w14:paraId="3D49E5FE" w14:textId="2C0A10DD" w:rsidR="000B7C30" w:rsidRPr="00ED4CBB" w:rsidRDefault="00D65C9B" w:rsidP="00D65C9B">
      <w:pPr>
        <w:pStyle w:val="Heading1"/>
        <w:rPr>
          <w:b/>
          <w:bCs/>
        </w:rPr>
      </w:pPr>
      <w:bookmarkStart w:id="207" w:name="_Toc204699898"/>
      <w:bookmarkStart w:id="208" w:name="_Toc210050252"/>
      <w:r w:rsidRPr="00ED4CBB">
        <w:rPr>
          <w:b/>
          <w:bCs/>
        </w:rPr>
        <w:lastRenderedPageBreak/>
        <w:t>Chapter 6: What is the best option from those you have considered, and how will it be implemented</w:t>
      </w:r>
      <w:r w:rsidR="00ED34EC" w:rsidRPr="00ED4CBB">
        <w:rPr>
          <w:b/>
          <w:bCs/>
        </w:rPr>
        <w:t>?</w:t>
      </w:r>
      <w:bookmarkEnd w:id="207"/>
      <w:bookmarkEnd w:id="208"/>
    </w:p>
    <w:p w14:paraId="3F14A7C1" w14:textId="2EDE6540" w:rsidR="00ED34EC" w:rsidRPr="00F45378" w:rsidRDefault="00ED34EC" w:rsidP="00030599">
      <w:pPr>
        <w:spacing w:after="0"/>
        <w:rPr>
          <w:szCs w:val="22"/>
        </w:rPr>
      </w:pPr>
      <w:r w:rsidRPr="00F45378">
        <w:rPr>
          <w:szCs w:val="22"/>
        </w:rPr>
        <w:t xml:space="preserve">This chapter outlines the assessment of the </w:t>
      </w:r>
      <w:r w:rsidR="00202670" w:rsidRPr="00F45378">
        <w:rPr>
          <w:szCs w:val="22"/>
        </w:rPr>
        <w:t>three policy</w:t>
      </w:r>
      <w:r w:rsidRPr="00F45378">
        <w:rPr>
          <w:szCs w:val="22"/>
        </w:rPr>
        <w:t xml:space="preserve"> option</w:t>
      </w:r>
      <w:r w:rsidR="00202670" w:rsidRPr="00F45378">
        <w:rPr>
          <w:szCs w:val="22"/>
        </w:rPr>
        <w:t>s</w:t>
      </w:r>
      <w:r w:rsidRPr="00F45378">
        <w:rPr>
          <w:szCs w:val="22"/>
        </w:rPr>
        <w:t xml:space="preserve"> identified in </w:t>
      </w:r>
      <w:r w:rsidR="00E60E57">
        <w:rPr>
          <w:szCs w:val="22"/>
        </w:rPr>
        <w:t>C</w:t>
      </w:r>
      <w:r w:rsidRPr="00F45378">
        <w:rPr>
          <w:szCs w:val="22"/>
        </w:rPr>
        <w:t>hapter 3</w:t>
      </w:r>
      <w:r w:rsidR="00A51C66" w:rsidRPr="00F45378">
        <w:rPr>
          <w:szCs w:val="22"/>
        </w:rPr>
        <w:t xml:space="preserve"> to address </w:t>
      </w:r>
      <w:r w:rsidR="008223FC" w:rsidRPr="00F45378">
        <w:rPr>
          <w:szCs w:val="22"/>
        </w:rPr>
        <w:t>GBV</w:t>
      </w:r>
      <w:r w:rsidR="00A51C66" w:rsidRPr="00F45378">
        <w:rPr>
          <w:szCs w:val="22"/>
        </w:rPr>
        <w:t xml:space="preserve"> in higher education. This includes maintaining the status quo, introduce voluntary self-regulation with an optional </w:t>
      </w:r>
      <w:r w:rsidR="008743F1" w:rsidRPr="00F45378">
        <w:rPr>
          <w:szCs w:val="22"/>
        </w:rPr>
        <w:t>National Code</w:t>
      </w:r>
      <w:r w:rsidR="00A51C66" w:rsidRPr="00F45378">
        <w:rPr>
          <w:szCs w:val="22"/>
        </w:rPr>
        <w:t xml:space="preserve">, and implement a mandatory </w:t>
      </w:r>
      <w:r w:rsidR="008743F1" w:rsidRPr="00F45378">
        <w:rPr>
          <w:szCs w:val="22"/>
        </w:rPr>
        <w:t>National Code</w:t>
      </w:r>
      <w:r w:rsidR="00A51C66" w:rsidRPr="00F45378">
        <w:rPr>
          <w:szCs w:val="22"/>
        </w:rPr>
        <w:t>.</w:t>
      </w:r>
    </w:p>
    <w:p w14:paraId="6217C7B8" w14:textId="6627441F" w:rsidR="008C04C6" w:rsidRPr="00F45378" w:rsidRDefault="0099460D" w:rsidP="00030599">
      <w:pPr>
        <w:spacing w:after="0"/>
        <w:rPr>
          <w:szCs w:val="22"/>
        </w:rPr>
      </w:pPr>
      <w:r w:rsidRPr="00F45378">
        <w:rPr>
          <w:szCs w:val="22"/>
        </w:rPr>
        <w:t>Assessment of policy options has been based on a range of factors</w:t>
      </w:r>
      <w:r w:rsidR="008C04C6" w:rsidRPr="00F45378">
        <w:rPr>
          <w:szCs w:val="22"/>
        </w:rPr>
        <w:t>:</w:t>
      </w:r>
    </w:p>
    <w:p w14:paraId="72E4AEB0" w14:textId="0D3A97BB" w:rsidR="00250871" w:rsidRPr="00F45378" w:rsidRDefault="00250871" w:rsidP="008D4824">
      <w:pPr>
        <w:pStyle w:val="ListParagraph"/>
        <w:numPr>
          <w:ilvl w:val="0"/>
          <w:numId w:val="131"/>
        </w:numPr>
        <w:spacing w:after="0"/>
        <w:rPr>
          <w:szCs w:val="22"/>
        </w:rPr>
      </w:pPr>
      <w:r w:rsidRPr="00F45378">
        <w:rPr>
          <w:szCs w:val="22"/>
        </w:rPr>
        <w:t xml:space="preserve">Assessment against the </w:t>
      </w:r>
      <w:r w:rsidR="008446D5" w:rsidRPr="00F45378">
        <w:rPr>
          <w:szCs w:val="22"/>
        </w:rPr>
        <w:t xml:space="preserve">policy </w:t>
      </w:r>
      <w:r w:rsidRPr="00F45378">
        <w:rPr>
          <w:szCs w:val="22"/>
        </w:rPr>
        <w:t xml:space="preserve">objectives </w:t>
      </w:r>
      <w:r w:rsidR="008446D5" w:rsidRPr="00F45378">
        <w:rPr>
          <w:szCs w:val="22"/>
        </w:rPr>
        <w:t>outlined</w:t>
      </w:r>
      <w:r w:rsidR="00B46AE1" w:rsidRPr="00F45378">
        <w:rPr>
          <w:szCs w:val="22"/>
        </w:rPr>
        <w:t xml:space="preserve"> in </w:t>
      </w:r>
      <w:r w:rsidR="00E60E57">
        <w:rPr>
          <w:szCs w:val="22"/>
        </w:rPr>
        <w:t>C</w:t>
      </w:r>
      <w:r w:rsidR="00B46AE1" w:rsidRPr="00F45378">
        <w:rPr>
          <w:szCs w:val="22"/>
        </w:rPr>
        <w:t>hapter 2</w:t>
      </w:r>
    </w:p>
    <w:p w14:paraId="39700861" w14:textId="0033A0D6" w:rsidR="006C40FE" w:rsidRPr="00F45378" w:rsidRDefault="006C40FE" w:rsidP="008D4824">
      <w:pPr>
        <w:pStyle w:val="ListParagraph"/>
        <w:numPr>
          <w:ilvl w:val="0"/>
          <w:numId w:val="131"/>
        </w:numPr>
        <w:spacing w:after="0"/>
        <w:rPr>
          <w:szCs w:val="22"/>
        </w:rPr>
      </w:pPr>
      <w:r w:rsidRPr="00F45378">
        <w:rPr>
          <w:szCs w:val="22"/>
        </w:rPr>
        <w:t>Insights from extensive stakeholder consultation</w:t>
      </w:r>
      <w:r w:rsidR="0003165F" w:rsidRPr="00F45378">
        <w:rPr>
          <w:szCs w:val="22"/>
        </w:rPr>
        <w:t xml:space="preserve"> </w:t>
      </w:r>
    </w:p>
    <w:p w14:paraId="672FCAAE" w14:textId="41153092" w:rsidR="00870367" w:rsidRPr="00F45378" w:rsidRDefault="000B7D18" w:rsidP="008D4824">
      <w:pPr>
        <w:pStyle w:val="ListParagraph"/>
        <w:numPr>
          <w:ilvl w:val="0"/>
          <w:numId w:val="131"/>
        </w:numPr>
        <w:spacing w:after="0"/>
        <w:rPr>
          <w:szCs w:val="22"/>
        </w:rPr>
      </w:pPr>
      <w:r w:rsidRPr="00F45378">
        <w:rPr>
          <w:szCs w:val="22"/>
        </w:rPr>
        <w:t>Evaluation of which option delivers greatest overall impact relative to effort</w:t>
      </w:r>
    </w:p>
    <w:p w14:paraId="2662B9B4" w14:textId="07842D78" w:rsidR="00A20179" w:rsidRPr="00F45378" w:rsidRDefault="00A20179" w:rsidP="008D4824">
      <w:pPr>
        <w:pStyle w:val="ListParagraph"/>
        <w:numPr>
          <w:ilvl w:val="0"/>
          <w:numId w:val="131"/>
        </w:numPr>
        <w:spacing w:after="0"/>
        <w:rPr>
          <w:szCs w:val="22"/>
        </w:rPr>
      </w:pPr>
      <w:r w:rsidRPr="00F45378">
        <w:rPr>
          <w:szCs w:val="22"/>
        </w:rPr>
        <w:t>Assessment of limitations and risks of each option</w:t>
      </w:r>
    </w:p>
    <w:p w14:paraId="13A584E2" w14:textId="56133CA2" w:rsidR="008446D5" w:rsidRPr="00F45378" w:rsidRDefault="008446D5" w:rsidP="00030599">
      <w:pPr>
        <w:spacing w:after="0"/>
        <w:rPr>
          <w:szCs w:val="22"/>
        </w:rPr>
      </w:pPr>
      <w:r w:rsidRPr="00F45378">
        <w:rPr>
          <w:szCs w:val="22"/>
        </w:rPr>
        <w:t xml:space="preserve">The table below provides a </w:t>
      </w:r>
      <w:r w:rsidR="00F45378" w:rsidRPr="00F45378">
        <w:rPr>
          <w:szCs w:val="22"/>
        </w:rPr>
        <w:t>high-level</w:t>
      </w:r>
      <w:r w:rsidRPr="00F45378">
        <w:rPr>
          <w:szCs w:val="22"/>
        </w:rPr>
        <w:t xml:space="preserve"> comparative assessment of the policy options against the objectives outlined in </w:t>
      </w:r>
      <w:r w:rsidR="00E60E57">
        <w:rPr>
          <w:szCs w:val="22"/>
        </w:rPr>
        <w:t>C</w:t>
      </w:r>
      <w:r w:rsidRPr="00F45378">
        <w:rPr>
          <w:szCs w:val="22"/>
        </w:rPr>
        <w:t>hapter 2.</w:t>
      </w:r>
    </w:p>
    <w:tbl>
      <w:tblPr>
        <w:tblStyle w:val="GridTable4-Accent1"/>
        <w:tblW w:w="8926" w:type="dxa"/>
        <w:tblLook w:val="04A0" w:firstRow="1" w:lastRow="0" w:firstColumn="1" w:lastColumn="0" w:noHBand="0" w:noVBand="1"/>
      </w:tblPr>
      <w:tblGrid>
        <w:gridCol w:w="1696"/>
        <w:gridCol w:w="1843"/>
        <w:gridCol w:w="2552"/>
        <w:gridCol w:w="2835"/>
      </w:tblGrid>
      <w:tr w:rsidR="00E52BF5" w14:paraId="19C02DD6" w14:textId="77777777" w:rsidTr="00F27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C628E6" w14:textId="77777777" w:rsidR="00EA2B52" w:rsidRPr="00C96503" w:rsidRDefault="00EA2B52">
            <w:pPr>
              <w:rPr>
                <w:rFonts w:ascii="Aptos" w:hAnsi="Aptos" w:cs="Calibri"/>
                <w:sz w:val="20"/>
                <w:szCs w:val="20"/>
              </w:rPr>
            </w:pPr>
            <w:r w:rsidRPr="00C96503">
              <w:rPr>
                <w:rFonts w:ascii="Aptos" w:hAnsi="Aptos" w:cs="Calibri"/>
                <w:sz w:val="20"/>
                <w:szCs w:val="20"/>
              </w:rPr>
              <w:t>Objective</w:t>
            </w:r>
          </w:p>
        </w:tc>
        <w:tc>
          <w:tcPr>
            <w:tcW w:w="1843" w:type="dxa"/>
          </w:tcPr>
          <w:p w14:paraId="311BBFFF" w14:textId="77777777" w:rsidR="00EA2B52" w:rsidRPr="00C96503" w:rsidRDefault="00EA2B52">
            <w:pPr>
              <w:cnfStyle w:val="100000000000" w:firstRow="1"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cs="Calibri"/>
                <w:sz w:val="20"/>
                <w:szCs w:val="20"/>
              </w:rPr>
              <w:t>1: Maintain the status quo</w:t>
            </w:r>
          </w:p>
        </w:tc>
        <w:tc>
          <w:tcPr>
            <w:tcW w:w="2552" w:type="dxa"/>
          </w:tcPr>
          <w:p w14:paraId="10A15535" w14:textId="77777777" w:rsidR="00EA2B52" w:rsidRPr="00C96503" w:rsidRDefault="00EA2B52">
            <w:pPr>
              <w:cnfStyle w:val="100000000000" w:firstRow="1"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cs="Calibri"/>
                <w:sz w:val="20"/>
                <w:szCs w:val="20"/>
              </w:rPr>
              <w:t xml:space="preserve">2: </w:t>
            </w:r>
            <w:r>
              <w:rPr>
                <w:rFonts w:ascii="Aptos" w:hAnsi="Aptos" w:cs="Calibri"/>
                <w:sz w:val="20"/>
                <w:szCs w:val="20"/>
              </w:rPr>
              <w:t>V</w:t>
            </w:r>
            <w:r w:rsidRPr="00C96503">
              <w:rPr>
                <w:rFonts w:ascii="Aptos" w:hAnsi="Aptos" w:cs="Calibri"/>
                <w:sz w:val="20"/>
                <w:szCs w:val="20"/>
              </w:rPr>
              <w:t xml:space="preserve">oluntary self-regulation </w:t>
            </w:r>
          </w:p>
        </w:tc>
        <w:tc>
          <w:tcPr>
            <w:tcW w:w="2835" w:type="dxa"/>
          </w:tcPr>
          <w:p w14:paraId="184E953E" w14:textId="77777777" w:rsidR="00EA2B52" w:rsidRPr="00C96503" w:rsidRDefault="00EA2B52">
            <w:pPr>
              <w:cnfStyle w:val="100000000000" w:firstRow="1"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cs="Calibri"/>
                <w:sz w:val="20"/>
                <w:szCs w:val="20"/>
              </w:rPr>
              <w:t xml:space="preserve">3: </w:t>
            </w:r>
            <w:r>
              <w:rPr>
                <w:rFonts w:ascii="Aptos" w:hAnsi="Aptos" w:cs="Calibri"/>
                <w:sz w:val="20"/>
                <w:szCs w:val="20"/>
              </w:rPr>
              <w:t>M</w:t>
            </w:r>
            <w:r w:rsidRPr="00C96503">
              <w:rPr>
                <w:rFonts w:ascii="Aptos" w:hAnsi="Aptos" w:cs="Calibri"/>
                <w:sz w:val="20"/>
                <w:szCs w:val="20"/>
              </w:rPr>
              <w:t xml:space="preserve">andatory </w:t>
            </w:r>
            <w:r w:rsidR="008743F1">
              <w:rPr>
                <w:rFonts w:ascii="Aptos" w:hAnsi="Aptos" w:cs="Calibri"/>
                <w:sz w:val="20"/>
                <w:szCs w:val="20"/>
              </w:rPr>
              <w:t>National Code</w:t>
            </w:r>
          </w:p>
        </w:tc>
      </w:tr>
      <w:tr w:rsidR="00E52BF5" w14:paraId="4A5AD15F" w14:textId="77777777" w:rsidTr="00F27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AB3B10" w14:textId="643C43A6" w:rsidR="00EA2B52" w:rsidRPr="00C96503" w:rsidRDefault="00EA2B52">
            <w:pPr>
              <w:rPr>
                <w:rFonts w:ascii="Aptos Display" w:hAnsi="Aptos Display" w:cs="Calibri"/>
                <w:b w:val="0"/>
                <w:bCs w:val="0"/>
                <w:sz w:val="20"/>
                <w:szCs w:val="20"/>
              </w:rPr>
            </w:pPr>
            <w:r w:rsidRPr="00C96503">
              <w:rPr>
                <w:rFonts w:ascii="Aptos Display" w:hAnsi="Aptos Display" w:cs="Calibri"/>
                <w:sz w:val="20"/>
                <w:szCs w:val="20"/>
              </w:rPr>
              <w:t xml:space="preserve">Reduce the incidence of </w:t>
            </w:r>
            <w:r w:rsidR="008223FC">
              <w:rPr>
                <w:rFonts w:ascii="Aptos Display" w:hAnsi="Aptos Display" w:cs="Calibri"/>
                <w:sz w:val="20"/>
                <w:szCs w:val="20"/>
              </w:rPr>
              <w:t>GBV</w:t>
            </w:r>
            <w:r w:rsidRPr="00C96503">
              <w:rPr>
                <w:rFonts w:ascii="Aptos Display" w:hAnsi="Aptos Display" w:cs="Calibri"/>
                <w:sz w:val="20"/>
                <w:szCs w:val="20"/>
              </w:rPr>
              <w:t xml:space="preserve"> and enhance safety</w:t>
            </w:r>
          </w:p>
        </w:tc>
        <w:tc>
          <w:tcPr>
            <w:tcW w:w="1843" w:type="dxa"/>
          </w:tcPr>
          <w:p w14:paraId="5005CA39" w14:textId="410D7463" w:rsidR="00EA2B52" w:rsidRPr="00C96503" w:rsidRDefault="00EA2B52">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anchor distT="0" distB="0" distL="114300" distR="114300" simplePos="0" relativeHeight="251658244" behindDoc="1" locked="0" layoutInCell="1" allowOverlap="1" wp14:anchorId="307235E2" wp14:editId="2889DAD2">
                  <wp:simplePos x="0" y="0"/>
                  <wp:positionH relativeFrom="column">
                    <wp:posOffset>-34327</wp:posOffset>
                  </wp:positionH>
                  <wp:positionV relativeFrom="paragraph">
                    <wp:posOffset>26035</wp:posOffset>
                  </wp:positionV>
                  <wp:extent cx="118110" cy="118110"/>
                  <wp:effectExtent l="0" t="0" r="0" b="0"/>
                  <wp:wrapThrough wrapText="bothSides">
                    <wp:wrapPolygon edited="0">
                      <wp:start x="0" y="0"/>
                      <wp:lineTo x="0" y="17419"/>
                      <wp:lineTo x="17419" y="17419"/>
                      <wp:lineTo x="17419" y="0"/>
                      <wp:lineTo x="0" y="0"/>
                    </wp:wrapPolygon>
                  </wp:wrapThrough>
                  <wp:docPr id="95065427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2625" name="Graphic 2114342625" descr="Close with solid fill"/>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6"/>
                              </a:ext>
                            </a:extLst>
                          </a:blip>
                          <a:stretch>
                            <a:fillRect/>
                          </a:stretch>
                        </pic:blipFill>
                        <pic:spPr>
                          <a:xfrm>
                            <a:off x="0" y="0"/>
                            <a:ext cx="118110" cy="118110"/>
                          </a:xfrm>
                          <a:prstGeom prst="rect">
                            <a:avLst/>
                          </a:prstGeom>
                        </pic:spPr>
                      </pic:pic>
                    </a:graphicData>
                  </a:graphic>
                </wp:anchor>
              </w:drawing>
            </w:r>
            <w:r w:rsidRPr="00C96503">
              <w:rPr>
                <w:rFonts w:ascii="Aptos" w:hAnsi="Aptos" w:cs="Calibri"/>
                <w:sz w:val="20"/>
                <w:szCs w:val="20"/>
              </w:rPr>
              <w:t xml:space="preserve"> Incidence of </w:t>
            </w:r>
            <w:r w:rsidR="008223FC">
              <w:rPr>
                <w:rFonts w:ascii="Aptos" w:hAnsi="Aptos" w:cs="Calibri"/>
                <w:sz w:val="20"/>
                <w:szCs w:val="20"/>
              </w:rPr>
              <w:t>GBV</w:t>
            </w:r>
            <w:r w:rsidRPr="00C96503">
              <w:rPr>
                <w:rFonts w:ascii="Aptos" w:hAnsi="Aptos" w:cs="Calibri"/>
                <w:sz w:val="20"/>
                <w:szCs w:val="20"/>
              </w:rPr>
              <w:t xml:space="preserve"> will continue at current high rates</w:t>
            </w:r>
          </w:p>
        </w:tc>
        <w:tc>
          <w:tcPr>
            <w:tcW w:w="2552" w:type="dxa"/>
          </w:tcPr>
          <w:p w14:paraId="092BDED4" w14:textId="7BF5DDA0" w:rsidR="00EA2B52" w:rsidRPr="00C96503" w:rsidRDefault="00EA2B52">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sidRPr="00C96503">
              <w:rPr>
                <w:rFonts w:ascii="Aptos" w:hAnsi="Aptos" w:cs="Calibri"/>
                <w:noProof/>
                <w:sz w:val="20"/>
                <w:szCs w:val="20"/>
                <w:lang w:eastAsia="en-AU"/>
              </w:rPr>
              <w:drawing>
                <wp:anchor distT="0" distB="0" distL="114300" distR="114300" simplePos="0" relativeHeight="251658253" behindDoc="0" locked="0" layoutInCell="1" allowOverlap="1" wp14:anchorId="4B9C7B36" wp14:editId="4D2FA70D">
                  <wp:simplePos x="0" y="0"/>
                  <wp:positionH relativeFrom="column">
                    <wp:posOffset>-54577</wp:posOffset>
                  </wp:positionH>
                  <wp:positionV relativeFrom="paragraph">
                    <wp:posOffset>14605</wp:posOffset>
                  </wp:positionV>
                  <wp:extent cx="129540" cy="129540"/>
                  <wp:effectExtent l="0" t="0" r="3810" b="3810"/>
                  <wp:wrapThrough wrapText="bothSides">
                    <wp:wrapPolygon edited="0">
                      <wp:start x="0" y="0"/>
                      <wp:lineTo x="3176" y="19059"/>
                      <wp:lineTo x="15882" y="19059"/>
                      <wp:lineTo x="19059" y="0"/>
                      <wp:lineTo x="0" y="0"/>
                    </wp:wrapPolygon>
                  </wp:wrapThrough>
                  <wp:docPr id="1380957726" name="Graphic 1"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1559" name="Graphic 57401559" descr="Question Mark with solid fill"/>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8"/>
                              </a:ext>
                            </a:extLst>
                          </a:blip>
                          <a:stretch>
                            <a:fillRect/>
                          </a:stretch>
                        </pic:blipFill>
                        <pic:spPr>
                          <a:xfrm>
                            <a:off x="0" y="0"/>
                            <a:ext cx="129540" cy="12954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s="Calibri"/>
                <w:sz w:val="20"/>
                <w:szCs w:val="20"/>
              </w:rPr>
              <w:t xml:space="preserve">May be pockets of positive practice but will not reduce </w:t>
            </w:r>
            <w:r w:rsidR="008223FC">
              <w:rPr>
                <w:rFonts w:ascii="Aptos" w:hAnsi="Aptos" w:cs="Calibri"/>
                <w:sz w:val="20"/>
                <w:szCs w:val="20"/>
              </w:rPr>
              <w:t>GBV</w:t>
            </w:r>
            <w:r>
              <w:rPr>
                <w:rFonts w:ascii="Aptos" w:hAnsi="Aptos" w:cs="Calibri"/>
                <w:sz w:val="20"/>
                <w:szCs w:val="20"/>
              </w:rPr>
              <w:t xml:space="preserve"> incidence </w:t>
            </w:r>
            <w:r w:rsidR="00E87F16">
              <w:rPr>
                <w:rFonts w:ascii="Aptos" w:hAnsi="Aptos" w:cs="Calibri"/>
                <w:sz w:val="20"/>
                <w:szCs w:val="20"/>
              </w:rPr>
              <w:t>at scale</w:t>
            </w:r>
          </w:p>
        </w:tc>
        <w:tc>
          <w:tcPr>
            <w:tcW w:w="2835" w:type="dxa"/>
          </w:tcPr>
          <w:p w14:paraId="731010A0" w14:textId="387E0156" w:rsidR="00EA2B52" w:rsidRPr="00C96503" w:rsidRDefault="00EA2B52">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inline distT="0" distB="0" distL="0" distR="0" wp14:anchorId="38286ECC" wp14:editId="022F501F">
                  <wp:extent cx="118334" cy="118334"/>
                  <wp:effectExtent l="0" t="0" r="0" b="0"/>
                  <wp:docPr id="60584970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0813" name="Graphic 238970813" descr="Checkmark with solid fill"/>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0"/>
                              </a:ext>
                            </a:extLst>
                          </a:blip>
                          <a:stretch>
                            <a:fillRect/>
                          </a:stretch>
                        </pic:blipFill>
                        <pic:spPr>
                          <a:xfrm>
                            <a:off x="0" y="0"/>
                            <a:ext cx="122253" cy="122253"/>
                          </a:xfrm>
                          <a:prstGeom prst="rect">
                            <a:avLst/>
                          </a:prstGeom>
                        </pic:spPr>
                      </pic:pic>
                    </a:graphicData>
                  </a:graphic>
                </wp:inline>
              </w:drawing>
            </w:r>
            <w:r w:rsidRPr="00C96503">
              <w:rPr>
                <w:rFonts w:ascii="Aptos" w:hAnsi="Aptos" w:cs="Calibri"/>
                <w:sz w:val="20"/>
                <w:szCs w:val="20"/>
              </w:rPr>
              <w:t xml:space="preserve">  Strong potential to reduce </w:t>
            </w:r>
            <w:r w:rsidR="008223FC">
              <w:rPr>
                <w:rFonts w:ascii="Aptos" w:hAnsi="Aptos" w:cs="Calibri"/>
                <w:sz w:val="20"/>
                <w:szCs w:val="20"/>
              </w:rPr>
              <w:t>GBV</w:t>
            </w:r>
          </w:p>
        </w:tc>
      </w:tr>
      <w:tr w:rsidR="00EA2B52" w14:paraId="55445D58" w14:textId="77777777" w:rsidTr="00DB24E7">
        <w:tc>
          <w:tcPr>
            <w:cnfStyle w:val="001000000000" w:firstRow="0" w:lastRow="0" w:firstColumn="1" w:lastColumn="0" w:oddVBand="0" w:evenVBand="0" w:oddHBand="0" w:evenHBand="0" w:firstRowFirstColumn="0" w:firstRowLastColumn="0" w:lastRowFirstColumn="0" w:lastRowLastColumn="0"/>
            <w:tcW w:w="0" w:type="dxa"/>
          </w:tcPr>
          <w:p w14:paraId="191EFE1C" w14:textId="77777777" w:rsidR="00EA2B52" w:rsidRPr="00C96503" w:rsidRDefault="00EA2B52">
            <w:pPr>
              <w:rPr>
                <w:rFonts w:ascii="Aptos Display" w:hAnsi="Aptos Display" w:cs="Calibri"/>
                <w:b w:val="0"/>
                <w:bCs w:val="0"/>
                <w:sz w:val="20"/>
                <w:szCs w:val="20"/>
              </w:rPr>
            </w:pPr>
            <w:r w:rsidRPr="00C96503">
              <w:rPr>
                <w:rFonts w:ascii="Aptos Display" w:hAnsi="Aptos Display" w:cs="Calibri"/>
                <w:sz w:val="20"/>
                <w:szCs w:val="20"/>
              </w:rPr>
              <w:t>Minimise impact on victim-survivors through trauma-informed responses</w:t>
            </w:r>
          </w:p>
        </w:tc>
        <w:tc>
          <w:tcPr>
            <w:tcW w:w="0" w:type="dxa"/>
          </w:tcPr>
          <w:p w14:paraId="55072E6B" w14:textId="77777777" w:rsidR="00EA2B52" w:rsidRPr="00C96503" w:rsidRDefault="00EA2B52">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anchor distT="0" distB="0" distL="114300" distR="114300" simplePos="0" relativeHeight="251658245" behindDoc="1" locked="0" layoutInCell="1" allowOverlap="1" wp14:anchorId="6C2157BA" wp14:editId="562F69B1">
                  <wp:simplePos x="0" y="0"/>
                  <wp:positionH relativeFrom="column">
                    <wp:posOffset>-35448</wp:posOffset>
                  </wp:positionH>
                  <wp:positionV relativeFrom="paragraph">
                    <wp:posOffset>32273</wp:posOffset>
                  </wp:positionV>
                  <wp:extent cx="118110" cy="118110"/>
                  <wp:effectExtent l="0" t="0" r="0" b="0"/>
                  <wp:wrapThrough wrapText="bothSides">
                    <wp:wrapPolygon edited="0">
                      <wp:start x="0" y="0"/>
                      <wp:lineTo x="0" y="17419"/>
                      <wp:lineTo x="17419" y="17419"/>
                      <wp:lineTo x="17419" y="0"/>
                      <wp:lineTo x="0" y="0"/>
                    </wp:wrapPolygon>
                  </wp:wrapThrough>
                  <wp:docPr id="266653865"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2625" name="Graphic 2114342625" descr="Close with solid fill"/>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6"/>
                              </a:ext>
                            </a:extLst>
                          </a:blip>
                          <a:stretch>
                            <a:fillRect/>
                          </a:stretch>
                        </pic:blipFill>
                        <pic:spPr>
                          <a:xfrm>
                            <a:off x="0" y="0"/>
                            <a:ext cx="118110" cy="118110"/>
                          </a:xfrm>
                          <a:prstGeom prst="rect">
                            <a:avLst/>
                          </a:prstGeom>
                        </pic:spPr>
                      </pic:pic>
                    </a:graphicData>
                  </a:graphic>
                </wp:anchor>
              </w:drawing>
            </w:r>
            <w:r w:rsidRPr="00C96503">
              <w:rPr>
                <w:rFonts w:ascii="Aptos" w:hAnsi="Aptos" w:cs="Calibri"/>
                <w:sz w:val="20"/>
                <w:szCs w:val="20"/>
              </w:rPr>
              <w:t>No guarantee of trauma-informed practices, responses will vary widely</w:t>
            </w:r>
          </w:p>
        </w:tc>
        <w:tc>
          <w:tcPr>
            <w:tcW w:w="0" w:type="dxa"/>
          </w:tcPr>
          <w:p w14:paraId="0F8CAC32" w14:textId="77777777" w:rsidR="00EA2B52" w:rsidRPr="00C96503" w:rsidRDefault="00EA2B52">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cs="Calibri"/>
                <w:noProof/>
                <w:sz w:val="20"/>
                <w:szCs w:val="20"/>
                <w:lang w:eastAsia="en-AU"/>
              </w:rPr>
              <w:drawing>
                <wp:anchor distT="0" distB="0" distL="114300" distR="114300" simplePos="0" relativeHeight="251658254" behindDoc="0" locked="0" layoutInCell="1" allowOverlap="1" wp14:anchorId="73F68417" wp14:editId="5336498F">
                  <wp:simplePos x="0" y="0"/>
                  <wp:positionH relativeFrom="column">
                    <wp:posOffset>-53975</wp:posOffset>
                  </wp:positionH>
                  <wp:positionV relativeFrom="paragraph">
                    <wp:posOffset>24097</wp:posOffset>
                  </wp:positionV>
                  <wp:extent cx="129540" cy="129540"/>
                  <wp:effectExtent l="0" t="0" r="3810" b="3810"/>
                  <wp:wrapThrough wrapText="bothSides">
                    <wp:wrapPolygon edited="0">
                      <wp:start x="0" y="0"/>
                      <wp:lineTo x="3176" y="19059"/>
                      <wp:lineTo x="15882" y="19059"/>
                      <wp:lineTo x="19059" y="0"/>
                      <wp:lineTo x="0" y="0"/>
                    </wp:wrapPolygon>
                  </wp:wrapThrough>
                  <wp:docPr id="636823901" name="Graphic 1"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1559" name="Graphic 57401559" descr="Question Mark with solid fill"/>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8"/>
                              </a:ext>
                            </a:extLst>
                          </a:blip>
                          <a:stretch>
                            <a:fillRect/>
                          </a:stretch>
                        </pic:blipFill>
                        <pic:spPr>
                          <a:xfrm>
                            <a:off x="0" y="0"/>
                            <a:ext cx="129540" cy="12954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s="Calibri"/>
                <w:sz w:val="20"/>
                <w:szCs w:val="20"/>
              </w:rPr>
              <w:t>Some organisations may demonstrate areas of improvement, but the voluntary nature of the approach means implementation is to be inconsistent and not prioritised</w:t>
            </w:r>
          </w:p>
        </w:tc>
        <w:tc>
          <w:tcPr>
            <w:tcW w:w="0" w:type="dxa"/>
          </w:tcPr>
          <w:p w14:paraId="22B6AE2B" w14:textId="77777777" w:rsidR="00EA2B52" w:rsidRPr="00C96503" w:rsidRDefault="00EA2B52">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inline distT="0" distB="0" distL="0" distR="0" wp14:anchorId="64B0DFAB" wp14:editId="70819276">
                  <wp:extent cx="118334" cy="118334"/>
                  <wp:effectExtent l="0" t="0" r="0" b="0"/>
                  <wp:docPr id="828116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0813" name="Graphic 238970813" descr="Checkmark with solid fill"/>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0"/>
                              </a:ext>
                            </a:extLst>
                          </a:blip>
                          <a:stretch>
                            <a:fillRect/>
                          </a:stretch>
                        </pic:blipFill>
                        <pic:spPr>
                          <a:xfrm>
                            <a:off x="0" y="0"/>
                            <a:ext cx="131078" cy="131078"/>
                          </a:xfrm>
                          <a:prstGeom prst="rect">
                            <a:avLst/>
                          </a:prstGeom>
                        </pic:spPr>
                      </pic:pic>
                    </a:graphicData>
                  </a:graphic>
                </wp:inline>
              </w:drawing>
            </w:r>
            <w:r w:rsidRPr="00C96503">
              <w:rPr>
                <w:rFonts w:ascii="Aptos" w:hAnsi="Aptos" w:cs="Calibri"/>
                <w:sz w:val="20"/>
                <w:szCs w:val="20"/>
              </w:rPr>
              <w:t xml:space="preserve"> Mandates trauma-informed and person-centred practice, with capabilities to be developed through training and education</w:t>
            </w:r>
          </w:p>
        </w:tc>
      </w:tr>
      <w:tr w:rsidR="00E52BF5" w14:paraId="40847E58" w14:textId="77777777" w:rsidTr="00F27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BDDBE0" w14:textId="56C65161" w:rsidR="00EA2B52" w:rsidRPr="00C96503" w:rsidRDefault="00EA2B52">
            <w:pPr>
              <w:rPr>
                <w:rFonts w:ascii="Aptos Display" w:hAnsi="Aptos Display" w:cs="Calibri"/>
                <w:b w:val="0"/>
                <w:bCs w:val="0"/>
                <w:sz w:val="20"/>
                <w:szCs w:val="20"/>
              </w:rPr>
            </w:pPr>
            <w:r w:rsidRPr="00C96503">
              <w:rPr>
                <w:rFonts w:ascii="Aptos Display" w:hAnsi="Aptos Display" w:cs="Calibri"/>
                <w:sz w:val="20"/>
                <w:szCs w:val="20"/>
              </w:rPr>
              <w:t xml:space="preserve">Address compounded </w:t>
            </w:r>
            <w:r w:rsidR="000512AE">
              <w:rPr>
                <w:rFonts w:ascii="Aptos Display" w:hAnsi="Aptos Display" w:cs="Calibri"/>
                <w:sz w:val="20"/>
                <w:szCs w:val="20"/>
              </w:rPr>
              <w:t xml:space="preserve">inequalities </w:t>
            </w:r>
            <w:r w:rsidR="00D627B3">
              <w:rPr>
                <w:rFonts w:ascii="Aptos Display" w:hAnsi="Aptos Display" w:cs="Calibri"/>
                <w:sz w:val="20"/>
                <w:szCs w:val="20"/>
              </w:rPr>
              <w:t>and discrimination</w:t>
            </w:r>
          </w:p>
        </w:tc>
        <w:tc>
          <w:tcPr>
            <w:tcW w:w="1843" w:type="dxa"/>
          </w:tcPr>
          <w:p w14:paraId="20A8F13A" w14:textId="612DA354" w:rsidR="00EA2B52" w:rsidRPr="00C96503" w:rsidRDefault="00EA2B52">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anchor distT="0" distB="0" distL="114300" distR="114300" simplePos="0" relativeHeight="251658246" behindDoc="1" locked="0" layoutInCell="1" allowOverlap="1" wp14:anchorId="35DCB5EC" wp14:editId="6F3BFEB7">
                  <wp:simplePos x="0" y="0"/>
                  <wp:positionH relativeFrom="column">
                    <wp:posOffset>-20955</wp:posOffset>
                  </wp:positionH>
                  <wp:positionV relativeFrom="paragraph">
                    <wp:posOffset>20918</wp:posOffset>
                  </wp:positionV>
                  <wp:extent cx="118110" cy="118110"/>
                  <wp:effectExtent l="0" t="0" r="0" b="0"/>
                  <wp:wrapThrough wrapText="bothSides">
                    <wp:wrapPolygon edited="0">
                      <wp:start x="0" y="0"/>
                      <wp:lineTo x="0" y="17419"/>
                      <wp:lineTo x="17419" y="17419"/>
                      <wp:lineTo x="17419" y="0"/>
                      <wp:lineTo x="0" y="0"/>
                    </wp:wrapPolygon>
                  </wp:wrapThrough>
                  <wp:docPr id="99213952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2625" name="Graphic 2114342625" descr="Close with solid fill"/>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6"/>
                              </a:ext>
                            </a:extLst>
                          </a:blip>
                          <a:stretch>
                            <a:fillRect/>
                          </a:stretch>
                        </pic:blipFill>
                        <pic:spPr>
                          <a:xfrm>
                            <a:off x="0" y="0"/>
                            <a:ext cx="118110" cy="118110"/>
                          </a:xfrm>
                          <a:prstGeom prst="rect">
                            <a:avLst/>
                          </a:prstGeom>
                        </pic:spPr>
                      </pic:pic>
                    </a:graphicData>
                  </a:graphic>
                </wp:anchor>
              </w:drawing>
            </w:r>
            <w:r w:rsidR="00D627B3">
              <w:rPr>
                <w:rFonts w:ascii="Aptos" w:hAnsi="Aptos" w:cs="Calibri"/>
                <w:sz w:val="20"/>
                <w:szCs w:val="20"/>
              </w:rPr>
              <w:t xml:space="preserve">Some </w:t>
            </w:r>
            <w:r w:rsidRPr="00C96503">
              <w:rPr>
                <w:rFonts w:ascii="Aptos" w:hAnsi="Aptos" w:cs="Calibri"/>
                <w:sz w:val="20"/>
                <w:szCs w:val="20"/>
              </w:rPr>
              <w:t xml:space="preserve">groups will continue to experience disproportionate rates of </w:t>
            </w:r>
            <w:r w:rsidR="008223FC">
              <w:rPr>
                <w:rFonts w:ascii="Aptos" w:hAnsi="Aptos" w:cs="Calibri"/>
                <w:sz w:val="20"/>
                <w:szCs w:val="20"/>
              </w:rPr>
              <w:t>GBV</w:t>
            </w:r>
          </w:p>
        </w:tc>
        <w:tc>
          <w:tcPr>
            <w:tcW w:w="2552" w:type="dxa"/>
          </w:tcPr>
          <w:p w14:paraId="0C3AF12D" w14:textId="77777777" w:rsidR="00EA2B52" w:rsidRPr="00C96503" w:rsidRDefault="00EA2B52">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sidRPr="00C96503">
              <w:rPr>
                <w:rFonts w:ascii="Aptos" w:hAnsi="Aptos" w:cs="Calibri"/>
                <w:noProof/>
                <w:sz w:val="20"/>
                <w:szCs w:val="20"/>
                <w:lang w:eastAsia="en-AU"/>
              </w:rPr>
              <w:drawing>
                <wp:anchor distT="0" distB="0" distL="114300" distR="114300" simplePos="0" relativeHeight="251658255" behindDoc="0" locked="0" layoutInCell="1" allowOverlap="1" wp14:anchorId="6BA7A678" wp14:editId="19AA2A54">
                  <wp:simplePos x="0" y="0"/>
                  <wp:positionH relativeFrom="column">
                    <wp:posOffset>-41877</wp:posOffset>
                  </wp:positionH>
                  <wp:positionV relativeFrom="paragraph">
                    <wp:posOffset>26670</wp:posOffset>
                  </wp:positionV>
                  <wp:extent cx="130141" cy="130141"/>
                  <wp:effectExtent l="0" t="0" r="3810" b="3810"/>
                  <wp:wrapThrough wrapText="bothSides">
                    <wp:wrapPolygon edited="0">
                      <wp:start x="0" y="0"/>
                      <wp:lineTo x="3176" y="19059"/>
                      <wp:lineTo x="15882" y="19059"/>
                      <wp:lineTo x="19059" y="0"/>
                      <wp:lineTo x="0" y="0"/>
                    </wp:wrapPolygon>
                  </wp:wrapThrough>
                  <wp:docPr id="1043946561" name="Graphic 1"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1559" name="Graphic 57401559" descr="Question Mark with solid fill"/>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8"/>
                              </a:ext>
                            </a:extLst>
                          </a:blip>
                          <a:stretch>
                            <a:fillRect/>
                          </a:stretch>
                        </pic:blipFill>
                        <pic:spPr>
                          <a:xfrm>
                            <a:off x="0" y="0"/>
                            <a:ext cx="130141" cy="130141"/>
                          </a:xfrm>
                          <a:prstGeom prst="rect">
                            <a:avLst/>
                          </a:prstGeom>
                        </pic:spPr>
                      </pic:pic>
                    </a:graphicData>
                  </a:graphic>
                </wp:anchor>
              </w:drawing>
            </w:r>
            <w:r>
              <w:rPr>
                <w:rFonts w:ascii="Aptos" w:hAnsi="Aptos" w:cs="Calibri"/>
                <w:sz w:val="20"/>
                <w:szCs w:val="20"/>
              </w:rPr>
              <w:t xml:space="preserve">Inclusive and culturally safe/appropriate not be prioritised across all institutions and risk of one-off engagement is high </w:t>
            </w:r>
          </w:p>
        </w:tc>
        <w:tc>
          <w:tcPr>
            <w:tcW w:w="2835" w:type="dxa"/>
          </w:tcPr>
          <w:p w14:paraId="4C42FA2D" w14:textId="77777777" w:rsidR="00EA2B52" w:rsidRPr="00C96503" w:rsidRDefault="00EA2B52">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inline distT="0" distB="0" distL="0" distR="0" wp14:anchorId="30269F2D" wp14:editId="54B53FD6">
                  <wp:extent cx="139626" cy="139626"/>
                  <wp:effectExtent l="0" t="0" r="0" b="0"/>
                  <wp:docPr id="71804703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0813" name="Graphic 238970813" descr="Checkmark with solid fill"/>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0"/>
                              </a:ext>
                            </a:extLst>
                          </a:blip>
                          <a:stretch>
                            <a:fillRect/>
                          </a:stretch>
                        </pic:blipFill>
                        <pic:spPr>
                          <a:xfrm>
                            <a:off x="0" y="0"/>
                            <a:ext cx="145041" cy="145041"/>
                          </a:xfrm>
                          <a:prstGeom prst="rect">
                            <a:avLst/>
                          </a:prstGeom>
                        </pic:spPr>
                      </pic:pic>
                    </a:graphicData>
                  </a:graphic>
                </wp:inline>
              </w:drawing>
            </w:r>
            <w:r w:rsidRPr="00C96503">
              <w:rPr>
                <w:rFonts w:ascii="Aptos" w:hAnsi="Aptos" w:cs="Calibri"/>
                <w:sz w:val="20"/>
                <w:szCs w:val="20"/>
              </w:rPr>
              <w:t xml:space="preserve">requires providers to embed inclusive and culturally safe practices through engagement and evidence. </w:t>
            </w:r>
          </w:p>
        </w:tc>
      </w:tr>
      <w:tr w:rsidR="00EA2B52" w14:paraId="4601D146" w14:textId="77777777" w:rsidTr="00DB24E7">
        <w:tc>
          <w:tcPr>
            <w:cnfStyle w:val="001000000000" w:firstRow="0" w:lastRow="0" w:firstColumn="1" w:lastColumn="0" w:oddVBand="0" w:evenVBand="0" w:oddHBand="0" w:evenHBand="0" w:firstRowFirstColumn="0" w:firstRowLastColumn="0" w:lastRowFirstColumn="0" w:lastRowLastColumn="0"/>
            <w:tcW w:w="0" w:type="dxa"/>
          </w:tcPr>
          <w:p w14:paraId="35EFC252" w14:textId="1DAF41A9" w:rsidR="00EA2B52" w:rsidRPr="00C96503" w:rsidRDefault="00EA2B52">
            <w:pPr>
              <w:rPr>
                <w:rFonts w:ascii="Aptos Display" w:hAnsi="Aptos Display" w:cs="Calibri"/>
                <w:b w:val="0"/>
                <w:bCs w:val="0"/>
                <w:sz w:val="20"/>
                <w:szCs w:val="20"/>
              </w:rPr>
            </w:pPr>
            <w:r w:rsidRPr="00C96503">
              <w:rPr>
                <w:rFonts w:ascii="Aptos Display" w:hAnsi="Aptos Display" w:cs="Calibri"/>
                <w:sz w:val="20"/>
                <w:szCs w:val="20"/>
              </w:rPr>
              <w:t xml:space="preserve">Whole-of-organisation approach to </w:t>
            </w:r>
            <w:r w:rsidR="008223FC">
              <w:rPr>
                <w:rFonts w:ascii="Aptos Display" w:hAnsi="Aptos Display" w:cs="Calibri"/>
                <w:sz w:val="20"/>
                <w:szCs w:val="20"/>
              </w:rPr>
              <w:t>GBV</w:t>
            </w:r>
            <w:r w:rsidRPr="00C96503">
              <w:rPr>
                <w:rFonts w:ascii="Aptos Display" w:hAnsi="Aptos Display" w:cs="Calibri"/>
                <w:sz w:val="20"/>
                <w:szCs w:val="20"/>
              </w:rPr>
              <w:t xml:space="preserve"> response</w:t>
            </w:r>
          </w:p>
        </w:tc>
        <w:tc>
          <w:tcPr>
            <w:tcW w:w="0" w:type="dxa"/>
          </w:tcPr>
          <w:p w14:paraId="49FEA126" w14:textId="0359BC87" w:rsidR="00EA2B52" w:rsidRPr="00C96503" w:rsidRDefault="00EA2B52">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anchor distT="0" distB="0" distL="114300" distR="114300" simplePos="0" relativeHeight="251658247" behindDoc="1" locked="0" layoutInCell="1" allowOverlap="1" wp14:anchorId="485EE150" wp14:editId="7AF69B77">
                  <wp:simplePos x="0" y="0"/>
                  <wp:positionH relativeFrom="column">
                    <wp:posOffset>-30480</wp:posOffset>
                  </wp:positionH>
                  <wp:positionV relativeFrom="paragraph">
                    <wp:posOffset>20992</wp:posOffset>
                  </wp:positionV>
                  <wp:extent cx="118110" cy="118110"/>
                  <wp:effectExtent l="0" t="0" r="0" b="0"/>
                  <wp:wrapThrough wrapText="bothSides">
                    <wp:wrapPolygon edited="0">
                      <wp:start x="0" y="0"/>
                      <wp:lineTo x="0" y="17419"/>
                      <wp:lineTo x="17419" y="17419"/>
                      <wp:lineTo x="17419" y="0"/>
                      <wp:lineTo x="0" y="0"/>
                    </wp:wrapPolygon>
                  </wp:wrapThrough>
                  <wp:docPr id="164287425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2625" name="Graphic 2114342625" descr="Close with solid fill"/>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6"/>
                              </a:ext>
                            </a:extLst>
                          </a:blip>
                          <a:stretch>
                            <a:fillRect/>
                          </a:stretch>
                        </pic:blipFill>
                        <pic:spPr>
                          <a:xfrm>
                            <a:off x="0" y="0"/>
                            <a:ext cx="118110" cy="118110"/>
                          </a:xfrm>
                          <a:prstGeom prst="rect">
                            <a:avLst/>
                          </a:prstGeom>
                        </pic:spPr>
                      </pic:pic>
                    </a:graphicData>
                  </a:graphic>
                </wp:anchor>
              </w:drawing>
            </w:r>
            <w:r w:rsidRPr="00C96503">
              <w:rPr>
                <w:rFonts w:ascii="Aptos" w:hAnsi="Aptos" w:cs="Calibri"/>
                <w:sz w:val="20"/>
                <w:szCs w:val="20"/>
              </w:rPr>
              <w:t xml:space="preserve">Approaches to </w:t>
            </w:r>
            <w:r w:rsidR="008223FC">
              <w:rPr>
                <w:rFonts w:ascii="Aptos" w:hAnsi="Aptos" w:cs="Calibri"/>
                <w:sz w:val="20"/>
                <w:szCs w:val="20"/>
              </w:rPr>
              <w:t>GBV</w:t>
            </w:r>
            <w:r w:rsidRPr="00C96503">
              <w:rPr>
                <w:rFonts w:ascii="Aptos" w:hAnsi="Aptos" w:cs="Calibri"/>
                <w:sz w:val="20"/>
                <w:szCs w:val="20"/>
              </w:rPr>
              <w:t xml:space="preserve"> will remain</w:t>
            </w:r>
            <w:r w:rsidR="005A04CA">
              <w:rPr>
                <w:rFonts w:ascii="Aptos" w:hAnsi="Aptos" w:cs="Calibri"/>
                <w:sz w:val="20"/>
                <w:szCs w:val="20"/>
              </w:rPr>
              <w:t xml:space="preserve"> reactive</w:t>
            </w:r>
            <w:r w:rsidRPr="00C96503">
              <w:rPr>
                <w:rFonts w:ascii="Aptos" w:hAnsi="Aptos" w:cs="Calibri"/>
                <w:sz w:val="20"/>
                <w:szCs w:val="20"/>
              </w:rPr>
              <w:t xml:space="preserve"> and fragmented, and not a priority for leadership</w:t>
            </w:r>
          </w:p>
        </w:tc>
        <w:tc>
          <w:tcPr>
            <w:tcW w:w="0" w:type="dxa"/>
          </w:tcPr>
          <w:p w14:paraId="48791515" w14:textId="77777777" w:rsidR="00EA2B52" w:rsidRPr="00C96503" w:rsidRDefault="00EA2B52">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cs="Calibri"/>
                <w:noProof/>
                <w:sz w:val="20"/>
                <w:szCs w:val="20"/>
                <w:lang w:eastAsia="en-AU"/>
              </w:rPr>
              <w:drawing>
                <wp:anchor distT="0" distB="0" distL="114300" distR="114300" simplePos="0" relativeHeight="251658256" behindDoc="0" locked="0" layoutInCell="1" allowOverlap="1" wp14:anchorId="61B72987" wp14:editId="4AC0FF47">
                  <wp:simplePos x="0" y="0"/>
                  <wp:positionH relativeFrom="column">
                    <wp:posOffset>-55245</wp:posOffset>
                  </wp:positionH>
                  <wp:positionV relativeFrom="paragraph">
                    <wp:posOffset>31115</wp:posOffset>
                  </wp:positionV>
                  <wp:extent cx="120015" cy="120015"/>
                  <wp:effectExtent l="0" t="0" r="0" b="0"/>
                  <wp:wrapThrough wrapText="bothSides">
                    <wp:wrapPolygon edited="0">
                      <wp:start x="0" y="0"/>
                      <wp:lineTo x="0" y="17143"/>
                      <wp:lineTo x="17143" y="17143"/>
                      <wp:lineTo x="17143" y="0"/>
                      <wp:lineTo x="0" y="0"/>
                    </wp:wrapPolygon>
                  </wp:wrapThrough>
                  <wp:docPr id="700074658" name="Graphic 1"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1559" name="Graphic 57401559" descr="Question Mark with solid fill"/>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8"/>
                              </a:ext>
                            </a:extLst>
                          </a:blip>
                          <a:stretch>
                            <a:fillRect/>
                          </a:stretch>
                        </pic:blipFill>
                        <pic:spPr>
                          <a:xfrm>
                            <a:off x="0" y="0"/>
                            <a:ext cx="120015" cy="120015"/>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s="Calibri"/>
                <w:sz w:val="20"/>
                <w:szCs w:val="20"/>
              </w:rPr>
              <w:t xml:space="preserve">Some providers may implement, but with no obligations or oversight, implementation likely to remain fragmented and under-resourced. </w:t>
            </w:r>
          </w:p>
        </w:tc>
        <w:tc>
          <w:tcPr>
            <w:tcW w:w="0" w:type="dxa"/>
          </w:tcPr>
          <w:p w14:paraId="682A9E25" w14:textId="77777777" w:rsidR="00EA2B52" w:rsidRPr="00C96503" w:rsidRDefault="00EA2B52">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inline distT="0" distB="0" distL="0" distR="0" wp14:anchorId="690E1B76" wp14:editId="5D406172">
                  <wp:extent cx="139625" cy="139625"/>
                  <wp:effectExtent l="0" t="0" r="0" b="0"/>
                  <wp:docPr id="24790782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0813" name="Graphic 238970813" descr="Checkmark with solid fill"/>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0"/>
                              </a:ext>
                            </a:extLst>
                          </a:blip>
                          <a:stretch>
                            <a:fillRect/>
                          </a:stretch>
                        </pic:blipFill>
                        <pic:spPr>
                          <a:xfrm>
                            <a:off x="0" y="0"/>
                            <a:ext cx="144348" cy="144348"/>
                          </a:xfrm>
                          <a:prstGeom prst="rect">
                            <a:avLst/>
                          </a:prstGeom>
                        </pic:spPr>
                      </pic:pic>
                    </a:graphicData>
                  </a:graphic>
                </wp:inline>
              </w:drawing>
            </w:r>
            <w:r w:rsidRPr="00C96503">
              <w:rPr>
                <w:rFonts w:ascii="Aptos" w:hAnsi="Aptos" w:cs="Calibri"/>
                <w:sz w:val="20"/>
                <w:szCs w:val="20"/>
              </w:rPr>
              <w:t xml:space="preserve"> Embeds a whole-of-organisation approach, with accountability sitting with senior leadership</w:t>
            </w:r>
          </w:p>
        </w:tc>
      </w:tr>
      <w:tr w:rsidR="00E52BF5" w14:paraId="1132EF2E" w14:textId="77777777" w:rsidTr="00F27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C6507B" w14:textId="77777777" w:rsidR="00EA2B52" w:rsidRPr="00C96503" w:rsidRDefault="00EA2B52">
            <w:pPr>
              <w:rPr>
                <w:rFonts w:ascii="Aptos Display" w:hAnsi="Aptos Display" w:cs="Calibri"/>
                <w:b w:val="0"/>
                <w:bCs w:val="0"/>
                <w:sz w:val="20"/>
                <w:szCs w:val="20"/>
              </w:rPr>
            </w:pPr>
            <w:r w:rsidRPr="00C96503">
              <w:rPr>
                <w:rFonts w:ascii="Aptos Display" w:hAnsi="Aptos Display" w:cs="Calibri"/>
                <w:sz w:val="20"/>
                <w:szCs w:val="20"/>
              </w:rPr>
              <w:t>Strengthen data collection for evidence-based responses and bud the national evidence base</w:t>
            </w:r>
          </w:p>
        </w:tc>
        <w:tc>
          <w:tcPr>
            <w:tcW w:w="1843" w:type="dxa"/>
          </w:tcPr>
          <w:p w14:paraId="290A67A9" w14:textId="28B69EE0" w:rsidR="00EA2B52" w:rsidRPr="00C96503" w:rsidRDefault="00EA2B52">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anchor distT="0" distB="0" distL="114300" distR="114300" simplePos="0" relativeHeight="251658248" behindDoc="1" locked="0" layoutInCell="1" allowOverlap="1" wp14:anchorId="09E73B9E" wp14:editId="06E6D0C7">
                  <wp:simplePos x="0" y="0"/>
                  <wp:positionH relativeFrom="column">
                    <wp:posOffset>-34253</wp:posOffset>
                  </wp:positionH>
                  <wp:positionV relativeFrom="paragraph">
                    <wp:posOffset>20955</wp:posOffset>
                  </wp:positionV>
                  <wp:extent cx="118110" cy="118110"/>
                  <wp:effectExtent l="0" t="0" r="0" b="0"/>
                  <wp:wrapThrough wrapText="bothSides">
                    <wp:wrapPolygon edited="0">
                      <wp:start x="0" y="0"/>
                      <wp:lineTo x="0" y="17419"/>
                      <wp:lineTo x="17419" y="17419"/>
                      <wp:lineTo x="17419" y="0"/>
                      <wp:lineTo x="0" y="0"/>
                    </wp:wrapPolygon>
                  </wp:wrapThrough>
                  <wp:docPr id="94379774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2625" name="Graphic 2114342625" descr="Close with solid fill"/>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6"/>
                              </a:ext>
                            </a:extLst>
                          </a:blip>
                          <a:stretch>
                            <a:fillRect/>
                          </a:stretch>
                        </pic:blipFill>
                        <pic:spPr>
                          <a:xfrm>
                            <a:off x="0" y="0"/>
                            <a:ext cx="118110" cy="118110"/>
                          </a:xfrm>
                          <a:prstGeom prst="rect">
                            <a:avLst/>
                          </a:prstGeom>
                        </pic:spPr>
                      </pic:pic>
                    </a:graphicData>
                  </a:graphic>
                </wp:anchor>
              </w:drawing>
            </w:r>
            <w:r w:rsidRPr="00C96503">
              <w:rPr>
                <w:rFonts w:ascii="Aptos" w:hAnsi="Aptos" w:cs="Calibri"/>
                <w:sz w:val="20"/>
                <w:szCs w:val="20"/>
              </w:rPr>
              <w:t xml:space="preserve">Data will remain inconsistent, incomplete, and non-comparable. </w:t>
            </w:r>
            <w:r w:rsidR="00030599">
              <w:rPr>
                <w:rFonts w:ascii="Aptos" w:hAnsi="Aptos" w:cs="Calibri"/>
                <w:sz w:val="20"/>
                <w:szCs w:val="20"/>
              </w:rPr>
              <w:t>No</w:t>
            </w:r>
            <w:r w:rsidRPr="00C96503">
              <w:rPr>
                <w:rFonts w:ascii="Aptos" w:hAnsi="Aptos" w:cs="Calibri"/>
                <w:sz w:val="20"/>
                <w:szCs w:val="20"/>
              </w:rPr>
              <w:t xml:space="preserve"> national evidence base</w:t>
            </w:r>
            <w:r w:rsidR="00030599">
              <w:rPr>
                <w:rFonts w:ascii="Aptos" w:hAnsi="Aptos" w:cs="Calibri"/>
                <w:sz w:val="20"/>
                <w:szCs w:val="20"/>
              </w:rPr>
              <w:t xml:space="preserve">. </w:t>
            </w:r>
          </w:p>
        </w:tc>
        <w:tc>
          <w:tcPr>
            <w:tcW w:w="2552" w:type="dxa"/>
          </w:tcPr>
          <w:p w14:paraId="0F37843B" w14:textId="77777777" w:rsidR="00EA2B52" w:rsidRPr="00C96503" w:rsidRDefault="00EA2B52">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anchor distT="0" distB="0" distL="114300" distR="114300" simplePos="0" relativeHeight="251658249" behindDoc="1" locked="0" layoutInCell="1" allowOverlap="1" wp14:anchorId="5FE4147E" wp14:editId="4BF31A70">
                  <wp:simplePos x="0" y="0"/>
                  <wp:positionH relativeFrom="column">
                    <wp:posOffset>-1905</wp:posOffset>
                  </wp:positionH>
                  <wp:positionV relativeFrom="paragraph">
                    <wp:posOffset>42657</wp:posOffset>
                  </wp:positionV>
                  <wp:extent cx="118110" cy="118110"/>
                  <wp:effectExtent l="0" t="0" r="0" b="0"/>
                  <wp:wrapThrough wrapText="bothSides">
                    <wp:wrapPolygon edited="0">
                      <wp:start x="0" y="0"/>
                      <wp:lineTo x="0" y="17419"/>
                      <wp:lineTo x="17419" y="17419"/>
                      <wp:lineTo x="17419" y="0"/>
                      <wp:lineTo x="0" y="0"/>
                    </wp:wrapPolygon>
                  </wp:wrapThrough>
                  <wp:docPr id="16264812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2625" name="Graphic 2114342625" descr="Close with solid fill"/>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6"/>
                              </a:ext>
                            </a:extLst>
                          </a:blip>
                          <a:stretch>
                            <a:fillRect/>
                          </a:stretch>
                        </pic:blipFill>
                        <pic:spPr>
                          <a:xfrm>
                            <a:off x="0" y="0"/>
                            <a:ext cx="118110" cy="118110"/>
                          </a:xfrm>
                          <a:prstGeom prst="rect">
                            <a:avLst/>
                          </a:prstGeom>
                        </pic:spPr>
                      </pic:pic>
                    </a:graphicData>
                  </a:graphic>
                </wp:anchor>
              </w:drawing>
            </w:r>
            <w:r w:rsidRPr="00C96503">
              <w:rPr>
                <w:rFonts w:ascii="Aptos" w:hAnsi="Aptos" w:cs="Calibri"/>
                <w:sz w:val="20"/>
                <w:szCs w:val="20"/>
              </w:rPr>
              <w:t>No requirements for data collection will mean persistent gaps, limiting the ability to monitor progress or evaluate outcomes</w:t>
            </w:r>
          </w:p>
        </w:tc>
        <w:tc>
          <w:tcPr>
            <w:tcW w:w="2835" w:type="dxa"/>
          </w:tcPr>
          <w:p w14:paraId="5FD889FF" w14:textId="77777777" w:rsidR="00EA2B52" w:rsidRPr="00C96503" w:rsidRDefault="00EA2B52">
            <w:pPr>
              <w:cnfStyle w:val="000000100000" w:firstRow="0" w:lastRow="0" w:firstColumn="0" w:lastColumn="0" w:oddVBand="0" w:evenVBand="0" w:oddHBand="1"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inline distT="0" distB="0" distL="0" distR="0" wp14:anchorId="484A0D68" wp14:editId="5BF13D00">
                  <wp:extent cx="139625" cy="139625"/>
                  <wp:effectExtent l="0" t="0" r="0" b="0"/>
                  <wp:docPr id="71718939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0813" name="Graphic 238970813" descr="Checkmark with solid fill"/>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0"/>
                              </a:ext>
                            </a:extLst>
                          </a:blip>
                          <a:stretch>
                            <a:fillRect/>
                          </a:stretch>
                        </pic:blipFill>
                        <pic:spPr>
                          <a:xfrm>
                            <a:off x="0" y="0"/>
                            <a:ext cx="144989" cy="144989"/>
                          </a:xfrm>
                          <a:prstGeom prst="rect">
                            <a:avLst/>
                          </a:prstGeom>
                        </pic:spPr>
                      </pic:pic>
                    </a:graphicData>
                  </a:graphic>
                </wp:inline>
              </w:drawing>
            </w:r>
            <w:r w:rsidRPr="00C96503">
              <w:rPr>
                <w:rFonts w:ascii="Aptos" w:hAnsi="Aptos" w:cs="Calibri"/>
                <w:sz w:val="20"/>
                <w:szCs w:val="20"/>
              </w:rPr>
              <w:t xml:space="preserve"> Mandates sector-wide data collection to inform future improvement and build the national evidence base</w:t>
            </w:r>
          </w:p>
        </w:tc>
      </w:tr>
      <w:tr w:rsidR="00EA2B52" w14:paraId="3220D403" w14:textId="77777777" w:rsidTr="00797D7C">
        <w:trPr>
          <w:trHeight w:val="1062"/>
        </w:trPr>
        <w:tc>
          <w:tcPr>
            <w:cnfStyle w:val="001000000000" w:firstRow="0" w:lastRow="0" w:firstColumn="1" w:lastColumn="0" w:oddVBand="0" w:evenVBand="0" w:oddHBand="0" w:evenHBand="0" w:firstRowFirstColumn="0" w:firstRowLastColumn="0" w:lastRowFirstColumn="0" w:lastRowLastColumn="0"/>
            <w:tcW w:w="0" w:type="dxa"/>
          </w:tcPr>
          <w:p w14:paraId="6A0E6EA2" w14:textId="77777777" w:rsidR="00EA2B52" w:rsidRPr="00C96503" w:rsidRDefault="00EA2B52">
            <w:pPr>
              <w:rPr>
                <w:rFonts w:ascii="Aptos Display" w:hAnsi="Aptos Display" w:cs="Calibri"/>
                <w:b w:val="0"/>
                <w:bCs w:val="0"/>
                <w:sz w:val="20"/>
                <w:szCs w:val="20"/>
              </w:rPr>
            </w:pPr>
            <w:r w:rsidRPr="00C96503">
              <w:rPr>
                <w:rFonts w:ascii="Aptos Display" w:hAnsi="Aptos Display" w:cs="Calibri"/>
                <w:sz w:val="20"/>
                <w:szCs w:val="20"/>
              </w:rPr>
              <w:t>Strengthen regulatory framework for consistent standards</w:t>
            </w:r>
          </w:p>
        </w:tc>
        <w:tc>
          <w:tcPr>
            <w:tcW w:w="0" w:type="dxa"/>
          </w:tcPr>
          <w:p w14:paraId="46B71C29" w14:textId="77777777" w:rsidR="00EA2B52" w:rsidRPr="00C96503" w:rsidRDefault="00EA2B52">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anchor distT="0" distB="0" distL="114300" distR="114300" simplePos="0" relativeHeight="251658250" behindDoc="1" locked="0" layoutInCell="1" allowOverlap="1" wp14:anchorId="50BE0A42" wp14:editId="259C56FA">
                  <wp:simplePos x="0" y="0"/>
                  <wp:positionH relativeFrom="column">
                    <wp:posOffset>-21627</wp:posOffset>
                  </wp:positionH>
                  <wp:positionV relativeFrom="paragraph">
                    <wp:posOffset>21590</wp:posOffset>
                  </wp:positionV>
                  <wp:extent cx="118110" cy="118110"/>
                  <wp:effectExtent l="0" t="0" r="0" b="0"/>
                  <wp:wrapThrough wrapText="bothSides">
                    <wp:wrapPolygon edited="0">
                      <wp:start x="0" y="0"/>
                      <wp:lineTo x="0" y="17419"/>
                      <wp:lineTo x="17419" y="17419"/>
                      <wp:lineTo x="17419" y="0"/>
                      <wp:lineTo x="0" y="0"/>
                    </wp:wrapPolygon>
                  </wp:wrapThrough>
                  <wp:docPr id="10279984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2625" name="Graphic 2114342625" descr="Close with solid fill"/>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6"/>
                              </a:ext>
                            </a:extLst>
                          </a:blip>
                          <a:stretch>
                            <a:fillRect/>
                          </a:stretch>
                        </pic:blipFill>
                        <pic:spPr>
                          <a:xfrm>
                            <a:off x="0" y="0"/>
                            <a:ext cx="118110" cy="118110"/>
                          </a:xfrm>
                          <a:prstGeom prst="rect">
                            <a:avLst/>
                          </a:prstGeom>
                        </pic:spPr>
                      </pic:pic>
                    </a:graphicData>
                  </a:graphic>
                </wp:anchor>
              </w:drawing>
            </w:r>
            <w:r w:rsidRPr="00C96503">
              <w:rPr>
                <w:rFonts w:ascii="Aptos" w:hAnsi="Aptos" w:cs="Calibri"/>
                <w:sz w:val="20"/>
                <w:szCs w:val="20"/>
              </w:rPr>
              <w:t>No regulatory framework</w:t>
            </w:r>
          </w:p>
        </w:tc>
        <w:tc>
          <w:tcPr>
            <w:tcW w:w="0" w:type="dxa"/>
          </w:tcPr>
          <w:p w14:paraId="79C02C87" w14:textId="77777777" w:rsidR="00EA2B52" w:rsidRPr="00C96503" w:rsidRDefault="00EA2B52">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anchor distT="0" distB="0" distL="114300" distR="114300" simplePos="0" relativeHeight="251658251" behindDoc="1" locked="0" layoutInCell="1" allowOverlap="1" wp14:anchorId="79C175DB" wp14:editId="0DD345E0">
                  <wp:simplePos x="0" y="0"/>
                  <wp:positionH relativeFrom="column">
                    <wp:posOffset>-1905</wp:posOffset>
                  </wp:positionH>
                  <wp:positionV relativeFrom="paragraph">
                    <wp:posOffset>30592</wp:posOffset>
                  </wp:positionV>
                  <wp:extent cx="118110" cy="118110"/>
                  <wp:effectExtent l="0" t="0" r="0" b="0"/>
                  <wp:wrapThrough wrapText="bothSides">
                    <wp:wrapPolygon edited="0">
                      <wp:start x="0" y="0"/>
                      <wp:lineTo x="0" y="17419"/>
                      <wp:lineTo x="17419" y="17419"/>
                      <wp:lineTo x="17419" y="0"/>
                      <wp:lineTo x="0" y="0"/>
                    </wp:wrapPolygon>
                  </wp:wrapThrough>
                  <wp:docPr id="43228724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2625" name="Graphic 2114342625" descr="Close with solid fill"/>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6"/>
                              </a:ext>
                            </a:extLst>
                          </a:blip>
                          <a:stretch>
                            <a:fillRect/>
                          </a:stretch>
                        </pic:blipFill>
                        <pic:spPr>
                          <a:xfrm>
                            <a:off x="0" y="0"/>
                            <a:ext cx="118110" cy="118110"/>
                          </a:xfrm>
                          <a:prstGeom prst="rect">
                            <a:avLst/>
                          </a:prstGeom>
                        </pic:spPr>
                      </pic:pic>
                    </a:graphicData>
                  </a:graphic>
                </wp:anchor>
              </w:drawing>
            </w:r>
            <w:r w:rsidRPr="00C96503">
              <w:rPr>
                <w:rFonts w:ascii="Aptos" w:hAnsi="Aptos" w:cs="Calibri"/>
                <w:sz w:val="20"/>
                <w:szCs w:val="20"/>
              </w:rPr>
              <w:t xml:space="preserve">No new </w:t>
            </w:r>
            <w:r w:rsidRPr="0003142F">
              <w:rPr>
                <w:rFonts w:ascii="Aptos" w:hAnsi="Aptos" w:cs="Calibri"/>
                <w:sz w:val="20"/>
                <w:szCs w:val="20"/>
              </w:rPr>
              <w:t>regulatory mechanisms</w:t>
            </w:r>
            <w:r w:rsidRPr="00C96503">
              <w:rPr>
                <w:rFonts w:ascii="Aptos" w:hAnsi="Aptos" w:cs="Calibri"/>
                <w:sz w:val="20"/>
                <w:szCs w:val="20"/>
              </w:rPr>
              <w:t xml:space="preserve"> </w:t>
            </w:r>
          </w:p>
        </w:tc>
        <w:tc>
          <w:tcPr>
            <w:tcW w:w="0" w:type="dxa"/>
          </w:tcPr>
          <w:p w14:paraId="5C793CDD" w14:textId="77777777" w:rsidR="00EA2B52" w:rsidRPr="00C96503" w:rsidRDefault="00EA2B52">
            <w:pPr>
              <w:cnfStyle w:val="000000000000" w:firstRow="0" w:lastRow="0" w:firstColumn="0" w:lastColumn="0" w:oddVBand="0" w:evenVBand="0" w:oddHBand="0" w:evenHBand="0" w:firstRowFirstColumn="0" w:firstRowLastColumn="0" w:lastRowFirstColumn="0" w:lastRowLastColumn="0"/>
              <w:rPr>
                <w:rFonts w:ascii="Aptos" w:hAnsi="Aptos" w:cs="Calibri"/>
                <w:sz w:val="20"/>
                <w:szCs w:val="20"/>
              </w:rPr>
            </w:pPr>
            <w:r w:rsidRPr="00C96503">
              <w:rPr>
                <w:rFonts w:ascii="Aptos" w:hAnsi="Aptos"/>
                <w:noProof/>
                <w:sz w:val="20"/>
                <w:szCs w:val="20"/>
                <w:lang w:eastAsia="en-AU"/>
              </w:rPr>
              <w:drawing>
                <wp:anchor distT="0" distB="0" distL="114300" distR="114300" simplePos="0" relativeHeight="251658252" behindDoc="0" locked="0" layoutInCell="1" allowOverlap="1" wp14:anchorId="7D2C6AD4" wp14:editId="2C0B39A8">
                  <wp:simplePos x="0" y="0"/>
                  <wp:positionH relativeFrom="column">
                    <wp:posOffset>-1905</wp:posOffset>
                  </wp:positionH>
                  <wp:positionV relativeFrom="paragraph">
                    <wp:posOffset>5080</wp:posOffset>
                  </wp:positionV>
                  <wp:extent cx="118110" cy="118110"/>
                  <wp:effectExtent l="0" t="0" r="0" b="0"/>
                  <wp:wrapThrough wrapText="bothSides">
                    <wp:wrapPolygon edited="0">
                      <wp:start x="6968" y="0"/>
                      <wp:lineTo x="0" y="6968"/>
                      <wp:lineTo x="0" y="17419"/>
                      <wp:lineTo x="17419" y="17419"/>
                      <wp:lineTo x="17419" y="0"/>
                      <wp:lineTo x="6968" y="0"/>
                    </wp:wrapPolygon>
                  </wp:wrapThrough>
                  <wp:docPr id="129512306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0813" name="Graphic 238970813" descr="Checkmark with solid fill"/>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30"/>
                              </a:ext>
                            </a:extLst>
                          </a:blip>
                          <a:stretch>
                            <a:fillRect/>
                          </a:stretch>
                        </pic:blipFill>
                        <pic:spPr>
                          <a:xfrm>
                            <a:off x="0" y="0"/>
                            <a:ext cx="118110" cy="118110"/>
                          </a:xfrm>
                          <a:prstGeom prst="rect">
                            <a:avLst/>
                          </a:prstGeom>
                        </pic:spPr>
                      </pic:pic>
                    </a:graphicData>
                  </a:graphic>
                  <wp14:sizeRelH relativeFrom="margin">
                    <wp14:pctWidth>0</wp14:pctWidth>
                  </wp14:sizeRelH>
                  <wp14:sizeRelV relativeFrom="margin">
                    <wp14:pctHeight>0</wp14:pctHeight>
                  </wp14:sizeRelV>
                </wp:anchor>
              </w:drawing>
            </w:r>
            <w:r w:rsidRPr="00C96503">
              <w:rPr>
                <w:rFonts w:ascii="Aptos" w:hAnsi="Aptos" w:cs="Calibri"/>
                <w:sz w:val="20"/>
                <w:szCs w:val="20"/>
              </w:rPr>
              <w:t>Establishes a clear, enforceable regulatory framework</w:t>
            </w:r>
          </w:p>
        </w:tc>
      </w:tr>
    </w:tbl>
    <w:p w14:paraId="51235E9C" w14:textId="77777777" w:rsidR="00265477" w:rsidRDefault="00265477" w:rsidP="001F1A5F"/>
    <w:p w14:paraId="57679478" w14:textId="6C3B5EF9" w:rsidR="00BC47DB" w:rsidRDefault="007C04DA" w:rsidP="007C04DA">
      <w:pPr>
        <w:pStyle w:val="Heading2"/>
      </w:pPr>
      <w:bookmarkStart w:id="209" w:name="_Toc204699899"/>
      <w:bookmarkStart w:id="210" w:name="_Toc210050253"/>
      <w:r>
        <w:t>P</w:t>
      </w:r>
      <w:r w:rsidR="00B62B79">
        <w:t xml:space="preserve">referred </w:t>
      </w:r>
      <w:r w:rsidR="00265477">
        <w:t xml:space="preserve">option: </w:t>
      </w:r>
      <w:r w:rsidR="00400F14">
        <w:t>O</w:t>
      </w:r>
      <w:r w:rsidR="00265477">
        <w:t xml:space="preserve">ption 3 – </w:t>
      </w:r>
      <w:r w:rsidR="002F4F96">
        <w:t>M</w:t>
      </w:r>
      <w:r w:rsidR="00265477">
        <w:t xml:space="preserve">andatory </w:t>
      </w:r>
      <w:r w:rsidR="008743F1">
        <w:t>National Code</w:t>
      </w:r>
      <w:bookmarkEnd w:id="209"/>
      <w:bookmarkEnd w:id="210"/>
    </w:p>
    <w:p w14:paraId="1413D9D9" w14:textId="13D3EDC4" w:rsidR="000A07B9" w:rsidRPr="00F45378" w:rsidRDefault="00EB5E73" w:rsidP="0046675A">
      <w:pPr>
        <w:spacing w:line="240" w:lineRule="auto"/>
        <w:rPr>
          <w:szCs w:val="22"/>
        </w:rPr>
      </w:pPr>
      <w:r w:rsidRPr="00F45378">
        <w:rPr>
          <w:szCs w:val="22"/>
        </w:rPr>
        <w:t xml:space="preserve">Option 3 – </w:t>
      </w:r>
      <w:r w:rsidR="00C10A45" w:rsidRPr="00F45378">
        <w:rPr>
          <w:szCs w:val="22"/>
        </w:rPr>
        <w:t xml:space="preserve">introduction of a </w:t>
      </w:r>
      <w:r w:rsidRPr="00F45378">
        <w:rPr>
          <w:szCs w:val="22"/>
        </w:rPr>
        <w:t xml:space="preserve">mandatory </w:t>
      </w:r>
      <w:r w:rsidR="008743F1" w:rsidRPr="00F45378">
        <w:rPr>
          <w:szCs w:val="22"/>
        </w:rPr>
        <w:t>National Code</w:t>
      </w:r>
      <w:r w:rsidRPr="00F45378">
        <w:rPr>
          <w:szCs w:val="22"/>
        </w:rPr>
        <w:t xml:space="preserve"> – is the preferred option</w:t>
      </w:r>
      <w:r w:rsidR="00C10A45" w:rsidRPr="00F45378">
        <w:rPr>
          <w:szCs w:val="22"/>
        </w:rPr>
        <w:t>. This option</w:t>
      </w:r>
      <w:r w:rsidR="00BE5B4F" w:rsidRPr="00F45378">
        <w:rPr>
          <w:szCs w:val="22"/>
        </w:rPr>
        <w:t xml:space="preserve"> establishes a robust, enforceable framework to prevent and respond to </w:t>
      </w:r>
      <w:r w:rsidR="008223FC" w:rsidRPr="00F45378">
        <w:rPr>
          <w:szCs w:val="22"/>
        </w:rPr>
        <w:t>GBV</w:t>
      </w:r>
      <w:r w:rsidR="00BE5B4F" w:rsidRPr="00F45378">
        <w:rPr>
          <w:szCs w:val="22"/>
        </w:rPr>
        <w:t>, which offers the greatest net ben</w:t>
      </w:r>
      <w:r w:rsidR="000A07B9" w:rsidRPr="00F45378">
        <w:rPr>
          <w:szCs w:val="22"/>
        </w:rPr>
        <w:t xml:space="preserve">efit. </w:t>
      </w:r>
      <w:r w:rsidR="0046675A" w:rsidRPr="00F45378">
        <w:rPr>
          <w:szCs w:val="22"/>
        </w:rPr>
        <w:t xml:space="preserve">While implementation will require coordinated investment and effort the long-term benefit – safety for students and staff, stronger institutional accountability and improved outcomes – clearly outweigh the costs. </w:t>
      </w:r>
    </w:p>
    <w:p w14:paraId="3BB7A160" w14:textId="1353FA0F" w:rsidR="00BC47DB" w:rsidRPr="00F45378" w:rsidRDefault="00BC47DB" w:rsidP="00AD0C12">
      <w:pPr>
        <w:spacing w:line="240" w:lineRule="auto"/>
        <w:rPr>
          <w:rFonts w:cs="Calibri"/>
          <w:szCs w:val="22"/>
        </w:rPr>
      </w:pPr>
      <w:r w:rsidRPr="00F45378">
        <w:rPr>
          <w:rFonts w:cs="Calibri"/>
          <w:szCs w:val="22"/>
        </w:rPr>
        <w:t xml:space="preserve">Option 3 directly supports the Australian Government’s goal to end violence against women within a generation. It provides a robust legislative foundation for embedding prevention, early intervention, and effective response into every level of higher education settings – a key site where young people are at heightened risk of experiencing </w:t>
      </w:r>
      <w:r w:rsidR="008223FC" w:rsidRPr="00F45378">
        <w:rPr>
          <w:rFonts w:cs="Calibri"/>
          <w:szCs w:val="22"/>
        </w:rPr>
        <w:t>GBV</w:t>
      </w:r>
      <w:r w:rsidRPr="00F45378">
        <w:rPr>
          <w:rFonts w:cs="Calibri"/>
          <w:szCs w:val="22"/>
        </w:rPr>
        <w:t>.</w:t>
      </w:r>
    </w:p>
    <w:p w14:paraId="0EB6BB4A" w14:textId="5908D568" w:rsidR="00BC47DB" w:rsidRPr="00F45378" w:rsidRDefault="00BC47DB" w:rsidP="00AD0C12">
      <w:pPr>
        <w:spacing w:line="240" w:lineRule="auto"/>
        <w:rPr>
          <w:rFonts w:eastAsiaTheme="minorEastAsia" w:cs="Calibri"/>
          <w:szCs w:val="22"/>
        </w:rPr>
      </w:pPr>
      <w:r w:rsidRPr="00F45378">
        <w:rPr>
          <w:rFonts w:eastAsiaTheme="minorEastAsia" w:cs="Calibri"/>
          <w:szCs w:val="22"/>
        </w:rPr>
        <w:t xml:space="preserve">This recommendation is informed by a comprehensive assessment of policy effectiveness, regulatory capability, and extensive stakeholder consultation. Option 3 uniquely delivers the scale, consistency, and enforceability required to meaningfully address </w:t>
      </w:r>
      <w:r w:rsidR="008223FC" w:rsidRPr="00F45378">
        <w:rPr>
          <w:rFonts w:eastAsiaTheme="minorEastAsia" w:cs="Calibri"/>
          <w:szCs w:val="22"/>
        </w:rPr>
        <w:t>GBV</w:t>
      </w:r>
      <w:r w:rsidRPr="00F45378">
        <w:rPr>
          <w:rFonts w:cs="Calibri"/>
          <w:szCs w:val="22"/>
        </w:rPr>
        <w:t>.</w:t>
      </w:r>
    </w:p>
    <w:p w14:paraId="133BD071" w14:textId="77777777" w:rsidR="00BC47DB" w:rsidRPr="00BC47DB" w:rsidRDefault="00BC47DB" w:rsidP="00BC47DB">
      <w:pPr>
        <w:spacing w:before="120" w:after="120" w:line="240" w:lineRule="auto"/>
        <w:rPr>
          <w:rFonts w:cs="Calibri"/>
          <w:b/>
          <w:bCs/>
        </w:rPr>
      </w:pPr>
      <w:r w:rsidRPr="00BC47DB">
        <w:rPr>
          <w:rFonts w:cs="Calibri"/>
          <w:b/>
          <w:bCs/>
        </w:rPr>
        <w:t>Setting standards for the entire sector</w:t>
      </w:r>
    </w:p>
    <w:p w14:paraId="78B82842" w14:textId="0AF4A264" w:rsidR="00BC47DB" w:rsidRPr="00BC47DB" w:rsidRDefault="00BC47DB" w:rsidP="00BC47DB">
      <w:pPr>
        <w:spacing w:before="120" w:after="120" w:line="240" w:lineRule="auto"/>
        <w:rPr>
          <w:rFonts w:cs="Calibri"/>
        </w:rPr>
      </w:pPr>
      <w:r w:rsidRPr="00BC47DB">
        <w:rPr>
          <w:rFonts w:cs="Calibri"/>
        </w:rPr>
        <w:t xml:space="preserve">Option 3 establishes clear, enforceable standards applicable to all higher education providers. These standards were developed through extensive consultation with students, victim-survivors, higher education staff, peak bodies, researchers, unions, and advocacy groups. Stakeholders consistently called for greater clarity, consistency, and capability-building – all of which are addressed through this approach. Option 2 proposes the same such standards, but relies on voluntary efforts of higher education providers, which as discussed has failed to drive the systemic change needed to drive </w:t>
      </w:r>
      <w:r w:rsidR="00B7771B">
        <w:rPr>
          <w:rFonts w:cs="Calibri"/>
        </w:rPr>
        <w:t>GBV</w:t>
      </w:r>
      <w:r w:rsidRPr="00BC47DB">
        <w:rPr>
          <w:rFonts w:cs="Calibri"/>
        </w:rPr>
        <w:t>.</w:t>
      </w:r>
    </w:p>
    <w:p w14:paraId="4BED686F" w14:textId="77777777" w:rsidR="00BC47DB" w:rsidRPr="00BC47DB" w:rsidRDefault="00BC47DB" w:rsidP="00BC47DB">
      <w:pPr>
        <w:spacing w:before="120" w:after="120" w:line="240" w:lineRule="auto"/>
        <w:rPr>
          <w:rFonts w:cs="Calibri"/>
          <w:b/>
          <w:bCs/>
        </w:rPr>
      </w:pPr>
      <w:r w:rsidRPr="00BC47DB">
        <w:rPr>
          <w:rFonts w:cs="Calibri"/>
          <w:b/>
          <w:bCs/>
        </w:rPr>
        <w:t xml:space="preserve">National consistency through regulation </w:t>
      </w:r>
    </w:p>
    <w:p w14:paraId="6DCC38EC" w14:textId="19A15825" w:rsidR="00BC47DB" w:rsidRPr="00BC47DB" w:rsidRDefault="00BC47DB" w:rsidP="00BC47DB">
      <w:pPr>
        <w:spacing w:before="120" w:after="120" w:line="240" w:lineRule="auto"/>
        <w:rPr>
          <w:rFonts w:cs="Calibri"/>
        </w:rPr>
      </w:pPr>
      <w:r w:rsidRPr="00BC47DB">
        <w:rPr>
          <w:rFonts w:cs="Calibri"/>
        </w:rPr>
        <w:t xml:space="preserve">Unlike previous non-regulatory initiatives, which have failed to deliver widespread or lasting change, the </w:t>
      </w:r>
      <w:r w:rsidR="008743F1">
        <w:rPr>
          <w:rFonts w:cs="Calibri"/>
        </w:rPr>
        <w:t>National Code</w:t>
      </w:r>
      <w:r w:rsidRPr="00BC47DB">
        <w:rPr>
          <w:rFonts w:cs="Calibri"/>
        </w:rPr>
        <w:t xml:space="preserve"> will be underpinned by regulation. A dedicated </w:t>
      </w:r>
      <w:r w:rsidR="003E7C96">
        <w:rPr>
          <w:rFonts w:cs="Calibri"/>
        </w:rPr>
        <w:t>s</w:t>
      </w:r>
      <w:r w:rsidR="00FF2C64">
        <w:rPr>
          <w:rFonts w:cs="Calibri"/>
        </w:rPr>
        <w:t>pecialist GBV Reform Branch</w:t>
      </w:r>
      <w:r w:rsidRPr="00BC47DB">
        <w:rPr>
          <w:rFonts w:cs="Calibri"/>
        </w:rPr>
        <w:t xml:space="preserve"> will oversee compliance, ensuring consistent implementation across the sector. This regulatory framework guarantees that all providers meet minimum standards for prevention and response.</w:t>
      </w:r>
    </w:p>
    <w:p w14:paraId="4EB0A454" w14:textId="56DFFDFD" w:rsidR="00BC47DB" w:rsidRPr="00BC47DB" w:rsidRDefault="00BC47DB" w:rsidP="00BC47DB">
      <w:pPr>
        <w:spacing w:before="120" w:after="120" w:line="240" w:lineRule="auto"/>
        <w:rPr>
          <w:rFonts w:cs="Calibri"/>
        </w:rPr>
      </w:pPr>
      <w:r w:rsidRPr="00BC47DB">
        <w:rPr>
          <w:rFonts w:cs="Calibri"/>
        </w:rPr>
        <w:t xml:space="preserve">Publicly funded institutions have a responsibility to provide safe, inclusive and equitable learning environments. The </w:t>
      </w:r>
      <w:r w:rsidR="008743F1">
        <w:rPr>
          <w:rFonts w:cs="Calibri"/>
        </w:rPr>
        <w:t>National Code</w:t>
      </w:r>
      <w:r w:rsidRPr="00BC47DB">
        <w:rPr>
          <w:rFonts w:cs="Calibri"/>
        </w:rPr>
        <w:t xml:space="preserve"> makes compliance a condition of funding under the HESA Act ensuring continued Commonwealth support. This alignment strengthens accountability for the use of public resources and advances Australian Government policy objectives.</w:t>
      </w:r>
    </w:p>
    <w:p w14:paraId="1826B3ED" w14:textId="77777777" w:rsidR="00BC47DB" w:rsidRPr="00BC47DB" w:rsidRDefault="00BC47DB" w:rsidP="00BC47DB">
      <w:pPr>
        <w:spacing w:before="120" w:after="120" w:line="240" w:lineRule="auto"/>
        <w:rPr>
          <w:rFonts w:cs="Calibri"/>
          <w:b/>
          <w:bCs/>
        </w:rPr>
      </w:pPr>
      <w:r w:rsidRPr="00BC47DB">
        <w:rPr>
          <w:rFonts w:cs="Calibri"/>
          <w:b/>
          <w:bCs/>
        </w:rPr>
        <w:t>Build the national evidence base</w:t>
      </w:r>
    </w:p>
    <w:p w14:paraId="1FD1392E" w14:textId="23DEACC5" w:rsidR="00BC47DB" w:rsidRPr="00F45378" w:rsidRDefault="00BC47DB" w:rsidP="00BC47DB">
      <w:pPr>
        <w:spacing w:before="120" w:after="120" w:line="240" w:lineRule="auto"/>
        <w:rPr>
          <w:rFonts w:cs="Calibri"/>
          <w:szCs w:val="22"/>
        </w:rPr>
      </w:pPr>
      <w:r w:rsidRPr="00F45378">
        <w:rPr>
          <w:rFonts w:cs="Calibri"/>
          <w:szCs w:val="22"/>
        </w:rPr>
        <w:t xml:space="preserve">While existing data confirms that </w:t>
      </w:r>
      <w:r w:rsidR="008223FC" w:rsidRPr="00F45378">
        <w:rPr>
          <w:rFonts w:cs="Calibri"/>
          <w:szCs w:val="22"/>
        </w:rPr>
        <w:t>GBV</w:t>
      </w:r>
      <w:r w:rsidRPr="00F45378">
        <w:rPr>
          <w:rFonts w:cs="Calibri"/>
          <w:szCs w:val="22"/>
        </w:rPr>
        <w:t xml:space="preserve"> is prevalent in higher education, it is often narrow in focus and is constrained to specific forms such as sexual assault and sexual harassment. However, </w:t>
      </w:r>
      <w:r w:rsidR="008223FC" w:rsidRPr="00F45378">
        <w:rPr>
          <w:rFonts w:cs="Calibri"/>
          <w:szCs w:val="22"/>
        </w:rPr>
        <w:t>GBV</w:t>
      </w:r>
      <w:r w:rsidRPr="00F45378">
        <w:rPr>
          <w:rFonts w:cs="Calibri"/>
          <w:szCs w:val="22"/>
        </w:rPr>
        <w:t xml:space="preserve"> is complex, diverse, and constantly evolving—manifesting in new forms such as tech-facilitated abuse. To effectively address the issue, it must be fully understood. Thus, a comprehensive national base is essential – not only for higher education providers to understand the scope of the issue in their own settings, but also for the government as part of the national plan to end violence against women with a single generation. </w:t>
      </w:r>
    </w:p>
    <w:p w14:paraId="388B6863" w14:textId="46F291EF" w:rsidR="00BC47DB" w:rsidRPr="00F45378" w:rsidRDefault="00BC47DB" w:rsidP="00BC47DB">
      <w:pPr>
        <w:spacing w:before="120" w:after="120" w:line="240" w:lineRule="auto"/>
        <w:rPr>
          <w:rFonts w:cs="Calibri"/>
          <w:szCs w:val="22"/>
        </w:rPr>
      </w:pPr>
      <w:r w:rsidRPr="00F45378">
        <w:rPr>
          <w:rFonts w:cs="Calibri"/>
          <w:szCs w:val="22"/>
        </w:rPr>
        <w:t xml:space="preserve">A key element of Option 3 is its extensive requirements for providers to collect, analyse and report on </w:t>
      </w:r>
      <w:r w:rsidR="008223FC" w:rsidRPr="00F45378">
        <w:rPr>
          <w:rFonts w:cs="Calibri"/>
          <w:szCs w:val="22"/>
        </w:rPr>
        <w:t>GBV</w:t>
      </w:r>
      <w:r w:rsidRPr="00F45378">
        <w:rPr>
          <w:rFonts w:cs="Calibri"/>
          <w:szCs w:val="22"/>
        </w:rPr>
        <w:t xml:space="preserve"> within their institutions. This will not only enhance their understanding of the effectiveness of their own actions but provide the first consistent national data base on </w:t>
      </w:r>
      <w:r w:rsidR="008223FC" w:rsidRPr="00F45378">
        <w:rPr>
          <w:rFonts w:cs="Calibri"/>
          <w:szCs w:val="22"/>
        </w:rPr>
        <w:t>GBV</w:t>
      </w:r>
      <w:r w:rsidRPr="00F45378">
        <w:rPr>
          <w:rFonts w:cs="Calibri"/>
          <w:szCs w:val="22"/>
        </w:rPr>
        <w:t xml:space="preserve">. This will support capacity development and sharing of emerging evidence to increase effectiveness of efforts to prevent and response to </w:t>
      </w:r>
      <w:r w:rsidR="008223FC" w:rsidRPr="00F45378">
        <w:rPr>
          <w:rFonts w:cs="Calibri"/>
          <w:szCs w:val="22"/>
        </w:rPr>
        <w:t>GBV</w:t>
      </w:r>
      <w:r w:rsidRPr="00F45378">
        <w:rPr>
          <w:rFonts w:cs="Calibri"/>
          <w:szCs w:val="22"/>
        </w:rPr>
        <w:t>.</w:t>
      </w:r>
    </w:p>
    <w:p w14:paraId="57306D2A" w14:textId="6EB720AD" w:rsidR="00BC47DB" w:rsidRPr="00F45378" w:rsidRDefault="00BC47DB" w:rsidP="00BC47DB">
      <w:pPr>
        <w:spacing w:before="120" w:after="120" w:line="240" w:lineRule="auto"/>
        <w:rPr>
          <w:rFonts w:cs="Calibri"/>
          <w:szCs w:val="22"/>
        </w:rPr>
      </w:pPr>
      <w:r w:rsidRPr="00F45378">
        <w:rPr>
          <w:rFonts w:cs="Calibri"/>
          <w:szCs w:val="22"/>
        </w:rPr>
        <w:lastRenderedPageBreak/>
        <w:t xml:space="preserve">Option 3 also mandates the collection of demographic data – an essential step in addressing current gaps of how </w:t>
      </w:r>
      <w:r w:rsidR="00B7771B" w:rsidRPr="00F45378">
        <w:rPr>
          <w:rFonts w:cs="Calibri"/>
          <w:szCs w:val="22"/>
        </w:rPr>
        <w:t>GBV</w:t>
      </w:r>
      <w:r w:rsidRPr="00F45378">
        <w:rPr>
          <w:rFonts w:cs="Calibri"/>
          <w:szCs w:val="22"/>
        </w:rPr>
        <w:t xml:space="preserve"> effects different groups. As discussed, higher education specific and national data suggests that First Nations women, people with disability and gender and sexuality diverse people experience disproportionately higher rates of </w:t>
      </w:r>
      <w:r w:rsidR="00B7771B" w:rsidRPr="00F45378">
        <w:rPr>
          <w:rFonts w:cs="Calibri"/>
          <w:szCs w:val="22"/>
        </w:rPr>
        <w:t>GBV</w:t>
      </w:r>
      <w:r w:rsidRPr="00F45378">
        <w:rPr>
          <w:rFonts w:cs="Calibri"/>
          <w:szCs w:val="22"/>
        </w:rPr>
        <w:t>, however these data sets either two small to generalise, or are not disaggregated at all.</w:t>
      </w:r>
    </w:p>
    <w:p w14:paraId="77D8BDDE" w14:textId="77777777" w:rsidR="00BC47DB" w:rsidRPr="00F45378" w:rsidRDefault="00BC47DB" w:rsidP="00BC47DB">
      <w:pPr>
        <w:spacing w:before="120" w:after="120" w:line="240" w:lineRule="auto"/>
        <w:rPr>
          <w:rFonts w:cs="Calibri"/>
          <w:szCs w:val="22"/>
        </w:rPr>
      </w:pPr>
      <w:r w:rsidRPr="00F45378">
        <w:rPr>
          <w:rFonts w:cs="Calibri"/>
          <w:szCs w:val="22"/>
        </w:rPr>
        <w:t>Without disaggregated data, interventions risk being ineffective and may overlook those most at risk. Comprehensive data collection is essential to identify disparities and inform the development of targeted, culturally safe, and inclusive strategies—both at the institutional level and across national policy frameworks.</w:t>
      </w:r>
    </w:p>
    <w:p w14:paraId="50F8F724" w14:textId="2D296B16" w:rsidR="00BC47DB" w:rsidRPr="00F45378" w:rsidRDefault="00BC47DB" w:rsidP="00BC47DB">
      <w:pPr>
        <w:spacing w:before="120" w:after="120" w:line="240" w:lineRule="auto"/>
        <w:rPr>
          <w:rFonts w:cs="Calibri"/>
          <w:szCs w:val="22"/>
        </w:rPr>
      </w:pPr>
      <w:r w:rsidRPr="00F45378">
        <w:rPr>
          <w:rFonts w:cs="Calibri"/>
          <w:szCs w:val="22"/>
        </w:rPr>
        <w:t xml:space="preserve">This data collection is embedded in the continuous evaluation framework of the </w:t>
      </w:r>
      <w:r w:rsidR="008743F1" w:rsidRPr="00F45378">
        <w:rPr>
          <w:rFonts w:cs="Calibri"/>
          <w:szCs w:val="22"/>
        </w:rPr>
        <w:t>National Code</w:t>
      </w:r>
      <w:r w:rsidRPr="00F45378">
        <w:rPr>
          <w:rFonts w:cs="Calibri"/>
          <w:szCs w:val="22"/>
        </w:rPr>
        <w:t xml:space="preserve">. It will help build a clearer national picture of the prevalence, nature, and contexts of </w:t>
      </w:r>
      <w:r w:rsidR="008223FC" w:rsidRPr="00F45378">
        <w:rPr>
          <w:rFonts w:cs="Calibri"/>
          <w:szCs w:val="22"/>
        </w:rPr>
        <w:t>GBV</w:t>
      </w:r>
      <w:r w:rsidRPr="00F45378">
        <w:rPr>
          <w:rFonts w:cs="Calibri"/>
          <w:szCs w:val="22"/>
        </w:rPr>
        <w:t xml:space="preserve"> in higher education settings.</w:t>
      </w:r>
    </w:p>
    <w:p w14:paraId="52A5695A" w14:textId="77777777" w:rsidR="00BC47DB" w:rsidRPr="00BC47DB" w:rsidRDefault="00BC47DB" w:rsidP="00BC47DB">
      <w:pPr>
        <w:spacing w:before="120" w:after="120" w:line="240" w:lineRule="auto"/>
        <w:rPr>
          <w:rFonts w:cs="Calibri"/>
          <w:b/>
          <w:bCs/>
        </w:rPr>
      </w:pPr>
      <w:r w:rsidRPr="00BC47DB">
        <w:rPr>
          <w:rFonts w:cs="Calibri"/>
          <w:b/>
          <w:bCs/>
        </w:rPr>
        <w:t>Drive long-lasting change for students and staff</w:t>
      </w:r>
    </w:p>
    <w:p w14:paraId="1D774598" w14:textId="02F6C325" w:rsidR="00BC47DB" w:rsidRPr="00F45378" w:rsidRDefault="00BC47DB" w:rsidP="00D44694">
      <w:pPr>
        <w:spacing w:line="240" w:lineRule="auto"/>
        <w:rPr>
          <w:rFonts w:cs="Calibri"/>
          <w:szCs w:val="22"/>
        </w:rPr>
      </w:pPr>
      <w:r w:rsidRPr="00F45378">
        <w:rPr>
          <w:rFonts w:cs="Calibri"/>
          <w:szCs w:val="22"/>
        </w:rPr>
        <w:t xml:space="preserve">Together, these elements work to drive change and create safer environments for students and staff in every higher education setting. While some providers may demonstrate exemplary efforts, Option 3 ensures that all higher education providers across </w:t>
      </w:r>
      <w:r w:rsidR="00CA5E71" w:rsidRPr="00F45378">
        <w:rPr>
          <w:rFonts w:cs="Calibri"/>
          <w:szCs w:val="22"/>
        </w:rPr>
        <w:t>Australia</w:t>
      </w:r>
      <w:r w:rsidRPr="00F45378">
        <w:rPr>
          <w:rFonts w:cs="Calibri"/>
          <w:szCs w:val="22"/>
        </w:rPr>
        <w:t xml:space="preserve"> are committing to, resourcing and taking action to prevent and respond to </w:t>
      </w:r>
      <w:r w:rsidR="00B7771B" w:rsidRPr="00F45378">
        <w:rPr>
          <w:rFonts w:cs="Calibri"/>
          <w:szCs w:val="22"/>
        </w:rPr>
        <w:t>GBV</w:t>
      </w:r>
      <w:r w:rsidRPr="00F45378">
        <w:rPr>
          <w:rFonts w:cs="Calibri"/>
          <w:szCs w:val="22"/>
        </w:rPr>
        <w:t xml:space="preserve">. by reinforcing existing measures and strengthening accountability, </w:t>
      </w:r>
      <w:r w:rsidR="00400F14">
        <w:rPr>
          <w:rFonts w:cs="Calibri"/>
          <w:szCs w:val="22"/>
        </w:rPr>
        <w:t>O</w:t>
      </w:r>
      <w:r w:rsidRPr="00F45378">
        <w:rPr>
          <w:rFonts w:cs="Calibri"/>
          <w:szCs w:val="22"/>
        </w:rPr>
        <w:t>ption 3 seeks to embed leading practice in prevention, response and reporting with the goal of creating safer environments for staff and students and driving long-lasting change.</w:t>
      </w:r>
    </w:p>
    <w:p w14:paraId="5705B1A4" w14:textId="12A3ADFC" w:rsidR="007C04DA" w:rsidRDefault="007C04DA" w:rsidP="007C04DA">
      <w:pPr>
        <w:pStyle w:val="Heading3"/>
      </w:pPr>
      <w:bookmarkStart w:id="211" w:name="_Toc204682640"/>
      <w:bookmarkStart w:id="212" w:name="_Toc204699900"/>
      <w:bookmarkStart w:id="213" w:name="_Toc204763351"/>
      <w:bookmarkStart w:id="214" w:name="_Toc204764919"/>
      <w:bookmarkStart w:id="215" w:name="_Toc205216931"/>
      <w:r>
        <w:t>Assessment against objectives</w:t>
      </w:r>
      <w:bookmarkEnd w:id="211"/>
      <w:bookmarkEnd w:id="212"/>
      <w:bookmarkEnd w:id="213"/>
      <w:bookmarkEnd w:id="214"/>
      <w:bookmarkEnd w:id="215"/>
    </w:p>
    <w:tbl>
      <w:tblPr>
        <w:tblStyle w:val="GridTable4-Accent1"/>
        <w:tblW w:w="9067" w:type="dxa"/>
        <w:tblLook w:val="04A0" w:firstRow="1" w:lastRow="0" w:firstColumn="1" w:lastColumn="0" w:noHBand="0" w:noVBand="1"/>
      </w:tblPr>
      <w:tblGrid>
        <w:gridCol w:w="3539"/>
        <w:gridCol w:w="5528"/>
      </w:tblGrid>
      <w:tr w:rsidR="00C410B8" w14:paraId="74761CE8" w14:textId="77777777" w:rsidTr="008B36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03D6E8AC" w14:textId="77777777" w:rsidR="007C04DA" w:rsidRPr="008B3677" w:rsidRDefault="007C04DA">
            <w:r w:rsidRPr="008B3677">
              <w:t>Policy Objective</w:t>
            </w:r>
          </w:p>
        </w:tc>
        <w:tc>
          <w:tcPr>
            <w:tcW w:w="5528" w:type="dxa"/>
          </w:tcPr>
          <w:p w14:paraId="66A8CABA" w14:textId="77777777" w:rsidR="007C04DA" w:rsidRPr="008B3677" w:rsidRDefault="007C04DA">
            <w:pPr>
              <w:cnfStyle w:val="100000000000" w:firstRow="1" w:lastRow="0" w:firstColumn="0" w:lastColumn="0" w:oddVBand="0" w:evenVBand="0" w:oddHBand="0" w:evenHBand="0" w:firstRowFirstColumn="0" w:firstRowLastColumn="0" w:lastRowFirstColumn="0" w:lastRowLastColumn="0"/>
            </w:pPr>
            <w:r w:rsidRPr="008B3677">
              <w:t>Assessment</w:t>
            </w:r>
          </w:p>
        </w:tc>
      </w:tr>
      <w:tr w:rsidR="00C410B8" w14:paraId="276CD0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23FDA3A" w14:textId="6D8010A8" w:rsidR="007C04DA" w:rsidRPr="001741B2" w:rsidRDefault="007C04DA">
            <w:pPr>
              <w:rPr>
                <w:rFonts w:ascii="Aptos" w:hAnsi="Aptos"/>
                <w:b w:val="0"/>
                <w:bCs w:val="0"/>
              </w:rPr>
            </w:pPr>
            <w:r>
              <w:rPr>
                <w:rFonts w:ascii="Aptos" w:hAnsi="Aptos"/>
                <w:b w:val="0"/>
                <w:bCs w:val="0"/>
              </w:rPr>
              <w:t>Meaningfully r</w:t>
            </w:r>
            <w:r w:rsidRPr="004C394D">
              <w:rPr>
                <w:rFonts w:ascii="Aptos" w:hAnsi="Aptos"/>
                <w:b w:val="0"/>
                <w:bCs w:val="0"/>
              </w:rPr>
              <w:t xml:space="preserve">educe the incidence of </w:t>
            </w:r>
            <w:r w:rsidR="00B7771B">
              <w:rPr>
                <w:rFonts w:ascii="Aptos" w:hAnsi="Aptos"/>
                <w:b w:val="0"/>
                <w:bCs w:val="0"/>
              </w:rPr>
              <w:t>GBV</w:t>
            </w:r>
            <w:r w:rsidRPr="004C394D">
              <w:rPr>
                <w:rFonts w:ascii="Aptos" w:hAnsi="Aptos"/>
                <w:b w:val="0"/>
                <w:bCs w:val="0"/>
              </w:rPr>
              <w:t xml:space="preserve"> in higher education and strengthen systems to enhance safety for students and staff</w:t>
            </w:r>
          </w:p>
        </w:tc>
        <w:tc>
          <w:tcPr>
            <w:tcW w:w="5528" w:type="dxa"/>
          </w:tcPr>
          <w:p w14:paraId="16A3DD48" w14:textId="0EDA14FB" w:rsidR="007C04DA" w:rsidRPr="00072139" w:rsidRDefault="007C04DA">
            <w:pPr>
              <w:cnfStyle w:val="000000100000" w:firstRow="0" w:lastRow="0" w:firstColumn="0" w:lastColumn="0" w:oddVBand="0" w:evenVBand="0" w:oddHBand="1" w:evenHBand="0" w:firstRowFirstColumn="0" w:firstRowLastColumn="0" w:lastRowFirstColumn="0" w:lastRowLastColumn="0"/>
              <w:rPr>
                <w:rFonts w:ascii="Aptos" w:hAnsi="Aptos"/>
              </w:rPr>
            </w:pPr>
            <w:r w:rsidRPr="009069FF">
              <w:rPr>
                <w:rFonts w:ascii="Aptos" w:hAnsi="Aptos"/>
                <w:b/>
                <w:bCs/>
              </w:rPr>
              <w:t>Yes –</w:t>
            </w:r>
            <w:r>
              <w:rPr>
                <w:rFonts w:ascii="Aptos" w:hAnsi="Aptos"/>
              </w:rPr>
              <w:t xml:space="preserve"> a mandatory </w:t>
            </w:r>
            <w:r w:rsidR="008743F1">
              <w:rPr>
                <w:rFonts w:ascii="Aptos" w:hAnsi="Aptos"/>
              </w:rPr>
              <w:t>National Code</w:t>
            </w:r>
            <w:r>
              <w:rPr>
                <w:rFonts w:ascii="Aptos" w:hAnsi="Aptos"/>
              </w:rPr>
              <w:t xml:space="preserve"> establishes a nationally consistent, legally enforceable framework to ensure systemic change. It embeds prevention and response mechanisms and aims for coordinated, large scale cultural transformation.</w:t>
            </w:r>
          </w:p>
        </w:tc>
      </w:tr>
      <w:tr w:rsidR="007C04DA" w14:paraId="195B0788" w14:textId="77777777">
        <w:trPr>
          <w:trHeight w:val="70"/>
        </w:trPr>
        <w:tc>
          <w:tcPr>
            <w:cnfStyle w:val="001000000000" w:firstRow="0" w:lastRow="0" w:firstColumn="1" w:lastColumn="0" w:oddVBand="0" w:evenVBand="0" w:oddHBand="0" w:evenHBand="0" w:firstRowFirstColumn="0" w:firstRowLastColumn="0" w:lastRowFirstColumn="0" w:lastRowLastColumn="0"/>
            <w:tcW w:w="3539" w:type="dxa"/>
          </w:tcPr>
          <w:p w14:paraId="14887575" w14:textId="17B9BBA6" w:rsidR="007C04DA" w:rsidRPr="001741B2" w:rsidRDefault="007C04DA">
            <w:pPr>
              <w:rPr>
                <w:rFonts w:ascii="Aptos" w:hAnsi="Aptos"/>
                <w:b w:val="0"/>
                <w:bCs w:val="0"/>
              </w:rPr>
            </w:pPr>
            <w:r w:rsidRPr="004C394D">
              <w:rPr>
                <w:rFonts w:ascii="Aptos" w:hAnsi="Aptos"/>
                <w:b w:val="0"/>
                <w:bCs w:val="0"/>
              </w:rPr>
              <w:t xml:space="preserve">Minimise the impact that </w:t>
            </w:r>
            <w:r w:rsidR="00B7771B">
              <w:rPr>
                <w:rFonts w:ascii="Aptos" w:hAnsi="Aptos"/>
                <w:b w:val="0"/>
                <w:bCs w:val="0"/>
              </w:rPr>
              <w:t>GBV</w:t>
            </w:r>
            <w:r w:rsidRPr="004C394D">
              <w:rPr>
                <w:rFonts w:ascii="Aptos" w:hAnsi="Aptos"/>
                <w:b w:val="0"/>
                <w:bCs w:val="0"/>
              </w:rPr>
              <w:t xml:space="preserve"> has on victim-survivors through trauma-informed and person-centred responses</w:t>
            </w:r>
          </w:p>
        </w:tc>
        <w:tc>
          <w:tcPr>
            <w:tcW w:w="5528" w:type="dxa"/>
          </w:tcPr>
          <w:p w14:paraId="520EB5A3" w14:textId="5B5ED9FB" w:rsidR="007C04DA" w:rsidRPr="001741B2" w:rsidRDefault="007C04DA">
            <w:pPr>
              <w:cnfStyle w:val="000000000000" w:firstRow="0" w:lastRow="0" w:firstColumn="0" w:lastColumn="0" w:oddVBand="0" w:evenVBand="0" w:oddHBand="0" w:evenHBand="0" w:firstRowFirstColumn="0" w:firstRowLastColumn="0" w:lastRowFirstColumn="0" w:lastRowLastColumn="0"/>
              <w:rPr>
                <w:rFonts w:ascii="Aptos" w:hAnsi="Aptos"/>
              </w:rPr>
            </w:pPr>
            <w:r w:rsidRPr="009069FF">
              <w:rPr>
                <w:rFonts w:ascii="Aptos" w:hAnsi="Aptos"/>
                <w:b/>
                <w:bCs/>
              </w:rPr>
              <w:t>Yes –</w:t>
            </w:r>
            <w:r>
              <w:rPr>
                <w:rFonts w:ascii="Aptos" w:hAnsi="Aptos"/>
              </w:rPr>
              <w:t xml:space="preserve"> this option requires all HEPs to embed trauma-informed and person-centred principles throughout, particularly for responses and support services, to prioritise student and staff safety and minimise re</w:t>
            </w:r>
            <w:r w:rsidR="00400F14">
              <w:rPr>
                <w:rFonts w:ascii="Aptos" w:hAnsi="Aptos"/>
              </w:rPr>
              <w:t>-</w:t>
            </w:r>
            <w:r>
              <w:rPr>
                <w:rFonts w:ascii="Aptos" w:hAnsi="Aptos"/>
              </w:rPr>
              <w:t xml:space="preserve">traumatisation. </w:t>
            </w:r>
          </w:p>
        </w:tc>
      </w:tr>
      <w:tr w:rsidR="00C410B8" w14:paraId="27B322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43CB3AA" w14:textId="2207652E" w:rsidR="007C04DA" w:rsidRPr="001741B2" w:rsidRDefault="002E6D48">
            <w:pPr>
              <w:rPr>
                <w:rFonts w:ascii="Aptos" w:hAnsi="Aptos"/>
                <w:b w:val="0"/>
                <w:bCs w:val="0"/>
              </w:rPr>
            </w:pPr>
            <w:r w:rsidRPr="004C394D">
              <w:rPr>
                <w:rFonts w:ascii="Aptos" w:hAnsi="Aptos"/>
                <w:b w:val="0"/>
                <w:bCs w:val="0"/>
              </w:rPr>
              <w:t>Addres</w:t>
            </w:r>
            <w:r>
              <w:rPr>
                <w:rFonts w:ascii="Aptos" w:hAnsi="Aptos"/>
                <w:b w:val="0"/>
                <w:bCs w:val="0"/>
              </w:rPr>
              <w:t>s the needs of groups that experience compounding forms of inequalities and discrimination</w:t>
            </w:r>
            <w:r w:rsidRPr="004C394D">
              <w:rPr>
                <w:rFonts w:ascii="Aptos" w:hAnsi="Aptos"/>
                <w:b w:val="0"/>
                <w:bCs w:val="0"/>
              </w:rPr>
              <w:t xml:space="preserve"> to ensure prevention and response is inclusive and culturally safe/appropriate</w:t>
            </w:r>
          </w:p>
        </w:tc>
        <w:tc>
          <w:tcPr>
            <w:tcW w:w="5528" w:type="dxa"/>
          </w:tcPr>
          <w:p w14:paraId="37C550A2" w14:textId="4BCF8A13" w:rsidR="007C04DA" w:rsidRPr="005B6ECC" w:rsidRDefault="007C04DA">
            <w:pPr>
              <w:cnfStyle w:val="000000100000" w:firstRow="0" w:lastRow="0" w:firstColumn="0" w:lastColumn="0" w:oddVBand="0" w:evenVBand="0" w:oddHBand="1" w:evenHBand="0" w:firstRowFirstColumn="0" w:firstRowLastColumn="0" w:lastRowFirstColumn="0" w:lastRowLastColumn="0"/>
              <w:rPr>
                <w:rFonts w:ascii="Aptos" w:hAnsi="Aptos"/>
              </w:rPr>
            </w:pPr>
            <w:r w:rsidRPr="009069FF">
              <w:rPr>
                <w:rFonts w:ascii="Aptos" w:hAnsi="Aptos"/>
                <w:b/>
                <w:bCs/>
              </w:rPr>
              <w:t>Yes –</w:t>
            </w:r>
            <w:r>
              <w:rPr>
                <w:rFonts w:ascii="Aptos" w:hAnsi="Aptos"/>
              </w:rPr>
              <w:t xml:space="preserve"> this </w:t>
            </w:r>
            <w:r w:rsidR="008743F1">
              <w:rPr>
                <w:rFonts w:ascii="Aptos" w:hAnsi="Aptos"/>
              </w:rPr>
              <w:t>National Code</w:t>
            </w:r>
            <w:r>
              <w:rPr>
                <w:rFonts w:ascii="Aptos" w:hAnsi="Aptos"/>
              </w:rPr>
              <w:t xml:space="preserve"> requires tailored responses that reflect the needs of disproportionately affected groups, and that it also reflects the needs of the specific cohort and context unique to each HEP. </w:t>
            </w:r>
          </w:p>
        </w:tc>
      </w:tr>
      <w:tr w:rsidR="007C04DA" w14:paraId="15F6F089" w14:textId="77777777">
        <w:tc>
          <w:tcPr>
            <w:cnfStyle w:val="001000000000" w:firstRow="0" w:lastRow="0" w:firstColumn="1" w:lastColumn="0" w:oddVBand="0" w:evenVBand="0" w:oddHBand="0" w:evenHBand="0" w:firstRowFirstColumn="0" w:firstRowLastColumn="0" w:lastRowFirstColumn="0" w:lastRowLastColumn="0"/>
            <w:tcW w:w="3539" w:type="dxa"/>
          </w:tcPr>
          <w:p w14:paraId="1E3DA08C" w14:textId="54D2F2CC" w:rsidR="007C04DA" w:rsidRPr="001741B2" w:rsidRDefault="007C04DA">
            <w:pPr>
              <w:rPr>
                <w:rFonts w:ascii="Aptos" w:hAnsi="Aptos"/>
                <w:b w:val="0"/>
                <w:bCs w:val="0"/>
              </w:rPr>
            </w:pPr>
            <w:r w:rsidRPr="004C394D">
              <w:rPr>
                <w:rFonts w:ascii="Aptos" w:hAnsi="Aptos"/>
                <w:b w:val="0"/>
                <w:bCs w:val="0"/>
              </w:rPr>
              <w:t xml:space="preserve">Ensure providers implement whole-of-organisation approach to ensure response to </w:t>
            </w:r>
            <w:r w:rsidR="00B7771B">
              <w:rPr>
                <w:rFonts w:ascii="Aptos" w:hAnsi="Aptos"/>
                <w:b w:val="0"/>
                <w:bCs w:val="0"/>
              </w:rPr>
              <w:t>GBV</w:t>
            </w:r>
            <w:r w:rsidRPr="004C394D">
              <w:rPr>
                <w:rFonts w:ascii="Aptos" w:hAnsi="Aptos"/>
                <w:b w:val="0"/>
                <w:bCs w:val="0"/>
              </w:rPr>
              <w:t xml:space="preserve"> is coordinated, systemic and resourced.</w:t>
            </w:r>
          </w:p>
        </w:tc>
        <w:tc>
          <w:tcPr>
            <w:tcW w:w="5528" w:type="dxa"/>
          </w:tcPr>
          <w:p w14:paraId="3D44DD9F" w14:textId="770D667D" w:rsidR="007C04DA" w:rsidRPr="001741B2" w:rsidRDefault="007C04DA">
            <w:pPr>
              <w:cnfStyle w:val="000000000000" w:firstRow="0" w:lastRow="0" w:firstColumn="0" w:lastColumn="0" w:oddVBand="0" w:evenVBand="0" w:oddHBand="0" w:evenHBand="0" w:firstRowFirstColumn="0" w:firstRowLastColumn="0" w:lastRowFirstColumn="0" w:lastRowLastColumn="0"/>
              <w:rPr>
                <w:rFonts w:ascii="Aptos" w:hAnsi="Aptos"/>
              </w:rPr>
            </w:pPr>
            <w:r w:rsidRPr="009069FF">
              <w:rPr>
                <w:rFonts w:ascii="Aptos" w:hAnsi="Aptos"/>
                <w:b/>
                <w:bCs/>
              </w:rPr>
              <w:t>Yes –</w:t>
            </w:r>
            <w:r>
              <w:rPr>
                <w:rFonts w:ascii="Aptos" w:hAnsi="Aptos"/>
              </w:rPr>
              <w:t xml:space="preserve"> a whole-of-organisation approach is a central principle of this </w:t>
            </w:r>
            <w:r w:rsidR="008743F1">
              <w:rPr>
                <w:rFonts w:ascii="Aptos" w:hAnsi="Aptos"/>
              </w:rPr>
              <w:t>National Code</w:t>
            </w:r>
            <w:r>
              <w:rPr>
                <w:rFonts w:ascii="Aptos" w:hAnsi="Aptos"/>
              </w:rPr>
              <w:t xml:space="preserve">, with comprehensive obligations for governance, planning, implementation, evaluation, with accountability with the compliance held through the VC, CEO or equivalent. A provider must embed this approach across all operations. </w:t>
            </w:r>
          </w:p>
        </w:tc>
      </w:tr>
      <w:tr w:rsidR="00C410B8" w14:paraId="2270FC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D766E18" w14:textId="77777777" w:rsidR="007C04DA" w:rsidRPr="001741B2" w:rsidRDefault="007C04DA">
            <w:pPr>
              <w:rPr>
                <w:rFonts w:ascii="Aptos" w:hAnsi="Aptos"/>
                <w:b w:val="0"/>
                <w:bCs w:val="0"/>
              </w:rPr>
            </w:pPr>
            <w:r w:rsidRPr="004C394D">
              <w:rPr>
                <w:rFonts w:ascii="Aptos" w:hAnsi="Aptos"/>
                <w:b w:val="0"/>
                <w:bCs w:val="0"/>
              </w:rPr>
              <w:t>Strengthen data collection to inform evidence-based responses and ensure accountability</w:t>
            </w:r>
          </w:p>
        </w:tc>
        <w:tc>
          <w:tcPr>
            <w:tcW w:w="5528" w:type="dxa"/>
          </w:tcPr>
          <w:p w14:paraId="036A5CA6" w14:textId="77777777" w:rsidR="007C04DA" w:rsidRPr="00AA27A0" w:rsidRDefault="007C04DA">
            <w:pPr>
              <w:cnfStyle w:val="000000100000" w:firstRow="0" w:lastRow="0" w:firstColumn="0" w:lastColumn="0" w:oddVBand="0" w:evenVBand="0" w:oddHBand="1" w:evenHBand="0" w:firstRowFirstColumn="0" w:firstRowLastColumn="0" w:lastRowFirstColumn="0" w:lastRowLastColumn="0"/>
              <w:rPr>
                <w:rFonts w:ascii="Aptos" w:hAnsi="Aptos"/>
              </w:rPr>
            </w:pPr>
            <w:r w:rsidRPr="00551DE5">
              <w:rPr>
                <w:rFonts w:ascii="Aptos" w:hAnsi="Aptos"/>
                <w:b/>
                <w:bCs/>
              </w:rPr>
              <w:t>Yes –</w:t>
            </w:r>
            <w:r>
              <w:rPr>
                <w:rFonts w:ascii="Aptos" w:hAnsi="Aptos"/>
              </w:rPr>
              <w:t xml:space="preserve"> this option outlines extensive data collection to support transparency and informal the national evidence base. Through this option, the data collected will be mandatory, comparable and consistent, with all HEPs having to comply with them. </w:t>
            </w:r>
          </w:p>
        </w:tc>
      </w:tr>
      <w:tr w:rsidR="007C04DA" w14:paraId="5DBF70C6" w14:textId="77777777">
        <w:tc>
          <w:tcPr>
            <w:cnfStyle w:val="001000000000" w:firstRow="0" w:lastRow="0" w:firstColumn="1" w:lastColumn="0" w:oddVBand="0" w:evenVBand="0" w:oddHBand="0" w:evenHBand="0" w:firstRowFirstColumn="0" w:firstRowLastColumn="0" w:lastRowFirstColumn="0" w:lastRowLastColumn="0"/>
            <w:tcW w:w="3539" w:type="dxa"/>
          </w:tcPr>
          <w:p w14:paraId="63877389" w14:textId="4F40072A" w:rsidR="007C04DA" w:rsidRPr="001741B2" w:rsidRDefault="007C04DA">
            <w:pPr>
              <w:rPr>
                <w:rFonts w:ascii="Aptos" w:hAnsi="Aptos"/>
                <w:b w:val="0"/>
                <w:bCs w:val="0"/>
              </w:rPr>
            </w:pPr>
            <w:r w:rsidRPr="00E50BF9">
              <w:rPr>
                <w:rFonts w:ascii="Aptos" w:hAnsi="Aptos"/>
                <w:b w:val="0"/>
                <w:bCs w:val="0"/>
              </w:rPr>
              <w:t xml:space="preserve">Strengthen the regulatory framework to ensure consistent </w:t>
            </w:r>
            <w:r w:rsidRPr="00E50BF9">
              <w:rPr>
                <w:rFonts w:ascii="Aptos" w:hAnsi="Aptos"/>
                <w:b w:val="0"/>
                <w:bCs w:val="0"/>
              </w:rPr>
              <w:lastRenderedPageBreak/>
              <w:t xml:space="preserve">standards for preventing and responding to </w:t>
            </w:r>
            <w:r w:rsidR="00B7771B">
              <w:rPr>
                <w:rFonts w:ascii="Aptos" w:hAnsi="Aptos"/>
                <w:b w:val="0"/>
                <w:bCs w:val="0"/>
              </w:rPr>
              <w:t>GBV</w:t>
            </w:r>
            <w:r w:rsidRPr="00E50BF9">
              <w:rPr>
                <w:rFonts w:ascii="Aptos" w:hAnsi="Aptos"/>
                <w:b w:val="0"/>
                <w:bCs w:val="0"/>
              </w:rPr>
              <w:t xml:space="preserve"> in the higher education sector.</w:t>
            </w:r>
          </w:p>
        </w:tc>
        <w:tc>
          <w:tcPr>
            <w:tcW w:w="5528" w:type="dxa"/>
          </w:tcPr>
          <w:p w14:paraId="5E682E27" w14:textId="0B477B82" w:rsidR="007C04DA" w:rsidRPr="001741B2" w:rsidRDefault="007C04DA">
            <w:pPr>
              <w:cnfStyle w:val="000000000000" w:firstRow="0" w:lastRow="0" w:firstColumn="0" w:lastColumn="0" w:oddVBand="0" w:evenVBand="0" w:oddHBand="0" w:evenHBand="0" w:firstRowFirstColumn="0" w:firstRowLastColumn="0" w:lastRowFirstColumn="0" w:lastRowLastColumn="0"/>
              <w:rPr>
                <w:rFonts w:ascii="Aptos" w:hAnsi="Aptos"/>
              </w:rPr>
            </w:pPr>
            <w:r w:rsidRPr="00442FC1">
              <w:rPr>
                <w:rFonts w:ascii="Aptos" w:hAnsi="Aptos"/>
                <w:b/>
                <w:bCs/>
              </w:rPr>
              <w:lastRenderedPageBreak/>
              <w:t>Yes –</w:t>
            </w:r>
            <w:r w:rsidRPr="00442FC1">
              <w:rPr>
                <w:rFonts w:ascii="Aptos" w:hAnsi="Aptos"/>
              </w:rPr>
              <w:t xml:space="preserve"> this option is legally enforceable, with penalties for non-compliance to ensure consistency across the </w:t>
            </w:r>
            <w:r w:rsidRPr="00442FC1">
              <w:rPr>
                <w:rFonts w:ascii="Aptos" w:hAnsi="Aptos"/>
              </w:rPr>
              <w:lastRenderedPageBreak/>
              <w:t xml:space="preserve">sector. It establishes clear obligations for all providers, supported by oversight from a dedicated </w:t>
            </w:r>
            <w:r w:rsidR="003E7C96">
              <w:rPr>
                <w:rFonts w:ascii="Aptos" w:hAnsi="Aptos"/>
              </w:rPr>
              <w:t>s</w:t>
            </w:r>
            <w:r w:rsidR="00FF2C64">
              <w:rPr>
                <w:rFonts w:ascii="Aptos" w:hAnsi="Aptos"/>
              </w:rPr>
              <w:t>pecialist GBV Reform Branch</w:t>
            </w:r>
            <w:r w:rsidRPr="00442FC1">
              <w:rPr>
                <w:rFonts w:ascii="Aptos" w:hAnsi="Aptos"/>
              </w:rPr>
              <w:t>, and aligns compliance with funding conditions under the HESA Act to reinforce accountability and drive sustained, sector-wide refo</w:t>
            </w:r>
            <w:r>
              <w:rPr>
                <w:rFonts w:ascii="Aptos" w:hAnsi="Aptos"/>
              </w:rPr>
              <w:t xml:space="preserve">rm.  </w:t>
            </w:r>
          </w:p>
        </w:tc>
      </w:tr>
    </w:tbl>
    <w:p w14:paraId="0787E7DE" w14:textId="77777777" w:rsidR="007C04DA" w:rsidRPr="007C04DA" w:rsidRDefault="007C04DA" w:rsidP="007C04DA"/>
    <w:p w14:paraId="44C95ACA" w14:textId="69909351" w:rsidR="00AE63AF" w:rsidRDefault="007C04DA" w:rsidP="007C04DA">
      <w:pPr>
        <w:pStyle w:val="Heading2"/>
      </w:pPr>
      <w:bookmarkStart w:id="216" w:name="_Toc204699901"/>
      <w:bookmarkStart w:id="217" w:name="_Toc210050254"/>
      <w:r>
        <w:t xml:space="preserve">Assessment and limitations of </w:t>
      </w:r>
      <w:r w:rsidR="005826A9">
        <w:t>O</w:t>
      </w:r>
      <w:r>
        <w:t>ption 1 – Maintain the status quo</w:t>
      </w:r>
      <w:bookmarkEnd w:id="216"/>
      <w:bookmarkEnd w:id="217"/>
    </w:p>
    <w:p w14:paraId="4E4E1C52" w14:textId="09AA555E" w:rsidR="005363A9" w:rsidRPr="00F45378" w:rsidRDefault="005363A9" w:rsidP="005363A9">
      <w:pPr>
        <w:rPr>
          <w:i/>
          <w:iCs/>
          <w:szCs w:val="22"/>
        </w:rPr>
      </w:pPr>
      <w:r w:rsidRPr="00F45378">
        <w:rPr>
          <w:szCs w:val="22"/>
        </w:rPr>
        <w:t xml:space="preserve">Maintaining the status quo – where no new legislation or regulatory mechanisms are introduced – fails to address the urgent issue of </w:t>
      </w:r>
      <w:r w:rsidR="00B7771B" w:rsidRPr="00F45378">
        <w:rPr>
          <w:szCs w:val="22"/>
        </w:rPr>
        <w:t>GBV</w:t>
      </w:r>
      <w:r w:rsidRPr="00F45378">
        <w:rPr>
          <w:szCs w:val="22"/>
        </w:rPr>
        <w:t xml:space="preserve"> in higher education. This approach disregards the recommendations of expert bodies, students, victim-survivors and other stakeholders and perpetuates the systemic gaps that allow </w:t>
      </w:r>
      <w:r w:rsidR="00B7771B" w:rsidRPr="00F45378">
        <w:rPr>
          <w:szCs w:val="22"/>
        </w:rPr>
        <w:t>GBV</w:t>
      </w:r>
      <w:r w:rsidRPr="00F45378">
        <w:rPr>
          <w:szCs w:val="22"/>
        </w:rPr>
        <w:t xml:space="preserve"> to persist. It also ignores the significant social, economic and human cost </w:t>
      </w:r>
      <w:r w:rsidR="00733C44" w:rsidRPr="00F45378">
        <w:rPr>
          <w:szCs w:val="22"/>
        </w:rPr>
        <w:t xml:space="preserve">caused by inaction, and undermines the Australian Government’s commitment under the </w:t>
      </w:r>
      <w:r w:rsidR="00733C44" w:rsidRPr="00F45378">
        <w:rPr>
          <w:i/>
          <w:iCs/>
          <w:szCs w:val="22"/>
        </w:rPr>
        <w:t>National Plan to End Violence Against Women and Children.</w:t>
      </w:r>
    </w:p>
    <w:p w14:paraId="316E05BE" w14:textId="1A698CC2" w:rsidR="00733C44" w:rsidRPr="00F45378" w:rsidRDefault="00733C44" w:rsidP="005363A9">
      <w:pPr>
        <w:rPr>
          <w:szCs w:val="22"/>
        </w:rPr>
      </w:pPr>
      <w:r w:rsidRPr="00F45378">
        <w:rPr>
          <w:szCs w:val="22"/>
        </w:rPr>
        <w:t xml:space="preserve">Under this option, </w:t>
      </w:r>
      <w:r w:rsidR="008223FC" w:rsidRPr="00F45378">
        <w:rPr>
          <w:szCs w:val="22"/>
        </w:rPr>
        <w:t>GBV</w:t>
      </w:r>
      <w:r w:rsidRPr="00F45378">
        <w:rPr>
          <w:szCs w:val="22"/>
        </w:rPr>
        <w:t xml:space="preserve"> w</w:t>
      </w:r>
      <w:r w:rsidR="00B23D3C" w:rsidRPr="00F45378">
        <w:rPr>
          <w:szCs w:val="22"/>
        </w:rPr>
        <w:t xml:space="preserve">ill continue to be addressed through non-specific legislative frameworks and voluntary initiatives that lack consistency, enforceability and oversight. While some HEPs have demonstrated willingness and action to improve safety and support for students and staff, these efforts often remain fragmented and vary significantly in quality and scope. There is no mechanism to ensure that all institutions meet a minimum standard of care, nor is there a national framework to monitor enforcement or drive improvement. </w:t>
      </w:r>
    </w:p>
    <w:p w14:paraId="63B72C8C" w14:textId="4F462D71" w:rsidR="000937AE" w:rsidRPr="00F45378" w:rsidRDefault="00B23D3C" w:rsidP="005363A9">
      <w:pPr>
        <w:rPr>
          <w:szCs w:val="22"/>
        </w:rPr>
      </w:pPr>
      <w:r w:rsidRPr="00F45378">
        <w:rPr>
          <w:szCs w:val="22"/>
        </w:rPr>
        <w:t xml:space="preserve">Voluntary sector initiatives and individual provider </w:t>
      </w:r>
      <w:r w:rsidR="003064FE" w:rsidRPr="00F45378">
        <w:rPr>
          <w:szCs w:val="22"/>
        </w:rPr>
        <w:t>approaches have</w:t>
      </w:r>
      <w:r w:rsidRPr="00F45378">
        <w:rPr>
          <w:szCs w:val="22"/>
        </w:rPr>
        <w:t xml:space="preserve"> been effective in raising awareness of the nature and prevalence of </w:t>
      </w:r>
      <w:r w:rsidR="008223FC" w:rsidRPr="00F45378">
        <w:rPr>
          <w:szCs w:val="22"/>
        </w:rPr>
        <w:t>GBV</w:t>
      </w:r>
      <w:r w:rsidRPr="00F45378">
        <w:rPr>
          <w:szCs w:val="22"/>
        </w:rPr>
        <w:t xml:space="preserve">, but do not have the capacity to achieve systemic or sustained efforts often lack visible leadership commitment, adequate resourcing and integration into core business. Prevention and response </w:t>
      </w:r>
      <w:r w:rsidR="00F45378" w:rsidRPr="00F45378">
        <w:rPr>
          <w:szCs w:val="22"/>
        </w:rPr>
        <w:t>are</w:t>
      </w:r>
      <w:r w:rsidRPr="00F45378">
        <w:rPr>
          <w:szCs w:val="22"/>
        </w:rPr>
        <w:t xml:space="preserve"> siloed and treated as peripheral, leaving student</w:t>
      </w:r>
      <w:r w:rsidR="003064FE" w:rsidRPr="00F45378">
        <w:rPr>
          <w:szCs w:val="22"/>
        </w:rPr>
        <w:t>s</w:t>
      </w:r>
      <w:r w:rsidRPr="00F45378">
        <w:rPr>
          <w:szCs w:val="22"/>
        </w:rPr>
        <w:t xml:space="preserve"> and staff at risk. </w:t>
      </w:r>
    </w:p>
    <w:p w14:paraId="603C83E4" w14:textId="66B2BECB" w:rsidR="007C04DA" w:rsidRDefault="007C04DA" w:rsidP="007C04DA">
      <w:pPr>
        <w:pStyle w:val="Heading3"/>
      </w:pPr>
      <w:bookmarkStart w:id="218" w:name="_Toc204682642"/>
      <w:bookmarkStart w:id="219" w:name="_Toc204699902"/>
      <w:bookmarkStart w:id="220" w:name="_Toc204763353"/>
      <w:bookmarkStart w:id="221" w:name="_Toc204764921"/>
      <w:bookmarkStart w:id="222" w:name="_Toc205216933"/>
      <w:r>
        <w:t xml:space="preserve">Assessment of </w:t>
      </w:r>
      <w:r w:rsidR="005826A9">
        <w:t>O</w:t>
      </w:r>
      <w:r>
        <w:t>ption 1 against objectives</w:t>
      </w:r>
      <w:bookmarkEnd w:id="218"/>
      <w:bookmarkEnd w:id="219"/>
      <w:bookmarkEnd w:id="220"/>
      <w:bookmarkEnd w:id="221"/>
      <w:bookmarkEnd w:id="222"/>
    </w:p>
    <w:tbl>
      <w:tblPr>
        <w:tblStyle w:val="GridTable4-Accent1"/>
        <w:tblpPr w:leftFromText="180" w:rightFromText="180" w:vertAnchor="text" w:tblpY="94"/>
        <w:tblW w:w="9067" w:type="dxa"/>
        <w:tblLook w:val="04A0" w:firstRow="1" w:lastRow="0" w:firstColumn="1" w:lastColumn="0" w:noHBand="0" w:noVBand="1"/>
      </w:tblPr>
      <w:tblGrid>
        <w:gridCol w:w="4106"/>
        <w:gridCol w:w="4961"/>
      </w:tblGrid>
      <w:tr w:rsidR="00792EEC" w14:paraId="675D3D63" w14:textId="77777777" w:rsidTr="008B36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6" w:type="dxa"/>
          </w:tcPr>
          <w:p w14:paraId="4A20751B" w14:textId="77777777" w:rsidR="007C04DA" w:rsidRPr="008B3677" w:rsidRDefault="007C04DA">
            <w:r w:rsidRPr="008B3677">
              <w:t>Policy Objective</w:t>
            </w:r>
          </w:p>
        </w:tc>
        <w:tc>
          <w:tcPr>
            <w:tcW w:w="4961" w:type="dxa"/>
          </w:tcPr>
          <w:p w14:paraId="5A396825" w14:textId="77777777" w:rsidR="007C04DA" w:rsidRPr="008B3677" w:rsidRDefault="007C04DA">
            <w:pPr>
              <w:cnfStyle w:val="100000000000" w:firstRow="1" w:lastRow="0" w:firstColumn="0" w:lastColumn="0" w:oddVBand="0" w:evenVBand="0" w:oddHBand="0" w:evenHBand="0" w:firstRowFirstColumn="0" w:firstRowLastColumn="0" w:lastRowFirstColumn="0" w:lastRowLastColumn="0"/>
            </w:pPr>
            <w:r w:rsidRPr="008B3677">
              <w:t>Assessment</w:t>
            </w:r>
          </w:p>
        </w:tc>
      </w:tr>
      <w:tr w:rsidR="00792EEC" w14:paraId="1DCEB9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F08F905" w14:textId="2FC652B6" w:rsidR="007C04DA" w:rsidRPr="00C96503" w:rsidRDefault="007C04DA">
            <w:pPr>
              <w:rPr>
                <w:rFonts w:ascii="Aptos" w:hAnsi="Aptos"/>
                <w:b w:val="0"/>
                <w:bCs w:val="0"/>
              </w:rPr>
            </w:pPr>
            <w:r w:rsidRPr="004C394D">
              <w:rPr>
                <w:rFonts w:ascii="Aptos" w:hAnsi="Aptos"/>
                <w:b w:val="0"/>
                <w:bCs w:val="0"/>
              </w:rPr>
              <w:t xml:space="preserve">Reduce the incidence of </w:t>
            </w:r>
            <w:r w:rsidR="00B7771B">
              <w:rPr>
                <w:rFonts w:ascii="Aptos" w:hAnsi="Aptos"/>
                <w:b w:val="0"/>
                <w:bCs w:val="0"/>
              </w:rPr>
              <w:t>GBV</w:t>
            </w:r>
            <w:r w:rsidRPr="004C394D">
              <w:rPr>
                <w:rFonts w:ascii="Aptos" w:hAnsi="Aptos"/>
                <w:b w:val="0"/>
                <w:bCs w:val="0"/>
              </w:rPr>
              <w:t xml:space="preserve"> in higher education and strengthen systems to enhance safety for students and staff</w:t>
            </w:r>
          </w:p>
        </w:tc>
        <w:tc>
          <w:tcPr>
            <w:tcW w:w="4961" w:type="dxa"/>
          </w:tcPr>
          <w:p w14:paraId="164630E7" w14:textId="75D4F1F9" w:rsidR="007C04DA" w:rsidRPr="00C96503" w:rsidRDefault="007C04DA">
            <w:pPr>
              <w:cnfStyle w:val="000000100000" w:firstRow="0" w:lastRow="0" w:firstColumn="0" w:lastColumn="0" w:oddVBand="0" w:evenVBand="0" w:oddHBand="1" w:evenHBand="0" w:firstRowFirstColumn="0" w:firstRowLastColumn="0" w:lastRowFirstColumn="0" w:lastRowLastColumn="0"/>
              <w:rPr>
                <w:rFonts w:ascii="Aptos" w:hAnsi="Aptos"/>
              </w:rPr>
            </w:pPr>
            <w:r w:rsidRPr="00C96503">
              <w:rPr>
                <w:rFonts w:ascii="Aptos" w:hAnsi="Aptos"/>
                <w:b/>
                <w:bCs/>
              </w:rPr>
              <w:t xml:space="preserve">No – </w:t>
            </w:r>
            <w:r w:rsidRPr="00C96503">
              <w:rPr>
                <w:rFonts w:ascii="Aptos" w:hAnsi="Aptos"/>
              </w:rPr>
              <w:t xml:space="preserve">The status quo does not adequately reduce </w:t>
            </w:r>
            <w:r w:rsidR="008223FC">
              <w:rPr>
                <w:rFonts w:ascii="Aptos" w:hAnsi="Aptos"/>
              </w:rPr>
              <w:t>GBV</w:t>
            </w:r>
            <w:r w:rsidRPr="00C96503">
              <w:rPr>
                <w:rFonts w:ascii="Aptos" w:hAnsi="Aptos"/>
              </w:rPr>
              <w:t xml:space="preserve"> or strengthen safety measures. Students and staff continue to be at risk of harm. </w:t>
            </w:r>
          </w:p>
        </w:tc>
      </w:tr>
      <w:tr w:rsidR="007C04DA" w14:paraId="3D8C557C" w14:textId="77777777">
        <w:tc>
          <w:tcPr>
            <w:cnfStyle w:val="001000000000" w:firstRow="0" w:lastRow="0" w:firstColumn="1" w:lastColumn="0" w:oddVBand="0" w:evenVBand="0" w:oddHBand="0" w:evenHBand="0" w:firstRowFirstColumn="0" w:firstRowLastColumn="0" w:lastRowFirstColumn="0" w:lastRowLastColumn="0"/>
            <w:tcW w:w="4106" w:type="dxa"/>
          </w:tcPr>
          <w:p w14:paraId="1EB31ED1" w14:textId="0906A906" w:rsidR="007C04DA" w:rsidRPr="00C96503" w:rsidRDefault="007C04DA">
            <w:pPr>
              <w:rPr>
                <w:rFonts w:ascii="Aptos" w:hAnsi="Aptos"/>
                <w:b w:val="0"/>
                <w:bCs w:val="0"/>
              </w:rPr>
            </w:pPr>
            <w:r w:rsidRPr="004C394D">
              <w:rPr>
                <w:rFonts w:ascii="Aptos" w:hAnsi="Aptos"/>
                <w:b w:val="0"/>
                <w:bCs w:val="0"/>
              </w:rPr>
              <w:t xml:space="preserve">Minimise the impact that </w:t>
            </w:r>
            <w:r w:rsidR="00B7771B">
              <w:rPr>
                <w:rFonts w:ascii="Aptos" w:hAnsi="Aptos"/>
                <w:b w:val="0"/>
                <w:bCs w:val="0"/>
              </w:rPr>
              <w:t>GBV</w:t>
            </w:r>
            <w:r w:rsidRPr="004C394D">
              <w:rPr>
                <w:rFonts w:ascii="Aptos" w:hAnsi="Aptos"/>
                <w:b w:val="0"/>
                <w:bCs w:val="0"/>
              </w:rPr>
              <w:t xml:space="preserve"> has on victim-survivors through trauma-informed and person-centred responses</w:t>
            </w:r>
          </w:p>
        </w:tc>
        <w:tc>
          <w:tcPr>
            <w:tcW w:w="4961" w:type="dxa"/>
          </w:tcPr>
          <w:p w14:paraId="58B1F18B" w14:textId="77777777" w:rsidR="007C04DA" w:rsidRPr="00C96503" w:rsidRDefault="007C04DA">
            <w:pPr>
              <w:cnfStyle w:val="000000000000" w:firstRow="0" w:lastRow="0" w:firstColumn="0" w:lastColumn="0" w:oddVBand="0" w:evenVBand="0" w:oddHBand="0" w:evenHBand="0" w:firstRowFirstColumn="0" w:firstRowLastColumn="0" w:lastRowFirstColumn="0" w:lastRowLastColumn="0"/>
              <w:rPr>
                <w:rFonts w:ascii="Aptos" w:hAnsi="Aptos"/>
              </w:rPr>
            </w:pPr>
            <w:r w:rsidRPr="00C96503">
              <w:rPr>
                <w:rFonts w:ascii="Aptos" w:hAnsi="Aptos"/>
                <w:b/>
                <w:bCs/>
              </w:rPr>
              <w:t xml:space="preserve">No </w:t>
            </w:r>
            <w:r w:rsidRPr="00C96503">
              <w:rPr>
                <w:rFonts w:ascii="Aptos" w:hAnsi="Aptos"/>
              </w:rPr>
              <w:t xml:space="preserve">– There is no consistency or requirements for staff and students to receive trauma-informed and person-centred responses. </w:t>
            </w:r>
          </w:p>
        </w:tc>
      </w:tr>
      <w:tr w:rsidR="00792EEC" w14:paraId="0730EB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BB856C7" w14:textId="3B521E4F" w:rsidR="007C04DA" w:rsidRPr="00C96503" w:rsidRDefault="007C04DA">
            <w:pPr>
              <w:rPr>
                <w:rFonts w:ascii="Aptos" w:hAnsi="Aptos"/>
                <w:b w:val="0"/>
                <w:bCs w:val="0"/>
              </w:rPr>
            </w:pPr>
            <w:r w:rsidRPr="004C394D">
              <w:rPr>
                <w:rFonts w:ascii="Aptos" w:hAnsi="Aptos"/>
                <w:b w:val="0"/>
                <w:bCs w:val="0"/>
              </w:rPr>
              <w:t>Addres</w:t>
            </w:r>
            <w:r w:rsidR="00D627B3">
              <w:rPr>
                <w:rFonts w:ascii="Aptos" w:hAnsi="Aptos"/>
                <w:b w:val="0"/>
                <w:bCs w:val="0"/>
              </w:rPr>
              <w:t xml:space="preserve">s the needs of groups that experience compounding forms of inequalities and </w:t>
            </w:r>
            <w:r w:rsidR="002E6D48">
              <w:rPr>
                <w:rFonts w:ascii="Aptos" w:hAnsi="Aptos"/>
                <w:b w:val="0"/>
                <w:bCs w:val="0"/>
              </w:rPr>
              <w:t>discrimination</w:t>
            </w:r>
            <w:r w:rsidRPr="004C394D">
              <w:rPr>
                <w:rFonts w:ascii="Aptos" w:hAnsi="Aptos"/>
                <w:b w:val="0"/>
                <w:bCs w:val="0"/>
              </w:rPr>
              <w:t xml:space="preserve"> to ensure prevention and response is inclusive and culturally safe/appropriate</w:t>
            </w:r>
          </w:p>
        </w:tc>
        <w:tc>
          <w:tcPr>
            <w:tcW w:w="4961" w:type="dxa"/>
          </w:tcPr>
          <w:p w14:paraId="79E5FD3C" w14:textId="0C7E7CB0" w:rsidR="007C04DA" w:rsidRPr="00C96503" w:rsidRDefault="007C04DA">
            <w:pPr>
              <w:cnfStyle w:val="000000100000" w:firstRow="0" w:lastRow="0" w:firstColumn="0" w:lastColumn="0" w:oddVBand="0" w:evenVBand="0" w:oddHBand="1" w:evenHBand="0" w:firstRowFirstColumn="0" w:firstRowLastColumn="0" w:lastRowFirstColumn="0" w:lastRowLastColumn="0"/>
              <w:rPr>
                <w:rFonts w:ascii="Aptos" w:hAnsi="Aptos"/>
              </w:rPr>
            </w:pPr>
            <w:r w:rsidRPr="00C96503">
              <w:rPr>
                <w:rFonts w:ascii="Aptos" w:hAnsi="Aptos"/>
                <w:b/>
                <w:bCs/>
              </w:rPr>
              <w:t xml:space="preserve">No – </w:t>
            </w:r>
            <w:r w:rsidRPr="00C96503">
              <w:rPr>
                <w:rFonts w:ascii="Aptos" w:hAnsi="Aptos"/>
              </w:rPr>
              <w:t xml:space="preserve">the status quo has continued to see approaches that do not acknowledge how </w:t>
            </w:r>
            <w:r w:rsidR="00B7771B">
              <w:rPr>
                <w:rFonts w:ascii="Aptos" w:hAnsi="Aptos"/>
              </w:rPr>
              <w:t>GBV</w:t>
            </w:r>
            <w:r w:rsidRPr="00C96503">
              <w:rPr>
                <w:rFonts w:ascii="Aptos" w:hAnsi="Aptos"/>
              </w:rPr>
              <w:t xml:space="preserve"> disproportionately impacts particular groups. Providers have no obligations to collaborate with diverse groups and may not address their varying needs. </w:t>
            </w:r>
          </w:p>
        </w:tc>
      </w:tr>
      <w:tr w:rsidR="007C04DA" w14:paraId="33F91371" w14:textId="77777777">
        <w:tc>
          <w:tcPr>
            <w:cnfStyle w:val="001000000000" w:firstRow="0" w:lastRow="0" w:firstColumn="1" w:lastColumn="0" w:oddVBand="0" w:evenVBand="0" w:oddHBand="0" w:evenHBand="0" w:firstRowFirstColumn="0" w:firstRowLastColumn="0" w:lastRowFirstColumn="0" w:lastRowLastColumn="0"/>
            <w:tcW w:w="4106" w:type="dxa"/>
          </w:tcPr>
          <w:p w14:paraId="7AB5F5C3" w14:textId="7BDEE173" w:rsidR="007C04DA" w:rsidRPr="00C96503" w:rsidRDefault="007C04DA">
            <w:pPr>
              <w:rPr>
                <w:rFonts w:ascii="Aptos" w:hAnsi="Aptos"/>
                <w:b w:val="0"/>
                <w:bCs w:val="0"/>
              </w:rPr>
            </w:pPr>
            <w:r w:rsidRPr="004C394D">
              <w:rPr>
                <w:rFonts w:ascii="Aptos" w:hAnsi="Aptos"/>
                <w:b w:val="0"/>
                <w:bCs w:val="0"/>
              </w:rPr>
              <w:t xml:space="preserve">Ensure providers implement whole-of-organisation approach to ensure response to </w:t>
            </w:r>
            <w:r w:rsidR="00B7771B">
              <w:rPr>
                <w:rFonts w:ascii="Aptos" w:hAnsi="Aptos"/>
                <w:b w:val="0"/>
                <w:bCs w:val="0"/>
              </w:rPr>
              <w:t>GBV</w:t>
            </w:r>
            <w:r w:rsidRPr="004C394D">
              <w:rPr>
                <w:rFonts w:ascii="Aptos" w:hAnsi="Aptos"/>
                <w:b w:val="0"/>
                <w:bCs w:val="0"/>
              </w:rPr>
              <w:t xml:space="preserve"> is coordinated, systemic and resourced.</w:t>
            </w:r>
          </w:p>
        </w:tc>
        <w:tc>
          <w:tcPr>
            <w:tcW w:w="4961" w:type="dxa"/>
          </w:tcPr>
          <w:p w14:paraId="31A221D7" w14:textId="7A2F9362" w:rsidR="007C04DA" w:rsidRPr="00C96503" w:rsidRDefault="007C04DA">
            <w:pPr>
              <w:cnfStyle w:val="000000000000" w:firstRow="0" w:lastRow="0" w:firstColumn="0" w:lastColumn="0" w:oddVBand="0" w:evenVBand="0" w:oddHBand="0" w:evenHBand="0" w:firstRowFirstColumn="0" w:firstRowLastColumn="0" w:lastRowFirstColumn="0" w:lastRowLastColumn="0"/>
              <w:rPr>
                <w:rFonts w:ascii="Aptos" w:hAnsi="Aptos"/>
              </w:rPr>
            </w:pPr>
            <w:r w:rsidRPr="00C96503">
              <w:rPr>
                <w:rFonts w:ascii="Aptos" w:hAnsi="Aptos"/>
                <w:b/>
                <w:bCs/>
              </w:rPr>
              <w:t xml:space="preserve">No </w:t>
            </w:r>
            <w:r w:rsidRPr="00C96503">
              <w:rPr>
                <w:rFonts w:ascii="Aptos" w:hAnsi="Aptos"/>
              </w:rPr>
              <w:t xml:space="preserve">- While there are some voluntary initiatives they remain ad hoc and have no enforceability. The status quo maintains inconsistency across </w:t>
            </w:r>
            <w:r w:rsidRPr="00C96503">
              <w:rPr>
                <w:rFonts w:ascii="Aptos" w:hAnsi="Aptos"/>
              </w:rPr>
              <w:lastRenderedPageBreak/>
              <w:t xml:space="preserve">the sector and </w:t>
            </w:r>
            <w:r w:rsidR="008223FC">
              <w:rPr>
                <w:rFonts w:ascii="Aptos" w:hAnsi="Aptos"/>
              </w:rPr>
              <w:t>GBV</w:t>
            </w:r>
            <w:r w:rsidRPr="00C96503">
              <w:rPr>
                <w:rFonts w:ascii="Aptos" w:hAnsi="Aptos"/>
              </w:rPr>
              <w:t xml:space="preserve"> will not be prioritised resource wise. </w:t>
            </w:r>
          </w:p>
        </w:tc>
      </w:tr>
      <w:tr w:rsidR="00792EEC" w14:paraId="5D1062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56BA3D3" w14:textId="77777777" w:rsidR="007C04DA" w:rsidRPr="00C96503" w:rsidRDefault="007C04DA">
            <w:pPr>
              <w:rPr>
                <w:rFonts w:ascii="Aptos" w:hAnsi="Aptos"/>
                <w:b w:val="0"/>
                <w:bCs w:val="0"/>
              </w:rPr>
            </w:pPr>
            <w:r w:rsidRPr="004C394D">
              <w:rPr>
                <w:rFonts w:ascii="Aptos" w:hAnsi="Aptos"/>
                <w:b w:val="0"/>
                <w:bCs w:val="0"/>
              </w:rPr>
              <w:lastRenderedPageBreak/>
              <w:t>Strengthen data collection to inform evidence-based responses and ensure accountability</w:t>
            </w:r>
          </w:p>
        </w:tc>
        <w:tc>
          <w:tcPr>
            <w:tcW w:w="4961" w:type="dxa"/>
          </w:tcPr>
          <w:p w14:paraId="3D78C452" w14:textId="1EBB0A8E" w:rsidR="007C04DA" w:rsidRPr="00C96503" w:rsidRDefault="007C04DA">
            <w:pPr>
              <w:cnfStyle w:val="000000100000" w:firstRow="0" w:lastRow="0" w:firstColumn="0" w:lastColumn="0" w:oddVBand="0" w:evenVBand="0" w:oddHBand="1" w:evenHBand="0" w:firstRowFirstColumn="0" w:firstRowLastColumn="0" w:lastRowFirstColumn="0" w:lastRowLastColumn="0"/>
              <w:rPr>
                <w:rFonts w:ascii="Aptos" w:hAnsi="Aptos"/>
              </w:rPr>
            </w:pPr>
            <w:r w:rsidRPr="00C96503">
              <w:rPr>
                <w:rFonts w:ascii="Aptos" w:hAnsi="Aptos"/>
                <w:b/>
                <w:bCs/>
              </w:rPr>
              <w:t xml:space="preserve">No - </w:t>
            </w:r>
            <w:r w:rsidRPr="00C96503">
              <w:rPr>
                <w:rFonts w:ascii="Aptos" w:hAnsi="Aptos"/>
              </w:rPr>
              <w:t xml:space="preserve">The sector does not report or publish on data relating to </w:t>
            </w:r>
            <w:r w:rsidR="00B7771B">
              <w:rPr>
                <w:rFonts w:ascii="Aptos" w:hAnsi="Aptos"/>
              </w:rPr>
              <w:t>GBV</w:t>
            </w:r>
            <w:r w:rsidRPr="00C96503">
              <w:rPr>
                <w:rFonts w:ascii="Aptos" w:hAnsi="Aptos"/>
              </w:rPr>
              <w:t>. some providers publish their own reports, but they lack transparency, cannot be compared, are narrow in scope, and are likely to not be reliable.</w:t>
            </w:r>
          </w:p>
        </w:tc>
      </w:tr>
      <w:tr w:rsidR="007C04DA" w14:paraId="132D775A" w14:textId="77777777">
        <w:tc>
          <w:tcPr>
            <w:cnfStyle w:val="001000000000" w:firstRow="0" w:lastRow="0" w:firstColumn="1" w:lastColumn="0" w:oddVBand="0" w:evenVBand="0" w:oddHBand="0" w:evenHBand="0" w:firstRowFirstColumn="0" w:firstRowLastColumn="0" w:lastRowFirstColumn="0" w:lastRowLastColumn="0"/>
            <w:tcW w:w="4106" w:type="dxa"/>
          </w:tcPr>
          <w:p w14:paraId="58A23A47" w14:textId="2FEBD4B8" w:rsidR="007C04DA" w:rsidRPr="00C96503" w:rsidRDefault="007C04DA">
            <w:pPr>
              <w:rPr>
                <w:rFonts w:ascii="Aptos" w:hAnsi="Aptos"/>
                <w:b w:val="0"/>
                <w:bCs w:val="0"/>
              </w:rPr>
            </w:pPr>
            <w:r w:rsidRPr="00E50BF9">
              <w:rPr>
                <w:rFonts w:ascii="Aptos" w:hAnsi="Aptos"/>
                <w:b w:val="0"/>
                <w:bCs w:val="0"/>
              </w:rPr>
              <w:t xml:space="preserve">Strengthen the regulatory framework to ensure consistent standards for preventing and responding to </w:t>
            </w:r>
            <w:r w:rsidR="00B7771B">
              <w:rPr>
                <w:rFonts w:ascii="Aptos" w:hAnsi="Aptos"/>
                <w:b w:val="0"/>
                <w:bCs w:val="0"/>
              </w:rPr>
              <w:t>GBV</w:t>
            </w:r>
            <w:r w:rsidRPr="00E50BF9">
              <w:rPr>
                <w:rFonts w:ascii="Aptos" w:hAnsi="Aptos"/>
                <w:b w:val="0"/>
                <w:bCs w:val="0"/>
              </w:rPr>
              <w:t xml:space="preserve"> in the higher education sector.</w:t>
            </w:r>
          </w:p>
        </w:tc>
        <w:tc>
          <w:tcPr>
            <w:tcW w:w="4961" w:type="dxa"/>
          </w:tcPr>
          <w:p w14:paraId="62A29B52" w14:textId="77777777" w:rsidR="007C04DA" w:rsidRPr="00C96503" w:rsidRDefault="007C04DA">
            <w:pPr>
              <w:cnfStyle w:val="000000000000" w:firstRow="0" w:lastRow="0" w:firstColumn="0" w:lastColumn="0" w:oddVBand="0" w:evenVBand="0" w:oddHBand="0" w:evenHBand="0" w:firstRowFirstColumn="0" w:firstRowLastColumn="0" w:lastRowFirstColumn="0" w:lastRowLastColumn="0"/>
              <w:rPr>
                <w:rFonts w:ascii="Aptos" w:hAnsi="Aptos"/>
              </w:rPr>
            </w:pPr>
            <w:r w:rsidRPr="00C96503">
              <w:rPr>
                <w:rFonts w:ascii="Aptos" w:hAnsi="Aptos"/>
                <w:b/>
                <w:bCs/>
              </w:rPr>
              <w:t xml:space="preserve">No </w:t>
            </w:r>
            <w:r w:rsidRPr="00C96503">
              <w:rPr>
                <w:rFonts w:ascii="Aptos" w:hAnsi="Aptos"/>
              </w:rPr>
              <w:t xml:space="preserve">- No new regulatory mechanisms are introduced. Existing frameworks are broad and lack the specificity and enforcement to drive systemic change and continue to sustain harmful environments for students and staff. </w:t>
            </w:r>
          </w:p>
        </w:tc>
      </w:tr>
    </w:tbl>
    <w:p w14:paraId="7F4435A7" w14:textId="77777777" w:rsidR="007C04DA" w:rsidRPr="00733C44" w:rsidRDefault="007C04DA" w:rsidP="005363A9"/>
    <w:p w14:paraId="1889B53F" w14:textId="1C14DDF4" w:rsidR="00AE63AF" w:rsidRDefault="007C04DA" w:rsidP="007C04DA">
      <w:pPr>
        <w:pStyle w:val="Heading2"/>
      </w:pPr>
      <w:bookmarkStart w:id="223" w:name="_Toc204699903"/>
      <w:bookmarkStart w:id="224" w:name="_Toc210050255"/>
      <w:r>
        <w:t xml:space="preserve">Assessment and </w:t>
      </w:r>
      <w:r w:rsidR="00030765">
        <w:t>l</w:t>
      </w:r>
      <w:r w:rsidR="00AE63AF">
        <w:t xml:space="preserve">imitations of </w:t>
      </w:r>
      <w:r w:rsidR="005826A9">
        <w:t>O</w:t>
      </w:r>
      <w:r w:rsidR="00AE63AF">
        <w:t>ption 2</w:t>
      </w:r>
      <w:r>
        <w:t xml:space="preserve"> – </w:t>
      </w:r>
      <w:r w:rsidR="002F4F96">
        <w:t>V</w:t>
      </w:r>
      <w:r>
        <w:t xml:space="preserve">oluntary </w:t>
      </w:r>
      <w:r w:rsidR="00030765">
        <w:t>self-regulation</w:t>
      </w:r>
      <w:bookmarkEnd w:id="223"/>
      <w:bookmarkEnd w:id="224"/>
    </w:p>
    <w:p w14:paraId="1BC64F3D" w14:textId="65308FD9" w:rsidR="005F5713" w:rsidRPr="00F45378" w:rsidRDefault="005F5713" w:rsidP="005F5713">
      <w:pPr>
        <w:rPr>
          <w:szCs w:val="22"/>
        </w:rPr>
      </w:pPr>
      <w:r w:rsidRPr="00F45378">
        <w:rPr>
          <w:szCs w:val="22"/>
        </w:rPr>
        <w:t xml:space="preserve">Self-regulation can be an effective approach in sectors where there is strong alignment between institutional incentives and public interest, and where the risk of harm from noncompliance is low. However, this is not the case for </w:t>
      </w:r>
      <w:r w:rsidR="00B7771B" w:rsidRPr="00F45378">
        <w:rPr>
          <w:szCs w:val="22"/>
        </w:rPr>
        <w:t>GBV</w:t>
      </w:r>
      <w:r w:rsidRPr="00F45378">
        <w:rPr>
          <w:szCs w:val="22"/>
        </w:rPr>
        <w:t xml:space="preserve"> in higher education. As outlined in Chapters 1 and 2, the sector has demonstrated an unwillingness to </w:t>
      </w:r>
      <w:r w:rsidR="006778E8">
        <w:rPr>
          <w:szCs w:val="22"/>
        </w:rPr>
        <w:t>e</w:t>
      </w:r>
      <w:r w:rsidRPr="00F45378">
        <w:rPr>
          <w:szCs w:val="22"/>
        </w:rPr>
        <w:t xml:space="preserve">ffectively address </w:t>
      </w:r>
      <w:r w:rsidR="00B7771B" w:rsidRPr="00F45378">
        <w:rPr>
          <w:szCs w:val="22"/>
        </w:rPr>
        <w:t>GBV</w:t>
      </w:r>
      <w:r w:rsidRPr="00F45378">
        <w:rPr>
          <w:szCs w:val="22"/>
        </w:rPr>
        <w:t xml:space="preserve"> in a consistent or meaningful way. The consequences of inaction in this context </w:t>
      </w:r>
      <w:r w:rsidR="003F30E2" w:rsidRPr="00F45378">
        <w:rPr>
          <w:szCs w:val="22"/>
        </w:rPr>
        <w:t>are</w:t>
      </w:r>
      <w:r w:rsidRPr="00F45378">
        <w:rPr>
          <w:szCs w:val="22"/>
        </w:rPr>
        <w:t xml:space="preserve"> severe as students and staff face </w:t>
      </w:r>
      <w:r w:rsidR="00B94E34" w:rsidRPr="00F45378">
        <w:rPr>
          <w:szCs w:val="22"/>
        </w:rPr>
        <w:t>significant</w:t>
      </w:r>
      <w:r w:rsidRPr="00F45378">
        <w:rPr>
          <w:szCs w:val="22"/>
        </w:rPr>
        <w:t xml:space="preserve"> risks to their safety, wellbeing and educational/</w:t>
      </w:r>
      <w:r w:rsidR="00B94E34" w:rsidRPr="00F45378">
        <w:rPr>
          <w:szCs w:val="22"/>
        </w:rPr>
        <w:t>work outcomes</w:t>
      </w:r>
      <w:r w:rsidRPr="00F45378">
        <w:rPr>
          <w:szCs w:val="22"/>
        </w:rPr>
        <w:t xml:space="preserve">. </w:t>
      </w:r>
    </w:p>
    <w:p w14:paraId="45A31860" w14:textId="4128E534" w:rsidR="000E23FD" w:rsidRPr="00F45378" w:rsidRDefault="00B94E34" w:rsidP="005F5713">
      <w:pPr>
        <w:rPr>
          <w:szCs w:val="22"/>
        </w:rPr>
      </w:pPr>
      <w:r w:rsidRPr="00F45378">
        <w:rPr>
          <w:szCs w:val="22"/>
        </w:rPr>
        <w:t xml:space="preserve">Option 2, which proposes a voluntary </w:t>
      </w:r>
      <w:r w:rsidR="008743F1" w:rsidRPr="00F45378">
        <w:rPr>
          <w:szCs w:val="22"/>
        </w:rPr>
        <w:t>National Code</w:t>
      </w:r>
      <w:r w:rsidRPr="00F45378">
        <w:rPr>
          <w:szCs w:val="22"/>
        </w:rPr>
        <w:t xml:space="preserve">, supported by guidance and engagement from the </w:t>
      </w:r>
      <w:r w:rsidR="005B6DD8">
        <w:rPr>
          <w:szCs w:val="22"/>
        </w:rPr>
        <w:t>d</w:t>
      </w:r>
      <w:r w:rsidRPr="00F45378">
        <w:rPr>
          <w:szCs w:val="22"/>
        </w:rPr>
        <w:t>epartment lacks the enforceable obligations necessary to drive systemic change. While it encourages leading practice, it relies entirely on goodwill – an approach that in this context is insufficient.</w:t>
      </w:r>
      <w:r w:rsidR="000E23FD" w:rsidRPr="00F45378">
        <w:rPr>
          <w:szCs w:val="22"/>
        </w:rPr>
        <w:t xml:space="preserve"> Consultations raised issues such as misuse of non-disclosure agreements, institutional harm and concerns of power </w:t>
      </w:r>
      <w:r w:rsidR="007B7835" w:rsidRPr="00F45378">
        <w:rPr>
          <w:szCs w:val="22"/>
        </w:rPr>
        <w:t>imbalance</w:t>
      </w:r>
      <w:r w:rsidR="000E23FD" w:rsidRPr="00F45378">
        <w:rPr>
          <w:szCs w:val="22"/>
        </w:rPr>
        <w:t xml:space="preserve">. </w:t>
      </w:r>
      <w:r w:rsidR="007B7835" w:rsidRPr="00F45378">
        <w:rPr>
          <w:szCs w:val="22"/>
        </w:rPr>
        <w:t>These issues</w:t>
      </w:r>
      <w:r w:rsidR="000E23FD" w:rsidRPr="00F45378">
        <w:rPr>
          <w:szCs w:val="22"/>
        </w:rPr>
        <w:t xml:space="preserve"> persist because there are no binding requirements or accountability mechanisms in place. While </w:t>
      </w:r>
      <w:r w:rsidR="00AA728A" w:rsidRPr="00F45378">
        <w:rPr>
          <w:szCs w:val="22"/>
        </w:rPr>
        <w:t>a sizeable portion</w:t>
      </w:r>
      <w:r w:rsidR="000E23FD" w:rsidRPr="00F45378">
        <w:rPr>
          <w:szCs w:val="22"/>
        </w:rPr>
        <w:t xml:space="preserve"> of the sector expressed desire for a non-regulatory model – due to trust in their existing processes, concerns of jurisdiction and</w:t>
      </w:r>
      <w:r w:rsidR="007B7835" w:rsidRPr="00F45378">
        <w:rPr>
          <w:szCs w:val="22"/>
        </w:rPr>
        <w:t xml:space="preserve"> </w:t>
      </w:r>
      <w:r w:rsidR="006F5615" w:rsidRPr="00F45378">
        <w:rPr>
          <w:szCs w:val="22"/>
        </w:rPr>
        <w:t xml:space="preserve">resistant to regulatory </w:t>
      </w:r>
      <w:r w:rsidR="00C1358C" w:rsidRPr="00F45378">
        <w:rPr>
          <w:szCs w:val="22"/>
        </w:rPr>
        <w:t>requirements, this</w:t>
      </w:r>
      <w:r w:rsidR="006F5615" w:rsidRPr="00F45378">
        <w:rPr>
          <w:szCs w:val="22"/>
        </w:rPr>
        <w:t xml:space="preserve"> simply does not meet the expectations of students, victim-survivors, government and the broader community. without enforceability, </w:t>
      </w:r>
      <w:r w:rsidR="005826A9">
        <w:rPr>
          <w:szCs w:val="22"/>
        </w:rPr>
        <w:t>O</w:t>
      </w:r>
      <w:r w:rsidR="006F5615" w:rsidRPr="00F45378">
        <w:rPr>
          <w:szCs w:val="22"/>
        </w:rPr>
        <w:t xml:space="preserve">ption 2 risks entrenching </w:t>
      </w:r>
      <w:r w:rsidR="00C1358C" w:rsidRPr="00F45378">
        <w:rPr>
          <w:szCs w:val="22"/>
        </w:rPr>
        <w:t xml:space="preserve">institutional complacency. </w:t>
      </w:r>
    </w:p>
    <w:p w14:paraId="309FCECC" w14:textId="24806316" w:rsidR="00F02611" w:rsidRPr="00F45378" w:rsidRDefault="00F02611" w:rsidP="005F5713">
      <w:pPr>
        <w:rPr>
          <w:szCs w:val="22"/>
        </w:rPr>
      </w:pPr>
      <w:r w:rsidRPr="00F45378">
        <w:rPr>
          <w:szCs w:val="22"/>
        </w:rPr>
        <w:t xml:space="preserve">While Option 2 may appear less burdensome due to its non-regulatory nature, the cost to government for developing and implementing a voluntary </w:t>
      </w:r>
      <w:r w:rsidR="008743F1" w:rsidRPr="00F45378">
        <w:rPr>
          <w:szCs w:val="22"/>
        </w:rPr>
        <w:t>National Code</w:t>
      </w:r>
      <w:r w:rsidRPr="00F45378">
        <w:rPr>
          <w:szCs w:val="22"/>
        </w:rPr>
        <w:t>, alongside sector-wide education, engagement, and capacity-building, would be comparable to the cost of Option 3. Both options require significant investment in policy design, stakeholder consultation, guidance materials, and support infrastructure. However, Option 2 lacks any compliance mechanisms, meaning there is no guarantee that providers will adopt or adhere to the standards. This undermines purpose of government intervention, as the government would bear the cost of implementation without assurance of consistent uptake or measurable impact. In contrast, Option 3 ensures that these same resources are directed toward a framework with enforceable obligations, accountability measures, and sector-wide consistency - maximising the effectiveness and value of public expenditure.</w:t>
      </w:r>
    </w:p>
    <w:p w14:paraId="59FEEC1D" w14:textId="0F6FE5A7" w:rsidR="00A20179" w:rsidRPr="00F45378" w:rsidRDefault="00C1358C" w:rsidP="005F5713">
      <w:pPr>
        <w:rPr>
          <w:szCs w:val="22"/>
        </w:rPr>
      </w:pPr>
      <w:r w:rsidRPr="00F45378">
        <w:rPr>
          <w:szCs w:val="22"/>
        </w:rPr>
        <w:lastRenderedPageBreak/>
        <w:t xml:space="preserve">In summary, </w:t>
      </w:r>
      <w:r w:rsidR="00400F14">
        <w:rPr>
          <w:szCs w:val="22"/>
        </w:rPr>
        <w:t>O</w:t>
      </w:r>
      <w:r w:rsidRPr="00F45378">
        <w:rPr>
          <w:szCs w:val="22"/>
        </w:rPr>
        <w:t>ption 2 is not a viable solution. The absence of enforceable standards poses an unacceptable risk to students and staff. voluntary measures alone will not deliver the scale or consistency of reform required.</w:t>
      </w:r>
    </w:p>
    <w:p w14:paraId="7C05A3C0" w14:textId="67D20422" w:rsidR="007C04DA" w:rsidRDefault="007C04DA" w:rsidP="00B32921">
      <w:pPr>
        <w:pStyle w:val="Heading3"/>
      </w:pPr>
      <w:bookmarkStart w:id="225" w:name="_Toc204682644"/>
      <w:bookmarkStart w:id="226" w:name="_Toc204699904"/>
      <w:bookmarkStart w:id="227" w:name="_Toc204763355"/>
      <w:bookmarkStart w:id="228" w:name="_Toc204764923"/>
      <w:bookmarkStart w:id="229" w:name="_Toc205216935"/>
      <w:r>
        <w:t xml:space="preserve">Assessment of </w:t>
      </w:r>
      <w:r w:rsidR="00400F14">
        <w:t>O</w:t>
      </w:r>
      <w:r>
        <w:t>ption 2 against objectives</w:t>
      </w:r>
      <w:bookmarkEnd w:id="225"/>
      <w:bookmarkEnd w:id="226"/>
      <w:bookmarkEnd w:id="227"/>
      <w:bookmarkEnd w:id="228"/>
      <w:bookmarkEnd w:id="229"/>
    </w:p>
    <w:tbl>
      <w:tblPr>
        <w:tblStyle w:val="GridTable4-Accent1"/>
        <w:tblW w:w="9067" w:type="dxa"/>
        <w:tblLook w:val="04A0" w:firstRow="1" w:lastRow="0" w:firstColumn="1" w:lastColumn="0" w:noHBand="0" w:noVBand="1"/>
      </w:tblPr>
      <w:tblGrid>
        <w:gridCol w:w="3397"/>
        <w:gridCol w:w="5670"/>
      </w:tblGrid>
      <w:tr w:rsidR="00C410B8" w14:paraId="29CA5A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E6EE5EF" w14:textId="77777777" w:rsidR="007C04DA" w:rsidRPr="001741B2" w:rsidRDefault="007C04DA">
            <w:r w:rsidRPr="001741B2">
              <w:t xml:space="preserve">Policy </w:t>
            </w:r>
            <w:r>
              <w:t>Objective</w:t>
            </w:r>
          </w:p>
        </w:tc>
        <w:tc>
          <w:tcPr>
            <w:tcW w:w="5670" w:type="dxa"/>
          </w:tcPr>
          <w:p w14:paraId="2F7800FB" w14:textId="77777777" w:rsidR="007C04DA" w:rsidRPr="008B3677" w:rsidRDefault="007C04DA">
            <w:pPr>
              <w:cnfStyle w:val="100000000000" w:firstRow="1" w:lastRow="0" w:firstColumn="0" w:lastColumn="0" w:oddVBand="0" w:evenVBand="0" w:oddHBand="0" w:evenHBand="0" w:firstRowFirstColumn="0" w:firstRowLastColumn="0" w:lastRowFirstColumn="0" w:lastRowLastColumn="0"/>
            </w:pPr>
            <w:r w:rsidRPr="008B3677">
              <w:t>Assessment</w:t>
            </w:r>
          </w:p>
        </w:tc>
      </w:tr>
      <w:tr w:rsidR="00C410B8" w14:paraId="3CFF50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2EF64C5" w14:textId="74D777B8" w:rsidR="007C04DA" w:rsidRPr="001741B2" w:rsidRDefault="007C04DA">
            <w:pPr>
              <w:rPr>
                <w:rFonts w:ascii="Aptos" w:hAnsi="Aptos"/>
                <w:b w:val="0"/>
                <w:bCs w:val="0"/>
              </w:rPr>
            </w:pPr>
            <w:r>
              <w:rPr>
                <w:rFonts w:ascii="Aptos" w:hAnsi="Aptos"/>
                <w:b w:val="0"/>
                <w:bCs w:val="0"/>
              </w:rPr>
              <w:t>Meaningfully r</w:t>
            </w:r>
            <w:r w:rsidRPr="004C394D">
              <w:rPr>
                <w:rFonts w:ascii="Aptos" w:hAnsi="Aptos"/>
                <w:b w:val="0"/>
                <w:bCs w:val="0"/>
              </w:rPr>
              <w:t xml:space="preserve">educe the incidence of </w:t>
            </w:r>
            <w:r w:rsidR="00B7771B">
              <w:rPr>
                <w:rFonts w:ascii="Aptos" w:hAnsi="Aptos"/>
                <w:b w:val="0"/>
                <w:bCs w:val="0"/>
              </w:rPr>
              <w:t>GBV</w:t>
            </w:r>
            <w:r w:rsidRPr="004C394D">
              <w:rPr>
                <w:rFonts w:ascii="Aptos" w:hAnsi="Aptos"/>
                <w:b w:val="0"/>
                <w:bCs w:val="0"/>
              </w:rPr>
              <w:t xml:space="preserve"> in higher education and strengthen systems to enhance safety for students and staff</w:t>
            </w:r>
          </w:p>
        </w:tc>
        <w:tc>
          <w:tcPr>
            <w:tcW w:w="5670" w:type="dxa"/>
          </w:tcPr>
          <w:p w14:paraId="44F9C4CA" w14:textId="549C085A" w:rsidR="007C04DA" w:rsidRPr="00072139" w:rsidRDefault="007C04DA">
            <w:pPr>
              <w:cnfStyle w:val="000000100000" w:firstRow="0" w:lastRow="0" w:firstColumn="0" w:lastColumn="0" w:oddVBand="0" w:evenVBand="0" w:oddHBand="1" w:evenHBand="0" w:firstRowFirstColumn="0" w:firstRowLastColumn="0" w:lastRowFirstColumn="0" w:lastRowLastColumn="0"/>
              <w:rPr>
                <w:rFonts w:ascii="Aptos" w:hAnsi="Aptos"/>
              </w:rPr>
            </w:pPr>
            <w:r>
              <w:rPr>
                <w:rFonts w:ascii="Aptos" w:hAnsi="Aptos"/>
                <w:b/>
                <w:bCs/>
              </w:rPr>
              <w:t xml:space="preserve">Partially – </w:t>
            </w:r>
            <w:r>
              <w:rPr>
                <w:rFonts w:ascii="Aptos" w:hAnsi="Aptos"/>
              </w:rPr>
              <w:t xml:space="preserve">there may be individual providers who reduce incidence of </w:t>
            </w:r>
            <w:r w:rsidR="008223FC">
              <w:rPr>
                <w:rFonts w:ascii="Aptos" w:hAnsi="Aptos"/>
              </w:rPr>
              <w:t>GBV</w:t>
            </w:r>
            <w:r>
              <w:rPr>
                <w:rFonts w:ascii="Aptos" w:hAnsi="Aptos"/>
              </w:rPr>
              <w:t xml:space="preserve">, but would not be meaningful, and no enforcement mechanism to ensure safety systems are strengthened. Higher Education Providers have signed up for voluntary measures in the past, which has not reduced </w:t>
            </w:r>
            <w:r w:rsidR="00583642">
              <w:rPr>
                <w:rFonts w:ascii="Aptos" w:hAnsi="Aptos"/>
              </w:rPr>
              <w:t xml:space="preserve">meaningfully </w:t>
            </w:r>
            <w:r w:rsidR="008223FC">
              <w:rPr>
                <w:rFonts w:ascii="Aptos" w:hAnsi="Aptos"/>
              </w:rPr>
              <w:t>GBV</w:t>
            </w:r>
            <w:r>
              <w:rPr>
                <w:rFonts w:ascii="Aptos" w:hAnsi="Aptos"/>
              </w:rPr>
              <w:t xml:space="preserve"> incidence. </w:t>
            </w:r>
          </w:p>
        </w:tc>
      </w:tr>
      <w:tr w:rsidR="007C04DA" w14:paraId="4A21CC36" w14:textId="77777777">
        <w:trPr>
          <w:trHeight w:val="70"/>
        </w:trPr>
        <w:tc>
          <w:tcPr>
            <w:cnfStyle w:val="001000000000" w:firstRow="0" w:lastRow="0" w:firstColumn="1" w:lastColumn="0" w:oddVBand="0" w:evenVBand="0" w:oddHBand="0" w:evenHBand="0" w:firstRowFirstColumn="0" w:firstRowLastColumn="0" w:lastRowFirstColumn="0" w:lastRowLastColumn="0"/>
            <w:tcW w:w="3397" w:type="dxa"/>
          </w:tcPr>
          <w:p w14:paraId="29BE282A" w14:textId="14CE34E7" w:rsidR="007C04DA" w:rsidRPr="001741B2" w:rsidRDefault="007C04DA">
            <w:pPr>
              <w:rPr>
                <w:rFonts w:ascii="Aptos" w:hAnsi="Aptos"/>
                <w:b w:val="0"/>
                <w:bCs w:val="0"/>
              </w:rPr>
            </w:pPr>
            <w:r w:rsidRPr="004C394D">
              <w:rPr>
                <w:rFonts w:ascii="Aptos" w:hAnsi="Aptos"/>
                <w:b w:val="0"/>
                <w:bCs w:val="0"/>
              </w:rPr>
              <w:t xml:space="preserve">Minimise the impact that </w:t>
            </w:r>
            <w:r w:rsidR="00B7771B">
              <w:rPr>
                <w:rFonts w:ascii="Aptos" w:hAnsi="Aptos"/>
                <w:b w:val="0"/>
                <w:bCs w:val="0"/>
              </w:rPr>
              <w:t>GBV</w:t>
            </w:r>
            <w:r w:rsidRPr="004C394D">
              <w:rPr>
                <w:rFonts w:ascii="Aptos" w:hAnsi="Aptos"/>
                <w:b w:val="0"/>
                <w:bCs w:val="0"/>
              </w:rPr>
              <w:t xml:space="preserve"> has on victim-survivors through trauma-informed and person-centred responses</w:t>
            </w:r>
          </w:p>
        </w:tc>
        <w:tc>
          <w:tcPr>
            <w:tcW w:w="5670" w:type="dxa"/>
          </w:tcPr>
          <w:p w14:paraId="7F17ABAB" w14:textId="77777777" w:rsidR="007C04DA" w:rsidRPr="001741B2" w:rsidRDefault="007C04DA">
            <w:pPr>
              <w:cnfStyle w:val="000000000000" w:firstRow="0" w:lastRow="0" w:firstColumn="0" w:lastColumn="0" w:oddVBand="0" w:evenVBand="0" w:oddHBand="0" w:evenHBand="0" w:firstRowFirstColumn="0" w:firstRowLastColumn="0" w:lastRowFirstColumn="0" w:lastRowLastColumn="0"/>
              <w:rPr>
                <w:rFonts w:ascii="Aptos" w:hAnsi="Aptos"/>
              </w:rPr>
            </w:pPr>
            <w:r>
              <w:rPr>
                <w:rFonts w:ascii="Aptos" w:hAnsi="Aptos"/>
                <w:b/>
                <w:bCs/>
              </w:rPr>
              <w:t>Partially</w:t>
            </w:r>
            <w:r w:rsidRPr="001741B2">
              <w:rPr>
                <w:rFonts w:ascii="Aptos" w:hAnsi="Aptos"/>
                <w:b/>
                <w:bCs/>
              </w:rPr>
              <w:t xml:space="preserve"> </w:t>
            </w:r>
            <w:r w:rsidRPr="001741B2">
              <w:rPr>
                <w:rFonts w:ascii="Aptos" w:hAnsi="Aptos"/>
              </w:rPr>
              <w:t xml:space="preserve">– </w:t>
            </w:r>
            <w:r>
              <w:rPr>
                <w:rFonts w:ascii="Aptos" w:hAnsi="Aptos"/>
              </w:rPr>
              <w:t xml:space="preserve">Some providers may adopt trauma-informed practices, but without mandatory standards, responses will very. Victim-survivors may continue to face fragmented and inadequate support depending on their provider. </w:t>
            </w:r>
          </w:p>
        </w:tc>
      </w:tr>
      <w:tr w:rsidR="00C410B8" w14:paraId="61441C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DA40EA9" w14:textId="6880E4D4" w:rsidR="007C04DA" w:rsidRPr="001741B2" w:rsidRDefault="002E6D48">
            <w:pPr>
              <w:rPr>
                <w:rFonts w:ascii="Aptos" w:hAnsi="Aptos"/>
                <w:b w:val="0"/>
                <w:bCs w:val="0"/>
              </w:rPr>
            </w:pPr>
            <w:r w:rsidRPr="004C394D">
              <w:rPr>
                <w:rFonts w:ascii="Aptos" w:hAnsi="Aptos"/>
                <w:b w:val="0"/>
                <w:bCs w:val="0"/>
              </w:rPr>
              <w:t>Addres</w:t>
            </w:r>
            <w:r>
              <w:rPr>
                <w:rFonts w:ascii="Aptos" w:hAnsi="Aptos"/>
                <w:b w:val="0"/>
                <w:bCs w:val="0"/>
              </w:rPr>
              <w:t>s the needs of groups that experience compounding forms of inequalities and discrimination</w:t>
            </w:r>
            <w:r w:rsidRPr="004C394D">
              <w:rPr>
                <w:rFonts w:ascii="Aptos" w:hAnsi="Aptos"/>
                <w:b w:val="0"/>
                <w:bCs w:val="0"/>
              </w:rPr>
              <w:t xml:space="preserve"> to ensure prevention and response is inclusive and culturally safe/appropriate</w:t>
            </w:r>
          </w:p>
        </w:tc>
        <w:tc>
          <w:tcPr>
            <w:tcW w:w="5670" w:type="dxa"/>
          </w:tcPr>
          <w:p w14:paraId="69D3111B" w14:textId="02DF3BA1" w:rsidR="007C04DA" w:rsidRPr="005B6ECC" w:rsidRDefault="007C04DA">
            <w:pPr>
              <w:cnfStyle w:val="000000100000" w:firstRow="0" w:lastRow="0" w:firstColumn="0" w:lastColumn="0" w:oddVBand="0" w:evenVBand="0" w:oddHBand="1" w:evenHBand="0" w:firstRowFirstColumn="0" w:firstRowLastColumn="0" w:lastRowFirstColumn="0" w:lastRowLastColumn="0"/>
              <w:rPr>
                <w:rFonts w:ascii="Aptos" w:hAnsi="Aptos"/>
              </w:rPr>
            </w:pPr>
            <w:r w:rsidRPr="001741B2">
              <w:rPr>
                <w:rFonts w:ascii="Aptos" w:hAnsi="Aptos"/>
                <w:b/>
                <w:bCs/>
              </w:rPr>
              <w:t xml:space="preserve">No – </w:t>
            </w:r>
            <w:r>
              <w:rPr>
                <w:rFonts w:ascii="Aptos" w:hAnsi="Aptos"/>
              </w:rPr>
              <w:t xml:space="preserve">a voluntary </w:t>
            </w:r>
            <w:r w:rsidR="008743F1">
              <w:rPr>
                <w:rFonts w:ascii="Aptos" w:hAnsi="Aptos"/>
              </w:rPr>
              <w:t>National Code</w:t>
            </w:r>
            <w:r>
              <w:rPr>
                <w:rFonts w:ascii="Aptos" w:hAnsi="Aptos"/>
              </w:rPr>
              <w:t xml:space="preserve"> does not guarantee inclusive or culturally safe practices. </w:t>
            </w:r>
            <w:r w:rsidR="002E6D48">
              <w:rPr>
                <w:rFonts w:ascii="Aptos" w:hAnsi="Aptos"/>
              </w:rPr>
              <w:t xml:space="preserve">Diverse </w:t>
            </w:r>
            <w:r>
              <w:rPr>
                <w:rFonts w:ascii="Aptos" w:hAnsi="Aptos"/>
              </w:rPr>
              <w:t xml:space="preserve">groups are most affected by inconsistent implementation, lack of accountability, and one-size-fits-all approaches. </w:t>
            </w:r>
          </w:p>
        </w:tc>
      </w:tr>
      <w:tr w:rsidR="007C04DA" w14:paraId="590884D3" w14:textId="77777777">
        <w:tc>
          <w:tcPr>
            <w:cnfStyle w:val="001000000000" w:firstRow="0" w:lastRow="0" w:firstColumn="1" w:lastColumn="0" w:oddVBand="0" w:evenVBand="0" w:oddHBand="0" w:evenHBand="0" w:firstRowFirstColumn="0" w:firstRowLastColumn="0" w:lastRowFirstColumn="0" w:lastRowLastColumn="0"/>
            <w:tcW w:w="3397" w:type="dxa"/>
          </w:tcPr>
          <w:p w14:paraId="0D18EA22" w14:textId="62A83250" w:rsidR="007C04DA" w:rsidRPr="001741B2" w:rsidRDefault="007C04DA">
            <w:pPr>
              <w:rPr>
                <w:rFonts w:ascii="Aptos" w:hAnsi="Aptos"/>
                <w:b w:val="0"/>
                <w:bCs w:val="0"/>
              </w:rPr>
            </w:pPr>
            <w:r w:rsidRPr="004C394D">
              <w:rPr>
                <w:rFonts w:ascii="Aptos" w:hAnsi="Aptos"/>
                <w:b w:val="0"/>
                <w:bCs w:val="0"/>
              </w:rPr>
              <w:t xml:space="preserve">Ensure providers implement whole-of-organisation approach to ensure response to </w:t>
            </w:r>
            <w:r w:rsidR="00B7771B">
              <w:rPr>
                <w:rFonts w:ascii="Aptos" w:hAnsi="Aptos"/>
                <w:b w:val="0"/>
                <w:bCs w:val="0"/>
              </w:rPr>
              <w:t>GBV</w:t>
            </w:r>
            <w:r w:rsidRPr="004C394D">
              <w:rPr>
                <w:rFonts w:ascii="Aptos" w:hAnsi="Aptos"/>
                <w:b w:val="0"/>
                <w:bCs w:val="0"/>
              </w:rPr>
              <w:t xml:space="preserve"> is coordinated, systemic and resourced.</w:t>
            </w:r>
          </w:p>
        </w:tc>
        <w:tc>
          <w:tcPr>
            <w:tcW w:w="5670" w:type="dxa"/>
          </w:tcPr>
          <w:p w14:paraId="0FDAD420" w14:textId="2B48E0F8" w:rsidR="007C04DA" w:rsidRPr="001741B2" w:rsidRDefault="007C04DA">
            <w:pPr>
              <w:cnfStyle w:val="000000000000" w:firstRow="0" w:lastRow="0" w:firstColumn="0" w:lastColumn="0" w:oddVBand="0" w:evenVBand="0" w:oddHBand="0" w:evenHBand="0" w:firstRowFirstColumn="0" w:firstRowLastColumn="0" w:lastRowFirstColumn="0" w:lastRowLastColumn="0"/>
              <w:rPr>
                <w:rFonts w:ascii="Aptos" w:hAnsi="Aptos"/>
              </w:rPr>
            </w:pPr>
            <w:r w:rsidRPr="001741B2">
              <w:rPr>
                <w:rFonts w:ascii="Aptos" w:hAnsi="Aptos"/>
                <w:b/>
                <w:bCs/>
              </w:rPr>
              <w:t xml:space="preserve">No </w:t>
            </w:r>
            <w:r>
              <w:rPr>
                <w:rFonts w:ascii="Aptos" w:hAnsi="Aptos"/>
              </w:rPr>
              <w:t>–</w:t>
            </w:r>
            <w:r w:rsidRPr="001741B2">
              <w:rPr>
                <w:rFonts w:ascii="Aptos" w:hAnsi="Aptos"/>
              </w:rPr>
              <w:t xml:space="preserve"> </w:t>
            </w:r>
            <w:r>
              <w:rPr>
                <w:rFonts w:ascii="Aptos" w:hAnsi="Aptos"/>
              </w:rPr>
              <w:t xml:space="preserve">Whole-of-organisation approaches require leadership, investment and accountability – none of which are enforceable under this option. Sector continues to show </w:t>
            </w:r>
            <w:r w:rsidR="005A04CA">
              <w:rPr>
                <w:rFonts w:ascii="Aptos" w:hAnsi="Aptos"/>
              </w:rPr>
              <w:t xml:space="preserve">reactive </w:t>
            </w:r>
            <w:r>
              <w:rPr>
                <w:rFonts w:ascii="Aptos" w:hAnsi="Aptos"/>
              </w:rPr>
              <w:t xml:space="preserve">and under resourced despite numerous recommendations for holistic, systematic approaches to </w:t>
            </w:r>
            <w:r w:rsidR="008223FC">
              <w:rPr>
                <w:rFonts w:ascii="Aptos" w:hAnsi="Aptos"/>
              </w:rPr>
              <w:t>GBV</w:t>
            </w:r>
            <w:r>
              <w:rPr>
                <w:rFonts w:ascii="Aptos" w:hAnsi="Aptos"/>
              </w:rPr>
              <w:t xml:space="preserve">. </w:t>
            </w:r>
          </w:p>
        </w:tc>
      </w:tr>
      <w:tr w:rsidR="00C410B8" w14:paraId="4C0D4F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6DC6B25" w14:textId="77777777" w:rsidR="007C04DA" w:rsidRPr="001741B2" w:rsidRDefault="007C04DA">
            <w:pPr>
              <w:rPr>
                <w:rFonts w:ascii="Aptos" w:hAnsi="Aptos"/>
                <w:b w:val="0"/>
                <w:bCs w:val="0"/>
              </w:rPr>
            </w:pPr>
            <w:r w:rsidRPr="004C394D">
              <w:rPr>
                <w:rFonts w:ascii="Aptos" w:hAnsi="Aptos"/>
                <w:b w:val="0"/>
                <w:bCs w:val="0"/>
              </w:rPr>
              <w:t>Strengthen data collection to inform evidence-based responses and ensure accountability</w:t>
            </w:r>
          </w:p>
        </w:tc>
        <w:tc>
          <w:tcPr>
            <w:tcW w:w="5670" w:type="dxa"/>
          </w:tcPr>
          <w:p w14:paraId="410731C6" w14:textId="77777777" w:rsidR="007C04DA" w:rsidRPr="00AA27A0" w:rsidRDefault="007C04DA">
            <w:pPr>
              <w:cnfStyle w:val="000000100000" w:firstRow="0" w:lastRow="0" w:firstColumn="0" w:lastColumn="0" w:oddVBand="0" w:evenVBand="0" w:oddHBand="1" w:evenHBand="0" w:firstRowFirstColumn="0" w:firstRowLastColumn="0" w:lastRowFirstColumn="0" w:lastRowLastColumn="0"/>
              <w:rPr>
                <w:rFonts w:ascii="Aptos" w:hAnsi="Aptos"/>
              </w:rPr>
            </w:pPr>
            <w:r w:rsidRPr="001741B2">
              <w:rPr>
                <w:rFonts w:ascii="Aptos" w:hAnsi="Aptos"/>
                <w:b/>
                <w:bCs/>
              </w:rPr>
              <w:t xml:space="preserve">No </w:t>
            </w:r>
            <w:r>
              <w:rPr>
                <w:rFonts w:ascii="Aptos" w:hAnsi="Aptos"/>
                <w:b/>
                <w:bCs/>
              </w:rPr>
              <w:t>–</w:t>
            </w:r>
            <w:r w:rsidRPr="001741B2">
              <w:rPr>
                <w:rFonts w:ascii="Aptos" w:hAnsi="Aptos"/>
                <w:b/>
                <w:bCs/>
              </w:rPr>
              <w:t xml:space="preserve"> </w:t>
            </w:r>
            <w:r>
              <w:rPr>
                <w:rFonts w:ascii="Aptos" w:hAnsi="Aptos"/>
              </w:rPr>
              <w:t xml:space="preserve">data collection would remain discretionary and perpetuate the same data gaps that exist now. No mechanism to ensure comparability making the data ineffective. Thus, no national evidence base to measure improvements or ensure transparency for students and staff, and government. </w:t>
            </w:r>
          </w:p>
        </w:tc>
      </w:tr>
      <w:tr w:rsidR="007C04DA" w14:paraId="2B8C3957" w14:textId="77777777">
        <w:tc>
          <w:tcPr>
            <w:cnfStyle w:val="001000000000" w:firstRow="0" w:lastRow="0" w:firstColumn="1" w:lastColumn="0" w:oddVBand="0" w:evenVBand="0" w:oddHBand="0" w:evenHBand="0" w:firstRowFirstColumn="0" w:firstRowLastColumn="0" w:lastRowFirstColumn="0" w:lastRowLastColumn="0"/>
            <w:tcW w:w="3397" w:type="dxa"/>
          </w:tcPr>
          <w:p w14:paraId="35BA266A" w14:textId="18FD1586" w:rsidR="007C04DA" w:rsidRPr="001741B2" w:rsidRDefault="007C04DA">
            <w:pPr>
              <w:rPr>
                <w:rFonts w:ascii="Aptos" w:hAnsi="Aptos"/>
                <w:b w:val="0"/>
                <w:bCs w:val="0"/>
              </w:rPr>
            </w:pPr>
            <w:r w:rsidRPr="00E50BF9">
              <w:rPr>
                <w:rFonts w:ascii="Aptos" w:hAnsi="Aptos"/>
                <w:b w:val="0"/>
                <w:bCs w:val="0"/>
              </w:rPr>
              <w:t xml:space="preserve">Strengthen the regulatory framework to ensure consistent standards for preventing and responding to </w:t>
            </w:r>
            <w:r w:rsidR="00B7771B">
              <w:rPr>
                <w:rFonts w:ascii="Aptos" w:hAnsi="Aptos"/>
                <w:b w:val="0"/>
                <w:bCs w:val="0"/>
              </w:rPr>
              <w:t>GBV</w:t>
            </w:r>
            <w:r w:rsidRPr="00E50BF9">
              <w:rPr>
                <w:rFonts w:ascii="Aptos" w:hAnsi="Aptos"/>
                <w:b w:val="0"/>
                <w:bCs w:val="0"/>
              </w:rPr>
              <w:t xml:space="preserve"> in the higher education sector.</w:t>
            </w:r>
          </w:p>
        </w:tc>
        <w:tc>
          <w:tcPr>
            <w:tcW w:w="5670" w:type="dxa"/>
          </w:tcPr>
          <w:p w14:paraId="41606EEC" w14:textId="77777777" w:rsidR="007C04DA" w:rsidRPr="001741B2" w:rsidRDefault="007C04DA">
            <w:pPr>
              <w:cnfStyle w:val="000000000000" w:firstRow="0" w:lastRow="0" w:firstColumn="0" w:lastColumn="0" w:oddVBand="0" w:evenVBand="0" w:oddHBand="0" w:evenHBand="0" w:firstRowFirstColumn="0" w:firstRowLastColumn="0" w:lastRowFirstColumn="0" w:lastRowLastColumn="0"/>
              <w:rPr>
                <w:rFonts w:ascii="Aptos" w:hAnsi="Aptos"/>
              </w:rPr>
            </w:pPr>
            <w:r w:rsidRPr="001741B2">
              <w:rPr>
                <w:rFonts w:ascii="Aptos" w:hAnsi="Aptos"/>
                <w:b/>
                <w:bCs/>
              </w:rPr>
              <w:t xml:space="preserve">No </w:t>
            </w:r>
            <w:r>
              <w:rPr>
                <w:rFonts w:ascii="Aptos" w:hAnsi="Aptos"/>
              </w:rPr>
              <w:t>–</w:t>
            </w:r>
            <w:r w:rsidRPr="001741B2">
              <w:rPr>
                <w:rFonts w:ascii="Aptos" w:hAnsi="Aptos"/>
              </w:rPr>
              <w:t xml:space="preserve"> </w:t>
            </w:r>
            <w:r>
              <w:rPr>
                <w:rFonts w:ascii="Aptos" w:hAnsi="Aptos"/>
              </w:rPr>
              <w:t xml:space="preserve">voluntary regulation would mean participation is optional and relies on guidance and goodwill. </w:t>
            </w:r>
          </w:p>
        </w:tc>
      </w:tr>
    </w:tbl>
    <w:p w14:paraId="3807C441" w14:textId="77777777" w:rsidR="00E62140" w:rsidRPr="007C04DA" w:rsidRDefault="00E62140" w:rsidP="007C04DA"/>
    <w:p w14:paraId="00C2953F" w14:textId="73F786DD" w:rsidR="00265477" w:rsidRDefault="00062511" w:rsidP="00460B8B">
      <w:pPr>
        <w:pStyle w:val="Heading2"/>
      </w:pPr>
      <w:bookmarkStart w:id="230" w:name="_Toc204699905"/>
      <w:bookmarkStart w:id="231" w:name="_Toc210050256"/>
      <w:r>
        <w:t xml:space="preserve">Implementation of Option 3 – Mandatory </w:t>
      </w:r>
      <w:r w:rsidR="008743F1">
        <w:t>National Code</w:t>
      </w:r>
      <w:bookmarkEnd w:id="230"/>
      <w:bookmarkEnd w:id="231"/>
    </w:p>
    <w:p w14:paraId="1D67ED8B" w14:textId="57987660" w:rsidR="00A1702A" w:rsidRPr="00F45378" w:rsidRDefault="00A1702A" w:rsidP="00A1702A">
      <w:pPr>
        <w:spacing w:before="120" w:after="120" w:line="240" w:lineRule="auto"/>
        <w:rPr>
          <w:rFonts w:ascii="Aptos" w:eastAsia="Aptos" w:hAnsi="Aptos" w:cs="Calibri"/>
          <w:color w:val="000000"/>
          <w:szCs w:val="22"/>
        </w:rPr>
      </w:pPr>
      <w:r w:rsidRPr="00F45378">
        <w:rPr>
          <w:rFonts w:ascii="Aptos" w:hAnsi="Aptos" w:cs="Calibri"/>
          <w:szCs w:val="22"/>
        </w:rPr>
        <w:t xml:space="preserve">Subject to passage in Parliament, the </w:t>
      </w:r>
      <w:r w:rsidR="008743F1" w:rsidRPr="00F45378">
        <w:rPr>
          <w:rFonts w:ascii="Aptos" w:hAnsi="Aptos" w:cs="Calibri"/>
          <w:szCs w:val="22"/>
        </w:rPr>
        <w:t>National Code</w:t>
      </w:r>
      <w:r w:rsidRPr="00F45378">
        <w:rPr>
          <w:rFonts w:ascii="Aptos" w:hAnsi="Aptos" w:cs="Calibri"/>
          <w:szCs w:val="22"/>
        </w:rPr>
        <w:t xml:space="preserve"> will commence from 1 January 2026 for </w:t>
      </w:r>
      <w:r w:rsidR="004B212C">
        <w:rPr>
          <w:rFonts w:ascii="Aptos" w:hAnsi="Aptos" w:cs="Calibri"/>
          <w:szCs w:val="22"/>
        </w:rPr>
        <w:t>Table A and B Providers</w:t>
      </w:r>
      <w:r w:rsidRPr="00F45378">
        <w:rPr>
          <w:rFonts w:ascii="Aptos" w:hAnsi="Aptos" w:cs="Calibri"/>
          <w:szCs w:val="22"/>
        </w:rPr>
        <w:t xml:space="preserve">, and 1 January 2027 for </w:t>
      </w:r>
      <w:r w:rsidR="004B212C">
        <w:rPr>
          <w:rFonts w:ascii="Aptos" w:hAnsi="Aptos" w:cs="Calibri"/>
          <w:szCs w:val="22"/>
        </w:rPr>
        <w:t>all other</w:t>
      </w:r>
      <w:r w:rsidRPr="00F45378">
        <w:rPr>
          <w:rFonts w:ascii="Aptos" w:hAnsi="Aptos" w:cs="Calibri"/>
          <w:szCs w:val="22"/>
        </w:rPr>
        <w:t xml:space="preserve">. All higher education providers registered with TEQSA will be required to comply with the </w:t>
      </w:r>
      <w:r w:rsidR="008743F1" w:rsidRPr="00F45378">
        <w:rPr>
          <w:rFonts w:ascii="Aptos" w:hAnsi="Aptos" w:cs="Calibri"/>
          <w:szCs w:val="22"/>
        </w:rPr>
        <w:t>National Code</w:t>
      </w:r>
      <w:r w:rsidRPr="00F45378">
        <w:rPr>
          <w:rFonts w:ascii="Aptos" w:hAnsi="Aptos" w:cs="Calibri"/>
          <w:szCs w:val="22"/>
        </w:rPr>
        <w:t xml:space="preserve">. </w:t>
      </w:r>
    </w:p>
    <w:p w14:paraId="3710BB6C" w14:textId="7FA38B71" w:rsidR="00A1702A" w:rsidRPr="00F45378" w:rsidRDefault="00A1702A" w:rsidP="00A1702A">
      <w:pPr>
        <w:spacing w:before="120" w:after="120" w:line="240" w:lineRule="auto"/>
        <w:rPr>
          <w:rFonts w:ascii="Aptos" w:eastAsia="Aptos" w:hAnsi="Aptos" w:cs="Calibri"/>
          <w:color w:val="000000"/>
          <w:szCs w:val="22"/>
        </w:rPr>
      </w:pPr>
      <w:r w:rsidRPr="00F45378">
        <w:rPr>
          <w:rFonts w:ascii="Aptos" w:eastAsia="Aptos" w:hAnsi="Aptos" w:cs="Calibri"/>
          <w:color w:val="000000"/>
          <w:szCs w:val="22"/>
        </w:rPr>
        <w:t xml:space="preserve">To support implementation and enforcement, a Consequential Bill will amend the HESA Act to include compliance with the </w:t>
      </w:r>
      <w:r w:rsidR="008743F1" w:rsidRPr="00F45378">
        <w:rPr>
          <w:rFonts w:ascii="Aptos" w:eastAsia="Aptos" w:hAnsi="Aptos" w:cs="Calibri"/>
          <w:color w:val="000000"/>
          <w:szCs w:val="22"/>
        </w:rPr>
        <w:t>National Code</w:t>
      </w:r>
      <w:r w:rsidRPr="00F45378">
        <w:rPr>
          <w:rFonts w:ascii="Aptos" w:eastAsia="Aptos" w:hAnsi="Aptos" w:cs="Calibri"/>
          <w:color w:val="000000"/>
          <w:szCs w:val="22"/>
        </w:rPr>
        <w:t xml:space="preserve"> as a quality and accountability requirement for higher education providers approved under that Act. HESA is the main piece of legislation governing the allocation of Commonwealth funding to higher education providers in Australia.</w:t>
      </w:r>
    </w:p>
    <w:p w14:paraId="03A60024" w14:textId="795DBAD8" w:rsidR="00C97DD8" w:rsidRPr="00F45378" w:rsidRDefault="00A1702A" w:rsidP="00A1702A">
      <w:pPr>
        <w:spacing w:before="120" w:after="120" w:line="240" w:lineRule="auto"/>
        <w:rPr>
          <w:rFonts w:ascii="Aptos" w:eastAsia="Aptos" w:hAnsi="Aptos" w:cs="Calibri"/>
          <w:color w:val="000000"/>
          <w:szCs w:val="22"/>
        </w:rPr>
      </w:pPr>
      <w:r w:rsidRPr="00F45378">
        <w:rPr>
          <w:rFonts w:ascii="Aptos" w:eastAsia="Aptos" w:hAnsi="Aptos" w:cs="Calibri"/>
          <w:color w:val="000000"/>
          <w:szCs w:val="22"/>
        </w:rPr>
        <w:lastRenderedPageBreak/>
        <w:t xml:space="preserve">This legislative amendment means that a breach of the </w:t>
      </w:r>
      <w:r w:rsidR="008743F1" w:rsidRPr="00F45378">
        <w:rPr>
          <w:rFonts w:ascii="Aptos" w:eastAsia="Aptos" w:hAnsi="Aptos" w:cs="Calibri"/>
          <w:color w:val="000000"/>
          <w:szCs w:val="22"/>
        </w:rPr>
        <w:t>National Code</w:t>
      </w:r>
      <w:r w:rsidRPr="00F45378">
        <w:rPr>
          <w:rFonts w:ascii="Aptos" w:eastAsia="Aptos" w:hAnsi="Aptos" w:cs="Calibri"/>
          <w:color w:val="000000"/>
          <w:szCs w:val="22"/>
        </w:rPr>
        <w:t xml:space="preserve"> may have significant consequences, including potential implications for a higher education providers ability to received Commonwealth funding. This creates a strong regulatory incentive for compliance.</w:t>
      </w:r>
    </w:p>
    <w:p w14:paraId="62080C46" w14:textId="0F85E6DC" w:rsidR="00646E60" w:rsidRPr="00B32921" w:rsidRDefault="00A1702A" w:rsidP="00B32921">
      <w:pPr>
        <w:pStyle w:val="Heading3"/>
        <w:rPr>
          <w:rFonts w:eastAsia="Aptos"/>
        </w:rPr>
      </w:pPr>
      <w:bookmarkStart w:id="232" w:name="_Toc204682646"/>
      <w:bookmarkStart w:id="233" w:name="_Toc204699906"/>
      <w:bookmarkStart w:id="234" w:name="_Toc204763357"/>
      <w:bookmarkStart w:id="235" w:name="_Toc204764925"/>
      <w:bookmarkStart w:id="236" w:name="_Toc205216937"/>
      <w:r w:rsidRPr="00B32921">
        <w:rPr>
          <w:rFonts w:eastAsia="Aptos"/>
        </w:rPr>
        <w:t>Legislative timeline</w:t>
      </w:r>
      <w:bookmarkEnd w:id="232"/>
      <w:bookmarkEnd w:id="233"/>
      <w:bookmarkEnd w:id="234"/>
      <w:bookmarkEnd w:id="235"/>
      <w:bookmarkEnd w:id="236"/>
    </w:p>
    <w:p w14:paraId="0E2FFAEA" w14:textId="344BC881" w:rsidR="00646E60" w:rsidRPr="00F45378" w:rsidRDefault="00646E60" w:rsidP="00646E60">
      <w:pPr>
        <w:rPr>
          <w:szCs w:val="22"/>
        </w:rPr>
      </w:pPr>
      <w:r w:rsidRPr="00F45378">
        <w:rPr>
          <w:szCs w:val="22"/>
        </w:rPr>
        <w:t xml:space="preserve">Below is a </w:t>
      </w:r>
      <w:r w:rsidR="008A4BB7" w:rsidRPr="00F45378">
        <w:rPr>
          <w:szCs w:val="22"/>
        </w:rPr>
        <w:t>high-level</w:t>
      </w:r>
      <w:r w:rsidRPr="00F45378">
        <w:rPr>
          <w:szCs w:val="22"/>
        </w:rPr>
        <w:t xml:space="preserve"> legislative timeline for the </w:t>
      </w:r>
      <w:r w:rsidR="008743F1" w:rsidRPr="00F45378">
        <w:rPr>
          <w:szCs w:val="22"/>
        </w:rPr>
        <w:t>National Code</w:t>
      </w:r>
      <w:r w:rsidR="00F45378">
        <w:rPr>
          <w:szCs w:val="22"/>
        </w:rPr>
        <w:t>.</w:t>
      </w:r>
    </w:p>
    <w:tbl>
      <w:tblPr>
        <w:tblStyle w:val="GridTable4-Accent1"/>
        <w:tblW w:w="0" w:type="auto"/>
        <w:tblLook w:val="04A0" w:firstRow="1" w:lastRow="0" w:firstColumn="1" w:lastColumn="0" w:noHBand="0" w:noVBand="1"/>
      </w:tblPr>
      <w:tblGrid>
        <w:gridCol w:w="1413"/>
        <w:gridCol w:w="7603"/>
      </w:tblGrid>
      <w:tr w:rsidR="00792EEC" w:rsidRPr="00F45378" w14:paraId="19D4262E" w14:textId="77777777" w:rsidTr="00797D7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13" w:type="dxa"/>
          </w:tcPr>
          <w:p w14:paraId="4D01AA0A" w14:textId="2A2BFEE4" w:rsidR="00E15AAC" w:rsidRPr="00F45378" w:rsidRDefault="00E15AAC" w:rsidP="00E15AAC">
            <w:pPr>
              <w:spacing w:after="160" w:line="278" w:lineRule="auto"/>
            </w:pPr>
            <w:r w:rsidRPr="00F45378">
              <w:t>Phase</w:t>
            </w:r>
          </w:p>
        </w:tc>
        <w:tc>
          <w:tcPr>
            <w:tcW w:w="7603" w:type="dxa"/>
          </w:tcPr>
          <w:p w14:paraId="53E52BF5" w14:textId="77777777" w:rsidR="00E15AAC" w:rsidRPr="00F45378" w:rsidRDefault="00E15AAC" w:rsidP="00E15AAC">
            <w:pPr>
              <w:spacing w:after="160" w:line="278" w:lineRule="auto"/>
              <w:cnfStyle w:val="100000000000" w:firstRow="1" w:lastRow="0" w:firstColumn="0" w:lastColumn="0" w:oddVBand="0" w:evenVBand="0" w:oddHBand="0" w:evenHBand="0" w:firstRowFirstColumn="0" w:firstRowLastColumn="0" w:lastRowFirstColumn="0" w:lastRowLastColumn="0"/>
            </w:pPr>
            <w:r w:rsidRPr="00F45378">
              <w:t xml:space="preserve">Event </w:t>
            </w:r>
          </w:p>
        </w:tc>
      </w:tr>
      <w:tr w:rsidR="003366A3" w:rsidRPr="00F45378" w14:paraId="024680AB" w14:textId="77777777" w:rsidTr="00797D7C">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413" w:type="dxa"/>
          </w:tcPr>
          <w:p w14:paraId="7AC973D2" w14:textId="77777777" w:rsidR="00E15AAC" w:rsidRPr="00F45378" w:rsidRDefault="00E15AAC" w:rsidP="00E15AAC">
            <w:pPr>
              <w:spacing w:after="160" w:line="278" w:lineRule="auto"/>
            </w:pPr>
            <w:r w:rsidRPr="00F45378">
              <w:t xml:space="preserve">Phase 1 </w:t>
            </w:r>
          </w:p>
        </w:tc>
        <w:tc>
          <w:tcPr>
            <w:tcW w:w="7603" w:type="dxa"/>
          </w:tcPr>
          <w:p w14:paraId="1D6D3993" w14:textId="1CEA0447" w:rsidR="00E15AAC" w:rsidRPr="00F45378" w:rsidRDefault="00E15AAC" w:rsidP="00E15AAC">
            <w:pPr>
              <w:spacing w:after="160" w:line="278" w:lineRule="auto"/>
              <w:cnfStyle w:val="000000100000" w:firstRow="0" w:lastRow="0" w:firstColumn="0" w:lastColumn="0" w:oddVBand="0" w:evenVBand="0" w:oddHBand="1" w:evenHBand="0" w:firstRowFirstColumn="0" w:firstRowLastColumn="0" w:lastRowFirstColumn="0" w:lastRowLastColumn="0"/>
            </w:pPr>
            <w:r w:rsidRPr="00F45378">
              <w:t>Introduction of</w:t>
            </w:r>
            <w:r w:rsidR="00DE79C8">
              <w:t xml:space="preserve"> </w:t>
            </w:r>
            <w:r w:rsidR="00DE79C8" w:rsidRPr="00DE79C8">
              <w:t>The Universities Accord (National Higher Education Code to Prevent and Respond to Gender-based Violence) Bill 2025</w:t>
            </w:r>
            <w:r w:rsidR="00DE79C8">
              <w:t xml:space="preserve"> (the Bill) into parliament</w:t>
            </w:r>
          </w:p>
        </w:tc>
      </w:tr>
      <w:tr w:rsidR="009406A8" w:rsidRPr="00F45378" w14:paraId="71C42C80" w14:textId="77777777" w:rsidTr="00797D7C">
        <w:trPr>
          <w:trHeight w:val="449"/>
        </w:trPr>
        <w:tc>
          <w:tcPr>
            <w:cnfStyle w:val="001000000000" w:firstRow="0" w:lastRow="0" w:firstColumn="1" w:lastColumn="0" w:oddVBand="0" w:evenVBand="0" w:oddHBand="0" w:evenHBand="0" w:firstRowFirstColumn="0" w:firstRowLastColumn="0" w:lastRowFirstColumn="0" w:lastRowLastColumn="0"/>
            <w:tcW w:w="1413" w:type="dxa"/>
          </w:tcPr>
          <w:p w14:paraId="0F292C2C" w14:textId="1F9CB7C4" w:rsidR="009406A8" w:rsidRPr="00F45378" w:rsidRDefault="009406A8" w:rsidP="00E15AAC">
            <w:r>
              <w:t>Phase 2</w:t>
            </w:r>
          </w:p>
        </w:tc>
        <w:tc>
          <w:tcPr>
            <w:tcW w:w="7603" w:type="dxa"/>
          </w:tcPr>
          <w:p w14:paraId="39905972" w14:textId="5E77A460" w:rsidR="009406A8" w:rsidRPr="00F45378" w:rsidRDefault="009406A8" w:rsidP="00E15AAC">
            <w:pPr>
              <w:cnfStyle w:val="000000000000" w:firstRow="0" w:lastRow="0" w:firstColumn="0" w:lastColumn="0" w:oddVBand="0" w:evenVBand="0" w:oddHBand="0" w:evenHBand="0" w:firstRowFirstColumn="0" w:firstRowLastColumn="0" w:lastRowFirstColumn="0" w:lastRowLastColumn="0"/>
            </w:pPr>
            <w:r>
              <w:t>Debate commences in parliament</w:t>
            </w:r>
          </w:p>
        </w:tc>
      </w:tr>
      <w:tr w:rsidR="00C410B8" w:rsidRPr="00F45378" w14:paraId="0E2E776C" w14:textId="77777777" w:rsidTr="00797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5C2BF70" w14:textId="1033B69C" w:rsidR="00E15AAC" w:rsidRPr="00F45378" w:rsidRDefault="00E15AAC" w:rsidP="00E15AAC">
            <w:pPr>
              <w:spacing w:after="160" w:line="278" w:lineRule="auto"/>
            </w:pPr>
            <w:r w:rsidRPr="00F45378">
              <w:t xml:space="preserve">Phase </w:t>
            </w:r>
            <w:r w:rsidR="006F610E">
              <w:t>3</w:t>
            </w:r>
          </w:p>
        </w:tc>
        <w:tc>
          <w:tcPr>
            <w:tcW w:w="7603" w:type="dxa"/>
          </w:tcPr>
          <w:p w14:paraId="7B37290B" w14:textId="5C184138" w:rsidR="00E15AAC" w:rsidRPr="00F45378" w:rsidRDefault="00FC2085" w:rsidP="00E15AAC">
            <w:pPr>
              <w:spacing w:after="160" w:line="278" w:lineRule="auto"/>
              <w:cnfStyle w:val="000000100000" w:firstRow="0" w:lastRow="0" w:firstColumn="0" w:lastColumn="0" w:oddVBand="0" w:evenVBand="0" w:oddHBand="1" w:evenHBand="0" w:firstRowFirstColumn="0" w:firstRowLastColumn="0" w:lastRowFirstColumn="0" w:lastRowLastColumn="0"/>
            </w:pPr>
            <w:r>
              <w:t>Successful</w:t>
            </w:r>
            <w:r w:rsidR="00616FB6">
              <w:t xml:space="preserve"> passage </w:t>
            </w:r>
            <w:r w:rsidR="00506375">
              <w:t xml:space="preserve">of the </w:t>
            </w:r>
            <w:r w:rsidR="00DE79C8">
              <w:t>Bill</w:t>
            </w:r>
            <w:r w:rsidR="009406A8">
              <w:t xml:space="preserve"> in parliament</w:t>
            </w:r>
          </w:p>
        </w:tc>
      </w:tr>
      <w:tr w:rsidR="00696FB5" w:rsidRPr="00F45378" w14:paraId="20727FF5" w14:textId="77777777" w:rsidTr="00797D7C">
        <w:tc>
          <w:tcPr>
            <w:cnfStyle w:val="001000000000" w:firstRow="0" w:lastRow="0" w:firstColumn="1" w:lastColumn="0" w:oddVBand="0" w:evenVBand="0" w:oddHBand="0" w:evenHBand="0" w:firstRowFirstColumn="0" w:firstRowLastColumn="0" w:lastRowFirstColumn="0" w:lastRowLastColumn="0"/>
            <w:tcW w:w="1413" w:type="dxa"/>
          </w:tcPr>
          <w:p w14:paraId="27A8176B" w14:textId="05E661E6" w:rsidR="00E15AAC" w:rsidRPr="00F45378" w:rsidRDefault="00E15AAC" w:rsidP="00E15AAC">
            <w:pPr>
              <w:spacing w:after="160" w:line="278" w:lineRule="auto"/>
            </w:pPr>
            <w:r w:rsidRPr="00F45378">
              <w:t xml:space="preserve">Phase </w:t>
            </w:r>
            <w:r w:rsidR="006F610E">
              <w:t>4</w:t>
            </w:r>
          </w:p>
        </w:tc>
        <w:tc>
          <w:tcPr>
            <w:tcW w:w="7603" w:type="dxa"/>
          </w:tcPr>
          <w:p w14:paraId="76972BA6" w14:textId="50719B73" w:rsidR="00E15AAC" w:rsidRPr="00F45378" w:rsidRDefault="00506375" w:rsidP="00E15AAC">
            <w:pPr>
              <w:spacing w:after="160" w:line="278" w:lineRule="auto"/>
              <w:cnfStyle w:val="000000000000" w:firstRow="0" w:lastRow="0" w:firstColumn="0" w:lastColumn="0" w:oddVBand="0" w:evenVBand="0" w:oddHBand="0" w:evenHBand="0" w:firstRowFirstColumn="0" w:firstRowLastColumn="0" w:lastRowFirstColumn="0" w:lastRowLastColumn="0"/>
            </w:pPr>
            <w:r>
              <w:t xml:space="preserve">Royal assent of </w:t>
            </w:r>
            <w:r w:rsidR="008F3ED3">
              <w:t>Bill</w:t>
            </w:r>
          </w:p>
        </w:tc>
      </w:tr>
      <w:tr w:rsidR="00C410B8" w:rsidRPr="00F45378" w14:paraId="1E3D9440" w14:textId="77777777" w:rsidTr="00797D7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 w:type="dxa"/>
          </w:tcPr>
          <w:p w14:paraId="63A3AF32" w14:textId="10D87AAE" w:rsidR="00E15AAC" w:rsidRPr="00F45378" w:rsidRDefault="00E15AAC" w:rsidP="00E15AAC">
            <w:pPr>
              <w:spacing w:after="160" w:line="278" w:lineRule="auto"/>
            </w:pPr>
            <w:r w:rsidRPr="00F45378">
              <w:t xml:space="preserve">Phase </w:t>
            </w:r>
            <w:r w:rsidR="006F610E">
              <w:t>5</w:t>
            </w:r>
          </w:p>
        </w:tc>
        <w:tc>
          <w:tcPr>
            <w:tcW w:w="7603" w:type="dxa"/>
          </w:tcPr>
          <w:p w14:paraId="1984FF29" w14:textId="1C6CB512" w:rsidR="00E15AAC" w:rsidRPr="00F45378" w:rsidRDefault="009406A8" w:rsidP="00E15AAC">
            <w:pPr>
              <w:spacing w:after="160" w:line="278" w:lineRule="auto"/>
              <w:cnfStyle w:val="000000100000" w:firstRow="0" w:lastRow="0" w:firstColumn="0" w:lastColumn="0" w:oddVBand="0" w:evenVBand="0" w:oddHBand="1" w:evenHBand="0" w:firstRowFirstColumn="0" w:firstRowLastColumn="0" w:lastRowFirstColumn="0" w:lastRowLastColumn="0"/>
            </w:pPr>
            <w:r>
              <w:t>The National Code instrument is registered</w:t>
            </w:r>
          </w:p>
        </w:tc>
      </w:tr>
    </w:tbl>
    <w:p w14:paraId="18360D9C" w14:textId="77777777" w:rsidR="00062511" w:rsidRDefault="00062511" w:rsidP="00062511"/>
    <w:p w14:paraId="181E9350" w14:textId="4A90B038" w:rsidR="00646E60" w:rsidRDefault="00646E60" w:rsidP="00646E60">
      <w:pPr>
        <w:pStyle w:val="Heading3"/>
      </w:pPr>
      <w:bookmarkStart w:id="237" w:name="_Toc204682647"/>
      <w:bookmarkStart w:id="238" w:name="_Toc204699907"/>
      <w:bookmarkStart w:id="239" w:name="_Toc204763358"/>
      <w:bookmarkStart w:id="240" w:name="_Toc204764926"/>
      <w:bookmarkStart w:id="241" w:name="_Toc205216938"/>
      <w:r>
        <w:t>Implementation Plan</w:t>
      </w:r>
      <w:bookmarkEnd w:id="237"/>
      <w:bookmarkEnd w:id="238"/>
      <w:bookmarkEnd w:id="239"/>
      <w:bookmarkEnd w:id="240"/>
      <w:bookmarkEnd w:id="241"/>
    </w:p>
    <w:p w14:paraId="23437905" w14:textId="217631F6" w:rsidR="0002071A" w:rsidRPr="00F45378" w:rsidRDefault="0002071A" w:rsidP="0002071A">
      <w:pPr>
        <w:rPr>
          <w:szCs w:val="22"/>
        </w:rPr>
      </w:pPr>
      <w:r w:rsidRPr="00F45378">
        <w:rPr>
          <w:szCs w:val="22"/>
        </w:rPr>
        <w:t>Assuming the successful passage of legislation, the department’s high-level implementation plan is as follows:</w:t>
      </w:r>
    </w:p>
    <w:tbl>
      <w:tblPr>
        <w:tblStyle w:val="GridTable4-Accent1"/>
        <w:tblW w:w="0" w:type="auto"/>
        <w:tblLook w:val="04A0" w:firstRow="1" w:lastRow="0" w:firstColumn="1" w:lastColumn="0" w:noHBand="0" w:noVBand="1"/>
      </w:tblPr>
      <w:tblGrid>
        <w:gridCol w:w="1129"/>
        <w:gridCol w:w="1418"/>
        <w:gridCol w:w="6469"/>
      </w:tblGrid>
      <w:tr w:rsidR="00797D7C" w:rsidRPr="00F45378" w14:paraId="2DFCBE15" w14:textId="77777777" w:rsidTr="008B36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Pr>
          <w:p w14:paraId="507BFF7D" w14:textId="5D716EFD" w:rsidR="00B670E3" w:rsidRPr="008B3677" w:rsidRDefault="00797D7C">
            <w:pPr>
              <w:spacing w:before="120" w:after="120"/>
              <w:rPr>
                <w:rFonts w:ascii="Aptos" w:hAnsi="Aptos" w:cs="Calibri"/>
              </w:rPr>
            </w:pPr>
            <w:r w:rsidRPr="008B3677">
              <w:rPr>
                <w:rFonts w:ascii="Aptos" w:hAnsi="Aptos" w:cs="Calibri"/>
              </w:rPr>
              <w:t>T</w:t>
            </w:r>
            <w:r w:rsidR="00B670E3" w:rsidRPr="008B3677">
              <w:rPr>
                <w:rFonts w:ascii="Aptos" w:hAnsi="Aptos" w:cs="Calibri"/>
              </w:rPr>
              <w:t>imeline</w:t>
            </w:r>
          </w:p>
        </w:tc>
        <w:tc>
          <w:tcPr>
            <w:tcW w:w="1418" w:type="dxa"/>
          </w:tcPr>
          <w:p w14:paraId="40053FD1" w14:textId="77777777" w:rsidR="00B670E3" w:rsidRPr="008B3677" w:rsidRDefault="00B670E3">
            <w:pPr>
              <w:spacing w:before="120" w:after="120"/>
              <w:cnfStyle w:val="100000000000" w:firstRow="1" w:lastRow="0" w:firstColumn="0" w:lastColumn="0" w:oddVBand="0" w:evenVBand="0" w:oddHBand="0" w:evenHBand="0" w:firstRowFirstColumn="0" w:firstRowLastColumn="0" w:lastRowFirstColumn="0" w:lastRowLastColumn="0"/>
              <w:rPr>
                <w:rFonts w:ascii="Aptos" w:hAnsi="Aptos" w:cs="Calibri"/>
              </w:rPr>
            </w:pPr>
            <w:r w:rsidRPr="008B3677">
              <w:rPr>
                <w:rFonts w:ascii="Aptos" w:hAnsi="Aptos" w:cs="Calibri"/>
              </w:rPr>
              <w:t>Date</w:t>
            </w:r>
          </w:p>
        </w:tc>
        <w:tc>
          <w:tcPr>
            <w:tcW w:w="6469" w:type="dxa"/>
          </w:tcPr>
          <w:p w14:paraId="246E13DD" w14:textId="77777777" w:rsidR="00B670E3" w:rsidRPr="008B3677" w:rsidRDefault="00B670E3">
            <w:pPr>
              <w:spacing w:before="120" w:after="120"/>
              <w:cnfStyle w:val="100000000000" w:firstRow="1" w:lastRow="0" w:firstColumn="0" w:lastColumn="0" w:oddVBand="0" w:evenVBand="0" w:oddHBand="0" w:evenHBand="0" w:firstRowFirstColumn="0" w:firstRowLastColumn="0" w:lastRowFirstColumn="0" w:lastRowLastColumn="0"/>
              <w:rPr>
                <w:rFonts w:ascii="Aptos" w:hAnsi="Aptos" w:cs="Calibri"/>
              </w:rPr>
            </w:pPr>
            <w:r w:rsidRPr="008B3677">
              <w:rPr>
                <w:rFonts w:ascii="Aptos" w:hAnsi="Aptos" w:cs="Calibri"/>
              </w:rPr>
              <w:t xml:space="preserve">Event </w:t>
            </w:r>
          </w:p>
        </w:tc>
      </w:tr>
      <w:tr w:rsidR="00797D7C" w:rsidRPr="00F45378" w14:paraId="72795618" w14:textId="77777777" w:rsidTr="00797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414F954" w14:textId="2563E4CB" w:rsidR="00B670E3" w:rsidRPr="00F45378" w:rsidRDefault="00B670E3">
            <w:pPr>
              <w:spacing w:before="120" w:after="120"/>
              <w:rPr>
                <w:rFonts w:ascii="Aptos" w:hAnsi="Aptos" w:cs="Calibri"/>
              </w:rPr>
            </w:pPr>
            <w:r w:rsidRPr="00F45378">
              <w:rPr>
                <w:rFonts w:ascii="Aptos" w:hAnsi="Aptos" w:cs="Calibri"/>
              </w:rPr>
              <w:t>Phase 1</w:t>
            </w:r>
          </w:p>
        </w:tc>
        <w:tc>
          <w:tcPr>
            <w:tcW w:w="1418" w:type="dxa"/>
          </w:tcPr>
          <w:p w14:paraId="43ADF337" w14:textId="7CBB6B51" w:rsidR="00B670E3" w:rsidRPr="00DD4830" w:rsidRDefault="00DB420F" w:rsidP="00DD4830">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Pr>
                <w:rFonts w:ascii="Aptos" w:hAnsi="Aptos" w:cs="Calibri"/>
              </w:rPr>
              <w:t xml:space="preserve">October </w:t>
            </w:r>
          </w:p>
        </w:tc>
        <w:tc>
          <w:tcPr>
            <w:tcW w:w="6469" w:type="dxa"/>
          </w:tcPr>
          <w:p w14:paraId="03586DCF" w14:textId="0F023431" w:rsidR="00B670E3" w:rsidRPr="00F45378" w:rsidRDefault="002F478E">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Pr>
                <w:rFonts w:ascii="Aptos" w:hAnsi="Aptos" w:cs="Calibri"/>
              </w:rPr>
              <w:t>The d</w:t>
            </w:r>
            <w:r w:rsidR="00B670E3" w:rsidRPr="00F45378">
              <w:rPr>
                <w:rFonts w:ascii="Aptos" w:hAnsi="Aptos" w:cs="Calibri"/>
              </w:rPr>
              <w:t>epartment publishes initial guidance material</w:t>
            </w:r>
          </w:p>
        </w:tc>
      </w:tr>
      <w:tr w:rsidR="00797D7C" w:rsidRPr="00F45378" w14:paraId="1EB4A49A" w14:textId="77777777" w:rsidTr="00797D7C">
        <w:tc>
          <w:tcPr>
            <w:cnfStyle w:val="001000000000" w:firstRow="0" w:lastRow="0" w:firstColumn="1" w:lastColumn="0" w:oddVBand="0" w:evenVBand="0" w:oddHBand="0" w:evenHBand="0" w:firstRowFirstColumn="0" w:firstRowLastColumn="0" w:lastRowFirstColumn="0" w:lastRowLastColumn="0"/>
            <w:tcW w:w="1129" w:type="dxa"/>
          </w:tcPr>
          <w:p w14:paraId="33E8C3E4" w14:textId="77777777" w:rsidR="00B670E3" w:rsidRPr="00F45378" w:rsidRDefault="00B670E3">
            <w:pPr>
              <w:spacing w:before="120" w:after="120"/>
              <w:rPr>
                <w:rFonts w:ascii="Aptos" w:hAnsi="Aptos" w:cs="Calibri"/>
              </w:rPr>
            </w:pPr>
            <w:r w:rsidRPr="00F45378">
              <w:rPr>
                <w:rFonts w:ascii="Aptos" w:hAnsi="Aptos" w:cs="Calibri"/>
              </w:rPr>
              <w:t>Phase 2</w:t>
            </w:r>
          </w:p>
        </w:tc>
        <w:tc>
          <w:tcPr>
            <w:tcW w:w="1418" w:type="dxa"/>
          </w:tcPr>
          <w:p w14:paraId="03AFCE55" w14:textId="77777777" w:rsidR="00B670E3" w:rsidRPr="00F45378" w:rsidRDefault="00B670E3">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sidRPr="00F45378">
              <w:rPr>
                <w:rFonts w:ascii="Aptos" w:hAnsi="Aptos" w:cs="Calibri"/>
              </w:rPr>
              <w:t>Ongoing</w:t>
            </w:r>
          </w:p>
        </w:tc>
        <w:tc>
          <w:tcPr>
            <w:tcW w:w="6469" w:type="dxa"/>
          </w:tcPr>
          <w:p w14:paraId="0A8B57D1" w14:textId="6D53D4E9" w:rsidR="00B670E3" w:rsidRPr="00F45378" w:rsidRDefault="00B670E3">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sidRPr="00F45378">
              <w:rPr>
                <w:rFonts w:ascii="Aptos" w:hAnsi="Aptos" w:cs="Calibri"/>
              </w:rPr>
              <w:t xml:space="preserve">Engagement with the Sector on </w:t>
            </w:r>
            <w:r w:rsidR="008743F1" w:rsidRPr="00F45378">
              <w:rPr>
                <w:rFonts w:ascii="Aptos" w:hAnsi="Aptos" w:cs="Calibri"/>
              </w:rPr>
              <w:t>National Code</w:t>
            </w:r>
            <w:r w:rsidRPr="00F45378">
              <w:rPr>
                <w:rFonts w:ascii="Aptos" w:hAnsi="Aptos" w:cs="Calibri"/>
              </w:rPr>
              <w:t xml:space="preserve"> </w:t>
            </w:r>
          </w:p>
        </w:tc>
      </w:tr>
      <w:tr w:rsidR="00797D7C" w:rsidRPr="00F45378" w14:paraId="39E3D074" w14:textId="77777777" w:rsidTr="00797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31B59DA" w14:textId="77777777" w:rsidR="00B670E3" w:rsidRPr="00F45378" w:rsidRDefault="00B670E3">
            <w:pPr>
              <w:spacing w:before="120" w:after="120"/>
              <w:rPr>
                <w:rFonts w:ascii="Aptos" w:hAnsi="Aptos" w:cs="Calibri"/>
              </w:rPr>
            </w:pPr>
            <w:r w:rsidRPr="00F45378">
              <w:rPr>
                <w:rFonts w:ascii="Aptos" w:hAnsi="Aptos" w:cs="Calibri"/>
              </w:rPr>
              <w:t>Phase 3</w:t>
            </w:r>
          </w:p>
        </w:tc>
        <w:tc>
          <w:tcPr>
            <w:tcW w:w="1418" w:type="dxa"/>
          </w:tcPr>
          <w:p w14:paraId="1B52B2A0" w14:textId="08C8C68B" w:rsidR="00B670E3" w:rsidRPr="00F45378" w:rsidRDefault="00B670E3">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sidRPr="00F45378">
              <w:rPr>
                <w:rFonts w:ascii="Aptos" w:hAnsi="Aptos" w:cs="Calibri"/>
              </w:rPr>
              <w:t xml:space="preserve">Once </w:t>
            </w:r>
            <w:r w:rsidR="008743F1" w:rsidRPr="00F45378">
              <w:rPr>
                <w:rFonts w:ascii="Aptos" w:hAnsi="Aptos" w:cs="Calibri"/>
              </w:rPr>
              <w:t>Code</w:t>
            </w:r>
            <w:r w:rsidRPr="00F45378">
              <w:rPr>
                <w:rFonts w:ascii="Aptos" w:hAnsi="Aptos" w:cs="Calibri"/>
              </w:rPr>
              <w:t xml:space="preserve"> is created </w:t>
            </w:r>
          </w:p>
        </w:tc>
        <w:tc>
          <w:tcPr>
            <w:tcW w:w="6469" w:type="dxa"/>
          </w:tcPr>
          <w:p w14:paraId="4E9B60F7" w14:textId="77777777" w:rsidR="00B670E3" w:rsidRPr="00F45378" w:rsidRDefault="00B670E3">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sidRPr="00F45378">
              <w:rPr>
                <w:rFonts w:ascii="Aptos" w:hAnsi="Aptos" w:cs="Calibri"/>
              </w:rPr>
              <w:t xml:space="preserve">Communication to Providers that the </w:t>
            </w:r>
            <w:r w:rsidR="008743F1" w:rsidRPr="00F45378">
              <w:rPr>
                <w:rFonts w:ascii="Aptos" w:hAnsi="Aptos" w:cs="Calibri"/>
              </w:rPr>
              <w:t>National Code</w:t>
            </w:r>
            <w:r w:rsidRPr="00F45378">
              <w:rPr>
                <w:rFonts w:ascii="Aptos" w:hAnsi="Aptos" w:cs="Calibri"/>
              </w:rPr>
              <w:t xml:space="preserve"> has been created </w:t>
            </w:r>
          </w:p>
        </w:tc>
      </w:tr>
      <w:tr w:rsidR="00797D7C" w:rsidRPr="00F45378" w14:paraId="361EB1C0" w14:textId="77777777" w:rsidTr="00797D7C">
        <w:tc>
          <w:tcPr>
            <w:cnfStyle w:val="001000000000" w:firstRow="0" w:lastRow="0" w:firstColumn="1" w:lastColumn="0" w:oddVBand="0" w:evenVBand="0" w:oddHBand="0" w:evenHBand="0" w:firstRowFirstColumn="0" w:firstRowLastColumn="0" w:lastRowFirstColumn="0" w:lastRowLastColumn="0"/>
            <w:tcW w:w="1129" w:type="dxa"/>
          </w:tcPr>
          <w:p w14:paraId="73C0BB1E" w14:textId="77777777" w:rsidR="00B670E3" w:rsidRPr="00F45378" w:rsidRDefault="00B670E3">
            <w:pPr>
              <w:spacing w:before="120" w:after="120"/>
              <w:rPr>
                <w:rFonts w:ascii="Aptos" w:hAnsi="Aptos" w:cs="Calibri"/>
              </w:rPr>
            </w:pPr>
            <w:r w:rsidRPr="00F45378">
              <w:rPr>
                <w:rFonts w:ascii="Aptos" w:hAnsi="Aptos" w:cs="Calibri"/>
              </w:rPr>
              <w:t>Phase 4</w:t>
            </w:r>
          </w:p>
        </w:tc>
        <w:tc>
          <w:tcPr>
            <w:tcW w:w="1418" w:type="dxa"/>
          </w:tcPr>
          <w:p w14:paraId="43D76AF4" w14:textId="2A5C4AC1" w:rsidR="00B670E3" w:rsidRPr="00DD4830" w:rsidRDefault="00C75942" w:rsidP="00DD4830">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Pr>
                <w:rFonts w:ascii="Aptos" w:hAnsi="Aptos" w:cs="Calibri"/>
              </w:rPr>
              <w:t>Ongoing</w:t>
            </w:r>
          </w:p>
        </w:tc>
        <w:tc>
          <w:tcPr>
            <w:tcW w:w="6469" w:type="dxa"/>
          </w:tcPr>
          <w:p w14:paraId="3A2EF2A0" w14:textId="5AB99AAD" w:rsidR="00B670E3" w:rsidRPr="00F45378" w:rsidRDefault="00B670E3">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sidRPr="00F45378">
              <w:rPr>
                <w:rFonts w:ascii="Aptos" w:hAnsi="Aptos" w:cs="Calibri"/>
              </w:rPr>
              <w:t xml:space="preserve">The </w:t>
            </w:r>
            <w:r w:rsidR="002F478E">
              <w:rPr>
                <w:rFonts w:ascii="Aptos" w:hAnsi="Aptos" w:cs="Calibri"/>
              </w:rPr>
              <w:t>d</w:t>
            </w:r>
            <w:r w:rsidRPr="00F45378">
              <w:rPr>
                <w:rFonts w:ascii="Aptos" w:hAnsi="Aptos" w:cs="Calibri"/>
              </w:rPr>
              <w:t xml:space="preserve">epartment publishes </w:t>
            </w:r>
            <w:r w:rsidR="00DF37CD">
              <w:rPr>
                <w:rFonts w:ascii="Aptos" w:hAnsi="Aptos" w:cs="Calibri"/>
              </w:rPr>
              <w:t xml:space="preserve">regulatory </w:t>
            </w:r>
            <w:r w:rsidRPr="00F45378">
              <w:rPr>
                <w:rFonts w:ascii="Aptos" w:hAnsi="Aptos" w:cs="Calibri"/>
              </w:rPr>
              <w:t>guidance material</w:t>
            </w:r>
            <w:r w:rsidR="00FB4F16">
              <w:rPr>
                <w:rFonts w:ascii="Aptos" w:hAnsi="Aptos" w:cs="Calibri"/>
              </w:rPr>
              <w:t xml:space="preserve"> as required</w:t>
            </w:r>
            <w:r w:rsidR="00F276F2">
              <w:rPr>
                <w:rFonts w:ascii="Aptos" w:hAnsi="Aptos" w:cs="Calibri"/>
              </w:rPr>
              <w:t>.</w:t>
            </w:r>
          </w:p>
        </w:tc>
      </w:tr>
      <w:tr w:rsidR="00797D7C" w:rsidRPr="00F45378" w14:paraId="57D2A534" w14:textId="77777777" w:rsidTr="00797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295F37B" w14:textId="044D0D60" w:rsidR="00B670E3" w:rsidRPr="00F45378" w:rsidRDefault="00B670E3">
            <w:pPr>
              <w:spacing w:before="120" w:after="120"/>
              <w:rPr>
                <w:rFonts w:ascii="Aptos" w:hAnsi="Aptos" w:cs="Calibri"/>
              </w:rPr>
            </w:pPr>
            <w:r w:rsidRPr="00F45378">
              <w:rPr>
                <w:rFonts w:ascii="Aptos" w:hAnsi="Aptos" w:cs="Calibri"/>
              </w:rPr>
              <w:t>Phase 5</w:t>
            </w:r>
          </w:p>
        </w:tc>
        <w:tc>
          <w:tcPr>
            <w:tcW w:w="1418" w:type="dxa"/>
          </w:tcPr>
          <w:p w14:paraId="5DAAA2A1" w14:textId="77777777" w:rsidR="00B670E3" w:rsidRPr="00F45378" w:rsidRDefault="00B670E3">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sidRPr="00F45378">
              <w:rPr>
                <w:rFonts w:ascii="Aptos" w:hAnsi="Aptos" w:cs="Calibri"/>
              </w:rPr>
              <w:t xml:space="preserve">1 Jan 2026 </w:t>
            </w:r>
          </w:p>
        </w:tc>
        <w:tc>
          <w:tcPr>
            <w:tcW w:w="6469" w:type="dxa"/>
          </w:tcPr>
          <w:p w14:paraId="762DD85F" w14:textId="6C9BEC0A" w:rsidR="00B670E3" w:rsidRPr="00F45378" w:rsidRDefault="00B670E3">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sidRPr="00F45378">
              <w:rPr>
                <w:rFonts w:ascii="Aptos" w:hAnsi="Aptos" w:cs="Calibri"/>
              </w:rPr>
              <w:t xml:space="preserve">Compliance with the </w:t>
            </w:r>
            <w:r w:rsidR="008743F1" w:rsidRPr="00F45378">
              <w:rPr>
                <w:rFonts w:ascii="Aptos" w:hAnsi="Aptos" w:cs="Calibri"/>
              </w:rPr>
              <w:t>National Code</w:t>
            </w:r>
            <w:r w:rsidRPr="00F45378">
              <w:rPr>
                <w:rFonts w:ascii="Aptos" w:hAnsi="Aptos" w:cs="Calibri"/>
              </w:rPr>
              <w:t xml:space="preserve"> for </w:t>
            </w:r>
            <w:r w:rsidR="00C75942">
              <w:rPr>
                <w:rFonts w:ascii="Aptos" w:hAnsi="Aptos" w:cs="Calibri"/>
              </w:rPr>
              <w:t>Table A</w:t>
            </w:r>
            <w:r w:rsidR="00144BEB">
              <w:rPr>
                <w:rFonts w:ascii="Aptos" w:hAnsi="Aptos" w:cs="Calibri"/>
              </w:rPr>
              <w:t xml:space="preserve"> &amp; B</w:t>
            </w:r>
            <w:r w:rsidR="00C75942">
              <w:rPr>
                <w:rFonts w:ascii="Aptos" w:hAnsi="Aptos" w:cs="Calibri"/>
              </w:rPr>
              <w:t xml:space="preserve"> Providers</w:t>
            </w:r>
            <w:r w:rsidR="00F276F2">
              <w:rPr>
                <w:rFonts w:ascii="Aptos" w:hAnsi="Aptos" w:cs="Calibri"/>
              </w:rPr>
              <w:t>.</w:t>
            </w:r>
          </w:p>
        </w:tc>
      </w:tr>
      <w:tr w:rsidR="00797D7C" w:rsidRPr="00F45378" w14:paraId="3B8A035D" w14:textId="77777777" w:rsidTr="00797D7C">
        <w:trPr>
          <w:trHeight w:val="399"/>
        </w:trPr>
        <w:tc>
          <w:tcPr>
            <w:cnfStyle w:val="001000000000" w:firstRow="0" w:lastRow="0" w:firstColumn="1" w:lastColumn="0" w:oddVBand="0" w:evenVBand="0" w:oddHBand="0" w:evenHBand="0" w:firstRowFirstColumn="0" w:firstRowLastColumn="0" w:lastRowFirstColumn="0" w:lastRowLastColumn="0"/>
            <w:tcW w:w="1129" w:type="dxa"/>
          </w:tcPr>
          <w:p w14:paraId="28D58CCB" w14:textId="62ED258E" w:rsidR="00B670E3" w:rsidRPr="00F45378" w:rsidRDefault="00B670E3">
            <w:pPr>
              <w:spacing w:before="120" w:after="120"/>
              <w:rPr>
                <w:rFonts w:ascii="Aptos" w:hAnsi="Aptos" w:cs="Calibri"/>
              </w:rPr>
            </w:pPr>
            <w:r w:rsidRPr="00F45378">
              <w:rPr>
                <w:rFonts w:ascii="Aptos" w:hAnsi="Aptos" w:cs="Calibri"/>
              </w:rPr>
              <w:t xml:space="preserve">Phase </w:t>
            </w:r>
            <w:r w:rsidR="00383291">
              <w:rPr>
                <w:rFonts w:ascii="Aptos" w:hAnsi="Aptos" w:cs="Calibri"/>
              </w:rPr>
              <w:t>6</w:t>
            </w:r>
          </w:p>
        </w:tc>
        <w:tc>
          <w:tcPr>
            <w:tcW w:w="1418" w:type="dxa"/>
          </w:tcPr>
          <w:p w14:paraId="2386FE25" w14:textId="77777777" w:rsidR="00B670E3" w:rsidRPr="00F45378" w:rsidRDefault="00B670E3">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sidRPr="00F45378">
              <w:rPr>
                <w:rFonts w:ascii="Aptos" w:hAnsi="Aptos" w:cs="Calibri"/>
              </w:rPr>
              <w:t>1 Jan 2027</w:t>
            </w:r>
          </w:p>
        </w:tc>
        <w:tc>
          <w:tcPr>
            <w:tcW w:w="6469" w:type="dxa"/>
          </w:tcPr>
          <w:p w14:paraId="0CD0A657" w14:textId="5E29D3BE" w:rsidR="00B670E3" w:rsidRPr="00F45378" w:rsidRDefault="00B670E3">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sidRPr="00F45378">
              <w:rPr>
                <w:rFonts w:ascii="Aptos" w:hAnsi="Aptos" w:cs="Calibri"/>
              </w:rPr>
              <w:t xml:space="preserve">Compliance with the </w:t>
            </w:r>
            <w:r w:rsidR="008743F1" w:rsidRPr="00F45378">
              <w:rPr>
                <w:rFonts w:ascii="Aptos" w:hAnsi="Aptos" w:cs="Calibri"/>
              </w:rPr>
              <w:t>National Code</w:t>
            </w:r>
            <w:r w:rsidRPr="00F45378">
              <w:rPr>
                <w:rFonts w:ascii="Aptos" w:hAnsi="Aptos" w:cs="Calibri"/>
              </w:rPr>
              <w:t xml:space="preserve"> for </w:t>
            </w:r>
            <w:r w:rsidR="006D59DF">
              <w:rPr>
                <w:rFonts w:ascii="Aptos" w:hAnsi="Aptos" w:cs="Calibri"/>
              </w:rPr>
              <w:t>all other Providers commences</w:t>
            </w:r>
            <w:r w:rsidR="00F276F2">
              <w:rPr>
                <w:rFonts w:ascii="Aptos" w:hAnsi="Aptos" w:cs="Calibri"/>
              </w:rPr>
              <w:t>.</w:t>
            </w:r>
          </w:p>
        </w:tc>
      </w:tr>
      <w:tr w:rsidR="00797D7C" w:rsidRPr="00F45378" w14:paraId="00E626D7" w14:textId="77777777" w:rsidTr="00797D7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129" w:type="dxa"/>
          </w:tcPr>
          <w:p w14:paraId="38AFE39F" w14:textId="0CD50963" w:rsidR="00B670E3" w:rsidRPr="00F45378" w:rsidRDefault="00B670E3">
            <w:pPr>
              <w:spacing w:before="120" w:after="120"/>
              <w:rPr>
                <w:rFonts w:ascii="Aptos" w:hAnsi="Aptos" w:cs="Calibri"/>
              </w:rPr>
            </w:pPr>
            <w:r w:rsidRPr="00F45378">
              <w:rPr>
                <w:rFonts w:ascii="Aptos" w:hAnsi="Aptos" w:cs="Calibri"/>
              </w:rPr>
              <w:t xml:space="preserve">Phase </w:t>
            </w:r>
            <w:r w:rsidR="00383291">
              <w:rPr>
                <w:rFonts w:ascii="Aptos" w:hAnsi="Aptos" w:cs="Calibri"/>
              </w:rPr>
              <w:t>7</w:t>
            </w:r>
          </w:p>
        </w:tc>
        <w:tc>
          <w:tcPr>
            <w:tcW w:w="1418" w:type="dxa"/>
          </w:tcPr>
          <w:p w14:paraId="4EBC26A0" w14:textId="77777777" w:rsidR="00B670E3" w:rsidRPr="00F45378" w:rsidRDefault="00B670E3">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sidRPr="00F45378">
              <w:rPr>
                <w:rFonts w:ascii="Aptos" w:hAnsi="Aptos" w:cs="Calibri"/>
              </w:rPr>
              <w:t>30 June 2027</w:t>
            </w:r>
          </w:p>
        </w:tc>
        <w:tc>
          <w:tcPr>
            <w:tcW w:w="6469" w:type="dxa"/>
          </w:tcPr>
          <w:p w14:paraId="23229621" w14:textId="394F788C" w:rsidR="00B670E3" w:rsidRPr="00F45378" w:rsidRDefault="008367DB">
            <w:pPr>
              <w:spacing w:before="120" w:after="120"/>
              <w:cnfStyle w:val="000000100000" w:firstRow="0" w:lastRow="0" w:firstColumn="0" w:lastColumn="0" w:oddVBand="0" w:evenVBand="0" w:oddHBand="1" w:evenHBand="0" w:firstRowFirstColumn="0" w:firstRowLastColumn="0" w:lastRowFirstColumn="0" w:lastRowLastColumn="0"/>
              <w:rPr>
                <w:rFonts w:ascii="Aptos" w:hAnsi="Aptos" w:cs="Calibri"/>
              </w:rPr>
            </w:pPr>
            <w:r w:rsidRPr="00F45378">
              <w:rPr>
                <w:rFonts w:ascii="Aptos" w:hAnsi="Aptos" w:cs="Calibri"/>
              </w:rPr>
              <w:t xml:space="preserve">Annual data reporting for </w:t>
            </w:r>
            <w:r>
              <w:rPr>
                <w:rFonts w:ascii="Aptos" w:hAnsi="Aptos" w:cs="Calibri"/>
              </w:rPr>
              <w:t xml:space="preserve">Table A &amp; B Providers </w:t>
            </w:r>
            <w:r w:rsidRPr="00F45378">
              <w:rPr>
                <w:rFonts w:ascii="Aptos" w:hAnsi="Aptos" w:cs="Calibri"/>
              </w:rPr>
              <w:t>commences</w:t>
            </w:r>
            <w:r>
              <w:rPr>
                <w:rFonts w:ascii="Aptos" w:hAnsi="Aptos" w:cs="Calibri"/>
              </w:rPr>
              <w:t>.</w:t>
            </w:r>
          </w:p>
        </w:tc>
      </w:tr>
      <w:tr w:rsidR="00797D7C" w:rsidRPr="00F45378" w14:paraId="08D092B4" w14:textId="77777777" w:rsidTr="00797D7C">
        <w:trPr>
          <w:trHeight w:val="399"/>
        </w:trPr>
        <w:tc>
          <w:tcPr>
            <w:cnfStyle w:val="001000000000" w:firstRow="0" w:lastRow="0" w:firstColumn="1" w:lastColumn="0" w:oddVBand="0" w:evenVBand="0" w:oddHBand="0" w:evenHBand="0" w:firstRowFirstColumn="0" w:firstRowLastColumn="0" w:lastRowFirstColumn="0" w:lastRowLastColumn="0"/>
            <w:tcW w:w="1129" w:type="dxa"/>
          </w:tcPr>
          <w:p w14:paraId="2657C936" w14:textId="1AF283AA" w:rsidR="0071347A" w:rsidRPr="00F45378" w:rsidRDefault="00383291">
            <w:pPr>
              <w:spacing w:before="120" w:after="120"/>
              <w:rPr>
                <w:rFonts w:ascii="Aptos" w:hAnsi="Aptos" w:cs="Calibri"/>
              </w:rPr>
            </w:pPr>
            <w:r>
              <w:rPr>
                <w:rFonts w:ascii="Aptos" w:hAnsi="Aptos" w:cs="Calibri"/>
              </w:rPr>
              <w:t>Phase 8</w:t>
            </w:r>
          </w:p>
        </w:tc>
        <w:tc>
          <w:tcPr>
            <w:tcW w:w="1418" w:type="dxa"/>
          </w:tcPr>
          <w:p w14:paraId="10CEE6B9" w14:textId="2A3E7F44" w:rsidR="0071347A" w:rsidRPr="00F45378" w:rsidRDefault="007E315B">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Pr>
                <w:rFonts w:ascii="Aptos" w:hAnsi="Aptos" w:cs="Calibri"/>
              </w:rPr>
              <w:t>30 June 2028</w:t>
            </w:r>
          </w:p>
        </w:tc>
        <w:tc>
          <w:tcPr>
            <w:tcW w:w="6469" w:type="dxa"/>
          </w:tcPr>
          <w:p w14:paraId="6C761355" w14:textId="17CA5DB9" w:rsidR="0071347A" w:rsidRPr="00F45378" w:rsidRDefault="007E315B">
            <w:pPr>
              <w:spacing w:before="120" w:after="120"/>
              <w:cnfStyle w:val="000000000000" w:firstRow="0" w:lastRow="0" w:firstColumn="0" w:lastColumn="0" w:oddVBand="0" w:evenVBand="0" w:oddHBand="0" w:evenHBand="0" w:firstRowFirstColumn="0" w:firstRowLastColumn="0" w:lastRowFirstColumn="0" w:lastRowLastColumn="0"/>
              <w:rPr>
                <w:rFonts w:ascii="Aptos" w:hAnsi="Aptos" w:cs="Calibri"/>
              </w:rPr>
            </w:pPr>
            <w:r w:rsidRPr="00F45378">
              <w:rPr>
                <w:rFonts w:ascii="Aptos" w:hAnsi="Aptos" w:cs="Calibri"/>
              </w:rPr>
              <w:t>Annual data reporting fo</w:t>
            </w:r>
            <w:r>
              <w:rPr>
                <w:rFonts w:ascii="Aptos" w:hAnsi="Aptos" w:cs="Calibri"/>
              </w:rPr>
              <w:t>r all other providers commences.</w:t>
            </w:r>
          </w:p>
        </w:tc>
      </w:tr>
    </w:tbl>
    <w:p w14:paraId="4940E2B1" w14:textId="77777777" w:rsidR="00797D7C" w:rsidRPr="00797D7C" w:rsidRDefault="00797D7C" w:rsidP="00797D7C">
      <w:pPr>
        <w:pStyle w:val="Heading3"/>
        <w:numPr>
          <w:ilvl w:val="0"/>
          <w:numId w:val="0"/>
        </w:numPr>
        <w:rPr>
          <w:sz w:val="2"/>
          <w:szCs w:val="2"/>
        </w:rPr>
      </w:pPr>
      <w:bookmarkStart w:id="242" w:name="_Toc204682648"/>
      <w:bookmarkStart w:id="243" w:name="_Toc204699908"/>
      <w:bookmarkStart w:id="244" w:name="_Toc204763359"/>
      <w:bookmarkStart w:id="245" w:name="_Toc204764927"/>
      <w:bookmarkStart w:id="246" w:name="_Toc205216939"/>
    </w:p>
    <w:p w14:paraId="3896F1F1" w14:textId="745703FC" w:rsidR="00236793" w:rsidRPr="00DD4830" w:rsidRDefault="00F23943" w:rsidP="009E1D14">
      <w:pPr>
        <w:pStyle w:val="Heading3"/>
      </w:pPr>
      <w:r w:rsidRPr="00DD4830">
        <w:t xml:space="preserve">Establishment of the </w:t>
      </w:r>
      <w:bookmarkEnd w:id="242"/>
      <w:bookmarkEnd w:id="243"/>
      <w:bookmarkEnd w:id="244"/>
      <w:bookmarkEnd w:id="245"/>
      <w:r w:rsidR="00C0297F" w:rsidRPr="00DD4830">
        <w:t>s</w:t>
      </w:r>
      <w:r w:rsidR="00FF2C64" w:rsidRPr="00DD4830">
        <w:t>pecialist GBV Reform Branch</w:t>
      </w:r>
      <w:bookmarkEnd w:id="246"/>
      <w:r w:rsidRPr="00DD4830">
        <w:t xml:space="preserve"> </w:t>
      </w:r>
    </w:p>
    <w:p w14:paraId="1DB65E5D" w14:textId="3D2A0F43" w:rsidR="00CC18E0" w:rsidRPr="00A12A95" w:rsidRDefault="00CC18E0" w:rsidP="00CC18E0">
      <w:pPr>
        <w:spacing w:before="120" w:after="120" w:line="240" w:lineRule="auto"/>
        <w:rPr>
          <w:rFonts w:ascii="Aptos" w:hAnsi="Aptos" w:cs="Calibri"/>
          <w:szCs w:val="22"/>
        </w:rPr>
      </w:pPr>
      <w:r w:rsidRPr="00A12A95">
        <w:rPr>
          <w:rFonts w:ascii="Aptos" w:hAnsi="Aptos" w:cs="Calibri"/>
          <w:szCs w:val="22"/>
        </w:rPr>
        <w:t xml:space="preserve">To ensure effective implementation of the </w:t>
      </w:r>
      <w:r w:rsidR="008743F1" w:rsidRPr="00A12A95">
        <w:rPr>
          <w:rFonts w:ascii="Aptos" w:hAnsi="Aptos" w:cs="Calibri"/>
          <w:szCs w:val="22"/>
        </w:rPr>
        <w:t>National Code</w:t>
      </w:r>
      <w:r w:rsidRPr="00A12A95">
        <w:rPr>
          <w:rFonts w:ascii="Aptos" w:hAnsi="Aptos" w:cs="Calibri"/>
          <w:szCs w:val="22"/>
        </w:rPr>
        <w:t xml:space="preserve">, a dedicated </w:t>
      </w:r>
      <w:r w:rsidR="009A29A7" w:rsidRPr="00751D7E">
        <w:rPr>
          <w:rFonts w:ascii="Aptos" w:hAnsi="Aptos" w:cs="Calibri"/>
          <w:szCs w:val="22"/>
        </w:rPr>
        <w:t>g</w:t>
      </w:r>
      <w:r w:rsidR="009A29A7" w:rsidRPr="00A12A95">
        <w:rPr>
          <w:rFonts w:ascii="Aptos" w:hAnsi="Aptos" w:cs="Calibri"/>
          <w:szCs w:val="22"/>
        </w:rPr>
        <w:t>ender-</w:t>
      </w:r>
      <w:r w:rsidR="009A29A7" w:rsidRPr="00751D7E">
        <w:rPr>
          <w:rFonts w:ascii="Aptos" w:hAnsi="Aptos" w:cs="Calibri"/>
          <w:szCs w:val="22"/>
        </w:rPr>
        <w:t>b</w:t>
      </w:r>
      <w:r w:rsidR="009A29A7" w:rsidRPr="00A12A95">
        <w:rPr>
          <w:rFonts w:ascii="Aptos" w:hAnsi="Aptos" w:cs="Calibri"/>
          <w:szCs w:val="22"/>
        </w:rPr>
        <w:t xml:space="preserve">ased </w:t>
      </w:r>
      <w:r w:rsidR="009A29A7" w:rsidRPr="00751D7E">
        <w:rPr>
          <w:rFonts w:ascii="Aptos" w:hAnsi="Aptos" w:cs="Calibri"/>
          <w:szCs w:val="22"/>
        </w:rPr>
        <w:t>v</w:t>
      </w:r>
      <w:r w:rsidR="009A29A7" w:rsidRPr="00A12A95">
        <w:rPr>
          <w:rFonts w:ascii="Aptos" w:hAnsi="Aptos" w:cs="Calibri"/>
          <w:szCs w:val="22"/>
        </w:rPr>
        <w:t xml:space="preserve">iolence </w:t>
      </w:r>
      <w:r w:rsidR="009A29A7" w:rsidRPr="00751D7E">
        <w:rPr>
          <w:rFonts w:ascii="Aptos" w:hAnsi="Aptos" w:cs="Calibri"/>
          <w:szCs w:val="22"/>
        </w:rPr>
        <w:t>r</w:t>
      </w:r>
      <w:r w:rsidR="009A29A7" w:rsidRPr="00A12A95">
        <w:rPr>
          <w:rFonts w:ascii="Aptos" w:hAnsi="Aptos" w:cs="Calibri"/>
          <w:szCs w:val="22"/>
        </w:rPr>
        <w:t xml:space="preserve">eform </w:t>
      </w:r>
      <w:r w:rsidR="009A29A7" w:rsidRPr="00751D7E">
        <w:rPr>
          <w:rFonts w:ascii="Aptos" w:hAnsi="Aptos" w:cs="Calibri"/>
          <w:szCs w:val="22"/>
        </w:rPr>
        <w:t>b</w:t>
      </w:r>
      <w:r w:rsidR="009A29A7" w:rsidRPr="00A12A95">
        <w:rPr>
          <w:rFonts w:ascii="Aptos" w:hAnsi="Aptos" w:cs="Calibri"/>
          <w:szCs w:val="22"/>
        </w:rPr>
        <w:t xml:space="preserve">ranch </w:t>
      </w:r>
      <w:r w:rsidRPr="00A12A95">
        <w:rPr>
          <w:rFonts w:ascii="Aptos" w:hAnsi="Aptos" w:cs="Calibri"/>
          <w:szCs w:val="22"/>
        </w:rPr>
        <w:t xml:space="preserve">will be established within the department. At a high level, the </w:t>
      </w:r>
      <w:r w:rsidR="00C807BA" w:rsidRPr="00A12A95">
        <w:rPr>
          <w:rFonts w:ascii="Aptos" w:hAnsi="Aptos" w:cs="Calibri"/>
          <w:szCs w:val="22"/>
        </w:rPr>
        <w:t>branch’s</w:t>
      </w:r>
      <w:r w:rsidRPr="00A12A95">
        <w:rPr>
          <w:rFonts w:ascii="Aptos" w:hAnsi="Aptos" w:cs="Calibri"/>
          <w:szCs w:val="22"/>
        </w:rPr>
        <w:t xml:space="preserve"> core functions will include: </w:t>
      </w:r>
    </w:p>
    <w:p w14:paraId="784EC583" w14:textId="11984187" w:rsidR="00CC18E0" w:rsidRPr="00A12A95" w:rsidRDefault="009E1D14" w:rsidP="00DD4830">
      <w:pPr>
        <w:numPr>
          <w:ilvl w:val="0"/>
          <w:numId w:val="101"/>
        </w:numPr>
        <w:spacing w:before="120" w:after="0" w:line="240" w:lineRule="auto"/>
        <w:ind w:left="426"/>
        <w:rPr>
          <w:rFonts w:ascii="Aptos" w:hAnsi="Aptos" w:cs="Calibri"/>
          <w:szCs w:val="22"/>
        </w:rPr>
      </w:pPr>
      <w:r w:rsidRPr="00A12A95">
        <w:rPr>
          <w:rFonts w:ascii="Aptos" w:hAnsi="Aptos" w:cs="Calibri"/>
          <w:szCs w:val="22"/>
        </w:rPr>
        <w:t>B</w:t>
      </w:r>
      <w:r w:rsidR="00CC18E0" w:rsidRPr="00A12A95">
        <w:rPr>
          <w:rFonts w:ascii="Aptos" w:hAnsi="Aptos" w:cs="Calibri"/>
          <w:szCs w:val="22"/>
        </w:rPr>
        <w:t xml:space="preserve">uilding capability across the higher education sector to support effective implementation of the </w:t>
      </w:r>
      <w:r w:rsidR="008743F1" w:rsidRPr="00A12A95">
        <w:rPr>
          <w:rFonts w:ascii="Aptos" w:hAnsi="Aptos" w:cs="Calibri"/>
          <w:szCs w:val="22"/>
        </w:rPr>
        <w:t>National Code</w:t>
      </w:r>
    </w:p>
    <w:p w14:paraId="00FC277B" w14:textId="7C0654E5" w:rsidR="00CC18E0" w:rsidRPr="007562D8" w:rsidRDefault="009E1D14" w:rsidP="00DD4830">
      <w:pPr>
        <w:numPr>
          <w:ilvl w:val="0"/>
          <w:numId w:val="101"/>
        </w:numPr>
        <w:spacing w:after="0" w:line="240" w:lineRule="auto"/>
        <w:ind w:left="426"/>
        <w:rPr>
          <w:rFonts w:ascii="Aptos" w:hAnsi="Aptos" w:cs="Calibri"/>
          <w:szCs w:val="22"/>
        </w:rPr>
      </w:pPr>
      <w:r w:rsidRPr="007562D8">
        <w:rPr>
          <w:rFonts w:ascii="Aptos" w:hAnsi="Aptos" w:cs="Calibri"/>
          <w:szCs w:val="22"/>
        </w:rPr>
        <w:t>F</w:t>
      </w:r>
      <w:r w:rsidR="00CC18E0" w:rsidRPr="007562D8">
        <w:rPr>
          <w:rFonts w:ascii="Aptos" w:hAnsi="Aptos" w:cs="Calibri"/>
          <w:szCs w:val="22"/>
        </w:rPr>
        <w:t xml:space="preserve">ostering a culture of continuous improvement, encouraging providers to go beyond minimum standards and embed leading practice responses to </w:t>
      </w:r>
      <w:r w:rsidR="00B7771B" w:rsidRPr="007562D8">
        <w:rPr>
          <w:rFonts w:ascii="Aptos" w:hAnsi="Aptos" w:cs="Calibri"/>
          <w:szCs w:val="22"/>
        </w:rPr>
        <w:t>GBV</w:t>
      </w:r>
    </w:p>
    <w:p w14:paraId="64835AF2" w14:textId="77777777" w:rsidR="00CC18E0" w:rsidRPr="00F45378" w:rsidRDefault="00CC18E0" w:rsidP="00DD4830">
      <w:pPr>
        <w:numPr>
          <w:ilvl w:val="0"/>
          <w:numId w:val="101"/>
        </w:numPr>
        <w:spacing w:after="0" w:line="240" w:lineRule="auto"/>
        <w:ind w:left="426"/>
        <w:rPr>
          <w:rFonts w:ascii="Aptos" w:hAnsi="Aptos" w:cs="Calibri"/>
          <w:szCs w:val="22"/>
        </w:rPr>
      </w:pPr>
      <w:r w:rsidRPr="00F45378">
        <w:rPr>
          <w:rFonts w:ascii="Aptos" w:hAnsi="Aptos" w:cs="Calibri"/>
          <w:szCs w:val="22"/>
        </w:rPr>
        <w:t xml:space="preserve">Collaborating closely with TEQSA and the National Student Ombudsman to ensure a coordinated and responsive regulatory approach, particularly in addressing non-compliance or identifying systemic risks </w:t>
      </w:r>
    </w:p>
    <w:p w14:paraId="1E44D7C6" w14:textId="77777777" w:rsidR="00CC18E0" w:rsidRPr="00F45378" w:rsidRDefault="00CC18E0" w:rsidP="00DD4830">
      <w:pPr>
        <w:numPr>
          <w:ilvl w:val="0"/>
          <w:numId w:val="101"/>
        </w:numPr>
        <w:spacing w:after="0" w:line="240" w:lineRule="auto"/>
        <w:ind w:left="426"/>
        <w:rPr>
          <w:rFonts w:ascii="Aptos" w:hAnsi="Aptos" w:cs="Calibri"/>
          <w:szCs w:val="22"/>
        </w:rPr>
      </w:pPr>
      <w:r w:rsidRPr="00F45378">
        <w:rPr>
          <w:rFonts w:ascii="Aptos" w:hAnsi="Aptos" w:cs="Calibri"/>
          <w:szCs w:val="22"/>
        </w:rPr>
        <w:t>Conducting compliance and enforcement activities, including investigations, audits and the application of proportionate penalties</w:t>
      </w:r>
    </w:p>
    <w:p w14:paraId="52168E69" w14:textId="77777777" w:rsidR="00CC18E0" w:rsidRPr="00F45378" w:rsidRDefault="00CC18E0" w:rsidP="00DD4830">
      <w:pPr>
        <w:numPr>
          <w:ilvl w:val="0"/>
          <w:numId w:val="101"/>
        </w:numPr>
        <w:spacing w:after="0" w:line="240" w:lineRule="auto"/>
        <w:ind w:left="426"/>
        <w:rPr>
          <w:rFonts w:ascii="Aptos" w:hAnsi="Aptos" w:cs="Calibri"/>
          <w:szCs w:val="22"/>
        </w:rPr>
      </w:pPr>
      <w:r w:rsidRPr="00F45378">
        <w:rPr>
          <w:rFonts w:ascii="Aptos" w:hAnsi="Aptos" w:cs="Calibri"/>
          <w:szCs w:val="22"/>
        </w:rPr>
        <w:t>Collecting, analysing and monitoring data to inform regulatory action, identify trends, and support ongoing policy development</w:t>
      </w:r>
    </w:p>
    <w:p w14:paraId="3A94641F" w14:textId="6331232F" w:rsidR="007562D8" w:rsidRPr="00F45378" w:rsidRDefault="009E1D14" w:rsidP="00DD4830">
      <w:pPr>
        <w:numPr>
          <w:ilvl w:val="0"/>
          <w:numId w:val="101"/>
        </w:numPr>
        <w:spacing w:after="0" w:line="240" w:lineRule="auto"/>
        <w:ind w:left="426"/>
        <w:rPr>
          <w:rFonts w:ascii="Aptos" w:hAnsi="Aptos" w:cs="Calibri"/>
          <w:szCs w:val="22"/>
        </w:rPr>
      </w:pPr>
      <w:r>
        <w:rPr>
          <w:rFonts w:ascii="Aptos" w:hAnsi="Aptos" w:cs="Calibri"/>
          <w:szCs w:val="22"/>
        </w:rPr>
        <w:t>P</w:t>
      </w:r>
      <w:r w:rsidR="00CC18E0" w:rsidRPr="00F45378">
        <w:rPr>
          <w:rFonts w:ascii="Aptos" w:hAnsi="Aptos" w:cs="Calibri"/>
          <w:szCs w:val="22"/>
        </w:rPr>
        <w:t>ublishing decisions and outcomes to promote transparency and accountability</w:t>
      </w:r>
    </w:p>
    <w:p w14:paraId="40E1E156" w14:textId="6F1F9D2F" w:rsidR="00CC18E0" w:rsidRPr="007562D8" w:rsidRDefault="009E1D14" w:rsidP="00DD4830">
      <w:pPr>
        <w:numPr>
          <w:ilvl w:val="0"/>
          <w:numId w:val="101"/>
        </w:numPr>
        <w:spacing w:after="120" w:line="240" w:lineRule="auto"/>
        <w:ind w:left="426"/>
        <w:rPr>
          <w:rFonts w:ascii="Aptos" w:hAnsi="Aptos" w:cs="Calibri"/>
          <w:szCs w:val="22"/>
        </w:rPr>
      </w:pPr>
      <w:r w:rsidRPr="007562D8">
        <w:rPr>
          <w:rFonts w:ascii="Aptos" w:hAnsi="Aptos" w:cs="Calibri"/>
          <w:szCs w:val="22"/>
        </w:rPr>
        <w:t>R</w:t>
      </w:r>
      <w:r w:rsidR="00CC18E0" w:rsidRPr="007562D8">
        <w:rPr>
          <w:rFonts w:ascii="Aptos" w:hAnsi="Aptos" w:cs="Calibri"/>
          <w:szCs w:val="22"/>
        </w:rPr>
        <w:t xml:space="preserve">eporting regularly to the Minister of Education on the performance of the sector and the effectiveness of the </w:t>
      </w:r>
      <w:r w:rsidR="008743F1" w:rsidRPr="007562D8">
        <w:rPr>
          <w:rFonts w:ascii="Aptos" w:hAnsi="Aptos" w:cs="Calibri"/>
          <w:szCs w:val="22"/>
        </w:rPr>
        <w:t>National Code</w:t>
      </w:r>
    </w:p>
    <w:p w14:paraId="348E85C5" w14:textId="77777777" w:rsidR="00CC18E0" w:rsidRPr="00F45378" w:rsidRDefault="00CC18E0" w:rsidP="00CC18E0">
      <w:pPr>
        <w:spacing w:before="120" w:after="120" w:line="240" w:lineRule="auto"/>
        <w:rPr>
          <w:rFonts w:ascii="Aptos" w:hAnsi="Aptos" w:cs="Calibri"/>
          <w:b/>
          <w:bCs/>
          <w:szCs w:val="22"/>
        </w:rPr>
      </w:pPr>
      <w:r w:rsidRPr="00F45378">
        <w:rPr>
          <w:rFonts w:ascii="Aptos" w:hAnsi="Aptos" w:cs="Calibri"/>
          <w:b/>
          <w:bCs/>
          <w:szCs w:val="22"/>
        </w:rPr>
        <w:t>Regulatory strategy</w:t>
      </w:r>
    </w:p>
    <w:p w14:paraId="5AAEB520" w14:textId="72F8279D"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The </w:t>
      </w:r>
      <w:r w:rsidR="008223FC" w:rsidRPr="00F45378">
        <w:rPr>
          <w:rFonts w:ascii="Aptos" w:hAnsi="Aptos" w:cs="Calibri"/>
          <w:szCs w:val="22"/>
        </w:rPr>
        <w:t>GBV</w:t>
      </w:r>
      <w:r w:rsidR="004B51F5">
        <w:rPr>
          <w:rFonts w:ascii="Aptos" w:hAnsi="Aptos" w:cs="Calibri"/>
          <w:szCs w:val="22"/>
        </w:rPr>
        <w:t xml:space="preserve"> </w:t>
      </w:r>
      <w:r w:rsidR="0062187C">
        <w:rPr>
          <w:rFonts w:ascii="Aptos" w:hAnsi="Aptos" w:cs="Calibri"/>
          <w:szCs w:val="22"/>
        </w:rPr>
        <w:t>R</w:t>
      </w:r>
      <w:r w:rsidR="00C807BA">
        <w:rPr>
          <w:rFonts w:ascii="Aptos" w:hAnsi="Aptos" w:cs="Calibri"/>
          <w:szCs w:val="22"/>
        </w:rPr>
        <w:t xml:space="preserve">eform </w:t>
      </w:r>
      <w:r w:rsidR="0062187C">
        <w:rPr>
          <w:rFonts w:ascii="Aptos" w:hAnsi="Aptos" w:cs="Calibri"/>
          <w:szCs w:val="22"/>
        </w:rPr>
        <w:t>B</w:t>
      </w:r>
      <w:r w:rsidR="004B51F5">
        <w:rPr>
          <w:rFonts w:ascii="Aptos" w:hAnsi="Aptos" w:cs="Calibri"/>
          <w:szCs w:val="22"/>
        </w:rPr>
        <w:t>ranch</w:t>
      </w:r>
      <w:r w:rsidRPr="00F45378">
        <w:rPr>
          <w:rFonts w:ascii="Aptos" w:hAnsi="Aptos" w:cs="Calibri"/>
          <w:szCs w:val="22"/>
        </w:rPr>
        <w:t xml:space="preserve"> has been in the process of developing a regulatory operating strategy that will guide all aspects of implementation. This will be foundational in defining the </w:t>
      </w:r>
      <w:r w:rsidR="00C807BA">
        <w:rPr>
          <w:rFonts w:ascii="Aptos" w:hAnsi="Aptos" w:cs="Calibri"/>
          <w:szCs w:val="22"/>
        </w:rPr>
        <w:t>branch</w:t>
      </w:r>
      <w:r w:rsidRPr="00F45378">
        <w:rPr>
          <w:rFonts w:ascii="Aptos" w:hAnsi="Aptos" w:cs="Calibri"/>
          <w:szCs w:val="22"/>
        </w:rPr>
        <w:t>’s regulatory priorities that will inform regulatory activities.</w:t>
      </w:r>
    </w:p>
    <w:p w14:paraId="7B676F4D" w14:textId="77777777"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This overarching regulatory strategy will inform internal materials such as standard operating procedures, risk assessment tools, enforcement guidelines, staff handbooks and more. </w:t>
      </w:r>
    </w:p>
    <w:p w14:paraId="4A25E5A4" w14:textId="77777777" w:rsidR="00CC18E0" w:rsidRPr="00F45378" w:rsidRDefault="00CC18E0" w:rsidP="00CC18E0">
      <w:pPr>
        <w:spacing w:before="120" w:after="120" w:line="240" w:lineRule="auto"/>
        <w:rPr>
          <w:rFonts w:ascii="Aptos" w:hAnsi="Aptos" w:cs="Calibri"/>
          <w:b/>
          <w:bCs/>
          <w:szCs w:val="22"/>
        </w:rPr>
      </w:pPr>
      <w:r w:rsidRPr="00F45378">
        <w:rPr>
          <w:rFonts w:ascii="Aptos" w:hAnsi="Aptos" w:cs="Calibri"/>
          <w:b/>
          <w:bCs/>
          <w:szCs w:val="22"/>
        </w:rPr>
        <w:t xml:space="preserve">Engagement </w:t>
      </w:r>
    </w:p>
    <w:p w14:paraId="3DBA86BC" w14:textId="2941E640" w:rsidR="007562D8" w:rsidRDefault="00CC18E0" w:rsidP="00CC18E0">
      <w:pPr>
        <w:spacing w:before="120" w:after="120" w:line="240" w:lineRule="auto"/>
        <w:rPr>
          <w:rFonts w:ascii="Aptos" w:hAnsi="Aptos" w:cs="Calibri"/>
          <w:b/>
          <w:bCs/>
          <w:szCs w:val="22"/>
        </w:rPr>
      </w:pPr>
      <w:r w:rsidRPr="00F45378">
        <w:rPr>
          <w:rFonts w:ascii="Aptos" w:hAnsi="Aptos" w:cs="Calibri"/>
          <w:szCs w:val="22"/>
        </w:rPr>
        <w:t xml:space="preserve">Broad engagement with stakeholders is crucial to ensure effective implementation of the </w:t>
      </w:r>
      <w:r w:rsidR="008743F1" w:rsidRPr="00F45378">
        <w:rPr>
          <w:rFonts w:ascii="Aptos" w:hAnsi="Aptos" w:cs="Calibri"/>
          <w:szCs w:val="22"/>
        </w:rPr>
        <w:t>National Code</w:t>
      </w:r>
      <w:r w:rsidRPr="00F45378">
        <w:rPr>
          <w:rFonts w:ascii="Aptos" w:hAnsi="Aptos" w:cs="Calibri"/>
          <w:szCs w:val="22"/>
        </w:rPr>
        <w:t>. The purpose of engagement is to build rapport and trust to operate effectively as a regulatory, and support readiness for compliance.</w:t>
      </w:r>
    </w:p>
    <w:p w14:paraId="14812BDB" w14:textId="3A8F79F3" w:rsidR="00CC18E0" w:rsidRPr="00F45378" w:rsidRDefault="00CC18E0" w:rsidP="00CC18E0">
      <w:pPr>
        <w:spacing w:before="120" w:after="120" w:line="240" w:lineRule="auto"/>
        <w:rPr>
          <w:rFonts w:ascii="Aptos" w:hAnsi="Aptos" w:cs="Calibri"/>
          <w:b/>
          <w:bCs/>
          <w:szCs w:val="22"/>
        </w:rPr>
      </w:pPr>
      <w:r w:rsidRPr="00F45378">
        <w:rPr>
          <w:rFonts w:ascii="Aptos" w:hAnsi="Aptos" w:cs="Calibri"/>
          <w:b/>
          <w:bCs/>
          <w:szCs w:val="22"/>
        </w:rPr>
        <w:t xml:space="preserve">Sector Engagement </w:t>
      </w:r>
    </w:p>
    <w:p w14:paraId="3A7C1C64" w14:textId="1E56A704"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The </w:t>
      </w:r>
      <w:r w:rsidR="00C37C72">
        <w:rPr>
          <w:rFonts w:ascii="Aptos" w:hAnsi="Aptos" w:cs="Calibri"/>
          <w:szCs w:val="22"/>
        </w:rPr>
        <w:t>branch</w:t>
      </w:r>
      <w:r w:rsidR="00C37C72" w:rsidRPr="00F45378">
        <w:rPr>
          <w:rFonts w:ascii="Aptos" w:hAnsi="Aptos" w:cs="Calibri"/>
          <w:szCs w:val="22"/>
        </w:rPr>
        <w:t xml:space="preserve"> </w:t>
      </w:r>
      <w:r w:rsidRPr="00F45378">
        <w:rPr>
          <w:rFonts w:ascii="Aptos" w:hAnsi="Aptos" w:cs="Calibri"/>
          <w:szCs w:val="22"/>
        </w:rPr>
        <w:t>will continue to engage with the higher education sector through site visits, industry conferences, peak body meetings, webinars, forums and more. As a regulatory</w:t>
      </w:r>
      <w:r w:rsidR="00052DC2">
        <w:rPr>
          <w:rFonts w:ascii="Aptos" w:hAnsi="Aptos" w:cs="Calibri"/>
          <w:szCs w:val="22"/>
        </w:rPr>
        <w:t xml:space="preserve"> branch</w:t>
      </w:r>
      <w:r w:rsidRPr="00F45378">
        <w:rPr>
          <w:rFonts w:ascii="Aptos" w:hAnsi="Aptos" w:cs="Calibri"/>
          <w:szCs w:val="22"/>
        </w:rPr>
        <w:t xml:space="preserve">, the </w:t>
      </w:r>
      <w:r w:rsidR="00052DC2">
        <w:rPr>
          <w:rFonts w:ascii="Aptos" w:hAnsi="Aptos" w:cs="Calibri"/>
          <w:szCs w:val="22"/>
        </w:rPr>
        <w:t>branch</w:t>
      </w:r>
      <w:r w:rsidR="00052DC2" w:rsidRPr="00F45378">
        <w:rPr>
          <w:rFonts w:ascii="Aptos" w:hAnsi="Aptos" w:cs="Calibri"/>
          <w:szCs w:val="22"/>
        </w:rPr>
        <w:t xml:space="preserve"> </w:t>
      </w:r>
      <w:r w:rsidRPr="00F45378">
        <w:rPr>
          <w:rFonts w:ascii="Aptos" w:hAnsi="Aptos" w:cs="Calibri"/>
          <w:szCs w:val="22"/>
        </w:rPr>
        <w:t xml:space="preserve">will be focused on engagement and ensuring positive take-up of the obligation of the </w:t>
      </w:r>
      <w:r w:rsidR="008743F1" w:rsidRPr="00F45378">
        <w:rPr>
          <w:rFonts w:ascii="Aptos" w:hAnsi="Aptos" w:cs="Calibri"/>
          <w:szCs w:val="22"/>
        </w:rPr>
        <w:t>National Code</w:t>
      </w:r>
      <w:r w:rsidRPr="00F45378">
        <w:rPr>
          <w:rFonts w:ascii="Aptos" w:hAnsi="Aptos" w:cs="Calibri"/>
          <w:szCs w:val="22"/>
        </w:rPr>
        <w:t xml:space="preserve"> in these settings to ensure that providers are supported. </w:t>
      </w:r>
    </w:p>
    <w:p w14:paraId="465A0C22" w14:textId="35149790"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To enhance the understanding of the </w:t>
      </w:r>
      <w:r w:rsidR="008743F1" w:rsidRPr="00F45378">
        <w:rPr>
          <w:rFonts w:ascii="Aptos" w:hAnsi="Aptos" w:cs="Calibri"/>
          <w:szCs w:val="22"/>
        </w:rPr>
        <w:t>National Code</w:t>
      </w:r>
      <w:r w:rsidRPr="00F45378">
        <w:rPr>
          <w:rFonts w:ascii="Aptos" w:hAnsi="Aptos" w:cs="Calibri"/>
          <w:szCs w:val="22"/>
        </w:rPr>
        <w:t xml:space="preserve"> requirements, the </w:t>
      </w:r>
      <w:r w:rsidR="00052DC2">
        <w:rPr>
          <w:rFonts w:ascii="Aptos" w:hAnsi="Aptos" w:cs="Calibri"/>
          <w:szCs w:val="22"/>
        </w:rPr>
        <w:t>branch</w:t>
      </w:r>
      <w:r w:rsidR="00052DC2" w:rsidRPr="00F45378">
        <w:rPr>
          <w:rFonts w:ascii="Aptos" w:hAnsi="Aptos" w:cs="Calibri"/>
          <w:szCs w:val="22"/>
        </w:rPr>
        <w:t xml:space="preserve"> </w:t>
      </w:r>
      <w:r w:rsidRPr="00F45378">
        <w:rPr>
          <w:rFonts w:ascii="Aptos" w:hAnsi="Aptos" w:cs="Calibri"/>
          <w:szCs w:val="22"/>
        </w:rPr>
        <w:t xml:space="preserve">will plan various </w:t>
      </w:r>
      <w:r w:rsidR="00262DD5">
        <w:rPr>
          <w:rFonts w:ascii="Aptos" w:hAnsi="Aptos" w:cs="Calibri"/>
          <w:szCs w:val="22"/>
        </w:rPr>
        <w:t>engagement</w:t>
      </w:r>
      <w:r w:rsidRPr="00F45378">
        <w:rPr>
          <w:rFonts w:ascii="Aptos" w:hAnsi="Aptos" w:cs="Calibri"/>
          <w:szCs w:val="22"/>
        </w:rPr>
        <w:t xml:space="preserve"> sessions for the sector and other communication strategies, leveraging where possible, relevant sector-led and peak body conferences and workshops. Relationships developed during the extensive consultation process undertaken to inform the drafting of the </w:t>
      </w:r>
      <w:r w:rsidR="008743F1" w:rsidRPr="00F45378">
        <w:rPr>
          <w:rFonts w:ascii="Aptos" w:hAnsi="Aptos" w:cs="Calibri"/>
          <w:szCs w:val="22"/>
        </w:rPr>
        <w:t>National Code</w:t>
      </w:r>
      <w:r w:rsidRPr="00F45378">
        <w:rPr>
          <w:rFonts w:ascii="Aptos" w:hAnsi="Aptos" w:cs="Calibri"/>
          <w:szCs w:val="22"/>
        </w:rPr>
        <w:t xml:space="preserve"> will be built on to assist in the delivery of </w:t>
      </w:r>
      <w:r w:rsidR="00262DD5">
        <w:rPr>
          <w:rFonts w:ascii="Aptos" w:hAnsi="Aptos" w:cs="Calibri"/>
          <w:szCs w:val="22"/>
        </w:rPr>
        <w:t>engagement</w:t>
      </w:r>
      <w:r w:rsidRPr="00F45378">
        <w:rPr>
          <w:rFonts w:ascii="Aptos" w:hAnsi="Aptos" w:cs="Calibri"/>
          <w:szCs w:val="22"/>
        </w:rPr>
        <w:t xml:space="preserve"> sessions.</w:t>
      </w:r>
    </w:p>
    <w:p w14:paraId="07904C19" w14:textId="4F6CF6EE"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The </w:t>
      </w:r>
      <w:r w:rsidR="00052DC2">
        <w:rPr>
          <w:rFonts w:ascii="Aptos" w:hAnsi="Aptos" w:cs="Calibri"/>
          <w:szCs w:val="22"/>
        </w:rPr>
        <w:t>GBV Reform Branch</w:t>
      </w:r>
      <w:r w:rsidR="00052DC2" w:rsidRPr="00F45378">
        <w:rPr>
          <w:rFonts w:ascii="Aptos" w:hAnsi="Aptos" w:cs="Calibri"/>
          <w:szCs w:val="22"/>
        </w:rPr>
        <w:t xml:space="preserve"> </w:t>
      </w:r>
      <w:r w:rsidRPr="00F45378">
        <w:rPr>
          <w:rFonts w:ascii="Aptos" w:hAnsi="Aptos" w:cs="Calibri"/>
          <w:szCs w:val="22"/>
        </w:rPr>
        <w:t xml:space="preserve">will also seek to meet with individual providers to understand what areas of implementation they are finding challenging, any risk issues, and any other perspectives. These will be opportunities for providers to ask questions, seek advice, and be informed of implementation progress. </w:t>
      </w:r>
    </w:p>
    <w:p w14:paraId="45C40318" w14:textId="6FD8118D"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From January 1, the</w:t>
      </w:r>
      <w:r w:rsidR="00C37C72">
        <w:rPr>
          <w:rFonts w:ascii="Aptos" w:hAnsi="Aptos" w:cs="Calibri"/>
          <w:szCs w:val="22"/>
        </w:rPr>
        <w:t xml:space="preserve"> branch</w:t>
      </w:r>
      <w:r w:rsidRPr="00F45378">
        <w:rPr>
          <w:rFonts w:ascii="Aptos" w:hAnsi="Aptos" w:cs="Calibri"/>
          <w:szCs w:val="22"/>
        </w:rPr>
        <w:t xml:space="preserve"> will receive the initial Prevention and Response Plans, which will include a whole-of-organisation assessment and a complimentary outcomes framework. The first round of data collection </w:t>
      </w:r>
      <w:r w:rsidR="0062187C">
        <w:rPr>
          <w:rFonts w:ascii="Aptos" w:hAnsi="Aptos" w:cs="Calibri"/>
          <w:szCs w:val="22"/>
        </w:rPr>
        <w:t xml:space="preserve">is due on 30 </w:t>
      </w:r>
      <w:r w:rsidRPr="00F45378">
        <w:rPr>
          <w:rFonts w:ascii="Aptos" w:hAnsi="Aptos" w:cs="Calibri"/>
          <w:szCs w:val="22"/>
        </w:rPr>
        <w:t>June</w:t>
      </w:r>
      <w:r w:rsidR="0062187C">
        <w:rPr>
          <w:rFonts w:ascii="Aptos" w:hAnsi="Aptos" w:cs="Calibri"/>
          <w:szCs w:val="22"/>
        </w:rPr>
        <w:t xml:space="preserve"> 2026</w:t>
      </w:r>
      <w:r w:rsidRPr="00F45378">
        <w:rPr>
          <w:rFonts w:ascii="Aptos" w:hAnsi="Aptos" w:cs="Calibri"/>
          <w:szCs w:val="22"/>
        </w:rPr>
        <w:t xml:space="preserve">. These two critical inputs will inform the </w:t>
      </w:r>
      <w:r w:rsidRPr="00F45378">
        <w:rPr>
          <w:rFonts w:ascii="Aptos" w:hAnsi="Aptos" w:cs="Calibri"/>
          <w:szCs w:val="22"/>
        </w:rPr>
        <w:lastRenderedPageBreak/>
        <w:t xml:space="preserve">next phase of engagement by identifying knowledge gaps and areas requiring targeted support. </w:t>
      </w:r>
    </w:p>
    <w:p w14:paraId="0BB78969" w14:textId="77777777" w:rsidR="00CC18E0" w:rsidRPr="00F45378" w:rsidRDefault="00CC18E0" w:rsidP="00CC18E0">
      <w:pPr>
        <w:spacing w:before="120" w:after="120" w:line="240" w:lineRule="auto"/>
        <w:rPr>
          <w:rFonts w:ascii="Aptos" w:hAnsi="Aptos" w:cs="Calibri"/>
          <w:b/>
          <w:bCs/>
          <w:szCs w:val="22"/>
        </w:rPr>
      </w:pPr>
      <w:r w:rsidRPr="00F45378">
        <w:rPr>
          <w:rFonts w:ascii="Aptos" w:hAnsi="Aptos" w:cs="Calibri"/>
          <w:b/>
          <w:bCs/>
          <w:szCs w:val="22"/>
        </w:rPr>
        <w:t xml:space="preserve">Student Engagement </w:t>
      </w:r>
    </w:p>
    <w:p w14:paraId="1B1F44E2" w14:textId="08DFE59D"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Engagement will extend beyond the higher education institutions. The </w:t>
      </w:r>
      <w:r w:rsidR="00C37C72">
        <w:rPr>
          <w:rFonts w:ascii="Aptos" w:hAnsi="Aptos" w:cs="Calibri"/>
          <w:szCs w:val="22"/>
        </w:rPr>
        <w:t xml:space="preserve">branch </w:t>
      </w:r>
      <w:r w:rsidRPr="00F45378">
        <w:rPr>
          <w:rFonts w:ascii="Aptos" w:hAnsi="Aptos" w:cs="Calibri"/>
          <w:szCs w:val="22"/>
        </w:rPr>
        <w:t xml:space="preserve">will ensure that they are connected to students so that it is in tune with how the </w:t>
      </w:r>
      <w:r w:rsidR="008743F1" w:rsidRPr="00F45378">
        <w:rPr>
          <w:rFonts w:ascii="Aptos" w:hAnsi="Aptos" w:cs="Calibri"/>
          <w:szCs w:val="22"/>
        </w:rPr>
        <w:t>National Code</w:t>
      </w:r>
      <w:r w:rsidRPr="00F45378">
        <w:rPr>
          <w:rFonts w:ascii="Aptos" w:hAnsi="Aptos" w:cs="Calibri"/>
          <w:szCs w:val="22"/>
        </w:rPr>
        <w:t xml:space="preserve"> Is being implemented, received and experience by students. Students’ voices will be essential to understanding how the </w:t>
      </w:r>
      <w:r w:rsidR="008743F1" w:rsidRPr="00F45378">
        <w:rPr>
          <w:rFonts w:ascii="Aptos" w:hAnsi="Aptos" w:cs="Calibri"/>
          <w:szCs w:val="22"/>
        </w:rPr>
        <w:t>National Code</w:t>
      </w:r>
      <w:r w:rsidRPr="00F45378">
        <w:rPr>
          <w:rFonts w:ascii="Aptos" w:hAnsi="Aptos" w:cs="Calibri"/>
          <w:szCs w:val="22"/>
        </w:rPr>
        <w:t xml:space="preserve"> is effecting change and will be used to shape future actions. </w:t>
      </w:r>
    </w:p>
    <w:p w14:paraId="19A24D5F" w14:textId="77777777" w:rsidR="00CC18E0" w:rsidRPr="00F45378" w:rsidRDefault="00CC18E0" w:rsidP="00CC18E0">
      <w:pPr>
        <w:spacing w:before="120" w:after="120" w:line="240" w:lineRule="auto"/>
        <w:rPr>
          <w:rFonts w:ascii="Aptos" w:hAnsi="Aptos" w:cs="Calibri"/>
          <w:b/>
          <w:bCs/>
          <w:szCs w:val="22"/>
        </w:rPr>
      </w:pPr>
      <w:r w:rsidRPr="00F45378">
        <w:rPr>
          <w:rFonts w:ascii="Aptos" w:hAnsi="Aptos" w:cs="Calibri"/>
          <w:b/>
          <w:bCs/>
          <w:szCs w:val="22"/>
        </w:rPr>
        <w:t>Stakeholder and government engagement</w:t>
      </w:r>
    </w:p>
    <w:p w14:paraId="027F02FE" w14:textId="74D8A83F"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The </w:t>
      </w:r>
      <w:r w:rsidR="00C37C72">
        <w:rPr>
          <w:rFonts w:ascii="Aptos" w:hAnsi="Aptos" w:cs="Calibri"/>
          <w:szCs w:val="22"/>
        </w:rPr>
        <w:t>branch</w:t>
      </w:r>
      <w:r w:rsidR="00C37C72" w:rsidRPr="00F45378">
        <w:rPr>
          <w:rFonts w:ascii="Aptos" w:hAnsi="Aptos" w:cs="Calibri"/>
          <w:szCs w:val="22"/>
        </w:rPr>
        <w:t xml:space="preserve"> </w:t>
      </w:r>
      <w:r w:rsidRPr="00F45378">
        <w:rPr>
          <w:rFonts w:ascii="Aptos" w:hAnsi="Aptos" w:cs="Calibri"/>
          <w:szCs w:val="22"/>
        </w:rPr>
        <w:t xml:space="preserve">will continue to maintain and strengthen relationships established during the consultation phase, including the ERG, lived experience groups and others to ensure the </w:t>
      </w:r>
      <w:r w:rsidR="00C37C72">
        <w:rPr>
          <w:rFonts w:ascii="Aptos" w:hAnsi="Aptos" w:cs="Calibri"/>
          <w:szCs w:val="22"/>
        </w:rPr>
        <w:t>branch</w:t>
      </w:r>
      <w:r w:rsidRPr="00F45378">
        <w:rPr>
          <w:rFonts w:ascii="Aptos" w:hAnsi="Aptos" w:cs="Calibri"/>
          <w:szCs w:val="22"/>
        </w:rPr>
        <w:t xml:space="preserve"> remains responsive to emerging issues and sector needs. </w:t>
      </w:r>
    </w:p>
    <w:p w14:paraId="5DA276B4" w14:textId="18F9A4CB"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Key government stakeholders will continue to play an important role in both the engagement and regulatory functions of the </w:t>
      </w:r>
      <w:r w:rsidR="00C0297F">
        <w:rPr>
          <w:rFonts w:ascii="Aptos" w:hAnsi="Aptos" w:cs="Calibri"/>
          <w:szCs w:val="22"/>
        </w:rPr>
        <w:t>s</w:t>
      </w:r>
      <w:r w:rsidR="00FF2C64">
        <w:rPr>
          <w:rFonts w:ascii="Aptos" w:hAnsi="Aptos" w:cs="Calibri"/>
          <w:szCs w:val="22"/>
        </w:rPr>
        <w:t>pecialist GBV Reform Branch</w:t>
      </w:r>
      <w:r w:rsidRPr="00F45378">
        <w:rPr>
          <w:rFonts w:ascii="Aptos" w:hAnsi="Aptos" w:cs="Calibri"/>
          <w:szCs w:val="22"/>
        </w:rPr>
        <w:t xml:space="preserve">. The Tertiary Education Quality and Standards Agency (TEQSA) will be a critical partner, not only in collaborative engagement, but regulatory enforcement. The </w:t>
      </w:r>
      <w:r w:rsidR="00C37C72">
        <w:rPr>
          <w:rFonts w:ascii="Aptos" w:hAnsi="Aptos" w:cs="Calibri"/>
          <w:szCs w:val="22"/>
        </w:rPr>
        <w:t>branch</w:t>
      </w:r>
      <w:r w:rsidR="00C37C72" w:rsidRPr="00F45378">
        <w:rPr>
          <w:rFonts w:ascii="Aptos" w:hAnsi="Aptos" w:cs="Calibri"/>
          <w:szCs w:val="22"/>
        </w:rPr>
        <w:t xml:space="preserve"> </w:t>
      </w:r>
      <w:r w:rsidRPr="00F45378">
        <w:rPr>
          <w:rFonts w:ascii="Aptos" w:hAnsi="Aptos" w:cs="Calibri"/>
          <w:szCs w:val="22"/>
        </w:rPr>
        <w:t xml:space="preserve">will work with TEQSA to obtain relevant provider specific information to initiate communication with higher education providers in relation to the </w:t>
      </w:r>
      <w:r w:rsidR="008743F1" w:rsidRPr="00F45378">
        <w:rPr>
          <w:rFonts w:ascii="Aptos" w:hAnsi="Aptos" w:cs="Calibri"/>
          <w:szCs w:val="22"/>
        </w:rPr>
        <w:t>National Code</w:t>
      </w:r>
      <w:r w:rsidRPr="00F45378">
        <w:rPr>
          <w:rFonts w:ascii="Aptos" w:hAnsi="Aptos" w:cs="Calibri"/>
          <w:szCs w:val="22"/>
        </w:rPr>
        <w:t xml:space="preserve">’s requirements, particularly around submitting data. </w:t>
      </w:r>
    </w:p>
    <w:p w14:paraId="3CB0CC95" w14:textId="2583ADFC"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The National Student Ombudsman (NSO) will also be a valuable partner in referring concerns to each other, and the </w:t>
      </w:r>
      <w:r w:rsidR="00C37C72">
        <w:rPr>
          <w:rFonts w:ascii="Aptos" w:hAnsi="Aptos" w:cs="Calibri"/>
          <w:szCs w:val="22"/>
        </w:rPr>
        <w:t>branch</w:t>
      </w:r>
      <w:r w:rsidR="00C37C72" w:rsidRPr="00F45378">
        <w:rPr>
          <w:rFonts w:ascii="Aptos" w:hAnsi="Aptos" w:cs="Calibri"/>
          <w:szCs w:val="22"/>
        </w:rPr>
        <w:t xml:space="preserve"> </w:t>
      </w:r>
      <w:r w:rsidRPr="00F45378">
        <w:rPr>
          <w:rFonts w:ascii="Aptos" w:hAnsi="Aptos" w:cs="Calibri"/>
          <w:szCs w:val="22"/>
        </w:rPr>
        <w:t xml:space="preserve">will use complaints to help shape regulatory priorities and identify systemic issues. the </w:t>
      </w:r>
      <w:r w:rsidR="00C37C72">
        <w:rPr>
          <w:rFonts w:ascii="Aptos" w:hAnsi="Aptos" w:cs="Calibri"/>
          <w:szCs w:val="22"/>
        </w:rPr>
        <w:t>branch</w:t>
      </w:r>
      <w:r w:rsidR="00C37C72" w:rsidRPr="00F45378">
        <w:rPr>
          <w:rFonts w:ascii="Aptos" w:hAnsi="Aptos" w:cs="Calibri"/>
          <w:szCs w:val="22"/>
        </w:rPr>
        <w:t xml:space="preserve"> </w:t>
      </w:r>
      <w:r w:rsidRPr="00F45378">
        <w:rPr>
          <w:rFonts w:ascii="Aptos" w:hAnsi="Aptos" w:cs="Calibri"/>
          <w:szCs w:val="22"/>
        </w:rPr>
        <w:t>will be empowered to share relevant information with the National Student Ombudsman, with the consent of the student, to facilitate timely referral and resolution of complaints. This collaborative approach will help ensure that student concerns are addressed holistically and that oversight bodies can act on systemic issues effectively.</w:t>
      </w:r>
    </w:p>
    <w:p w14:paraId="65A53DE7" w14:textId="0F8FA29A"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In addition, the </w:t>
      </w:r>
      <w:r w:rsidR="00C37C72">
        <w:rPr>
          <w:rFonts w:ascii="Aptos" w:hAnsi="Aptos" w:cs="Calibri"/>
          <w:szCs w:val="22"/>
        </w:rPr>
        <w:t>branch</w:t>
      </w:r>
      <w:r w:rsidR="00C37C72" w:rsidRPr="00F45378">
        <w:rPr>
          <w:rFonts w:ascii="Aptos" w:hAnsi="Aptos" w:cs="Calibri"/>
          <w:szCs w:val="22"/>
        </w:rPr>
        <w:t xml:space="preserve"> </w:t>
      </w:r>
      <w:r w:rsidRPr="00F45378">
        <w:rPr>
          <w:rFonts w:ascii="Aptos" w:hAnsi="Aptos" w:cs="Calibri"/>
          <w:szCs w:val="22"/>
        </w:rPr>
        <w:t xml:space="preserve">will maintain ongoing collaboration with other government agencies, including </w:t>
      </w:r>
      <w:r w:rsidR="002416D8">
        <w:rPr>
          <w:rFonts w:ascii="Aptos" w:hAnsi="Aptos" w:cs="Calibri"/>
          <w:szCs w:val="22"/>
        </w:rPr>
        <w:t>Attorney</w:t>
      </w:r>
      <w:r w:rsidR="000907CE">
        <w:rPr>
          <w:rFonts w:ascii="Aptos" w:hAnsi="Aptos" w:cs="Calibri"/>
          <w:szCs w:val="22"/>
        </w:rPr>
        <w:t>-</w:t>
      </w:r>
      <w:r w:rsidR="002416D8">
        <w:rPr>
          <w:rFonts w:ascii="Aptos" w:hAnsi="Aptos" w:cs="Calibri"/>
          <w:szCs w:val="22"/>
        </w:rPr>
        <w:t>General’s D</w:t>
      </w:r>
      <w:r w:rsidR="000907CE">
        <w:rPr>
          <w:rFonts w:ascii="Aptos" w:hAnsi="Aptos" w:cs="Calibri"/>
          <w:szCs w:val="22"/>
        </w:rPr>
        <w:t>epartment, Australian Human Right</w:t>
      </w:r>
      <w:r w:rsidR="001E5CA6">
        <w:rPr>
          <w:rFonts w:ascii="Aptos" w:hAnsi="Aptos" w:cs="Calibri"/>
          <w:szCs w:val="22"/>
        </w:rPr>
        <w:t xml:space="preserve">s Commission, Department of Social Services </w:t>
      </w:r>
      <w:r w:rsidRPr="00F45378">
        <w:rPr>
          <w:rFonts w:ascii="Aptos" w:hAnsi="Aptos" w:cs="Calibri"/>
          <w:szCs w:val="22"/>
        </w:rPr>
        <w:t xml:space="preserve">and Office for Women, to ensure alignment with broader national goals and policy directions related to </w:t>
      </w:r>
      <w:r w:rsidR="008223FC" w:rsidRPr="00F45378">
        <w:rPr>
          <w:rFonts w:ascii="Aptos" w:hAnsi="Aptos" w:cs="Calibri"/>
          <w:szCs w:val="22"/>
        </w:rPr>
        <w:t>GBV</w:t>
      </w:r>
      <w:r w:rsidRPr="00F45378">
        <w:rPr>
          <w:rFonts w:ascii="Aptos" w:hAnsi="Aptos" w:cs="Calibri"/>
          <w:szCs w:val="22"/>
        </w:rPr>
        <w:t xml:space="preserve">. The </w:t>
      </w:r>
      <w:r w:rsidR="00C37C72">
        <w:rPr>
          <w:rFonts w:ascii="Aptos" w:hAnsi="Aptos" w:cs="Calibri"/>
          <w:szCs w:val="22"/>
        </w:rPr>
        <w:t>branch</w:t>
      </w:r>
      <w:r w:rsidR="00C37C72" w:rsidRPr="00F45378">
        <w:rPr>
          <w:rFonts w:ascii="Aptos" w:hAnsi="Aptos" w:cs="Calibri"/>
          <w:szCs w:val="22"/>
        </w:rPr>
        <w:t xml:space="preserve"> </w:t>
      </w:r>
      <w:r w:rsidRPr="00F45378">
        <w:rPr>
          <w:rFonts w:ascii="Aptos" w:hAnsi="Aptos" w:cs="Calibri"/>
          <w:szCs w:val="22"/>
        </w:rPr>
        <w:t xml:space="preserve">will also look to other government regulatory bodies to inform approach, adopt leading practice.  </w:t>
      </w:r>
    </w:p>
    <w:p w14:paraId="0F44B597" w14:textId="7DC07BC0" w:rsidR="00CC18E0" w:rsidRPr="00F45378" w:rsidRDefault="00CC18E0" w:rsidP="00CC18E0">
      <w:pPr>
        <w:spacing w:before="120" w:after="120" w:line="240" w:lineRule="auto"/>
        <w:rPr>
          <w:rFonts w:ascii="Aptos" w:hAnsi="Aptos" w:cs="Calibri"/>
          <w:b/>
          <w:bCs/>
          <w:szCs w:val="22"/>
        </w:rPr>
      </w:pPr>
      <w:r w:rsidRPr="00F45378">
        <w:rPr>
          <w:rFonts w:ascii="Aptos" w:hAnsi="Aptos" w:cs="Calibri"/>
          <w:b/>
          <w:bCs/>
          <w:szCs w:val="22"/>
        </w:rPr>
        <w:t>Materials and guidance</w:t>
      </w:r>
    </w:p>
    <w:p w14:paraId="59F72032" w14:textId="2A754C26"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The </w:t>
      </w:r>
      <w:r w:rsidR="00135A7D">
        <w:rPr>
          <w:rFonts w:ascii="Aptos" w:hAnsi="Aptos" w:cs="Calibri"/>
          <w:szCs w:val="22"/>
        </w:rPr>
        <w:t>branch</w:t>
      </w:r>
      <w:r w:rsidR="00135A7D" w:rsidRPr="00F45378">
        <w:rPr>
          <w:rFonts w:ascii="Aptos" w:hAnsi="Aptos" w:cs="Calibri"/>
          <w:szCs w:val="22"/>
        </w:rPr>
        <w:t xml:space="preserve"> </w:t>
      </w:r>
      <w:r w:rsidRPr="00F45378">
        <w:rPr>
          <w:rFonts w:ascii="Aptos" w:hAnsi="Aptos" w:cs="Calibri"/>
          <w:szCs w:val="22"/>
        </w:rPr>
        <w:t xml:space="preserve">will develop and publish a suite of materials to support implementation of the </w:t>
      </w:r>
      <w:r w:rsidR="008743F1" w:rsidRPr="00F45378">
        <w:rPr>
          <w:rFonts w:ascii="Aptos" w:hAnsi="Aptos" w:cs="Calibri"/>
          <w:szCs w:val="22"/>
        </w:rPr>
        <w:t>National Code</w:t>
      </w:r>
      <w:r w:rsidRPr="00F45378">
        <w:rPr>
          <w:rFonts w:ascii="Aptos" w:hAnsi="Aptos" w:cs="Calibri"/>
          <w:szCs w:val="22"/>
        </w:rPr>
        <w:t xml:space="preserve">. These will be published on the </w:t>
      </w:r>
      <w:r w:rsidR="00A5177C">
        <w:rPr>
          <w:rFonts w:ascii="Aptos" w:hAnsi="Aptos" w:cs="Calibri"/>
          <w:szCs w:val="22"/>
        </w:rPr>
        <w:t>d</w:t>
      </w:r>
      <w:r w:rsidRPr="00F45378">
        <w:rPr>
          <w:rFonts w:ascii="Aptos" w:hAnsi="Aptos" w:cs="Calibri"/>
          <w:szCs w:val="22"/>
        </w:rPr>
        <w:t xml:space="preserve">epartment’s website. </w:t>
      </w:r>
    </w:p>
    <w:p w14:paraId="789AFCCC" w14:textId="51D5F7D9"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The </w:t>
      </w:r>
      <w:r w:rsidR="00135A7D">
        <w:rPr>
          <w:rFonts w:ascii="Aptos" w:hAnsi="Aptos" w:cs="Calibri"/>
          <w:szCs w:val="22"/>
        </w:rPr>
        <w:t>branch</w:t>
      </w:r>
      <w:r w:rsidR="00135A7D" w:rsidRPr="00F45378">
        <w:rPr>
          <w:rFonts w:ascii="Aptos" w:hAnsi="Aptos" w:cs="Calibri"/>
          <w:szCs w:val="22"/>
        </w:rPr>
        <w:t xml:space="preserve"> </w:t>
      </w:r>
      <w:r w:rsidRPr="00F45378">
        <w:rPr>
          <w:rFonts w:ascii="Aptos" w:hAnsi="Aptos" w:cs="Calibri"/>
          <w:szCs w:val="22"/>
        </w:rPr>
        <w:t xml:space="preserve">will also develop explanatory documents to support understanding of the </w:t>
      </w:r>
      <w:r w:rsidR="008743F1" w:rsidRPr="00F45378">
        <w:rPr>
          <w:rFonts w:ascii="Aptos" w:hAnsi="Aptos" w:cs="Calibri"/>
          <w:szCs w:val="22"/>
        </w:rPr>
        <w:t>National Code</w:t>
      </w:r>
      <w:r w:rsidRPr="00F45378">
        <w:rPr>
          <w:rFonts w:ascii="Aptos" w:hAnsi="Aptos" w:cs="Calibri"/>
          <w:szCs w:val="22"/>
        </w:rPr>
        <w:t xml:space="preserve"> and how it will be applied in practice</w:t>
      </w:r>
      <w:r w:rsidR="006414AB">
        <w:rPr>
          <w:rFonts w:ascii="Aptos" w:hAnsi="Aptos" w:cs="Calibri"/>
          <w:szCs w:val="22"/>
        </w:rPr>
        <w:t>. This</w:t>
      </w:r>
      <w:r w:rsidRPr="00F45378">
        <w:rPr>
          <w:rFonts w:ascii="Aptos" w:hAnsi="Aptos" w:cs="Calibri"/>
          <w:szCs w:val="22"/>
        </w:rPr>
        <w:t xml:space="preserve"> will support initial engagement with the </w:t>
      </w:r>
      <w:r w:rsidR="008743F1" w:rsidRPr="00F45378">
        <w:rPr>
          <w:rFonts w:ascii="Aptos" w:hAnsi="Aptos" w:cs="Calibri"/>
          <w:szCs w:val="22"/>
        </w:rPr>
        <w:t>National Code</w:t>
      </w:r>
      <w:r w:rsidRPr="00F45378">
        <w:rPr>
          <w:rFonts w:ascii="Aptos" w:hAnsi="Aptos" w:cs="Calibri"/>
          <w:szCs w:val="22"/>
        </w:rPr>
        <w:t xml:space="preserve"> and will help guide interpretation and explain key concepts. </w:t>
      </w:r>
    </w:p>
    <w:p w14:paraId="6CE107C2" w14:textId="1892309A"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The </w:t>
      </w:r>
      <w:r w:rsidR="006414AB">
        <w:rPr>
          <w:rFonts w:ascii="Aptos" w:hAnsi="Aptos" w:cs="Calibri"/>
          <w:szCs w:val="22"/>
        </w:rPr>
        <w:t>branch</w:t>
      </w:r>
      <w:r w:rsidR="006414AB" w:rsidRPr="00F45378">
        <w:rPr>
          <w:rFonts w:ascii="Aptos" w:hAnsi="Aptos" w:cs="Calibri"/>
          <w:szCs w:val="22"/>
        </w:rPr>
        <w:t xml:space="preserve"> </w:t>
      </w:r>
      <w:r w:rsidRPr="00F45378">
        <w:rPr>
          <w:rFonts w:ascii="Aptos" w:hAnsi="Aptos" w:cs="Calibri"/>
          <w:szCs w:val="22"/>
        </w:rPr>
        <w:t>will also develop structured, comprehensive regulatory guidance to assist higher education providers meet their compliance requirements. This guidance will outline expectations, processes and leading practice to support compliance and foster a culture of safety and accountability.</w:t>
      </w:r>
    </w:p>
    <w:p w14:paraId="0FF37BD1" w14:textId="2996C7DB"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These resources will be developed in consultation with the sector and will be responsive to varying levels of provider maturity, capacity and resourcing, particularly in relation to the prevention of, and response to, </w:t>
      </w:r>
      <w:r w:rsidR="00B7771B" w:rsidRPr="00F45378">
        <w:rPr>
          <w:rFonts w:ascii="Aptos" w:hAnsi="Aptos" w:cs="Calibri"/>
          <w:szCs w:val="22"/>
        </w:rPr>
        <w:t>GBV</w:t>
      </w:r>
      <w:r w:rsidRPr="00F45378">
        <w:rPr>
          <w:rFonts w:ascii="Aptos" w:hAnsi="Aptos" w:cs="Calibri"/>
          <w:szCs w:val="22"/>
        </w:rPr>
        <w:t>. This ensures that support is both targeted and proportionate, while encouraging providers to progressively enhance their systems and culture.</w:t>
      </w:r>
    </w:p>
    <w:p w14:paraId="0AE1A86B" w14:textId="77777777" w:rsidR="00CC18E0" w:rsidRPr="00F45378" w:rsidRDefault="00CC18E0" w:rsidP="00CC18E0">
      <w:pPr>
        <w:spacing w:before="120" w:after="120" w:line="240" w:lineRule="auto"/>
        <w:rPr>
          <w:rFonts w:ascii="Aptos" w:hAnsi="Aptos" w:cs="Calibri"/>
          <w:szCs w:val="22"/>
        </w:rPr>
      </w:pPr>
      <w:r w:rsidRPr="00F45378">
        <w:rPr>
          <w:rFonts w:ascii="Aptos" w:hAnsi="Aptos" w:cs="Calibri"/>
          <w:szCs w:val="22"/>
        </w:rPr>
        <w:t xml:space="preserve">Above all, these materials will be data-driven, and evidence informed. These materials will be reactive to change and updated annually to ensure constant relevance. </w:t>
      </w:r>
    </w:p>
    <w:p w14:paraId="41CC9E68" w14:textId="6AA7613B" w:rsidR="00F23943" w:rsidRDefault="009A5F21" w:rsidP="004562FD">
      <w:pPr>
        <w:pStyle w:val="Heading3"/>
      </w:pPr>
      <w:bookmarkStart w:id="247" w:name="_Toc204682649"/>
      <w:bookmarkStart w:id="248" w:name="_Toc204699909"/>
      <w:bookmarkStart w:id="249" w:name="_Toc204763360"/>
      <w:bookmarkStart w:id="250" w:name="_Toc204764928"/>
      <w:bookmarkStart w:id="251" w:name="_Toc205216940"/>
      <w:r>
        <w:lastRenderedPageBreak/>
        <w:t>Implementation challenges and risks</w:t>
      </w:r>
      <w:bookmarkEnd w:id="247"/>
      <w:bookmarkEnd w:id="248"/>
      <w:bookmarkEnd w:id="249"/>
      <w:bookmarkEnd w:id="250"/>
      <w:bookmarkEnd w:id="251"/>
    </w:p>
    <w:p w14:paraId="5CFFB5D4" w14:textId="2B5E93E3" w:rsidR="00833C68" w:rsidRDefault="00833C68" w:rsidP="00650AAB">
      <w:pPr>
        <w:rPr>
          <w:szCs w:val="22"/>
        </w:rPr>
      </w:pPr>
      <w:r>
        <w:rPr>
          <w:szCs w:val="22"/>
        </w:rPr>
        <w:t>The department has considered the challenges and risks of implementing the National Code</w:t>
      </w:r>
      <w:r w:rsidR="00B63726">
        <w:rPr>
          <w:szCs w:val="22"/>
        </w:rPr>
        <w:t xml:space="preserve"> and is adequately prepared to mitigate these risks and address challenges. </w:t>
      </w:r>
    </w:p>
    <w:p w14:paraId="086AD907" w14:textId="540E6D98" w:rsidR="00650AAB" w:rsidRPr="00F45378" w:rsidRDefault="00650AAB" w:rsidP="00650AAB">
      <w:pPr>
        <w:rPr>
          <w:b/>
          <w:bCs/>
          <w:szCs w:val="22"/>
        </w:rPr>
      </w:pPr>
      <w:r w:rsidRPr="00F45378">
        <w:rPr>
          <w:b/>
          <w:bCs/>
          <w:szCs w:val="22"/>
        </w:rPr>
        <w:t>Legislation</w:t>
      </w:r>
    </w:p>
    <w:p w14:paraId="431C8ABB" w14:textId="77777777" w:rsidR="00767E62" w:rsidRDefault="00767E62" w:rsidP="00767E62">
      <w:pPr>
        <w:rPr>
          <w:szCs w:val="22"/>
        </w:rPr>
      </w:pPr>
      <w:r>
        <w:rPr>
          <w:szCs w:val="22"/>
        </w:rPr>
        <w:t xml:space="preserve">The National Code requires the creation of </w:t>
      </w:r>
      <w:r w:rsidRPr="00F45378">
        <w:rPr>
          <w:szCs w:val="22"/>
        </w:rPr>
        <w:t>legislat</w:t>
      </w:r>
      <w:r>
        <w:rPr>
          <w:szCs w:val="22"/>
        </w:rPr>
        <w:t>ion</w:t>
      </w:r>
      <w:r w:rsidRPr="00F45378">
        <w:rPr>
          <w:szCs w:val="22"/>
        </w:rPr>
        <w:t xml:space="preserve"> </w:t>
      </w:r>
      <w:r>
        <w:rPr>
          <w:szCs w:val="22"/>
        </w:rPr>
        <w:t>that is</w:t>
      </w:r>
      <w:r w:rsidRPr="00F45378">
        <w:rPr>
          <w:szCs w:val="22"/>
        </w:rPr>
        <w:t xml:space="preserve"> subject to parliamentary processes and timeframes</w:t>
      </w:r>
      <w:r>
        <w:rPr>
          <w:szCs w:val="22"/>
        </w:rPr>
        <w:t>. The risk of delay has been mitigated by a draft of the National Code being</w:t>
      </w:r>
      <w:r w:rsidRPr="00F45378">
        <w:rPr>
          <w:szCs w:val="22"/>
        </w:rPr>
        <w:t xml:space="preserve"> </w:t>
      </w:r>
      <w:r>
        <w:rPr>
          <w:szCs w:val="22"/>
        </w:rPr>
        <w:t>tabled alongside the enabling legislation in February 2025, as well as regular engagement from the department to HEPs to provide updates of the legislative process. This</w:t>
      </w:r>
      <w:r w:rsidRPr="00F45378">
        <w:rPr>
          <w:szCs w:val="22"/>
        </w:rPr>
        <w:t xml:space="preserve"> </w:t>
      </w:r>
      <w:r>
        <w:rPr>
          <w:szCs w:val="22"/>
        </w:rPr>
        <w:t xml:space="preserve">provided transparency and has allowed HEPs to prepare for implementation in advance of the passage of the legislation. </w:t>
      </w:r>
    </w:p>
    <w:p w14:paraId="42FF1F55" w14:textId="364504AA" w:rsidR="00650AAB" w:rsidRPr="00F45378" w:rsidRDefault="00650AAB" w:rsidP="00650AAB">
      <w:pPr>
        <w:rPr>
          <w:b/>
          <w:bCs/>
          <w:szCs w:val="22"/>
        </w:rPr>
      </w:pPr>
      <w:r w:rsidRPr="00F45378">
        <w:rPr>
          <w:b/>
          <w:bCs/>
          <w:szCs w:val="22"/>
        </w:rPr>
        <w:t xml:space="preserve">Privacy </w:t>
      </w:r>
    </w:p>
    <w:p w14:paraId="1642EEE3" w14:textId="71EC0D36" w:rsidR="009E1D14" w:rsidRPr="00F45378" w:rsidRDefault="00650AAB" w:rsidP="00650AAB">
      <w:pPr>
        <w:rPr>
          <w:szCs w:val="22"/>
        </w:rPr>
      </w:pPr>
      <w:r w:rsidRPr="00F45378">
        <w:rPr>
          <w:szCs w:val="22"/>
        </w:rPr>
        <w:t xml:space="preserve">The </w:t>
      </w:r>
      <w:r w:rsidR="008743F1" w:rsidRPr="00F45378">
        <w:rPr>
          <w:szCs w:val="22"/>
        </w:rPr>
        <w:t>National Code</w:t>
      </w:r>
      <w:r w:rsidRPr="00F45378">
        <w:rPr>
          <w:szCs w:val="22"/>
        </w:rPr>
        <w:t xml:space="preserve"> requires providers to collect, report and analyse data in relation to </w:t>
      </w:r>
      <w:r w:rsidR="00100DD6" w:rsidRPr="00F45378">
        <w:rPr>
          <w:szCs w:val="22"/>
        </w:rPr>
        <w:t>gender-based violence</w:t>
      </w:r>
      <w:r w:rsidRPr="00F45378">
        <w:rPr>
          <w:szCs w:val="22"/>
        </w:rPr>
        <w:t>. This includes:</w:t>
      </w:r>
    </w:p>
    <w:p w14:paraId="19B35528" w14:textId="77777777" w:rsidR="0080053D" w:rsidRPr="00F45378" w:rsidRDefault="00650AAB" w:rsidP="00374E2E">
      <w:pPr>
        <w:pStyle w:val="ListParagraph"/>
        <w:numPr>
          <w:ilvl w:val="0"/>
          <w:numId w:val="102"/>
        </w:numPr>
        <w:rPr>
          <w:szCs w:val="22"/>
        </w:rPr>
      </w:pPr>
      <w:r w:rsidRPr="00F45378">
        <w:rPr>
          <w:szCs w:val="22"/>
        </w:rPr>
        <w:t>Process data on implementation of policies, procedures, plans and other related activities</w:t>
      </w:r>
    </w:p>
    <w:p w14:paraId="4A296090" w14:textId="2E40D3D4" w:rsidR="0080053D" w:rsidRPr="00F45378" w:rsidRDefault="00650AAB" w:rsidP="00374E2E">
      <w:pPr>
        <w:pStyle w:val="ListParagraph"/>
        <w:numPr>
          <w:ilvl w:val="0"/>
          <w:numId w:val="102"/>
        </w:numPr>
        <w:rPr>
          <w:szCs w:val="22"/>
        </w:rPr>
      </w:pPr>
      <w:r w:rsidRPr="00F45378">
        <w:rPr>
          <w:szCs w:val="22"/>
        </w:rPr>
        <w:t xml:space="preserve">De-identified data on incidents of </w:t>
      </w:r>
      <w:r w:rsidR="00B7771B" w:rsidRPr="00F45378">
        <w:rPr>
          <w:szCs w:val="22"/>
        </w:rPr>
        <w:t>GBV</w:t>
      </w:r>
      <w:r w:rsidRPr="00F45378">
        <w:rPr>
          <w:szCs w:val="22"/>
        </w:rPr>
        <w:t>, to enable trend analysis and systemic responses</w:t>
      </w:r>
    </w:p>
    <w:p w14:paraId="52E8B9D1" w14:textId="35F4C6BF" w:rsidR="00650AAB" w:rsidRPr="00F45378" w:rsidRDefault="00650AAB" w:rsidP="00374E2E">
      <w:pPr>
        <w:pStyle w:val="ListParagraph"/>
        <w:numPr>
          <w:ilvl w:val="0"/>
          <w:numId w:val="102"/>
        </w:numPr>
        <w:rPr>
          <w:szCs w:val="22"/>
        </w:rPr>
      </w:pPr>
      <w:r w:rsidRPr="00F45378">
        <w:rPr>
          <w:szCs w:val="22"/>
        </w:rPr>
        <w:t xml:space="preserve">De-identified demographic data, and enrolment/engagement characteristics of </w:t>
      </w:r>
      <w:r w:rsidR="00BC0086">
        <w:rPr>
          <w:szCs w:val="22"/>
        </w:rPr>
        <w:t>D</w:t>
      </w:r>
      <w:r w:rsidRPr="00F45378">
        <w:rPr>
          <w:szCs w:val="22"/>
        </w:rPr>
        <w:t xml:space="preserve">isclosers and </w:t>
      </w:r>
      <w:r w:rsidR="00BC0086">
        <w:rPr>
          <w:szCs w:val="22"/>
        </w:rPr>
        <w:t>R</w:t>
      </w:r>
      <w:r w:rsidRPr="00F45378">
        <w:rPr>
          <w:szCs w:val="22"/>
        </w:rPr>
        <w:t>espondents</w:t>
      </w:r>
    </w:p>
    <w:p w14:paraId="56EB675C" w14:textId="7CE691E8" w:rsidR="00C81BB0" w:rsidRPr="00F45378" w:rsidRDefault="00650AAB" w:rsidP="00650AAB">
      <w:pPr>
        <w:rPr>
          <w:szCs w:val="22"/>
        </w:rPr>
      </w:pPr>
      <w:r w:rsidRPr="00F45378">
        <w:rPr>
          <w:szCs w:val="22"/>
        </w:rPr>
        <w:t xml:space="preserve">This data ensures compliance and accountability, strengthens systems, evaluating </w:t>
      </w:r>
      <w:r w:rsidR="00BC0086">
        <w:rPr>
          <w:szCs w:val="22"/>
        </w:rPr>
        <w:t>individual HEP</w:t>
      </w:r>
      <w:r w:rsidR="00BC0086" w:rsidRPr="00F45378">
        <w:rPr>
          <w:szCs w:val="22"/>
        </w:rPr>
        <w:t xml:space="preserve"> </w:t>
      </w:r>
      <w:r w:rsidRPr="00F45378">
        <w:rPr>
          <w:szCs w:val="22"/>
        </w:rPr>
        <w:t>and sector impact, and collating data to expand the national database.</w:t>
      </w:r>
      <w:r w:rsidR="00BC0086">
        <w:rPr>
          <w:szCs w:val="22"/>
        </w:rPr>
        <w:t xml:space="preserve"> With any requirements to collect data there is an inherent risk to privacy. In relation to GBV, </w:t>
      </w:r>
      <w:r w:rsidR="00CF2911">
        <w:rPr>
          <w:szCs w:val="22"/>
        </w:rPr>
        <w:t>t</w:t>
      </w:r>
      <w:r w:rsidR="00FA500B">
        <w:rPr>
          <w:szCs w:val="22"/>
        </w:rPr>
        <w:t>he consequences of a privacy breach could be significant, and result in harm to individuals that may be identified and loss of trust in institutional or government processes.</w:t>
      </w:r>
      <w:r w:rsidR="00857EB0">
        <w:rPr>
          <w:szCs w:val="22"/>
        </w:rPr>
        <w:t xml:space="preserve"> T</w:t>
      </w:r>
      <w:r w:rsidR="007452C6">
        <w:rPr>
          <w:szCs w:val="22"/>
        </w:rPr>
        <w:t>o</w:t>
      </w:r>
      <w:r w:rsidR="00857EB0">
        <w:rPr>
          <w:szCs w:val="22"/>
        </w:rPr>
        <w:t xml:space="preserve"> mitigate this risk safeguards have been embedded into the National Code that require HEPs to</w:t>
      </w:r>
      <w:r w:rsidR="005E58D9" w:rsidRPr="005E58D9">
        <w:rPr>
          <w:szCs w:val="22"/>
        </w:rPr>
        <w:t xml:space="preserve"> provide de-identified information and otherwise undertake </w:t>
      </w:r>
      <w:r w:rsidR="0086531E">
        <w:rPr>
          <w:szCs w:val="22"/>
        </w:rPr>
        <w:t>their</w:t>
      </w:r>
      <w:r w:rsidR="005E58D9" w:rsidRPr="005E58D9">
        <w:rPr>
          <w:szCs w:val="22"/>
        </w:rPr>
        <w:t xml:space="preserve"> obligations under the National Code in accordance with applicable Commonwealth, State and Territory privacy laws, or where no other privacy laws apply with reference to the Australian Privacy Principles.  As well as requiring </w:t>
      </w:r>
      <w:r w:rsidR="00857EB0">
        <w:rPr>
          <w:szCs w:val="22"/>
        </w:rPr>
        <w:t>HEPs</w:t>
      </w:r>
      <w:r w:rsidR="005E58D9" w:rsidRPr="005E58D9">
        <w:rPr>
          <w:szCs w:val="22"/>
        </w:rPr>
        <w:t xml:space="preserve"> to be bound by privacy laws, the National Code also specifies that data may be published unless it would have the effect that an individual is identifiable or reasonably identifiable. </w:t>
      </w:r>
      <w:r w:rsidRPr="00F45378">
        <w:rPr>
          <w:szCs w:val="22"/>
        </w:rPr>
        <w:t xml:space="preserve">The </w:t>
      </w:r>
      <w:r w:rsidR="00A5177C">
        <w:rPr>
          <w:szCs w:val="22"/>
        </w:rPr>
        <w:t>d</w:t>
      </w:r>
      <w:r w:rsidRPr="00F45378">
        <w:rPr>
          <w:szCs w:val="22"/>
        </w:rPr>
        <w:t xml:space="preserve">epartment itself may receive identifiable information, likely through individual complaints and disclosures related to </w:t>
      </w:r>
      <w:r w:rsidR="00B7771B" w:rsidRPr="00F45378">
        <w:rPr>
          <w:szCs w:val="22"/>
        </w:rPr>
        <w:t>GBV</w:t>
      </w:r>
      <w:r w:rsidRPr="00F45378">
        <w:rPr>
          <w:szCs w:val="22"/>
        </w:rPr>
        <w:t xml:space="preserve">. The </w:t>
      </w:r>
      <w:r w:rsidR="00A124FC">
        <w:rPr>
          <w:szCs w:val="22"/>
        </w:rPr>
        <w:t>department</w:t>
      </w:r>
      <w:r w:rsidR="00135A7D" w:rsidRPr="00F45378">
        <w:rPr>
          <w:szCs w:val="22"/>
        </w:rPr>
        <w:t xml:space="preserve"> </w:t>
      </w:r>
      <w:r w:rsidRPr="00F45378">
        <w:rPr>
          <w:szCs w:val="22"/>
        </w:rPr>
        <w:t>will have the power to refer complaints to the N</w:t>
      </w:r>
      <w:r w:rsidR="007452C6">
        <w:rPr>
          <w:szCs w:val="22"/>
        </w:rPr>
        <w:t>SO</w:t>
      </w:r>
      <w:r w:rsidRPr="00F45378">
        <w:rPr>
          <w:szCs w:val="22"/>
        </w:rPr>
        <w:t>, but only with the informed consent of the student</w:t>
      </w:r>
      <w:r w:rsidR="007452C6">
        <w:rPr>
          <w:szCs w:val="22"/>
        </w:rPr>
        <w:t xml:space="preserve">, and will </w:t>
      </w:r>
      <w:r w:rsidR="00415F58">
        <w:rPr>
          <w:szCs w:val="22"/>
        </w:rPr>
        <w:t xml:space="preserve">communicate with the NSO </w:t>
      </w:r>
      <w:r w:rsidRPr="00F45378">
        <w:rPr>
          <w:szCs w:val="22"/>
        </w:rPr>
        <w:t xml:space="preserve">to ensure that complaints are appropriately referred and considered, while maintaining compliance with privacy laws and principles. </w:t>
      </w:r>
    </w:p>
    <w:p w14:paraId="04D14E38" w14:textId="3983CB8A" w:rsidR="00650AAB" w:rsidRPr="00F45378" w:rsidRDefault="00650AAB" w:rsidP="00650AAB">
      <w:pPr>
        <w:rPr>
          <w:b/>
          <w:bCs/>
          <w:szCs w:val="22"/>
        </w:rPr>
      </w:pPr>
      <w:r w:rsidRPr="00F45378">
        <w:rPr>
          <w:b/>
          <w:bCs/>
          <w:szCs w:val="22"/>
        </w:rPr>
        <w:t xml:space="preserve">Variability of HEPs </w:t>
      </w:r>
    </w:p>
    <w:p w14:paraId="6CB263ED" w14:textId="0C27CDE7" w:rsidR="00650AAB" w:rsidRPr="00F45378" w:rsidRDefault="00650AAB" w:rsidP="00650AAB">
      <w:pPr>
        <w:rPr>
          <w:szCs w:val="22"/>
        </w:rPr>
      </w:pPr>
      <w:r w:rsidRPr="00F45378">
        <w:rPr>
          <w:szCs w:val="22"/>
        </w:rPr>
        <w:t xml:space="preserve">Australia’s higher education sector is made up of </w:t>
      </w:r>
      <w:r w:rsidR="0062187C">
        <w:rPr>
          <w:szCs w:val="22"/>
        </w:rPr>
        <w:t xml:space="preserve">211 </w:t>
      </w:r>
      <w:r w:rsidRPr="00F45378">
        <w:rPr>
          <w:szCs w:val="22"/>
        </w:rPr>
        <w:t>diverse providers, reflecting the varied nature of the sector. This include</w:t>
      </w:r>
      <w:r w:rsidR="006C512B">
        <w:rPr>
          <w:szCs w:val="22"/>
        </w:rPr>
        <w:t>s</w:t>
      </w:r>
      <w:r w:rsidRPr="00F45378">
        <w:rPr>
          <w:szCs w:val="22"/>
        </w:rPr>
        <w:t xml:space="preserve"> public universities, private universities, university colleges, and a wide range of non-university </w:t>
      </w:r>
      <w:r w:rsidR="006C512B">
        <w:rPr>
          <w:szCs w:val="22"/>
        </w:rPr>
        <w:t>HEPs</w:t>
      </w:r>
      <w:r w:rsidRPr="00F45378">
        <w:rPr>
          <w:szCs w:val="22"/>
        </w:rPr>
        <w:t xml:space="preserve">, such as theological colleges and business schools. These </w:t>
      </w:r>
      <w:r w:rsidR="006C512B">
        <w:rPr>
          <w:szCs w:val="22"/>
        </w:rPr>
        <w:t>HEPs</w:t>
      </w:r>
      <w:r w:rsidR="006C512B" w:rsidRPr="00F45378">
        <w:rPr>
          <w:szCs w:val="22"/>
        </w:rPr>
        <w:t xml:space="preserve"> </w:t>
      </w:r>
      <w:r w:rsidRPr="00F45378">
        <w:rPr>
          <w:szCs w:val="22"/>
        </w:rPr>
        <w:t>operate across a spectrum of contexts</w:t>
      </w:r>
      <w:r w:rsidR="006C512B">
        <w:rPr>
          <w:szCs w:val="22"/>
        </w:rPr>
        <w:t xml:space="preserve"> including </w:t>
      </w:r>
      <w:r w:rsidRPr="00F45378">
        <w:rPr>
          <w:szCs w:val="22"/>
        </w:rPr>
        <w:t xml:space="preserve">metropolitan centres, regional areas, online and/or blended models. This diversity means that </w:t>
      </w:r>
      <w:r w:rsidR="006C512B">
        <w:rPr>
          <w:szCs w:val="22"/>
        </w:rPr>
        <w:t>HEPs</w:t>
      </w:r>
      <w:r w:rsidR="006C512B" w:rsidRPr="00F45378">
        <w:rPr>
          <w:szCs w:val="22"/>
        </w:rPr>
        <w:t xml:space="preserve"> </w:t>
      </w:r>
      <w:r w:rsidRPr="00F45378">
        <w:rPr>
          <w:szCs w:val="22"/>
        </w:rPr>
        <w:t xml:space="preserve">vary </w:t>
      </w:r>
      <w:r w:rsidRPr="00F45378">
        <w:rPr>
          <w:szCs w:val="22"/>
        </w:rPr>
        <w:lastRenderedPageBreak/>
        <w:t>significantly in size,</w:t>
      </w:r>
      <w:r w:rsidR="00032468">
        <w:rPr>
          <w:szCs w:val="22"/>
        </w:rPr>
        <w:t xml:space="preserve"> </w:t>
      </w:r>
      <w:r w:rsidRPr="00F45378">
        <w:rPr>
          <w:szCs w:val="22"/>
        </w:rPr>
        <w:t>demographics</w:t>
      </w:r>
      <w:r w:rsidR="00032468">
        <w:rPr>
          <w:szCs w:val="22"/>
        </w:rPr>
        <w:t xml:space="preserve"> and </w:t>
      </w:r>
      <w:r w:rsidRPr="00F45378">
        <w:rPr>
          <w:szCs w:val="22"/>
        </w:rPr>
        <w:t>capability</w:t>
      </w:r>
      <w:r w:rsidR="00032468">
        <w:rPr>
          <w:szCs w:val="22"/>
        </w:rPr>
        <w:t>,</w:t>
      </w:r>
      <w:r w:rsidRPr="00F45378">
        <w:rPr>
          <w:szCs w:val="22"/>
        </w:rPr>
        <w:t xml:space="preserve"> </w:t>
      </w:r>
      <w:r w:rsidR="00D87551">
        <w:rPr>
          <w:szCs w:val="22"/>
        </w:rPr>
        <w:t>and</w:t>
      </w:r>
      <w:r w:rsidR="00032468">
        <w:rPr>
          <w:szCs w:val="22"/>
        </w:rPr>
        <w:t xml:space="preserve"> this</w:t>
      </w:r>
      <w:r w:rsidR="00D87551">
        <w:rPr>
          <w:szCs w:val="22"/>
        </w:rPr>
        <w:t xml:space="preserve"> presents a moderate to high likelihood of varied implementation. </w:t>
      </w:r>
    </w:p>
    <w:p w14:paraId="12B07409" w14:textId="5B128F60" w:rsidR="00650AAB" w:rsidRPr="00F45378" w:rsidRDefault="00D87551" w:rsidP="00650AAB">
      <w:pPr>
        <w:rPr>
          <w:szCs w:val="22"/>
        </w:rPr>
      </w:pPr>
      <w:r>
        <w:rPr>
          <w:szCs w:val="22"/>
        </w:rPr>
        <w:t xml:space="preserve">Factors </w:t>
      </w:r>
      <w:r w:rsidR="00650AAB" w:rsidRPr="00F45378">
        <w:rPr>
          <w:szCs w:val="22"/>
        </w:rPr>
        <w:t xml:space="preserve">for variability will include their institutional capability, resourcing and maturity in preventing and responding to </w:t>
      </w:r>
      <w:r w:rsidR="00B7771B" w:rsidRPr="00F45378">
        <w:rPr>
          <w:szCs w:val="22"/>
        </w:rPr>
        <w:t>GBV</w:t>
      </w:r>
      <w:r w:rsidR="00650AAB" w:rsidRPr="00F45378">
        <w:rPr>
          <w:szCs w:val="22"/>
        </w:rPr>
        <w:t xml:space="preserve">. </w:t>
      </w:r>
      <w:r w:rsidR="00032468">
        <w:rPr>
          <w:szCs w:val="22"/>
        </w:rPr>
        <w:t>S</w:t>
      </w:r>
      <w:r w:rsidR="00650AAB" w:rsidRPr="00F45378">
        <w:rPr>
          <w:szCs w:val="22"/>
        </w:rPr>
        <w:t xml:space="preserve">ome </w:t>
      </w:r>
      <w:r w:rsidR="00032468">
        <w:rPr>
          <w:szCs w:val="22"/>
        </w:rPr>
        <w:t>HEPs</w:t>
      </w:r>
      <w:r w:rsidR="00032468" w:rsidRPr="00F45378">
        <w:rPr>
          <w:szCs w:val="22"/>
        </w:rPr>
        <w:t xml:space="preserve"> </w:t>
      </w:r>
      <w:r w:rsidR="00650AAB" w:rsidRPr="00F45378">
        <w:rPr>
          <w:szCs w:val="22"/>
        </w:rPr>
        <w:t xml:space="preserve">have established policies and procedures and dedicate staff, </w:t>
      </w:r>
      <w:r w:rsidR="005277F7">
        <w:rPr>
          <w:szCs w:val="22"/>
        </w:rPr>
        <w:t xml:space="preserve">while </w:t>
      </w:r>
      <w:r w:rsidR="00650AAB" w:rsidRPr="00F45378">
        <w:rPr>
          <w:szCs w:val="22"/>
        </w:rPr>
        <w:t xml:space="preserve">others may </w:t>
      </w:r>
      <w:r w:rsidR="00D50BBF">
        <w:rPr>
          <w:szCs w:val="22"/>
        </w:rPr>
        <w:t xml:space="preserve">have less resources. </w:t>
      </w:r>
      <w:r w:rsidR="000D34E6" w:rsidRPr="000D34E6">
        <w:rPr>
          <w:szCs w:val="22"/>
        </w:rPr>
        <w:t>The consequences of this variability include delayed or partial compliance, inconsistent student experiences, and reduced effectiveness of sector-wide GBV prevention and response efforts.</w:t>
      </w:r>
    </w:p>
    <w:p w14:paraId="0437D5AF" w14:textId="039AA115" w:rsidR="00650AAB" w:rsidRPr="00F45378" w:rsidRDefault="00650AAB" w:rsidP="00650AAB">
      <w:pPr>
        <w:rPr>
          <w:szCs w:val="22"/>
        </w:rPr>
      </w:pPr>
      <w:r w:rsidRPr="00F45378">
        <w:rPr>
          <w:szCs w:val="22"/>
        </w:rPr>
        <w:t xml:space="preserve">To mitigate this risk, the </w:t>
      </w:r>
      <w:r w:rsidR="008743F1" w:rsidRPr="00F45378">
        <w:rPr>
          <w:szCs w:val="22"/>
        </w:rPr>
        <w:t>National Code</w:t>
      </w:r>
      <w:r w:rsidRPr="00F45378">
        <w:rPr>
          <w:szCs w:val="22"/>
        </w:rPr>
        <w:t xml:space="preserve"> will be implemented in a phased approach:</w:t>
      </w:r>
    </w:p>
    <w:p w14:paraId="69F82170" w14:textId="35A7B29A" w:rsidR="0080053D" w:rsidRPr="00857D1F" w:rsidRDefault="004B212C" w:rsidP="00374E2E">
      <w:pPr>
        <w:pStyle w:val="ListParagraph"/>
        <w:numPr>
          <w:ilvl w:val="0"/>
          <w:numId w:val="103"/>
        </w:numPr>
        <w:rPr>
          <w:szCs w:val="22"/>
        </w:rPr>
      </w:pPr>
      <w:r>
        <w:rPr>
          <w:szCs w:val="22"/>
        </w:rPr>
        <w:t>Table A and B</w:t>
      </w:r>
      <w:r w:rsidR="00D93787">
        <w:rPr>
          <w:szCs w:val="22"/>
        </w:rPr>
        <w:t xml:space="preserve"> providers </w:t>
      </w:r>
      <w:r w:rsidR="00650AAB" w:rsidRPr="00F45378">
        <w:rPr>
          <w:szCs w:val="22"/>
        </w:rPr>
        <w:t xml:space="preserve">begin </w:t>
      </w:r>
      <w:r w:rsidR="00650AAB" w:rsidRPr="00857D1F">
        <w:rPr>
          <w:szCs w:val="22"/>
        </w:rPr>
        <w:t>compliance on</w:t>
      </w:r>
      <w:r w:rsidR="00857D1F" w:rsidRPr="00857D1F">
        <w:rPr>
          <w:szCs w:val="22"/>
        </w:rPr>
        <w:t xml:space="preserve"> 1</w:t>
      </w:r>
      <w:r w:rsidR="00650AAB" w:rsidRPr="00857D1F">
        <w:rPr>
          <w:szCs w:val="22"/>
        </w:rPr>
        <w:t xml:space="preserve"> January 2026</w:t>
      </w:r>
      <w:r w:rsidR="008A4BB7" w:rsidRPr="00857D1F">
        <w:rPr>
          <w:szCs w:val="22"/>
        </w:rPr>
        <w:t>.</w:t>
      </w:r>
    </w:p>
    <w:p w14:paraId="2FCBF92D" w14:textId="55984191" w:rsidR="00650AAB" w:rsidRPr="00857D1F" w:rsidRDefault="00D93787" w:rsidP="00374E2E">
      <w:pPr>
        <w:pStyle w:val="ListParagraph"/>
        <w:numPr>
          <w:ilvl w:val="0"/>
          <w:numId w:val="103"/>
        </w:numPr>
        <w:rPr>
          <w:szCs w:val="22"/>
        </w:rPr>
      </w:pPr>
      <w:r w:rsidRPr="00857D1F">
        <w:rPr>
          <w:szCs w:val="22"/>
        </w:rPr>
        <w:t>All other providers</w:t>
      </w:r>
      <w:r w:rsidR="00650AAB" w:rsidRPr="00857D1F">
        <w:rPr>
          <w:szCs w:val="22"/>
        </w:rPr>
        <w:t xml:space="preserve"> begin compliance on </w:t>
      </w:r>
      <w:r w:rsidR="00857D1F" w:rsidRPr="00857D1F">
        <w:rPr>
          <w:szCs w:val="22"/>
        </w:rPr>
        <w:t xml:space="preserve">1 </w:t>
      </w:r>
      <w:r w:rsidR="00650AAB" w:rsidRPr="00857D1F">
        <w:rPr>
          <w:szCs w:val="22"/>
        </w:rPr>
        <w:t xml:space="preserve">January 2027. </w:t>
      </w:r>
    </w:p>
    <w:p w14:paraId="3F22FC1A" w14:textId="4E0F3599" w:rsidR="00650AAB" w:rsidRPr="00F45378" w:rsidRDefault="00650AAB" w:rsidP="00650AAB">
      <w:pPr>
        <w:rPr>
          <w:szCs w:val="22"/>
        </w:rPr>
      </w:pPr>
      <w:r w:rsidRPr="00857D1F">
        <w:rPr>
          <w:szCs w:val="22"/>
        </w:rPr>
        <w:t>This staggered timeline</w:t>
      </w:r>
      <w:r w:rsidR="00A55261">
        <w:rPr>
          <w:szCs w:val="22"/>
        </w:rPr>
        <w:t xml:space="preserve"> allows other </w:t>
      </w:r>
      <w:r w:rsidR="00797DFB">
        <w:rPr>
          <w:szCs w:val="22"/>
        </w:rPr>
        <w:t>HEPs</w:t>
      </w:r>
      <w:r w:rsidR="00A55261">
        <w:rPr>
          <w:szCs w:val="22"/>
        </w:rPr>
        <w:t xml:space="preserve"> more time to prepare and implement processes to ensure compliance by 1 January 2027. Table A and B providers (who are largely made up on universities) and required to comply on 1 January 2026, that </w:t>
      </w:r>
      <w:r w:rsidRPr="00857D1F">
        <w:rPr>
          <w:szCs w:val="22"/>
        </w:rPr>
        <w:t>reflects the government’s expectation</w:t>
      </w:r>
      <w:r w:rsidRPr="00F45378">
        <w:rPr>
          <w:szCs w:val="22"/>
        </w:rPr>
        <w:t xml:space="preserve"> that universities already have some processes in place to address </w:t>
      </w:r>
      <w:r w:rsidR="00B7771B" w:rsidRPr="00F45378">
        <w:rPr>
          <w:szCs w:val="22"/>
        </w:rPr>
        <w:t>GBV</w:t>
      </w:r>
      <w:r w:rsidRPr="00F45378">
        <w:rPr>
          <w:szCs w:val="22"/>
        </w:rPr>
        <w:t xml:space="preserve">. This is supported by findings from a 2024 report by the Australian Human Rights Institute which reported that nearly all universities have stand-alone policies on sexual violence, online reporting mechanisms, clear guidance on how students and staff can access support </w:t>
      </w:r>
      <w:r w:rsidR="0080053D" w:rsidRPr="00F45378">
        <w:rPr>
          <w:szCs w:val="22"/>
        </w:rPr>
        <w:t>services.</w:t>
      </w:r>
      <w:r w:rsidRPr="00F45378">
        <w:rPr>
          <w:szCs w:val="22"/>
        </w:rPr>
        <w:t xml:space="preserve"> </w:t>
      </w:r>
    </w:p>
    <w:p w14:paraId="3C2E5999" w14:textId="75C19AA3" w:rsidR="00650AAB" w:rsidRPr="00F45378" w:rsidRDefault="00650AAB" w:rsidP="00650AAB">
      <w:pPr>
        <w:rPr>
          <w:b/>
          <w:bCs/>
          <w:szCs w:val="22"/>
        </w:rPr>
      </w:pPr>
      <w:r w:rsidRPr="00F45378">
        <w:rPr>
          <w:b/>
          <w:bCs/>
          <w:szCs w:val="22"/>
        </w:rPr>
        <w:t xml:space="preserve">HEPs engagement with the </w:t>
      </w:r>
      <w:r w:rsidR="008743F1" w:rsidRPr="00F45378">
        <w:rPr>
          <w:b/>
          <w:bCs/>
          <w:szCs w:val="22"/>
        </w:rPr>
        <w:t>National Code</w:t>
      </w:r>
    </w:p>
    <w:p w14:paraId="5930087D" w14:textId="6B6E6C28" w:rsidR="00650AAB" w:rsidRPr="00F45378" w:rsidRDefault="00650AAB" w:rsidP="00650AAB">
      <w:pPr>
        <w:rPr>
          <w:szCs w:val="22"/>
        </w:rPr>
      </w:pPr>
      <w:r w:rsidRPr="00F45378">
        <w:rPr>
          <w:szCs w:val="22"/>
        </w:rPr>
        <w:t xml:space="preserve">Recognising the significance of the proposed </w:t>
      </w:r>
      <w:r w:rsidR="008743F1" w:rsidRPr="00F45378">
        <w:rPr>
          <w:szCs w:val="22"/>
        </w:rPr>
        <w:t>National Code</w:t>
      </w:r>
      <w:r w:rsidRPr="00F45378">
        <w:rPr>
          <w:szCs w:val="22"/>
        </w:rPr>
        <w:t xml:space="preserve">, the </w:t>
      </w:r>
      <w:r w:rsidR="00A5177C">
        <w:rPr>
          <w:szCs w:val="22"/>
        </w:rPr>
        <w:t>d</w:t>
      </w:r>
      <w:r w:rsidRPr="00F45378">
        <w:rPr>
          <w:szCs w:val="22"/>
        </w:rPr>
        <w:t xml:space="preserve">epartment has ensured that </w:t>
      </w:r>
      <w:r w:rsidR="008B273C">
        <w:rPr>
          <w:szCs w:val="22"/>
        </w:rPr>
        <w:t>HEPs</w:t>
      </w:r>
      <w:r w:rsidR="008B273C" w:rsidRPr="00F45378">
        <w:rPr>
          <w:szCs w:val="22"/>
        </w:rPr>
        <w:t xml:space="preserve"> </w:t>
      </w:r>
      <w:r w:rsidRPr="00F45378">
        <w:rPr>
          <w:szCs w:val="22"/>
        </w:rPr>
        <w:t xml:space="preserve">have had ample opportunity to contribute, prepare and understand. </w:t>
      </w:r>
    </w:p>
    <w:p w14:paraId="1D0092C2" w14:textId="24463240" w:rsidR="00650AAB" w:rsidRPr="00F45378" w:rsidRDefault="00650AAB" w:rsidP="00650AAB">
      <w:pPr>
        <w:rPr>
          <w:szCs w:val="22"/>
        </w:rPr>
      </w:pPr>
      <w:r w:rsidRPr="00F45378">
        <w:rPr>
          <w:szCs w:val="22"/>
        </w:rPr>
        <w:t xml:space="preserve">As outlined in </w:t>
      </w:r>
      <w:r w:rsidR="00B81F6F">
        <w:rPr>
          <w:szCs w:val="22"/>
        </w:rPr>
        <w:t>C</w:t>
      </w:r>
      <w:r w:rsidRPr="00F45378">
        <w:rPr>
          <w:szCs w:val="22"/>
        </w:rPr>
        <w:t xml:space="preserve">hapter 5 the </w:t>
      </w:r>
      <w:r w:rsidR="008743F1" w:rsidRPr="00F45378">
        <w:rPr>
          <w:szCs w:val="22"/>
        </w:rPr>
        <w:t>National Code</w:t>
      </w:r>
      <w:r w:rsidRPr="00F45378">
        <w:rPr>
          <w:szCs w:val="22"/>
        </w:rPr>
        <w:t xml:space="preserve"> was developed through extensive consultation, allowing all </w:t>
      </w:r>
      <w:r w:rsidR="00F5428B">
        <w:rPr>
          <w:szCs w:val="22"/>
        </w:rPr>
        <w:t>HEPs</w:t>
      </w:r>
      <w:r w:rsidR="00F5428B" w:rsidRPr="00F45378">
        <w:rPr>
          <w:szCs w:val="22"/>
        </w:rPr>
        <w:t xml:space="preserve"> </w:t>
      </w:r>
      <w:r w:rsidRPr="00F45378">
        <w:rPr>
          <w:szCs w:val="22"/>
        </w:rPr>
        <w:t>and leaders in the sector to contribute to its design, through a range of forums</w:t>
      </w:r>
      <w:r w:rsidR="000E48A6">
        <w:rPr>
          <w:szCs w:val="22"/>
        </w:rPr>
        <w:t xml:space="preserve">, and the </w:t>
      </w:r>
      <w:r w:rsidR="008743F1" w:rsidRPr="00F45378">
        <w:rPr>
          <w:szCs w:val="22"/>
        </w:rPr>
        <w:t>National Code</w:t>
      </w:r>
      <w:r w:rsidRPr="00F45378">
        <w:rPr>
          <w:szCs w:val="22"/>
        </w:rPr>
        <w:t xml:space="preserve"> was tabled alongside the enabling legislation in February 2025. This ensured that the </w:t>
      </w:r>
      <w:r w:rsidR="008743F1" w:rsidRPr="00F45378">
        <w:rPr>
          <w:szCs w:val="22"/>
        </w:rPr>
        <w:t>National Code</w:t>
      </w:r>
      <w:r w:rsidRPr="00F45378">
        <w:rPr>
          <w:szCs w:val="22"/>
        </w:rPr>
        <w:t xml:space="preserve"> was publicly available </w:t>
      </w:r>
      <w:r w:rsidR="000E48A6">
        <w:rPr>
          <w:szCs w:val="22"/>
        </w:rPr>
        <w:t xml:space="preserve">to assist </w:t>
      </w:r>
      <w:r w:rsidRPr="00F45378">
        <w:rPr>
          <w:szCs w:val="22"/>
        </w:rPr>
        <w:t xml:space="preserve">HEPs </w:t>
      </w:r>
      <w:r w:rsidR="000E48A6">
        <w:rPr>
          <w:szCs w:val="22"/>
        </w:rPr>
        <w:t xml:space="preserve">preparation for implementation. </w:t>
      </w:r>
      <w:r w:rsidR="0001789F">
        <w:rPr>
          <w:szCs w:val="22"/>
        </w:rPr>
        <w:t xml:space="preserve">Despite these efforts, there still may be a low to moderate likelihood that some </w:t>
      </w:r>
      <w:r w:rsidR="000E48A6">
        <w:rPr>
          <w:szCs w:val="22"/>
        </w:rPr>
        <w:t>HEPs</w:t>
      </w:r>
      <w:r w:rsidR="0001789F">
        <w:rPr>
          <w:szCs w:val="22"/>
        </w:rPr>
        <w:t xml:space="preserve"> may not fully engage with the National Code</w:t>
      </w:r>
      <w:r w:rsidR="00DD009D">
        <w:rPr>
          <w:szCs w:val="22"/>
        </w:rPr>
        <w:t xml:space="preserve">. The </w:t>
      </w:r>
      <w:r w:rsidR="000E48A6">
        <w:rPr>
          <w:szCs w:val="22"/>
        </w:rPr>
        <w:t>consequence</w:t>
      </w:r>
      <w:r w:rsidR="00DD009D">
        <w:rPr>
          <w:szCs w:val="22"/>
        </w:rPr>
        <w:t xml:space="preserve"> of low engagement includes </w:t>
      </w:r>
      <w:r w:rsidR="000E48A6">
        <w:rPr>
          <w:szCs w:val="22"/>
        </w:rPr>
        <w:t>inconsistent</w:t>
      </w:r>
      <w:r w:rsidR="00DD009D">
        <w:rPr>
          <w:szCs w:val="22"/>
        </w:rPr>
        <w:t xml:space="preserve"> implementation, delayed compliance and reduced effectiveness of GBV prevention and response efforts. </w:t>
      </w:r>
    </w:p>
    <w:p w14:paraId="3A0AD3C6" w14:textId="106CBDF1" w:rsidR="00650AAB" w:rsidRPr="00F45378" w:rsidRDefault="00650AAB" w:rsidP="00650AAB">
      <w:pPr>
        <w:rPr>
          <w:szCs w:val="22"/>
        </w:rPr>
      </w:pPr>
      <w:r w:rsidRPr="00F45378">
        <w:rPr>
          <w:szCs w:val="22"/>
        </w:rPr>
        <w:t xml:space="preserve">To mitigate </w:t>
      </w:r>
      <w:r w:rsidR="000E48A6">
        <w:rPr>
          <w:szCs w:val="22"/>
        </w:rPr>
        <w:t xml:space="preserve">this </w:t>
      </w:r>
      <w:r w:rsidRPr="00F45378">
        <w:rPr>
          <w:szCs w:val="22"/>
        </w:rPr>
        <w:t xml:space="preserve">risk and facilitate successful implementation, the </w:t>
      </w:r>
      <w:r w:rsidR="00A5177C">
        <w:rPr>
          <w:szCs w:val="22"/>
        </w:rPr>
        <w:t>d</w:t>
      </w:r>
      <w:r w:rsidRPr="00F45378">
        <w:rPr>
          <w:szCs w:val="22"/>
        </w:rPr>
        <w:t xml:space="preserve">epartment will adopt a proactive and collaborative approach, pre- and post- implementation. </w:t>
      </w:r>
    </w:p>
    <w:p w14:paraId="2941E43B" w14:textId="306A23AF" w:rsidR="0080053D" w:rsidRPr="00F45378" w:rsidRDefault="00650AAB" w:rsidP="00374E2E">
      <w:pPr>
        <w:pStyle w:val="ListParagraph"/>
        <w:numPr>
          <w:ilvl w:val="0"/>
          <w:numId w:val="104"/>
        </w:numPr>
        <w:rPr>
          <w:szCs w:val="22"/>
        </w:rPr>
      </w:pPr>
      <w:r w:rsidRPr="00F45378">
        <w:rPr>
          <w:szCs w:val="22"/>
        </w:rPr>
        <w:t xml:space="preserve">The </w:t>
      </w:r>
      <w:r w:rsidR="00A5177C">
        <w:rPr>
          <w:szCs w:val="22"/>
        </w:rPr>
        <w:t>d</w:t>
      </w:r>
      <w:r w:rsidRPr="00F45378">
        <w:rPr>
          <w:szCs w:val="22"/>
        </w:rPr>
        <w:t xml:space="preserve">epartment will continue to conduct ongoing engagement with the sector to foster understanding, transparency and clarity on the </w:t>
      </w:r>
      <w:r w:rsidR="008743F1" w:rsidRPr="00F45378">
        <w:rPr>
          <w:szCs w:val="22"/>
        </w:rPr>
        <w:t>National Code</w:t>
      </w:r>
      <w:r w:rsidRPr="00F45378">
        <w:rPr>
          <w:szCs w:val="22"/>
        </w:rPr>
        <w:t xml:space="preserve">s high-level objectives. </w:t>
      </w:r>
    </w:p>
    <w:p w14:paraId="6929E5B4" w14:textId="29DE7789" w:rsidR="00650AAB" w:rsidRPr="00F45378" w:rsidRDefault="00773F84" w:rsidP="00374E2E">
      <w:pPr>
        <w:pStyle w:val="ListParagraph"/>
        <w:numPr>
          <w:ilvl w:val="0"/>
          <w:numId w:val="104"/>
        </w:numPr>
        <w:rPr>
          <w:szCs w:val="22"/>
        </w:rPr>
      </w:pPr>
      <w:r>
        <w:rPr>
          <w:szCs w:val="22"/>
        </w:rPr>
        <w:t>R</w:t>
      </w:r>
      <w:r w:rsidR="00650AAB" w:rsidRPr="00F45378">
        <w:rPr>
          <w:szCs w:val="22"/>
        </w:rPr>
        <w:t xml:space="preserve">egulatory guidance will also be developed to assist to HEPs in interpreting their obligations of the </w:t>
      </w:r>
      <w:r w:rsidR="008743F1" w:rsidRPr="00F45378">
        <w:rPr>
          <w:szCs w:val="22"/>
        </w:rPr>
        <w:t>National Code</w:t>
      </w:r>
      <w:r w:rsidR="00650AAB" w:rsidRPr="00F45378">
        <w:rPr>
          <w:szCs w:val="22"/>
        </w:rPr>
        <w:t xml:space="preserve"> and provide clarity where needed. </w:t>
      </w:r>
    </w:p>
    <w:p w14:paraId="0B421A13" w14:textId="77777777" w:rsidR="00583DB0" w:rsidRPr="00CF2911" w:rsidRDefault="005608D9" w:rsidP="005608D9">
      <w:pPr>
        <w:rPr>
          <w:b/>
          <w:bCs/>
        </w:rPr>
      </w:pPr>
      <w:r w:rsidRPr="00CF2911">
        <w:rPr>
          <w:b/>
          <w:bCs/>
        </w:rPr>
        <w:t xml:space="preserve">Availability of GBV expertise </w:t>
      </w:r>
    </w:p>
    <w:p w14:paraId="0646FF53" w14:textId="6CE164A5" w:rsidR="005608D9" w:rsidRDefault="00583DB0" w:rsidP="005608D9">
      <w:r w:rsidRPr="00583DB0">
        <w:t xml:space="preserve">An implementation risk may be a potential shortage of staff with relevant expertise in GBV prevention and response across the higher education sector. To manage this, the National Code allows </w:t>
      </w:r>
      <w:r w:rsidR="002442C5">
        <w:t>HEPs</w:t>
      </w:r>
      <w:r w:rsidRPr="00583DB0">
        <w:t xml:space="preserve"> to contract these skills where necessary. </w:t>
      </w:r>
      <w:r w:rsidR="002442C5">
        <w:t>As</w:t>
      </w:r>
      <w:r w:rsidRPr="00583DB0">
        <w:t xml:space="preserve"> organisations dedicated to education and research, HEPs are</w:t>
      </w:r>
      <w:r w:rsidR="002442C5">
        <w:t xml:space="preserve"> also</w:t>
      </w:r>
      <w:r w:rsidRPr="00583DB0">
        <w:t xml:space="preserve"> uniquely positioned to address this shortage by </w:t>
      </w:r>
      <w:r w:rsidRPr="00583DB0">
        <w:lastRenderedPageBreak/>
        <w:t>developing internal expertise through training and development, forming cross-sector partnerships with prevention and frontline services, and leveraging academic resources to build in-house capacity. The department will also advocate for resource sharing and partnerships with external organisations to support HEPs.</w:t>
      </w:r>
    </w:p>
    <w:p w14:paraId="46597B4E" w14:textId="42CB8C66" w:rsidR="00583DB0" w:rsidRPr="00CF2911" w:rsidRDefault="00583DB0" w:rsidP="005608D9">
      <w:pPr>
        <w:rPr>
          <w:b/>
          <w:bCs/>
        </w:rPr>
      </w:pPr>
      <w:r w:rsidRPr="00CF2911">
        <w:rPr>
          <w:b/>
          <w:bCs/>
        </w:rPr>
        <w:t xml:space="preserve">Potential resourcing constraints of the GBV Reform </w:t>
      </w:r>
      <w:r w:rsidR="00AB2F50" w:rsidRPr="00CF2911">
        <w:rPr>
          <w:b/>
          <w:bCs/>
        </w:rPr>
        <w:t>Branch</w:t>
      </w:r>
      <w:r w:rsidRPr="00CF2911">
        <w:rPr>
          <w:b/>
          <w:bCs/>
        </w:rPr>
        <w:t xml:space="preserve"> </w:t>
      </w:r>
    </w:p>
    <w:p w14:paraId="561E5D57" w14:textId="1D007928" w:rsidR="000E342D" w:rsidRDefault="00AB2F50" w:rsidP="005608D9">
      <w:r w:rsidRPr="00AB2F50">
        <w:t xml:space="preserve">The establishment of the specialist GBV Reform Branch within the department is a cornerstone of the National Code’s regulatory framework. </w:t>
      </w:r>
      <w:r w:rsidR="00ED5B24">
        <w:t>The GBV Reform Branch will need to ensure that</w:t>
      </w:r>
      <w:r w:rsidR="009F09F5">
        <w:t xml:space="preserve"> it </w:t>
      </w:r>
      <w:r w:rsidR="009D2748">
        <w:t>appropriately</w:t>
      </w:r>
      <w:r w:rsidR="009F09F5">
        <w:t xml:space="preserve"> uses its </w:t>
      </w:r>
      <w:r w:rsidR="009D2748">
        <w:t xml:space="preserve">resources and manages expectations across the sector. There is the likelihood of a low to moderate risk that resourcing constraints of the GBV Reform Branch may impact the implementation of the National code.  </w:t>
      </w:r>
      <w:r w:rsidRPr="00AB2F50">
        <w:t xml:space="preserve">To mitigate this, the department </w:t>
      </w:r>
      <w:r>
        <w:t xml:space="preserve">has </w:t>
      </w:r>
      <w:r w:rsidRPr="00AB2F50">
        <w:t>ensure</w:t>
      </w:r>
      <w:r>
        <w:t>d that</w:t>
      </w:r>
      <w:r w:rsidRPr="00AB2F50">
        <w:t xml:space="preserve"> the </w:t>
      </w:r>
      <w:r w:rsidR="00BB2587">
        <w:t>GBV Reform Branch</w:t>
      </w:r>
      <w:r w:rsidRPr="00AB2F50">
        <w:t xml:space="preserve"> is adequately staffed and funded, with clear </w:t>
      </w:r>
      <w:r>
        <w:t xml:space="preserve">operations and infrastructure. </w:t>
      </w:r>
    </w:p>
    <w:p w14:paraId="10388B75" w14:textId="0A5FD547" w:rsidR="000E342D" w:rsidRDefault="008C04F9" w:rsidP="005608D9">
      <w:r>
        <w:br w:type="page"/>
      </w:r>
    </w:p>
    <w:p w14:paraId="684C7CFA" w14:textId="0036D547" w:rsidR="00B92619" w:rsidRDefault="00B92619" w:rsidP="00B92619">
      <w:pPr>
        <w:pStyle w:val="Heading2"/>
      </w:pPr>
      <w:bookmarkStart w:id="252" w:name="_Toc210050257"/>
      <w:r>
        <w:lastRenderedPageBreak/>
        <w:t>Impact Analysis status at each major decision point</w:t>
      </w:r>
      <w:bookmarkEnd w:id="252"/>
      <w:r>
        <w:t xml:space="preserve"> </w:t>
      </w:r>
    </w:p>
    <w:tbl>
      <w:tblPr>
        <w:tblStyle w:val="GridTable4-Accent1"/>
        <w:tblW w:w="0" w:type="auto"/>
        <w:tblLook w:val="04A0" w:firstRow="1" w:lastRow="0" w:firstColumn="1" w:lastColumn="0" w:noHBand="0" w:noVBand="1"/>
      </w:tblPr>
      <w:tblGrid>
        <w:gridCol w:w="3005"/>
        <w:gridCol w:w="2660"/>
        <w:gridCol w:w="3351"/>
      </w:tblGrid>
      <w:tr w:rsidR="00C410B8" w14:paraId="79833BBA" w14:textId="77777777" w:rsidTr="00797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777224D" w14:textId="7F559042" w:rsidR="008D575F" w:rsidRDefault="00EF7B54" w:rsidP="008D575F">
            <w:r>
              <w:t>Decision point</w:t>
            </w:r>
          </w:p>
        </w:tc>
        <w:tc>
          <w:tcPr>
            <w:tcW w:w="2660" w:type="dxa"/>
          </w:tcPr>
          <w:p w14:paraId="306BD3B1" w14:textId="654E4522" w:rsidR="008D575F" w:rsidRDefault="00EF7B54" w:rsidP="008D575F">
            <w:pPr>
              <w:cnfStyle w:val="100000000000" w:firstRow="1" w:lastRow="0" w:firstColumn="0" w:lastColumn="0" w:oddVBand="0" w:evenVBand="0" w:oddHBand="0" w:evenHBand="0" w:firstRowFirstColumn="0" w:firstRowLastColumn="0" w:lastRowFirstColumn="0" w:lastRowLastColumn="0"/>
            </w:pPr>
            <w:r>
              <w:t xml:space="preserve">Timeframe </w:t>
            </w:r>
          </w:p>
        </w:tc>
        <w:tc>
          <w:tcPr>
            <w:tcW w:w="3351" w:type="dxa"/>
          </w:tcPr>
          <w:p w14:paraId="33A5008C" w14:textId="77C12273" w:rsidR="008D575F" w:rsidRDefault="00EF7B54" w:rsidP="008D575F">
            <w:pPr>
              <w:cnfStyle w:val="100000000000" w:firstRow="1" w:lastRow="0" w:firstColumn="0" w:lastColumn="0" w:oddVBand="0" w:evenVBand="0" w:oddHBand="0" w:evenHBand="0" w:firstRowFirstColumn="0" w:firstRowLastColumn="0" w:lastRowFirstColumn="0" w:lastRowLastColumn="0"/>
            </w:pPr>
            <w:r>
              <w:t>Status of the IA</w:t>
            </w:r>
          </w:p>
        </w:tc>
      </w:tr>
      <w:tr w:rsidR="00C410B8" w14:paraId="5C89DB69" w14:textId="77777777" w:rsidTr="00797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5455C3" w14:textId="00A78FFC" w:rsidR="008D575F" w:rsidRDefault="00894650" w:rsidP="008D575F">
            <w:r>
              <w:t xml:space="preserve">Action </w:t>
            </w:r>
            <w:r w:rsidR="00AB0110">
              <w:t>Plan and</w:t>
            </w:r>
            <w:r w:rsidR="00E945F8">
              <w:t xml:space="preserve"> Government decision</w:t>
            </w:r>
          </w:p>
        </w:tc>
        <w:tc>
          <w:tcPr>
            <w:tcW w:w="2660" w:type="dxa"/>
          </w:tcPr>
          <w:p w14:paraId="366AED76" w14:textId="7C815DDC" w:rsidR="008D575F" w:rsidRDefault="00BA4714" w:rsidP="008D575F">
            <w:pPr>
              <w:cnfStyle w:val="000000100000" w:firstRow="0" w:lastRow="0" w:firstColumn="0" w:lastColumn="0" w:oddVBand="0" w:evenVBand="0" w:oddHBand="1" w:evenHBand="0" w:firstRowFirstColumn="0" w:firstRowLastColumn="0" w:lastRowFirstColumn="0" w:lastRowLastColumn="0"/>
            </w:pPr>
            <w:r>
              <w:t>February 2024</w:t>
            </w:r>
          </w:p>
        </w:tc>
        <w:tc>
          <w:tcPr>
            <w:tcW w:w="3351" w:type="dxa"/>
          </w:tcPr>
          <w:p w14:paraId="3F24969E" w14:textId="153F3086" w:rsidR="008D575F" w:rsidRDefault="00894650" w:rsidP="00894650">
            <w:pPr>
              <w:cnfStyle w:val="000000100000" w:firstRow="0" w:lastRow="0" w:firstColumn="0" w:lastColumn="0" w:oddVBand="0" w:evenVBand="0" w:oddHBand="1" w:evenHBand="0" w:firstRowFirstColumn="0" w:firstRowLastColumn="0" w:lastRowFirstColumn="0" w:lastRowLastColumn="0"/>
            </w:pPr>
            <w:r>
              <w:t xml:space="preserve">Undeveloped </w:t>
            </w:r>
          </w:p>
        </w:tc>
      </w:tr>
      <w:tr w:rsidR="004C261D" w14:paraId="2CCED5BC" w14:textId="77777777" w:rsidTr="00797D7C">
        <w:tc>
          <w:tcPr>
            <w:cnfStyle w:val="001000000000" w:firstRow="0" w:lastRow="0" w:firstColumn="1" w:lastColumn="0" w:oddVBand="0" w:evenVBand="0" w:oddHBand="0" w:evenHBand="0" w:firstRowFirstColumn="0" w:firstRowLastColumn="0" w:lastRowFirstColumn="0" w:lastRowLastColumn="0"/>
            <w:tcW w:w="3005" w:type="dxa"/>
          </w:tcPr>
          <w:p w14:paraId="6CC11444" w14:textId="233DF957" w:rsidR="00EF7B54" w:rsidRDefault="005C2579" w:rsidP="008D575F">
            <w:r>
              <w:t xml:space="preserve">Consultation </w:t>
            </w:r>
            <w:r w:rsidR="00AB0110">
              <w:t>commences</w:t>
            </w:r>
          </w:p>
        </w:tc>
        <w:tc>
          <w:tcPr>
            <w:tcW w:w="2660" w:type="dxa"/>
          </w:tcPr>
          <w:p w14:paraId="463371AF" w14:textId="0C75DC60" w:rsidR="00EF7B54" w:rsidRDefault="00B21883" w:rsidP="008D575F">
            <w:pPr>
              <w:cnfStyle w:val="000000000000" w:firstRow="0" w:lastRow="0" w:firstColumn="0" w:lastColumn="0" w:oddVBand="0" w:evenVBand="0" w:oddHBand="0" w:evenHBand="0" w:firstRowFirstColumn="0" w:firstRowLastColumn="0" w:lastRowFirstColumn="0" w:lastRowLastColumn="0"/>
            </w:pPr>
            <w:r>
              <w:t>Ma</w:t>
            </w:r>
            <w:r w:rsidR="00BA4714">
              <w:t>rch</w:t>
            </w:r>
            <w:r>
              <w:t xml:space="preserve"> 2024</w:t>
            </w:r>
          </w:p>
        </w:tc>
        <w:tc>
          <w:tcPr>
            <w:tcW w:w="3351" w:type="dxa"/>
          </w:tcPr>
          <w:p w14:paraId="3E9D1F84" w14:textId="0BDDEB8F" w:rsidR="00EF7B54" w:rsidRDefault="00B21883" w:rsidP="008D575F">
            <w:pPr>
              <w:cnfStyle w:val="000000000000" w:firstRow="0" w:lastRow="0" w:firstColumn="0" w:lastColumn="0" w:oddVBand="0" w:evenVBand="0" w:oddHBand="0" w:evenHBand="0" w:firstRowFirstColumn="0" w:firstRowLastColumn="0" w:lastRowFirstColumn="0" w:lastRowLastColumn="0"/>
            </w:pPr>
            <w:r>
              <w:t xml:space="preserve">Australian Government Impact Analysis Preliminary Assessment form completed </w:t>
            </w:r>
          </w:p>
        </w:tc>
      </w:tr>
      <w:tr w:rsidR="00C410B8" w14:paraId="6748E508" w14:textId="77777777" w:rsidTr="00797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A739E3B" w14:textId="2BA15612" w:rsidR="00EF7B54" w:rsidRDefault="000E342D" w:rsidP="008D575F">
            <w:r>
              <w:t xml:space="preserve">Consultation concluded </w:t>
            </w:r>
          </w:p>
        </w:tc>
        <w:tc>
          <w:tcPr>
            <w:tcW w:w="2660" w:type="dxa"/>
          </w:tcPr>
          <w:p w14:paraId="6089F0C2" w14:textId="5B952395" w:rsidR="00EF7B54" w:rsidRDefault="000E342D" w:rsidP="008D575F">
            <w:pPr>
              <w:cnfStyle w:val="000000100000" w:firstRow="0" w:lastRow="0" w:firstColumn="0" w:lastColumn="0" w:oddVBand="0" w:evenVBand="0" w:oddHBand="1" w:evenHBand="0" w:firstRowFirstColumn="0" w:firstRowLastColumn="0" w:lastRowFirstColumn="0" w:lastRowLastColumn="0"/>
            </w:pPr>
            <w:r>
              <w:t>January 2025</w:t>
            </w:r>
          </w:p>
        </w:tc>
        <w:tc>
          <w:tcPr>
            <w:tcW w:w="3351" w:type="dxa"/>
          </w:tcPr>
          <w:p w14:paraId="26E62C94" w14:textId="5CDC830F" w:rsidR="00EF7B54" w:rsidRDefault="000E342D" w:rsidP="008D575F">
            <w:pPr>
              <w:cnfStyle w:val="000000100000" w:firstRow="0" w:lastRow="0" w:firstColumn="0" w:lastColumn="0" w:oddVBand="0" w:evenVBand="0" w:oddHBand="1" w:evenHBand="0" w:firstRowFirstColumn="0" w:firstRowLastColumn="0" w:lastRowFirstColumn="0" w:lastRowLastColumn="0"/>
            </w:pPr>
            <w:r>
              <w:t>Chapters 1-4 drafted</w:t>
            </w:r>
          </w:p>
        </w:tc>
      </w:tr>
      <w:tr w:rsidR="004C261D" w14:paraId="2A5B3627" w14:textId="77777777" w:rsidTr="00797D7C">
        <w:tc>
          <w:tcPr>
            <w:cnfStyle w:val="001000000000" w:firstRow="0" w:lastRow="0" w:firstColumn="1" w:lastColumn="0" w:oddVBand="0" w:evenVBand="0" w:oddHBand="0" w:evenHBand="0" w:firstRowFirstColumn="0" w:firstRowLastColumn="0" w:lastRowFirstColumn="0" w:lastRowLastColumn="0"/>
            <w:tcW w:w="3005" w:type="dxa"/>
          </w:tcPr>
          <w:p w14:paraId="6CC0D3B1" w14:textId="021E1730" w:rsidR="00EF7B54" w:rsidRDefault="00D90040" w:rsidP="008D575F">
            <w:r>
              <w:t xml:space="preserve">Introduction of </w:t>
            </w:r>
            <w:r w:rsidR="00AB0110">
              <w:t xml:space="preserve">the </w:t>
            </w:r>
            <w:r>
              <w:t>Bill into parliament</w:t>
            </w:r>
          </w:p>
        </w:tc>
        <w:tc>
          <w:tcPr>
            <w:tcW w:w="2660" w:type="dxa"/>
          </w:tcPr>
          <w:p w14:paraId="3C861228" w14:textId="22E641FD" w:rsidR="00EF7B54" w:rsidRDefault="00D90040" w:rsidP="008D575F">
            <w:pPr>
              <w:cnfStyle w:val="000000000000" w:firstRow="0" w:lastRow="0" w:firstColumn="0" w:lastColumn="0" w:oddVBand="0" w:evenVBand="0" w:oddHBand="0" w:evenHBand="0" w:firstRowFirstColumn="0" w:firstRowLastColumn="0" w:lastRowFirstColumn="0" w:lastRowLastColumn="0"/>
            </w:pPr>
            <w:r>
              <w:t>July</w:t>
            </w:r>
            <w:r w:rsidR="00BA443B">
              <w:t xml:space="preserve"> - August </w:t>
            </w:r>
            <w:r>
              <w:t>2025</w:t>
            </w:r>
          </w:p>
        </w:tc>
        <w:tc>
          <w:tcPr>
            <w:tcW w:w="3351" w:type="dxa"/>
          </w:tcPr>
          <w:p w14:paraId="7E735A46" w14:textId="5B2D49DF" w:rsidR="00EF7B54" w:rsidRDefault="00D90040" w:rsidP="008D575F">
            <w:pPr>
              <w:cnfStyle w:val="000000000000" w:firstRow="0" w:lastRow="0" w:firstColumn="0" w:lastColumn="0" w:oddVBand="0" w:evenVBand="0" w:oddHBand="0" w:evenHBand="0" w:firstRowFirstColumn="0" w:firstRowLastColumn="0" w:lastRowFirstColumn="0" w:lastRowLastColumn="0"/>
            </w:pPr>
            <w:r>
              <w:t>1</w:t>
            </w:r>
            <w:r w:rsidRPr="004C261D">
              <w:rPr>
                <w:vertAlign w:val="superscript"/>
              </w:rPr>
              <w:t>st</w:t>
            </w:r>
            <w:r>
              <w:t xml:space="preserve"> Pass assessment completed. Comments noted and addressed. </w:t>
            </w:r>
          </w:p>
        </w:tc>
      </w:tr>
      <w:tr w:rsidR="00C410B8" w14:paraId="2A34514F" w14:textId="77777777" w:rsidTr="00797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34FED2B" w14:textId="6FB80928" w:rsidR="008D575F" w:rsidRDefault="00BA443B" w:rsidP="008D575F">
            <w:r>
              <w:t>Passage of the Bill</w:t>
            </w:r>
          </w:p>
        </w:tc>
        <w:tc>
          <w:tcPr>
            <w:tcW w:w="2660" w:type="dxa"/>
          </w:tcPr>
          <w:p w14:paraId="0C4A6E34" w14:textId="42D74509" w:rsidR="008D575F" w:rsidRDefault="00BA443B" w:rsidP="008D575F">
            <w:pPr>
              <w:cnfStyle w:val="000000100000" w:firstRow="0" w:lastRow="0" w:firstColumn="0" w:lastColumn="0" w:oddVBand="0" w:evenVBand="0" w:oddHBand="1" w:evenHBand="0" w:firstRowFirstColumn="0" w:firstRowLastColumn="0" w:lastRowFirstColumn="0" w:lastRowLastColumn="0"/>
            </w:pPr>
            <w:r>
              <w:t>August – September 2025</w:t>
            </w:r>
          </w:p>
        </w:tc>
        <w:tc>
          <w:tcPr>
            <w:tcW w:w="3351" w:type="dxa"/>
          </w:tcPr>
          <w:p w14:paraId="1E7283BB" w14:textId="6766766D" w:rsidR="008D575F" w:rsidRDefault="00BA443B" w:rsidP="008D575F">
            <w:pPr>
              <w:cnfStyle w:val="000000100000" w:firstRow="0" w:lastRow="0" w:firstColumn="0" w:lastColumn="0" w:oddVBand="0" w:evenVBand="0" w:oddHBand="1" w:evenHBand="0" w:firstRowFirstColumn="0" w:firstRowLastColumn="0" w:lastRowFirstColumn="0" w:lastRowLastColumn="0"/>
            </w:pPr>
            <w:r>
              <w:t>2</w:t>
            </w:r>
            <w:r w:rsidRPr="004C261D">
              <w:rPr>
                <w:vertAlign w:val="superscript"/>
              </w:rPr>
              <w:t>nd</w:t>
            </w:r>
            <w:r>
              <w:t xml:space="preserve"> Pass assessment presented to OIA. </w:t>
            </w:r>
          </w:p>
        </w:tc>
      </w:tr>
      <w:tr w:rsidR="0068675C" w14:paraId="6B69B479" w14:textId="77777777" w:rsidTr="00797D7C">
        <w:tc>
          <w:tcPr>
            <w:cnfStyle w:val="001000000000" w:firstRow="0" w:lastRow="0" w:firstColumn="1" w:lastColumn="0" w:oddVBand="0" w:evenVBand="0" w:oddHBand="0" w:evenHBand="0" w:firstRowFirstColumn="0" w:firstRowLastColumn="0" w:lastRowFirstColumn="0" w:lastRowLastColumn="0"/>
            <w:tcW w:w="3005" w:type="dxa"/>
          </w:tcPr>
          <w:p w14:paraId="4D142214" w14:textId="407EEE07" w:rsidR="005C2579" w:rsidRDefault="005C2579" w:rsidP="008D575F">
            <w:r>
              <w:t xml:space="preserve">Final decision made </w:t>
            </w:r>
          </w:p>
        </w:tc>
        <w:tc>
          <w:tcPr>
            <w:tcW w:w="2660" w:type="dxa"/>
          </w:tcPr>
          <w:p w14:paraId="186C2AA4" w14:textId="6A071C77" w:rsidR="005C2579" w:rsidRDefault="009D5AE0" w:rsidP="008D575F">
            <w:pPr>
              <w:cnfStyle w:val="000000000000" w:firstRow="0" w:lastRow="0" w:firstColumn="0" w:lastColumn="0" w:oddVBand="0" w:evenVBand="0" w:oddHBand="0" w:evenHBand="0" w:firstRowFirstColumn="0" w:firstRowLastColumn="0" w:lastRowFirstColumn="0" w:lastRowLastColumn="0"/>
            </w:pPr>
            <w:r>
              <w:t>September 2025</w:t>
            </w:r>
          </w:p>
        </w:tc>
        <w:tc>
          <w:tcPr>
            <w:tcW w:w="3351" w:type="dxa"/>
          </w:tcPr>
          <w:p w14:paraId="08AC9319" w14:textId="1386828B" w:rsidR="005C2579" w:rsidRDefault="005C2579" w:rsidP="008D575F">
            <w:pPr>
              <w:cnfStyle w:val="000000000000" w:firstRow="0" w:lastRow="0" w:firstColumn="0" w:lastColumn="0" w:oddVBand="0" w:evenVBand="0" w:oddHBand="0" w:evenHBand="0" w:firstRowFirstColumn="0" w:firstRowLastColumn="0" w:lastRowFirstColumn="0" w:lastRowLastColumn="0"/>
            </w:pPr>
            <w:r>
              <w:t xml:space="preserve">Final impact analysis to be provided to the Prime Minster ahead of the instrument being created. </w:t>
            </w:r>
          </w:p>
        </w:tc>
      </w:tr>
    </w:tbl>
    <w:p w14:paraId="6D49974F" w14:textId="7C20F5C8" w:rsidR="00933127" w:rsidRDefault="00933127" w:rsidP="008D575F"/>
    <w:p w14:paraId="71A90490" w14:textId="7FCED36D" w:rsidR="008D575F" w:rsidRPr="008D575F" w:rsidRDefault="00933127" w:rsidP="00DB24E7">
      <w:r>
        <w:br w:type="page"/>
      </w:r>
    </w:p>
    <w:p w14:paraId="54F3B3C4" w14:textId="4DBE660C" w:rsidR="00D86C51" w:rsidRPr="00ED4CBB" w:rsidRDefault="00A03BD7" w:rsidP="00D86C51">
      <w:pPr>
        <w:pStyle w:val="Heading1"/>
        <w:rPr>
          <w:b/>
          <w:bCs/>
        </w:rPr>
      </w:pPr>
      <w:bookmarkStart w:id="253" w:name="_Toc204699910"/>
      <w:bookmarkStart w:id="254" w:name="_Toc210050258"/>
      <w:r w:rsidRPr="00ED4CBB">
        <w:rPr>
          <w:b/>
          <w:bCs/>
        </w:rPr>
        <w:lastRenderedPageBreak/>
        <w:t xml:space="preserve">Chapter 7: </w:t>
      </w:r>
      <w:r w:rsidR="00E6273A">
        <w:rPr>
          <w:b/>
          <w:bCs/>
        </w:rPr>
        <w:t>H</w:t>
      </w:r>
      <w:r w:rsidRPr="00ED4CBB">
        <w:rPr>
          <w:b/>
          <w:bCs/>
        </w:rPr>
        <w:t>ow will you evaluate your chosen option against success metrics?</w:t>
      </w:r>
      <w:bookmarkEnd w:id="253"/>
      <w:bookmarkEnd w:id="254"/>
    </w:p>
    <w:p w14:paraId="7A17D4CC" w14:textId="2433D1B6" w:rsidR="001D71DC" w:rsidRDefault="001D71DC" w:rsidP="001D71DC">
      <w:pPr>
        <w:pStyle w:val="Heading2"/>
      </w:pPr>
      <w:bookmarkStart w:id="255" w:name="_Toc204699911"/>
      <w:bookmarkStart w:id="256" w:name="_Toc210050259"/>
      <w:r>
        <w:t xml:space="preserve">Purpose </w:t>
      </w:r>
      <w:r w:rsidR="003E549D">
        <w:t xml:space="preserve">and Objectives </w:t>
      </w:r>
      <w:r>
        <w:t>of Evaluation</w:t>
      </w:r>
      <w:bookmarkEnd w:id="255"/>
      <w:bookmarkEnd w:id="256"/>
      <w:r>
        <w:t xml:space="preserve"> </w:t>
      </w:r>
    </w:p>
    <w:p w14:paraId="1531BC63" w14:textId="5205542C" w:rsidR="00B55EA9" w:rsidRPr="00F45378" w:rsidRDefault="003E549D" w:rsidP="001A62D6">
      <w:pPr>
        <w:rPr>
          <w:szCs w:val="22"/>
        </w:rPr>
      </w:pPr>
      <w:r w:rsidRPr="00F45378">
        <w:rPr>
          <w:szCs w:val="22"/>
        </w:rPr>
        <w:t xml:space="preserve">As detailed in </w:t>
      </w:r>
      <w:r w:rsidR="00E60E57">
        <w:rPr>
          <w:szCs w:val="22"/>
        </w:rPr>
        <w:t>C</w:t>
      </w:r>
      <w:r w:rsidRPr="00F45378">
        <w:rPr>
          <w:szCs w:val="22"/>
        </w:rPr>
        <w:t xml:space="preserve">hapter 2, the primary objective of government intervention through a legislated </w:t>
      </w:r>
      <w:r w:rsidR="008743F1" w:rsidRPr="00F45378">
        <w:rPr>
          <w:szCs w:val="22"/>
        </w:rPr>
        <w:t>National Code</w:t>
      </w:r>
      <w:r w:rsidRPr="00F45378">
        <w:rPr>
          <w:szCs w:val="22"/>
        </w:rPr>
        <w:t xml:space="preserve"> is to ensure the safety and wellbeing of students and staff. </w:t>
      </w:r>
      <w:r w:rsidR="001A62D6" w:rsidRPr="00F45378">
        <w:rPr>
          <w:szCs w:val="22"/>
        </w:rPr>
        <w:t xml:space="preserve">Meeting these objectives will be demonstrated through compliance with a consistent set of requirements that reflect the Government’s expectations.  </w:t>
      </w:r>
    </w:p>
    <w:p w14:paraId="3014CF99" w14:textId="676548EA" w:rsidR="00B55EA9" w:rsidRPr="00F45378" w:rsidRDefault="00B55EA9" w:rsidP="001A62D6">
      <w:pPr>
        <w:rPr>
          <w:szCs w:val="22"/>
        </w:rPr>
      </w:pPr>
      <w:r w:rsidRPr="00F45378">
        <w:rPr>
          <w:szCs w:val="22"/>
        </w:rPr>
        <w:t xml:space="preserve">Evaluation will be designed to assess how effectively the </w:t>
      </w:r>
      <w:r w:rsidR="008743F1" w:rsidRPr="00F45378">
        <w:rPr>
          <w:szCs w:val="22"/>
        </w:rPr>
        <w:t>National Code</w:t>
      </w:r>
      <w:r w:rsidRPr="00F45378">
        <w:rPr>
          <w:szCs w:val="22"/>
        </w:rPr>
        <w:t xml:space="preserve"> delivers on these objectives</w:t>
      </w:r>
      <w:r w:rsidR="00BB294E">
        <w:rPr>
          <w:szCs w:val="22"/>
        </w:rPr>
        <w:t>, including to:</w:t>
      </w:r>
    </w:p>
    <w:p w14:paraId="6181A205" w14:textId="3642884E" w:rsidR="00CC584C" w:rsidRPr="00F45378" w:rsidRDefault="00CC584C" w:rsidP="00374E2E">
      <w:pPr>
        <w:pStyle w:val="ListParagraph"/>
        <w:numPr>
          <w:ilvl w:val="0"/>
          <w:numId w:val="106"/>
        </w:numPr>
        <w:rPr>
          <w:szCs w:val="22"/>
        </w:rPr>
      </w:pPr>
      <w:r w:rsidRPr="00F45378">
        <w:rPr>
          <w:szCs w:val="22"/>
        </w:rPr>
        <w:t xml:space="preserve">Reduce the incidence of </w:t>
      </w:r>
      <w:r w:rsidR="00B7771B" w:rsidRPr="00F45378">
        <w:rPr>
          <w:szCs w:val="22"/>
        </w:rPr>
        <w:t>GBV</w:t>
      </w:r>
      <w:r w:rsidRPr="00F45378">
        <w:rPr>
          <w:szCs w:val="22"/>
        </w:rPr>
        <w:t xml:space="preserve"> in higher education and strengthen systems to enhance safety for students and staff</w:t>
      </w:r>
    </w:p>
    <w:p w14:paraId="5D6D3656" w14:textId="471605EB" w:rsidR="00CC584C" w:rsidRPr="00F45378" w:rsidRDefault="00CC584C" w:rsidP="00374E2E">
      <w:pPr>
        <w:pStyle w:val="ListParagraph"/>
        <w:numPr>
          <w:ilvl w:val="0"/>
          <w:numId w:val="106"/>
        </w:numPr>
        <w:rPr>
          <w:szCs w:val="22"/>
        </w:rPr>
      </w:pPr>
      <w:r w:rsidRPr="00F45378">
        <w:rPr>
          <w:szCs w:val="22"/>
        </w:rPr>
        <w:t xml:space="preserve">Minimise the impact that </w:t>
      </w:r>
      <w:r w:rsidR="00B7771B" w:rsidRPr="00F45378">
        <w:rPr>
          <w:szCs w:val="22"/>
        </w:rPr>
        <w:t>GBV</w:t>
      </w:r>
      <w:r w:rsidRPr="00F45378">
        <w:rPr>
          <w:szCs w:val="22"/>
        </w:rPr>
        <w:t xml:space="preserve"> has on victim-survivors through trauma-informed and person-centred responses</w:t>
      </w:r>
    </w:p>
    <w:p w14:paraId="7D87010D" w14:textId="78203274" w:rsidR="00CC584C" w:rsidRPr="00F45378" w:rsidRDefault="002E6D48" w:rsidP="00374E2E">
      <w:pPr>
        <w:pStyle w:val="ListParagraph"/>
        <w:numPr>
          <w:ilvl w:val="0"/>
          <w:numId w:val="106"/>
        </w:numPr>
        <w:rPr>
          <w:szCs w:val="22"/>
        </w:rPr>
      </w:pPr>
      <w:r w:rsidRPr="002E6D48">
        <w:rPr>
          <w:szCs w:val="22"/>
        </w:rPr>
        <w:t>Address the needs of groups that experience compounding forms of inequalities and discrimination to ensure prevention and response is inclusive and culturally safe/appropriate</w:t>
      </w:r>
    </w:p>
    <w:p w14:paraId="1E0E0DE3" w14:textId="6A4E4BD3" w:rsidR="00CC584C" w:rsidRPr="00F45378" w:rsidRDefault="00CC584C" w:rsidP="00374E2E">
      <w:pPr>
        <w:pStyle w:val="ListParagraph"/>
        <w:numPr>
          <w:ilvl w:val="0"/>
          <w:numId w:val="106"/>
        </w:numPr>
        <w:rPr>
          <w:szCs w:val="22"/>
        </w:rPr>
      </w:pPr>
      <w:r w:rsidRPr="00F45378">
        <w:rPr>
          <w:szCs w:val="22"/>
        </w:rPr>
        <w:t xml:space="preserve">Ensure providers implement whole-of-organisation approach to ensure response to </w:t>
      </w:r>
      <w:r w:rsidR="00B7771B" w:rsidRPr="00F45378">
        <w:rPr>
          <w:szCs w:val="22"/>
        </w:rPr>
        <w:t>GBV</w:t>
      </w:r>
      <w:r w:rsidRPr="00F45378">
        <w:rPr>
          <w:szCs w:val="22"/>
        </w:rPr>
        <w:t xml:space="preserve"> is coordinated, systemic and resourced. </w:t>
      </w:r>
    </w:p>
    <w:p w14:paraId="1AA9090A" w14:textId="77777777" w:rsidR="00CC584C" w:rsidRPr="00F45378" w:rsidRDefault="00CC584C" w:rsidP="00374E2E">
      <w:pPr>
        <w:pStyle w:val="ListParagraph"/>
        <w:numPr>
          <w:ilvl w:val="0"/>
          <w:numId w:val="106"/>
        </w:numPr>
        <w:rPr>
          <w:szCs w:val="22"/>
        </w:rPr>
      </w:pPr>
      <w:r w:rsidRPr="00F45378">
        <w:rPr>
          <w:szCs w:val="22"/>
        </w:rPr>
        <w:t xml:space="preserve">Strengthen data collection to inform evidence-based responses and ensure accountability </w:t>
      </w:r>
    </w:p>
    <w:p w14:paraId="3CD5682C" w14:textId="4E622946" w:rsidR="001A62D6" w:rsidRPr="00F45378" w:rsidRDefault="00CC584C" w:rsidP="00374E2E">
      <w:pPr>
        <w:pStyle w:val="ListParagraph"/>
        <w:numPr>
          <w:ilvl w:val="0"/>
          <w:numId w:val="106"/>
        </w:numPr>
        <w:rPr>
          <w:szCs w:val="22"/>
        </w:rPr>
      </w:pPr>
      <w:r w:rsidRPr="00F45378">
        <w:rPr>
          <w:szCs w:val="22"/>
        </w:rPr>
        <w:t xml:space="preserve">Strengthen the regulatory framework to ensure consistent standards for preventing and responding to </w:t>
      </w:r>
      <w:r w:rsidR="00B7771B" w:rsidRPr="00F45378">
        <w:rPr>
          <w:szCs w:val="22"/>
        </w:rPr>
        <w:t>GBV</w:t>
      </w:r>
      <w:r w:rsidRPr="00F45378">
        <w:rPr>
          <w:szCs w:val="22"/>
        </w:rPr>
        <w:t xml:space="preserve"> in the higher education sector.</w:t>
      </w:r>
    </w:p>
    <w:p w14:paraId="1D3D436C" w14:textId="020CC92D" w:rsidR="00141133" w:rsidRPr="00F45378" w:rsidRDefault="00141133" w:rsidP="00141133">
      <w:pPr>
        <w:rPr>
          <w:szCs w:val="22"/>
        </w:rPr>
      </w:pPr>
      <w:r w:rsidRPr="00F45378">
        <w:rPr>
          <w:szCs w:val="22"/>
        </w:rPr>
        <w:t xml:space="preserve">Given the complexity of </w:t>
      </w:r>
      <w:r w:rsidR="00B7771B" w:rsidRPr="00F45378">
        <w:rPr>
          <w:szCs w:val="22"/>
        </w:rPr>
        <w:t>GBV</w:t>
      </w:r>
      <w:r w:rsidRPr="00F45378">
        <w:rPr>
          <w:szCs w:val="22"/>
        </w:rPr>
        <w:t xml:space="preserve"> and how it manifests in culture, traditional evaluation models are often insufficient. Cultural change is inherently non-linear, multi-dimensional and dependent. Therefore, success metrics have been deliberately categorised by stakeholder group to reflect the interconnected nature of the objectives and allow for flexibility and responsiveness. </w:t>
      </w:r>
    </w:p>
    <w:p w14:paraId="5697A81D" w14:textId="50AA2D05" w:rsidR="00EA535B" w:rsidRPr="00EA535B" w:rsidRDefault="001D71DC" w:rsidP="00EA535B">
      <w:pPr>
        <w:pStyle w:val="Heading2"/>
      </w:pPr>
      <w:bookmarkStart w:id="257" w:name="_Toc204699912"/>
      <w:bookmarkStart w:id="258" w:name="_Toc210050260"/>
      <w:r>
        <w:t>Evaluation framework</w:t>
      </w:r>
      <w:bookmarkEnd w:id="257"/>
      <w:bookmarkEnd w:id="258"/>
    </w:p>
    <w:p w14:paraId="48A6DD97" w14:textId="77777777" w:rsidR="00DE6E58" w:rsidRPr="00DE6E58" w:rsidRDefault="00EA535B" w:rsidP="00DE6E58">
      <w:pPr>
        <w:rPr>
          <w:szCs w:val="22"/>
        </w:rPr>
      </w:pPr>
      <w:r w:rsidRPr="00EA535B">
        <w:rPr>
          <w:szCs w:val="22"/>
        </w:rPr>
        <w:t xml:space="preserve">The evaluation </w:t>
      </w:r>
      <w:r w:rsidR="00DE6E58" w:rsidRPr="00DE6E58">
        <w:rPr>
          <w:szCs w:val="22"/>
        </w:rPr>
        <w:t xml:space="preserve">framework for </w:t>
      </w:r>
      <w:r w:rsidRPr="00EA535B">
        <w:rPr>
          <w:szCs w:val="22"/>
        </w:rPr>
        <w:t xml:space="preserve">the National Code </w:t>
      </w:r>
      <w:r w:rsidR="00DE6E58" w:rsidRPr="00DE6E58">
        <w:rPr>
          <w:szCs w:val="22"/>
        </w:rPr>
        <w:t>incorporates a combination of process, outcome, and impact evaluation methods, each aligned to specific evaluation objectives.</w:t>
      </w:r>
    </w:p>
    <w:p w14:paraId="02248BB6" w14:textId="26C9BDC8" w:rsidR="00DE6E58" w:rsidRDefault="00DE6E58" w:rsidP="00DE6E58">
      <w:pPr>
        <w:pStyle w:val="ListParagraph"/>
        <w:numPr>
          <w:ilvl w:val="0"/>
          <w:numId w:val="225"/>
        </w:numPr>
        <w:rPr>
          <w:szCs w:val="22"/>
        </w:rPr>
      </w:pPr>
      <w:r w:rsidRPr="009A4055">
        <w:rPr>
          <w:b/>
          <w:bCs/>
          <w:szCs w:val="22"/>
        </w:rPr>
        <w:t>Process evaluation</w:t>
      </w:r>
      <w:r w:rsidRPr="00DE6E58">
        <w:rPr>
          <w:szCs w:val="22"/>
        </w:rPr>
        <w:t xml:space="preserve"> will be used in the short term to assess how effectively</w:t>
      </w:r>
      <w:r w:rsidR="00C37EF5">
        <w:rPr>
          <w:szCs w:val="22"/>
        </w:rPr>
        <w:t xml:space="preserve"> HEPs</w:t>
      </w:r>
      <w:r w:rsidRPr="00DE6E58">
        <w:rPr>
          <w:szCs w:val="22"/>
        </w:rPr>
        <w:t xml:space="preserve"> are implementing the</w:t>
      </w:r>
      <w:r>
        <w:rPr>
          <w:szCs w:val="22"/>
        </w:rPr>
        <w:t xml:space="preserve"> National</w:t>
      </w:r>
      <w:r w:rsidRPr="00DE6E58">
        <w:rPr>
          <w:szCs w:val="22"/>
        </w:rPr>
        <w:t xml:space="preserve"> Code’s requirements. This includes monitoring the development of Prevention and Response Plans, delivery of training, and establishment of data systems. These activities align with the objective of ensuring institutional readiness and compliance with the</w:t>
      </w:r>
      <w:r w:rsidR="003C41DA">
        <w:rPr>
          <w:szCs w:val="22"/>
        </w:rPr>
        <w:t xml:space="preserve"> National</w:t>
      </w:r>
      <w:r w:rsidRPr="00DE6E58">
        <w:rPr>
          <w:szCs w:val="22"/>
        </w:rPr>
        <w:t xml:space="preserve"> Code.</w:t>
      </w:r>
    </w:p>
    <w:p w14:paraId="735709E5" w14:textId="27C61CAB" w:rsidR="00DE6E58" w:rsidRDefault="00DE6E58" w:rsidP="00DE6E58">
      <w:pPr>
        <w:pStyle w:val="ListParagraph"/>
        <w:numPr>
          <w:ilvl w:val="0"/>
          <w:numId w:val="225"/>
        </w:numPr>
        <w:rPr>
          <w:szCs w:val="22"/>
        </w:rPr>
      </w:pPr>
      <w:r w:rsidRPr="009A4055">
        <w:rPr>
          <w:b/>
          <w:bCs/>
          <w:szCs w:val="22"/>
        </w:rPr>
        <w:t>Outcome evaluation</w:t>
      </w:r>
      <w:r w:rsidRPr="00DE6E58">
        <w:rPr>
          <w:szCs w:val="22"/>
        </w:rPr>
        <w:t xml:space="preserve"> will be used in the medium term to assess whether the</w:t>
      </w:r>
      <w:r>
        <w:rPr>
          <w:szCs w:val="22"/>
        </w:rPr>
        <w:t xml:space="preserve"> National</w:t>
      </w:r>
      <w:r w:rsidRPr="00DE6E58">
        <w:rPr>
          <w:szCs w:val="22"/>
        </w:rPr>
        <w:t xml:space="preserve"> Code is achieving its intended results</w:t>
      </w:r>
      <w:r w:rsidR="00CB2BCC">
        <w:rPr>
          <w:szCs w:val="22"/>
        </w:rPr>
        <w:t xml:space="preserve">, </w:t>
      </w:r>
      <w:r w:rsidRPr="00DE6E58">
        <w:rPr>
          <w:szCs w:val="22"/>
        </w:rPr>
        <w:t>such as increased awareness, improved reporting pathways, and enhanced satisfaction with support services. These outcomes reflect the objective of improving institutional responses and building trust in systems.</w:t>
      </w:r>
    </w:p>
    <w:p w14:paraId="1F5E0507" w14:textId="21B7D6BA" w:rsidR="00DE6E58" w:rsidRPr="00DE6E58" w:rsidRDefault="00DE6E58" w:rsidP="009A4055">
      <w:pPr>
        <w:pStyle w:val="ListParagraph"/>
        <w:numPr>
          <w:ilvl w:val="0"/>
          <w:numId w:val="225"/>
        </w:numPr>
        <w:rPr>
          <w:szCs w:val="22"/>
        </w:rPr>
      </w:pPr>
      <w:r w:rsidRPr="009A4055">
        <w:rPr>
          <w:b/>
          <w:bCs/>
          <w:szCs w:val="22"/>
        </w:rPr>
        <w:lastRenderedPageBreak/>
        <w:t>Impact evaluation</w:t>
      </w:r>
      <w:r w:rsidRPr="00DE6E58">
        <w:rPr>
          <w:szCs w:val="22"/>
        </w:rPr>
        <w:t xml:space="preserve"> will be used in the long term to assess whether the</w:t>
      </w:r>
      <w:r>
        <w:rPr>
          <w:szCs w:val="22"/>
        </w:rPr>
        <w:t xml:space="preserve"> National </w:t>
      </w:r>
      <w:r w:rsidRPr="00DE6E58">
        <w:rPr>
          <w:szCs w:val="22"/>
        </w:rPr>
        <w:t xml:space="preserve">Code contributes to a measurable reduction in the prevalence and harm of </w:t>
      </w:r>
      <w:r w:rsidR="00002347">
        <w:rPr>
          <w:szCs w:val="22"/>
        </w:rPr>
        <w:t>GBV</w:t>
      </w:r>
      <w:r w:rsidRPr="00DE6E58">
        <w:rPr>
          <w:szCs w:val="22"/>
        </w:rPr>
        <w:t xml:space="preserve"> in higher education. This aligns with the overarching objective of creating safer, more inclusive learning and working environments.</w:t>
      </w:r>
    </w:p>
    <w:p w14:paraId="7764BC61" w14:textId="74F3AE03" w:rsidR="00DE6E58" w:rsidRDefault="00DE6E58" w:rsidP="00DE6E58">
      <w:pPr>
        <w:rPr>
          <w:szCs w:val="22"/>
        </w:rPr>
      </w:pPr>
      <w:r w:rsidRPr="00DE6E58">
        <w:rPr>
          <w:szCs w:val="22"/>
        </w:rPr>
        <w:t>This mixed-methods approach ensures that evaluation is responsive to the evolving maturity of the sector and provides evidence to inform continuous improvement, regulatory strategy, and future policy decisions.</w:t>
      </w:r>
    </w:p>
    <w:p w14:paraId="7546C692" w14:textId="4E3821DD" w:rsidR="00EA535B" w:rsidRPr="00EA535B" w:rsidRDefault="00EA535B" w:rsidP="00EA535B">
      <w:pPr>
        <w:rPr>
          <w:szCs w:val="22"/>
        </w:rPr>
      </w:pPr>
      <w:r w:rsidRPr="00EA535B">
        <w:rPr>
          <w:szCs w:val="22"/>
        </w:rPr>
        <w:t xml:space="preserve">The evaluation of the National Code </w:t>
      </w:r>
      <w:r w:rsidR="009B6BA9" w:rsidRPr="00EA535B">
        <w:rPr>
          <w:szCs w:val="22"/>
        </w:rPr>
        <w:t>will</w:t>
      </w:r>
      <w:r w:rsidR="009B6BA9">
        <w:rPr>
          <w:szCs w:val="22"/>
        </w:rPr>
        <w:t xml:space="preserve"> also</w:t>
      </w:r>
      <w:r w:rsidR="00DE6E58">
        <w:rPr>
          <w:szCs w:val="22"/>
        </w:rPr>
        <w:t xml:space="preserve"> be</w:t>
      </w:r>
      <w:r w:rsidRPr="00EA535B">
        <w:rPr>
          <w:szCs w:val="22"/>
        </w:rPr>
        <w:t xml:space="preserve"> guided by the Commonwealth Evaluation Principles, ensuring that the approach is proportionate to the significance of the initiative and supports continuous improvement, transparency, and accountability. The </w:t>
      </w:r>
      <w:r w:rsidR="00C0297F">
        <w:rPr>
          <w:szCs w:val="22"/>
        </w:rPr>
        <w:t>s</w:t>
      </w:r>
      <w:r w:rsidR="00FF2C64">
        <w:rPr>
          <w:szCs w:val="22"/>
        </w:rPr>
        <w:t>pecialist GBV Reform Branch</w:t>
      </w:r>
      <w:r w:rsidRPr="00EA535B">
        <w:rPr>
          <w:szCs w:val="22"/>
        </w:rPr>
        <w:t xml:space="preserve"> will lead the monitoring and evaluation process, overseeing implementation to ensure alignment with the objectives outlined in Chapter 2 and assessing the effectiveness of interventions over time.</w:t>
      </w:r>
    </w:p>
    <w:p w14:paraId="3739F3CB" w14:textId="0C29ADEC" w:rsidR="00EA535B" w:rsidRDefault="00EA535B" w:rsidP="00EA535B">
      <w:pPr>
        <w:rPr>
          <w:szCs w:val="22"/>
        </w:rPr>
      </w:pPr>
      <w:r w:rsidRPr="00EA535B">
        <w:rPr>
          <w:szCs w:val="22"/>
        </w:rPr>
        <w:t>The evaluation framework is structured across three phases</w:t>
      </w:r>
      <w:r w:rsidR="00513397">
        <w:rPr>
          <w:szCs w:val="22"/>
        </w:rPr>
        <w:t xml:space="preserve"> – short-term, </w:t>
      </w:r>
      <w:r w:rsidRPr="00EA535B">
        <w:rPr>
          <w:szCs w:val="22"/>
        </w:rPr>
        <w:t>medium-term, and long-term</w:t>
      </w:r>
      <w:r w:rsidR="00513397">
        <w:rPr>
          <w:szCs w:val="22"/>
        </w:rPr>
        <w:t xml:space="preserve"> – to </w:t>
      </w:r>
      <w:r w:rsidRPr="00EA535B">
        <w:rPr>
          <w:szCs w:val="22"/>
        </w:rPr>
        <w:t>reflect the evolving maturity of the sector and the progressive nature of cultural and systemic change.</w:t>
      </w:r>
    </w:p>
    <w:p w14:paraId="3348261D" w14:textId="45ADE8C9" w:rsidR="00A435A8" w:rsidRPr="00A435A8" w:rsidRDefault="00A435A8" w:rsidP="00F32261">
      <w:pPr>
        <w:rPr>
          <w:b/>
          <w:bCs/>
          <w:szCs w:val="22"/>
        </w:rPr>
      </w:pPr>
      <w:r w:rsidRPr="00A435A8">
        <w:rPr>
          <w:b/>
          <w:bCs/>
          <w:szCs w:val="22"/>
        </w:rPr>
        <w:t>Short-Term: Establishing Baselines and Building Foundations</w:t>
      </w:r>
      <w:r w:rsidR="002E155B">
        <w:rPr>
          <w:b/>
          <w:bCs/>
          <w:szCs w:val="22"/>
        </w:rPr>
        <w:t xml:space="preserve"> (0-3 years)</w:t>
      </w:r>
    </w:p>
    <w:p w14:paraId="71EAE46C" w14:textId="77777777" w:rsidR="00A435A8" w:rsidRPr="00A435A8" w:rsidRDefault="00A435A8" w:rsidP="00A435A8">
      <w:pPr>
        <w:rPr>
          <w:szCs w:val="22"/>
        </w:rPr>
      </w:pPr>
      <w:r w:rsidRPr="00A435A8">
        <w:rPr>
          <w:szCs w:val="22"/>
        </w:rPr>
        <w:t>In the initial phase, the focus will be on establishing a clear baseline of sector readiness and existing GBV-related practices. Key activities include:</w:t>
      </w:r>
    </w:p>
    <w:p w14:paraId="5B4A04C9" w14:textId="77777777" w:rsidR="00A435A8" w:rsidRPr="00A435A8" w:rsidRDefault="00A435A8" w:rsidP="00EB52B0">
      <w:pPr>
        <w:numPr>
          <w:ilvl w:val="0"/>
          <w:numId w:val="195"/>
        </w:numPr>
        <w:spacing w:after="0"/>
        <w:rPr>
          <w:szCs w:val="22"/>
        </w:rPr>
      </w:pPr>
      <w:r w:rsidRPr="00A435A8">
        <w:rPr>
          <w:szCs w:val="22"/>
        </w:rPr>
        <w:t>Implementing compliance-focused requirements with embedded quality indicators.</w:t>
      </w:r>
    </w:p>
    <w:p w14:paraId="41A66F1B" w14:textId="77777777" w:rsidR="00A435A8" w:rsidRPr="00A435A8" w:rsidRDefault="00A435A8" w:rsidP="00EB52B0">
      <w:pPr>
        <w:numPr>
          <w:ilvl w:val="0"/>
          <w:numId w:val="195"/>
        </w:numPr>
        <w:spacing w:after="0"/>
        <w:rPr>
          <w:szCs w:val="22"/>
        </w:rPr>
      </w:pPr>
      <w:r w:rsidRPr="00A435A8">
        <w:rPr>
          <w:szCs w:val="22"/>
        </w:rPr>
        <w:t>Initiating annual data collection from higher education providers to assess current sector maturity and prevalence of GBV.</w:t>
      </w:r>
    </w:p>
    <w:p w14:paraId="290141B7" w14:textId="77777777" w:rsidR="00A435A8" w:rsidRPr="00A435A8" w:rsidRDefault="00A435A8" w:rsidP="00A435A8">
      <w:pPr>
        <w:numPr>
          <w:ilvl w:val="0"/>
          <w:numId w:val="195"/>
        </w:numPr>
        <w:rPr>
          <w:szCs w:val="22"/>
        </w:rPr>
      </w:pPr>
      <w:r w:rsidRPr="00A435A8">
        <w:rPr>
          <w:szCs w:val="22"/>
        </w:rPr>
        <w:t>Requiring providers to submit a </w:t>
      </w:r>
      <w:r w:rsidRPr="00ED6236">
        <w:rPr>
          <w:szCs w:val="22"/>
        </w:rPr>
        <w:t xml:space="preserve">Prevention and Response Plan alongside a complementary Outcomes Framework to guide </w:t>
      </w:r>
      <w:r w:rsidRPr="00A435A8">
        <w:rPr>
          <w:szCs w:val="22"/>
        </w:rPr>
        <w:t>and measure progress.</w:t>
      </w:r>
    </w:p>
    <w:p w14:paraId="3042DA54" w14:textId="77777777" w:rsidR="00A435A8" w:rsidRPr="00A435A8" w:rsidRDefault="00A435A8" w:rsidP="00A435A8">
      <w:pPr>
        <w:rPr>
          <w:szCs w:val="22"/>
        </w:rPr>
      </w:pPr>
      <w:r w:rsidRPr="00A435A8">
        <w:rPr>
          <w:szCs w:val="22"/>
        </w:rPr>
        <w:t>These activities will lay the groundwork for consistent monitoring and enable early identification of gaps in practice and capacity.</w:t>
      </w:r>
    </w:p>
    <w:p w14:paraId="3AD4A4E6" w14:textId="12F14E32" w:rsidR="003B664E" w:rsidRDefault="003B664E" w:rsidP="00A435A8">
      <w:pPr>
        <w:rPr>
          <w:szCs w:val="22"/>
        </w:rPr>
      </w:pPr>
      <w:r>
        <w:rPr>
          <w:szCs w:val="22"/>
        </w:rPr>
        <w:t>Success will be measured by:</w:t>
      </w:r>
    </w:p>
    <w:p w14:paraId="5A6F8DA5" w14:textId="77777777" w:rsidR="003B664E" w:rsidRPr="00F45378" w:rsidRDefault="003B664E" w:rsidP="003B664E">
      <w:pPr>
        <w:pStyle w:val="ListParagraph"/>
        <w:numPr>
          <w:ilvl w:val="0"/>
          <w:numId w:val="26"/>
        </w:numPr>
        <w:spacing w:line="259" w:lineRule="auto"/>
        <w:rPr>
          <w:rFonts w:ascii="Aptos" w:hAnsi="Aptos"/>
          <w:szCs w:val="22"/>
        </w:rPr>
      </w:pPr>
      <w:r w:rsidRPr="00F45378">
        <w:rPr>
          <w:rFonts w:ascii="Aptos" w:hAnsi="Aptos"/>
          <w:szCs w:val="22"/>
        </w:rPr>
        <w:t>Increased awareness among students and staff of GBV, available support services and reporting pathways</w:t>
      </w:r>
    </w:p>
    <w:p w14:paraId="0499EC1B" w14:textId="64CBA8CB" w:rsidR="003B664E" w:rsidRPr="00F45378" w:rsidRDefault="003B664E" w:rsidP="003B664E">
      <w:pPr>
        <w:pStyle w:val="ListParagraph"/>
        <w:numPr>
          <w:ilvl w:val="0"/>
          <w:numId w:val="26"/>
        </w:numPr>
        <w:spacing w:line="259" w:lineRule="auto"/>
        <w:rPr>
          <w:rFonts w:ascii="Aptos" w:hAnsi="Aptos"/>
          <w:szCs w:val="22"/>
        </w:rPr>
      </w:pPr>
      <w:r w:rsidRPr="00F45378">
        <w:rPr>
          <w:rFonts w:ascii="Aptos" w:hAnsi="Aptos"/>
          <w:szCs w:val="22"/>
        </w:rPr>
        <w:t>Increase in student and staff knowledge of what constitutes GBV</w:t>
      </w:r>
      <w:r w:rsidR="00075EA2">
        <w:rPr>
          <w:rFonts w:ascii="Aptos" w:hAnsi="Aptos"/>
          <w:szCs w:val="22"/>
        </w:rPr>
        <w:t xml:space="preserve"> and </w:t>
      </w:r>
      <w:r w:rsidR="00A74E5B">
        <w:rPr>
          <w:rFonts w:ascii="Aptos" w:hAnsi="Aptos"/>
          <w:szCs w:val="22"/>
        </w:rPr>
        <w:t xml:space="preserve">what </w:t>
      </w:r>
      <w:r w:rsidR="00A74E5B" w:rsidRPr="00F45378">
        <w:rPr>
          <w:rFonts w:ascii="Aptos" w:hAnsi="Aptos"/>
          <w:szCs w:val="22"/>
        </w:rPr>
        <w:t>trauma</w:t>
      </w:r>
      <w:r w:rsidRPr="00F45378">
        <w:rPr>
          <w:rFonts w:ascii="Aptos" w:hAnsi="Aptos"/>
          <w:szCs w:val="22"/>
        </w:rPr>
        <w:t xml:space="preserve">-informed practice </w:t>
      </w:r>
      <w:r w:rsidR="00075EA2">
        <w:rPr>
          <w:rFonts w:ascii="Aptos" w:hAnsi="Aptos"/>
          <w:szCs w:val="22"/>
        </w:rPr>
        <w:t>looks like</w:t>
      </w:r>
    </w:p>
    <w:p w14:paraId="20037046" w14:textId="77777777" w:rsidR="003B664E" w:rsidRPr="00F45378" w:rsidRDefault="003B664E" w:rsidP="003B664E">
      <w:pPr>
        <w:pStyle w:val="ListParagraph"/>
        <w:numPr>
          <w:ilvl w:val="0"/>
          <w:numId w:val="26"/>
        </w:numPr>
        <w:spacing w:line="259" w:lineRule="auto"/>
        <w:rPr>
          <w:rFonts w:ascii="Aptos" w:hAnsi="Aptos"/>
          <w:szCs w:val="22"/>
        </w:rPr>
      </w:pPr>
      <w:r w:rsidRPr="00F45378">
        <w:rPr>
          <w:rFonts w:ascii="Aptos" w:hAnsi="Aptos"/>
          <w:szCs w:val="22"/>
        </w:rPr>
        <w:t>Improved institutional readiness to respond to disclosures and reports</w:t>
      </w:r>
    </w:p>
    <w:p w14:paraId="3EF6E434" w14:textId="0EA2723F" w:rsidR="003B664E" w:rsidRPr="00F45378" w:rsidRDefault="003B664E" w:rsidP="003B664E">
      <w:pPr>
        <w:pStyle w:val="ListParagraph"/>
        <w:numPr>
          <w:ilvl w:val="0"/>
          <w:numId w:val="26"/>
        </w:numPr>
        <w:spacing w:line="259" w:lineRule="auto"/>
        <w:rPr>
          <w:rFonts w:ascii="Aptos" w:hAnsi="Aptos"/>
          <w:szCs w:val="22"/>
        </w:rPr>
      </w:pPr>
      <w:r w:rsidRPr="00F45378">
        <w:rPr>
          <w:rFonts w:ascii="Aptos" w:hAnsi="Aptos"/>
          <w:szCs w:val="22"/>
        </w:rPr>
        <w:t xml:space="preserve">Increase </w:t>
      </w:r>
      <w:r w:rsidR="00A74E5B" w:rsidRPr="00F45378">
        <w:rPr>
          <w:rFonts w:ascii="Aptos" w:hAnsi="Aptos"/>
          <w:szCs w:val="22"/>
        </w:rPr>
        <w:t>in the</w:t>
      </w:r>
      <w:r w:rsidRPr="00F45378">
        <w:rPr>
          <w:rFonts w:ascii="Aptos" w:hAnsi="Aptos"/>
          <w:szCs w:val="22"/>
        </w:rPr>
        <w:t xml:space="preserve"> quality</w:t>
      </w:r>
      <w:r w:rsidR="00A96BE1">
        <w:rPr>
          <w:rFonts w:ascii="Aptos" w:hAnsi="Aptos"/>
          <w:szCs w:val="22"/>
        </w:rPr>
        <w:t xml:space="preserve"> </w:t>
      </w:r>
      <w:r w:rsidR="00175C45">
        <w:rPr>
          <w:rFonts w:ascii="Aptos" w:hAnsi="Aptos"/>
          <w:szCs w:val="22"/>
        </w:rPr>
        <w:t>of</w:t>
      </w:r>
      <w:r w:rsidR="00175C45" w:rsidRPr="00F45378">
        <w:rPr>
          <w:rFonts w:ascii="Aptos" w:hAnsi="Aptos"/>
          <w:szCs w:val="22"/>
        </w:rPr>
        <w:t xml:space="preserve"> evidence</w:t>
      </w:r>
      <w:r w:rsidRPr="00F45378">
        <w:rPr>
          <w:rFonts w:ascii="Aptos" w:hAnsi="Aptos"/>
          <w:szCs w:val="22"/>
        </w:rPr>
        <w:t>-based education and training to build capacity and understanding</w:t>
      </w:r>
    </w:p>
    <w:p w14:paraId="209D7044" w14:textId="4A439E79" w:rsidR="003B664E" w:rsidRPr="00F45378" w:rsidRDefault="003B664E" w:rsidP="003B664E">
      <w:pPr>
        <w:pStyle w:val="ListParagraph"/>
        <w:numPr>
          <w:ilvl w:val="0"/>
          <w:numId w:val="26"/>
        </w:numPr>
        <w:spacing w:line="259" w:lineRule="auto"/>
        <w:rPr>
          <w:rFonts w:ascii="Aptos" w:hAnsi="Aptos"/>
          <w:szCs w:val="22"/>
        </w:rPr>
      </w:pPr>
      <w:r w:rsidRPr="00F45378">
        <w:rPr>
          <w:rFonts w:ascii="Aptos" w:hAnsi="Aptos"/>
          <w:szCs w:val="22"/>
        </w:rPr>
        <w:t>Greater alignment across the sector on prevention and response practice</w:t>
      </w:r>
      <w:r w:rsidR="00A96BE1">
        <w:rPr>
          <w:rFonts w:ascii="Aptos" w:hAnsi="Aptos"/>
          <w:szCs w:val="22"/>
        </w:rPr>
        <w:t>s</w:t>
      </w:r>
    </w:p>
    <w:p w14:paraId="52E89E38" w14:textId="77777777" w:rsidR="003B664E" w:rsidRPr="00F45378" w:rsidRDefault="003B664E" w:rsidP="003B664E">
      <w:pPr>
        <w:pStyle w:val="ListParagraph"/>
        <w:numPr>
          <w:ilvl w:val="0"/>
          <w:numId w:val="26"/>
        </w:numPr>
        <w:spacing w:line="259" w:lineRule="auto"/>
        <w:rPr>
          <w:rFonts w:ascii="Aptos" w:hAnsi="Aptos"/>
          <w:szCs w:val="22"/>
        </w:rPr>
      </w:pPr>
      <w:r w:rsidRPr="00F45378">
        <w:rPr>
          <w:rFonts w:ascii="Aptos" w:hAnsi="Aptos"/>
          <w:szCs w:val="22"/>
        </w:rPr>
        <w:t xml:space="preserve">Consistent data collection mechanisms established across the sector to inform evaluation and monitoring </w:t>
      </w:r>
    </w:p>
    <w:p w14:paraId="410AA90E" w14:textId="77777777" w:rsidR="003B664E" w:rsidRPr="00F45378" w:rsidRDefault="003B664E" w:rsidP="003B664E">
      <w:pPr>
        <w:pStyle w:val="ListParagraph"/>
        <w:numPr>
          <w:ilvl w:val="0"/>
          <w:numId w:val="26"/>
        </w:numPr>
        <w:spacing w:line="259" w:lineRule="auto"/>
        <w:rPr>
          <w:rFonts w:ascii="Aptos" w:hAnsi="Aptos"/>
          <w:szCs w:val="22"/>
        </w:rPr>
      </w:pPr>
      <w:r w:rsidRPr="00F45378">
        <w:rPr>
          <w:rFonts w:ascii="Aptos" w:hAnsi="Aptos"/>
          <w:szCs w:val="22"/>
        </w:rPr>
        <w:t xml:space="preserve">Visible commitment from organisation leadership to drive change </w:t>
      </w:r>
    </w:p>
    <w:p w14:paraId="1A3D69DE" w14:textId="77777777" w:rsidR="003B664E" w:rsidRDefault="003B664E" w:rsidP="00A435A8">
      <w:pPr>
        <w:rPr>
          <w:szCs w:val="22"/>
        </w:rPr>
      </w:pPr>
    </w:p>
    <w:p w14:paraId="323485F3" w14:textId="77777777" w:rsidR="003B664E" w:rsidRPr="00A435A8" w:rsidRDefault="003B664E" w:rsidP="00A435A8">
      <w:pPr>
        <w:rPr>
          <w:szCs w:val="22"/>
        </w:rPr>
      </w:pPr>
    </w:p>
    <w:p w14:paraId="5AC6635C" w14:textId="7CC65DCF" w:rsidR="00B45A93" w:rsidRPr="00B45A93" w:rsidRDefault="00B45A93" w:rsidP="00F32261">
      <w:pPr>
        <w:rPr>
          <w:b/>
          <w:bCs/>
          <w:szCs w:val="22"/>
        </w:rPr>
      </w:pPr>
      <w:r w:rsidRPr="00B45A93">
        <w:rPr>
          <w:b/>
          <w:bCs/>
          <w:szCs w:val="22"/>
        </w:rPr>
        <w:t>Medium-Term: Assessing Sector Performance and Maturity</w:t>
      </w:r>
      <w:r w:rsidR="002E155B">
        <w:rPr>
          <w:b/>
          <w:bCs/>
          <w:szCs w:val="22"/>
        </w:rPr>
        <w:t xml:space="preserve"> (3-8 years)</w:t>
      </w:r>
    </w:p>
    <w:p w14:paraId="07DE9F6F" w14:textId="6E93B204" w:rsidR="00B45A93" w:rsidRPr="00B45A93" w:rsidRDefault="002E155B" w:rsidP="00B45A93">
      <w:pPr>
        <w:rPr>
          <w:szCs w:val="22"/>
        </w:rPr>
      </w:pPr>
      <w:r>
        <w:rPr>
          <w:szCs w:val="22"/>
        </w:rPr>
        <w:lastRenderedPageBreak/>
        <w:t>A</w:t>
      </w:r>
      <w:r w:rsidR="00B45A93" w:rsidRPr="00B45A93">
        <w:rPr>
          <w:szCs w:val="22"/>
        </w:rPr>
        <w:t>s implementation progresses, the evaluation will shift toward assessing sector-wide performance and the effectiveness of institutional responses. This phase will involve:</w:t>
      </w:r>
    </w:p>
    <w:p w14:paraId="02972518" w14:textId="77777777" w:rsidR="00B45A93" w:rsidRPr="00B45A93" w:rsidRDefault="00B45A93" w:rsidP="00ED6236">
      <w:pPr>
        <w:numPr>
          <w:ilvl w:val="0"/>
          <w:numId w:val="196"/>
        </w:numPr>
        <w:spacing w:after="0"/>
        <w:rPr>
          <w:szCs w:val="22"/>
        </w:rPr>
      </w:pPr>
      <w:r w:rsidRPr="00B45A93">
        <w:rPr>
          <w:szCs w:val="22"/>
        </w:rPr>
        <w:t>Analysing provider-submitted data to evaluate progress against key indicators.</w:t>
      </w:r>
    </w:p>
    <w:p w14:paraId="7B76ACEF" w14:textId="77777777" w:rsidR="00B45A93" w:rsidRPr="00B45A93" w:rsidRDefault="00B45A93" w:rsidP="00ED6236">
      <w:pPr>
        <w:numPr>
          <w:ilvl w:val="0"/>
          <w:numId w:val="196"/>
        </w:numPr>
        <w:spacing w:after="0"/>
        <w:rPr>
          <w:szCs w:val="22"/>
        </w:rPr>
      </w:pPr>
      <w:r w:rsidRPr="00B45A93">
        <w:rPr>
          <w:szCs w:val="22"/>
        </w:rPr>
        <w:t>Conducting monitoring and compliance activities to assess adherence to the National Code.</w:t>
      </w:r>
    </w:p>
    <w:p w14:paraId="12D534E8" w14:textId="3CB9F1DA" w:rsidR="00B45A93" w:rsidRPr="00B45A93" w:rsidRDefault="00B45A93" w:rsidP="00ED6236">
      <w:pPr>
        <w:numPr>
          <w:ilvl w:val="0"/>
          <w:numId w:val="196"/>
        </w:numPr>
        <w:spacing w:after="0"/>
        <w:rPr>
          <w:szCs w:val="22"/>
        </w:rPr>
      </w:pPr>
      <w:r w:rsidRPr="00B45A93">
        <w:rPr>
          <w:szCs w:val="22"/>
        </w:rPr>
        <w:t>Engaging stakeholder</w:t>
      </w:r>
      <w:r w:rsidR="00ED6236">
        <w:rPr>
          <w:szCs w:val="22"/>
        </w:rPr>
        <w:t>s, i</w:t>
      </w:r>
      <w:r w:rsidRPr="00B45A93">
        <w:rPr>
          <w:szCs w:val="22"/>
        </w:rPr>
        <w:t>ncluding students, staff, and advocacy groups</w:t>
      </w:r>
      <w:r w:rsidR="00ED6236">
        <w:rPr>
          <w:szCs w:val="22"/>
        </w:rPr>
        <w:t xml:space="preserve"> t</w:t>
      </w:r>
      <w:r w:rsidRPr="00B45A93">
        <w:rPr>
          <w:szCs w:val="22"/>
        </w:rPr>
        <w:t>o gather qualitative insights.</w:t>
      </w:r>
    </w:p>
    <w:p w14:paraId="185B57DD" w14:textId="77777777" w:rsidR="00B45A93" w:rsidRPr="00B45A93" w:rsidRDefault="00B45A93" w:rsidP="00B45A93">
      <w:pPr>
        <w:numPr>
          <w:ilvl w:val="0"/>
          <w:numId w:val="196"/>
        </w:numPr>
        <w:rPr>
          <w:szCs w:val="22"/>
        </w:rPr>
      </w:pPr>
      <w:r w:rsidRPr="00B45A93">
        <w:rPr>
          <w:szCs w:val="22"/>
        </w:rPr>
        <w:t>Drawing on external sources such as the </w:t>
      </w:r>
      <w:r w:rsidRPr="008D1008">
        <w:rPr>
          <w:szCs w:val="22"/>
        </w:rPr>
        <w:t>National Student Safety Survey (NSSS)</w:t>
      </w:r>
      <w:r w:rsidRPr="00B45A93">
        <w:rPr>
          <w:szCs w:val="22"/>
        </w:rPr>
        <w:t>, union reports, and information shared by co-regulators to triangulate findings.</w:t>
      </w:r>
    </w:p>
    <w:p w14:paraId="034679E1" w14:textId="77777777" w:rsidR="00B45A93" w:rsidRPr="00B45A93" w:rsidRDefault="00B45A93" w:rsidP="00B45A93">
      <w:pPr>
        <w:rPr>
          <w:szCs w:val="22"/>
        </w:rPr>
      </w:pPr>
      <w:r w:rsidRPr="00B45A93">
        <w:rPr>
          <w:szCs w:val="22"/>
        </w:rPr>
        <w:t>This phase will help identify patterns, strengths, and areas for improvement across institutions, informing targeted support and refinement of the Code.</w:t>
      </w:r>
    </w:p>
    <w:p w14:paraId="7781C5E0" w14:textId="77777777" w:rsidR="003B664E" w:rsidRPr="008D1008" w:rsidRDefault="003B664E" w:rsidP="003B664E">
      <w:pPr>
        <w:rPr>
          <w:rFonts w:ascii="Aptos" w:hAnsi="Aptos"/>
          <w:szCs w:val="22"/>
        </w:rPr>
      </w:pPr>
      <w:r w:rsidRPr="008D1008">
        <w:rPr>
          <w:rFonts w:ascii="Aptos" w:hAnsi="Aptos"/>
          <w:szCs w:val="22"/>
        </w:rPr>
        <w:t xml:space="preserve">Medium-term success will be evidenced by: </w:t>
      </w:r>
    </w:p>
    <w:p w14:paraId="489115B0" w14:textId="332148E7" w:rsidR="003B664E" w:rsidRPr="00F45378" w:rsidRDefault="003B664E" w:rsidP="003B664E">
      <w:pPr>
        <w:pStyle w:val="ListParagraph"/>
        <w:numPr>
          <w:ilvl w:val="0"/>
          <w:numId w:val="27"/>
        </w:numPr>
        <w:spacing w:line="259" w:lineRule="auto"/>
        <w:rPr>
          <w:rFonts w:ascii="Aptos" w:hAnsi="Aptos"/>
          <w:szCs w:val="22"/>
        </w:rPr>
      </w:pPr>
      <w:r w:rsidRPr="00F45378">
        <w:rPr>
          <w:rFonts w:ascii="Aptos" w:hAnsi="Aptos"/>
          <w:szCs w:val="22"/>
        </w:rPr>
        <w:t>Increase in student and staff disclosures and reports of GBV</w:t>
      </w:r>
      <w:r w:rsidR="00FB1010">
        <w:rPr>
          <w:rFonts w:ascii="Aptos" w:hAnsi="Aptos"/>
          <w:szCs w:val="22"/>
        </w:rPr>
        <w:t>,</w:t>
      </w:r>
      <w:r w:rsidRPr="00F45378">
        <w:rPr>
          <w:rFonts w:ascii="Aptos" w:hAnsi="Aptos"/>
          <w:szCs w:val="22"/>
        </w:rPr>
        <w:t xml:space="preserve"> reflecting improved trust in systems</w:t>
      </w:r>
    </w:p>
    <w:p w14:paraId="00F9EFC3" w14:textId="77777777" w:rsidR="003B664E" w:rsidRPr="00F45378" w:rsidRDefault="003B664E" w:rsidP="003B664E">
      <w:pPr>
        <w:pStyle w:val="ListParagraph"/>
        <w:numPr>
          <w:ilvl w:val="0"/>
          <w:numId w:val="27"/>
        </w:numPr>
        <w:spacing w:line="259" w:lineRule="auto"/>
        <w:rPr>
          <w:rFonts w:ascii="Aptos" w:hAnsi="Aptos"/>
          <w:szCs w:val="22"/>
        </w:rPr>
      </w:pPr>
      <w:r w:rsidRPr="00F45378">
        <w:rPr>
          <w:rFonts w:ascii="Aptos" w:hAnsi="Aptos"/>
          <w:szCs w:val="22"/>
        </w:rPr>
        <w:t>Enhanced satisfaction with support services and complaints processes across students and staff populations</w:t>
      </w:r>
    </w:p>
    <w:p w14:paraId="0F6FB1C2" w14:textId="413E1CCE" w:rsidR="003B664E" w:rsidRPr="00F45378" w:rsidRDefault="003B664E" w:rsidP="003B664E">
      <w:pPr>
        <w:pStyle w:val="ListParagraph"/>
        <w:numPr>
          <w:ilvl w:val="0"/>
          <w:numId w:val="27"/>
        </w:numPr>
        <w:spacing w:line="259" w:lineRule="auto"/>
        <w:rPr>
          <w:rFonts w:ascii="Aptos" w:hAnsi="Aptos"/>
          <w:szCs w:val="22"/>
        </w:rPr>
      </w:pPr>
      <w:r w:rsidRPr="00F45378">
        <w:rPr>
          <w:rFonts w:ascii="Aptos" w:hAnsi="Aptos"/>
          <w:szCs w:val="22"/>
        </w:rPr>
        <w:t>Reduction in attitudes and behaviours that enable</w:t>
      </w:r>
      <w:r w:rsidR="003D5E04">
        <w:rPr>
          <w:rFonts w:ascii="Aptos" w:hAnsi="Aptos"/>
          <w:szCs w:val="22"/>
        </w:rPr>
        <w:t xml:space="preserve"> or promote</w:t>
      </w:r>
      <w:r w:rsidRPr="00F45378">
        <w:rPr>
          <w:rFonts w:ascii="Aptos" w:hAnsi="Aptos"/>
          <w:szCs w:val="22"/>
        </w:rPr>
        <w:t xml:space="preserve"> violence</w:t>
      </w:r>
    </w:p>
    <w:p w14:paraId="4B030F82" w14:textId="77777777" w:rsidR="003B664E" w:rsidRPr="00F45378" w:rsidRDefault="003B664E" w:rsidP="003B664E">
      <w:pPr>
        <w:pStyle w:val="ListParagraph"/>
        <w:numPr>
          <w:ilvl w:val="0"/>
          <w:numId w:val="27"/>
        </w:numPr>
        <w:spacing w:line="259" w:lineRule="auto"/>
        <w:rPr>
          <w:rFonts w:ascii="Aptos" w:hAnsi="Aptos"/>
          <w:szCs w:val="22"/>
        </w:rPr>
      </w:pPr>
      <w:r w:rsidRPr="00F45378">
        <w:rPr>
          <w:rFonts w:ascii="Aptos" w:hAnsi="Aptos"/>
          <w:szCs w:val="22"/>
        </w:rPr>
        <w:t>Comparable data datasets across institutions and jurisdictions</w:t>
      </w:r>
    </w:p>
    <w:p w14:paraId="554D548B" w14:textId="111F6DB4" w:rsidR="003B664E" w:rsidRPr="008D1008" w:rsidRDefault="003D5E04" w:rsidP="008D1008">
      <w:pPr>
        <w:pStyle w:val="ListParagraph"/>
        <w:numPr>
          <w:ilvl w:val="0"/>
          <w:numId w:val="27"/>
        </w:numPr>
        <w:spacing w:line="259" w:lineRule="auto"/>
        <w:rPr>
          <w:rFonts w:ascii="Aptos" w:hAnsi="Aptos"/>
          <w:szCs w:val="22"/>
        </w:rPr>
      </w:pPr>
      <w:r>
        <w:rPr>
          <w:rFonts w:ascii="Aptos" w:hAnsi="Aptos"/>
          <w:szCs w:val="22"/>
        </w:rPr>
        <w:t xml:space="preserve">HEPs being able to </w:t>
      </w:r>
      <w:r w:rsidR="00A74E5B">
        <w:rPr>
          <w:rFonts w:ascii="Aptos" w:hAnsi="Aptos"/>
          <w:szCs w:val="22"/>
        </w:rPr>
        <w:t xml:space="preserve">demonstrate </w:t>
      </w:r>
      <w:r w:rsidR="00A74E5B" w:rsidRPr="00F45378">
        <w:rPr>
          <w:rFonts w:ascii="Aptos" w:hAnsi="Aptos"/>
          <w:szCs w:val="22"/>
        </w:rPr>
        <w:t>a</w:t>
      </w:r>
      <w:r w:rsidR="003B664E" w:rsidRPr="00F45378">
        <w:rPr>
          <w:rFonts w:ascii="Aptos" w:hAnsi="Aptos"/>
          <w:szCs w:val="22"/>
        </w:rPr>
        <w:t xml:space="preserve"> whole-of-organisation approach to prevention and response, led by leadership</w:t>
      </w:r>
    </w:p>
    <w:p w14:paraId="23DD2C43" w14:textId="32D917FD" w:rsidR="00B45A93" w:rsidRPr="00B45A93" w:rsidRDefault="00B45A93" w:rsidP="00F32261">
      <w:pPr>
        <w:rPr>
          <w:b/>
          <w:bCs/>
          <w:szCs w:val="22"/>
        </w:rPr>
      </w:pPr>
      <w:r w:rsidRPr="00B45A93">
        <w:rPr>
          <w:b/>
          <w:bCs/>
          <w:szCs w:val="22"/>
        </w:rPr>
        <w:t>Long-Term: Driving Quality and Cultural Change</w:t>
      </w:r>
      <w:r w:rsidR="002E155B">
        <w:rPr>
          <w:b/>
          <w:bCs/>
          <w:szCs w:val="22"/>
        </w:rPr>
        <w:t xml:space="preserve"> (8</w:t>
      </w:r>
      <w:r w:rsidR="007169D7">
        <w:rPr>
          <w:b/>
          <w:bCs/>
          <w:szCs w:val="22"/>
        </w:rPr>
        <w:t>+ years)</w:t>
      </w:r>
    </w:p>
    <w:p w14:paraId="76F7D696" w14:textId="77777777" w:rsidR="00B45A93" w:rsidRPr="00B45A93" w:rsidRDefault="00B45A93" w:rsidP="00B45A93">
      <w:pPr>
        <w:rPr>
          <w:szCs w:val="22"/>
        </w:rPr>
      </w:pPr>
      <w:r w:rsidRPr="00B45A93">
        <w:rPr>
          <w:szCs w:val="22"/>
        </w:rPr>
        <w:t>The final phase focuses on embedding sustainable change and promoting excellence beyond minimum compliance. Long-term evaluation activities will include:</w:t>
      </w:r>
    </w:p>
    <w:p w14:paraId="1CF026F0" w14:textId="77777777" w:rsidR="00B45A93" w:rsidRPr="00B45A93" w:rsidRDefault="00B45A93" w:rsidP="003C76A5">
      <w:pPr>
        <w:numPr>
          <w:ilvl w:val="0"/>
          <w:numId w:val="197"/>
        </w:numPr>
        <w:spacing w:after="0"/>
        <w:rPr>
          <w:szCs w:val="22"/>
        </w:rPr>
      </w:pPr>
      <w:r w:rsidRPr="00B45A93">
        <w:rPr>
          <w:szCs w:val="22"/>
        </w:rPr>
        <w:t>Defining and promoting standards of best practice to encourage providers to exceed baseline requirements.</w:t>
      </w:r>
    </w:p>
    <w:p w14:paraId="44129523" w14:textId="2C2567D6" w:rsidR="00B45A93" w:rsidRPr="00B45A93" w:rsidRDefault="00B45A93" w:rsidP="003C76A5">
      <w:pPr>
        <w:numPr>
          <w:ilvl w:val="0"/>
          <w:numId w:val="197"/>
        </w:numPr>
        <w:spacing w:after="0"/>
        <w:rPr>
          <w:szCs w:val="22"/>
        </w:rPr>
      </w:pPr>
      <w:r w:rsidRPr="00B45A93">
        <w:rPr>
          <w:szCs w:val="22"/>
        </w:rPr>
        <w:t xml:space="preserve">Continuously refining the </w:t>
      </w:r>
      <w:r w:rsidR="00C0297F">
        <w:rPr>
          <w:szCs w:val="22"/>
        </w:rPr>
        <w:t>s</w:t>
      </w:r>
      <w:r w:rsidR="00FF2C64">
        <w:rPr>
          <w:szCs w:val="22"/>
        </w:rPr>
        <w:t>pecialist GBV Reform Branch</w:t>
      </w:r>
      <w:r w:rsidRPr="00B45A93">
        <w:rPr>
          <w:szCs w:val="22"/>
        </w:rPr>
        <w:t>’s outputs and the National Code based on emerging evidence and sector feedback.</w:t>
      </w:r>
    </w:p>
    <w:p w14:paraId="05AA3918" w14:textId="5B1F207A" w:rsidR="00A435A8" w:rsidRPr="00D40CFB" w:rsidRDefault="00B45A93" w:rsidP="00EA535B">
      <w:pPr>
        <w:numPr>
          <w:ilvl w:val="0"/>
          <w:numId w:val="197"/>
        </w:numPr>
        <w:rPr>
          <w:szCs w:val="22"/>
        </w:rPr>
      </w:pPr>
      <w:r w:rsidRPr="00B45A93">
        <w:rPr>
          <w:szCs w:val="22"/>
        </w:rPr>
        <w:t>Supporting providers to evaluate the impact of their policies and practices on their communities, moving beyond binary compliance toward meaningful cultural transformation.</w:t>
      </w:r>
    </w:p>
    <w:p w14:paraId="6BDC0F03" w14:textId="77777777" w:rsidR="003B664E" w:rsidRPr="00F45378" w:rsidRDefault="003B664E" w:rsidP="003B664E">
      <w:r w:rsidRPr="00F45378">
        <w:t xml:space="preserve">Long term success will be evidenced by: </w:t>
      </w:r>
    </w:p>
    <w:p w14:paraId="7438CBFD" w14:textId="77777777" w:rsidR="003B664E" w:rsidRPr="00F45378" w:rsidRDefault="003B664E" w:rsidP="003B664E">
      <w:pPr>
        <w:pStyle w:val="ListParagraph"/>
        <w:numPr>
          <w:ilvl w:val="0"/>
          <w:numId w:val="27"/>
        </w:numPr>
        <w:spacing w:line="259" w:lineRule="auto"/>
        <w:rPr>
          <w:rFonts w:ascii="Aptos" w:hAnsi="Aptos"/>
          <w:b/>
          <w:bCs/>
          <w:szCs w:val="22"/>
        </w:rPr>
      </w:pPr>
      <w:r w:rsidRPr="00F45378">
        <w:rPr>
          <w:rFonts w:ascii="Aptos" w:hAnsi="Aptos"/>
          <w:szCs w:val="22"/>
        </w:rPr>
        <w:t>A sustained and measurable</w:t>
      </w:r>
      <w:r w:rsidRPr="00F45378">
        <w:rPr>
          <w:rFonts w:ascii="Aptos" w:hAnsi="Aptos"/>
          <w:b/>
          <w:bCs/>
          <w:szCs w:val="22"/>
        </w:rPr>
        <w:t xml:space="preserve"> </w:t>
      </w:r>
      <w:r w:rsidRPr="00F45378">
        <w:rPr>
          <w:rFonts w:ascii="Aptos" w:hAnsi="Aptos"/>
          <w:szCs w:val="22"/>
        </w:rPr>
        <w:t>reduction in the prevalence and harm of GBV in higher education settings</w:t>
      </w:r>
    </w:p>
    <w:p w14:paraId="41F6AA50" w14:textId="77777777" w:rsidR="003B664E" w:rsidRPr="00F45378" w:rsidRDefault="003B664E" w:rsidP="003B664E">
      <w:pPr>
        <w:pStyle w:val="ListParagraph"/>
        <w:numPr>
          <w:ilvl w:val="0"/>
          <w:numId w:val="27"/>
        </w:numPr>
        <w:spacing w:line="259" w:lineRule="auto"/>
        <w:rPr>
          <w:rFonts w:ascii="Aptos" w:hAnsi="Aptos"/>
          <w:b/>
          <w:bCs/>
          <w:szCs w:val="22"/>
        </w:rPr>
      </w:pPr>
      <w:r w:rsidRPr="00F45378">
        <w:rPr>
          <w:rFonts w:ascii="Aptos" w:hAnsi="Aptos"/>
          <w:szCs w:val="22"/>
        </w:rPr>
        <w:t>Consistently high institutional responses to GBV</w:t>
      </w:r>
    </w:p>
    <w:p w14:paraId="2EF08D37" w14:textId="77777777" w:rsidR="003B664E" w:rsidRPr="00F45378" w:rsidRDefault="003B664E" w:rsidP="003B664E">
      <w:pPr>
        <w:pStyle w:val="ListParagraph"/>
        <w:numPr>
          <w:ilvl w:val="0"/>
          <w:numId w:val="27"/>
        </w:numPr>
        <w:spacing w:line="259" w:lineRule="auto"/>
        <w:rPr>
          <w:rFonts w:ascii="Aptos" w:hAnsi="Aptos"/>
          <w:b/>
          <w:bCs/>
          <w:szCs w:val="22"/>
        </w:rPr>
      </w:pPr>
      <w:r w:rsidRPr="00F45378">
        <w:rPr>
          <w:rFonts w:ascii="Aptos" w:hAnsi="Aptos"/>
          <w:szCs w:val="22"/>
        </w:rPr>
        <w:t>Contribute</w:t>
      </w:r>
      <w:r w:rsidRPr="00F45378">
        <w:rPr>
          <w:rFonts w:ascii="Aptos" w:hAnsi="Aptos"/>
          <w:b/>
          <w:bCs/>
          <w:szCs w:val="22"/>
        </w:rPr>
        <w:t xml:space="preserve"> </w:t>
      </w:r>
      <w:r w:rsidRPr="00F45378">
        <w:rPr>
          <w:rFonts w:ascii="Aptos" w:hAnsi="Aptos"/>
          <w:szCs w:val="22"/>
        </w:rPr>
        <w:t xml:space="preserve">to broader national evidence to end violence against women and children </w:t>
      </w:r>
    </w:p>
    <w:p w14:paraId="46B1BBA1" w14:textId="3E975E50" w:rsidR="005C74ED" w:rsidRDefault="00D36D28" w:rsidP="008D1008">
      <w:r w:rsidRPr="008D1008">
        <w:rPr>
          <w:rFonts w:ascii="Aptos" w:hAnsi="Aptos"/>
          <w:szCs w:val="22"/>
        </w:rPr>
        <w:t>The specialist GBV Reform Branch will lead the monitoring and evaluation process, ensuring alignment with the objectives outlined in Chapter 2 and assessing the effectiveness of interventions over time. This phased, mixed-methods approach</w:t>
      </w:r>
      <w:r w:rsidR="0083175E">
        <w:rPr>
          <w:rFonts w:ascii="Aptos" w:hAnsi="Aptos"/>
          <w:szCs w:val="22"/>
        </w:rPr>
        <w:t>,</w:t>
      </w:r>
      <w:r w:rsidRPr="008D1008">
        <w:rPr>
          <w:rFonts w:ascii="Aptos" w:hAnsi="Aptos"/>
          <w:szCs w:val="22"/>
        </w:rPr>
        <w:t xml:space="preserve"> supports continuous improvement, regulatory strategy, and future policy decisions, while remaining responsive to the sector’s evolving needs.</w:t>
      </w:r>
      <w:bookmarkStart w:id="259" w:name="_Toc204699913"/>
    </w:p>
    <w:p w14:paraId="34F58AE4" w14:textId="6C0CFDEC" w:rsidR="00E87F05" w:rsidRDefault="00E87F05" w:rsidP="0007552B">
      <w:pPr>
        <w:pStyle w:val="Heading2"/>
      </w:pPr>
      <w:bookmarkStart w:id="260" w:name="_Toc210050261"/>
      <w:r>
        <w:lastRenderedPageBreak/>
        <w:t>Points of evaluation</w:t>
      </w:r>
      <w:bookmarkEnd w:id="259"/>
      <w:bookmarkEnd w:id="260"/>
    </w:p>
    <w:p w14:paraId="6E07DDEB" w14:textId="2F451AD7" w:rsidR="00552DD6" w:rsidRPr="001027C2" w:rsidRDefault="00552DD6" w:rsidP="00F32261">
      <w:pPr>
        <w:rPr>
          <w:szCs w:val="22"/>
        </w:rPr>
      </w:pPr>
      <w:r w:rsidRPr="001027C2">
        <w:rPr>
          <w:szCs w:val="22"/>
        </w:rPr>
        <w:t>This section outlines the key mechanisms through which the implementation and impact of the National Code will be evaluated. These include internal and external data sources, regulatory activities, stakeholder engagement, and independent evaluation. Together, these mechanisms will ensure a comprehensive, transparent, and responsive evaluation process.</w:t>
      </w:r>
    </w:p>
    <w:p w14:paraId="5EB28352" w14:textId="01ACC7D9" w:rsidR="0007552B" w:rsidRPr="0007552B" w:rsidRDefault="0007552B" w:rsidP="00E87F05">
      <w:pPr>
        <w:pStyle w:val="Heading3"/>
      </w:pPr>
      <w:bookmarkStart w:id="261" w:name="_Toc204682654"/>
      <w:bookmarkStart w:id="262" w:name="_Toc204699914"/>
      <w:bookmarkStart w:id="263" w:name="_Toc204763365"/>
      <w:bookmarkStart w:id="264" w:name="_Toc204764933"/>
      <w:bookmarkStart w:id="265" w:name="_Toc205216945"/>
      <w:r>
        <w:t xml:space="preserve">Evaluation through </w:t>
      </w:r>
      <w:r w:rsidR="000E11BD">
        <w:t xml:space="preserve">internal </w:t>
      </w:r>
      <w:r>
        <w:t>da</w:t>
      </w:r>
      <w:r w:rsidR="009A7457">
        <w:t>ta</w:t>
      </w:r>
      <w:bookmarkEnd w:id="261"/>
      <w:bookmarkEnd w:id="262"/>
      <w:bookmarkEnd w:id="263"/>
      <w:bookmarkEnd w:id="264"/>
      <w:bookmarkEnd w:id="265"/>
    </w:p>
    <w:p w14:paraId="3D015038" w14:textId="36464666" w:rsidR="0007552B" w:rsidRPr="00F45378" w:rsidRDefault="0007552B" w:rsidP="0007552B">
      <w:pPr>
        <w:rPr>
          <w:szCs w:val="22"/>
        </w:rPr>
      </w:pPr>
      <w:r w:rsidRPr="00F45378">
        <w:rPr>
          <w:szCs w:val="22"/>
        </w:rPr>
        <w:t xml:space="preserve">The effectiveness of the </w:t>
      </w:r>
      <w:r w:rsidR="008743F1" w:rsidRPr="00F45378">
        <w:rPr>
          <w:szCs w:val="22"/>
        </w:rPr>
        <w:t>National Code</w:t>
      </w:r>
      <w:r w:rsidRPr="00F45378">
        <w:rPr>
          <w:szCs w:val="22"/>
        </w:rPr>
        <w:t xml:space="preserve"> will be primarily monitored and evaluated through the analysis of data and information provided by HEPs </w:t>
      </w:r>
      <w:r w:rsidR="00C931AA" w:rsidRPr="00F45378">
        <w:rPr>
          <w:szCs w:val="22"/>
        </w:rPr>
        <w:t>to</w:t>
      </w:r>
      <w:r w:rsidRPr="00F45378">
        <w:rPr>
          <w:szCs w:val="22"/>
        </w:rPr>
        <w:t xml:space="preserve"> support this, the </w:t>
      </w:r>
      <w:r w:rsidR="008743F1" w:rsidRPr="00F45378">
        <w:rPr>
          <w:szCs w:val="22"/>
        </w:rPr>
        <w:t>National Code</w:t>
      </w:r>
      <w:r w:rsidRPr="00F45378">
        <w:rPr>
          <w:szCs w:val="22"/>
        </w:rPr>
        <w:t xml:space="preserve"> includes a dedicated standard - Standard 6: Data, Evidence and Impact - which outlines rigorous data requirements designed to enable meaningful evaluation of both compliance and quality.</w:t>
      </w:r>
    </w:p>
    <w:p w14:paraId="766F420B" w14:textId="77777777" w:rsidR="0007552B" w:rsidRPr="00F45378" w:rsidRDefault="0007552B" w:rsidP="0007552B">
      <w:pPr>
        <w:rPr>
          <w:szCs w:val="22"/>
        </w:rPr>
      </w:pPr>
      <w:r w:rsidRPr="00F45378">
        <w:rPr>
          <w:szCs w:val="22"/>
        </w:rPr>
        <w:t>Standard 6 serves multiple evaluation-related functions:</w:t>
      </w:r>
    </w:p>
    <w:p w14:paraId="254587B3" w14:textId="2300B34A" w:rsidR="0007552B" w:rsidRPr="00F45378" w:rsidRDefault="0007552B" w:rsidP="00374E2E">
      <w:pPr>
        <w:pStyle w:val="ListParagraph"/>
        <w:numPr>
          <w:ilvl w:val="0"/>
          <w:numId w:val="110"/>
        </w:numPr>
        <w:rPr>
          <w:szCs w:val="22"/>
        </w:rPr>
      </w:pPr>
      <w:r w:rsidRPr="00F45378">
        <w:rPr>
          <w:b/>
          <w:bCs/>
          <w:szCs w:val="22"/>
        </w:rPr>
        <w:t>Institutional Understanding:</w:t>
      </w:r>
      <w:r w:rsidRPr="00F45378">
        <w:rPr>
          <w:szCs w:val="22"/>
        </w:rPr>
        <w:t xml:space="preserve"> Enables HEPs to assess the nature and incidence of </w:t>
      </w:r>
      <w:r w:rsidR="008223FC" w:rsidRPr="00F45378">
        <w:rPr>
          <w:szCs w:val="22"/>
        </w:rPr>
        <w:t>GBV</w:t>
      </w:r>
      <w:r w:rsidRPr="00F45378">
        <w:rPr>
          <w:szCs w:val="22"/>
        </w:rPr>
        <w:t xml:space="preserve"> experienced by their students and staff, forming the foundation for targeted interventions.</w:t>
      </w:r>
    </w:p>
    <w:p w14:paraId="7773A07C" w14:textId="77777777" w:rsidR="0007552B" w:rsidRPr="00F45378" w:rsidRDefault="0007552B" w:rsidP="00374E2E">
      <w:pPr>
        <w:pStyle w:val="ListParagraph"/>
        <w:numPr>
          <w:ilvl w:val="0"/>
          <w:numId w:val="110"/>
        </w:numPr>
        <w:rPr>
          <w:szCs w:val="22"/>
        </w:rPr>
      </w:pPr>
      <w:r w:rsidRPr="001E7A42">
        <w:rPr>
          <w:b/>
          <w:bCs/>
          <w:szCs w:val="22"/>
        </w:rPr>
        <w:t xml:space="preserve">Analysis and Impact Assessment: </w:t>
      </w:r>
      <w:r w:rsidRPr="001E7A42">
        <w:rPr>
          <w:szCs w:val="22"/>
        </w:rPr>
        <w:t>Supports</w:t>
      </w:r>
      <w:r w:rsidRPr="00F45378">
        <w:rPr>
          <w:szCs w:val="22"/>
        </w:rPr>
        <w:t xml:space="preserve"> providers in evaluating the effectiveness of their prevention and response efforts, including identifying the needs of different cohorts, tracking progress, and informing policy and program design.</w:t>
      </w:r>
    </w:p>
    <w:p w14:paraId="29E0B9AC" w14:textId="0809C11D" w:rsidR="0007552B" w:rsidRPr="00F45378" w:rsidRDefault="0007552B" w:rsidP="00374E2E">
      <w:pPr>
        <w:pStyle w:val="ListParagraph"/>
        <w:numPr>
          <w:ilvl w:val="0"/>
          <w:numId w:val="110"/>
        </w:numPr>
        <w:rPr>
          <w:szCs w:val="22"/>
        </w:rPr>
      </w:pPr>
      <w:r w:rsidRPr="00F45378">
        <w:rPr>
          <w:b/>
          <w:bCs/>
          <w:szCs w:val="22"/>
        </w:rPr>
        <w:t xml:space="preserve">National Evidence Base: </w:t>
      </w:r>
      <w:r w:rsidRPr="00F45378">
        <w:rPr>
          <w:szCs w:val="22"/>
        </w:rPr>
        <w:t xml:space="preserve">Allows the </w:t>
      </w:r>
      <w:r w:rsidR="00C0297F">
        <w:rPr>
          <w:szCs w:val="22"/>
        </w:rPr>
        <w:t>s</w:t>
      </w:r>
      <w:r w:rsidR="00FF2C64">
        <w:rPr>
          <w:szCs w:val="22"/>
        </w:rPr>
        <w:t>pecialist GBV Reform Branch</w:t>
      </w:r>
      <w:r w:rsidRPr="00F45378">
        <w:rPr>
          <w:szCs w:val="22"/>
        </w:rPr>
        <w:t xml:space="preserve"> to build a comprehensive picture of </w:t>
      </w:r>
      <w:r w:rsidR="008223FC" w:rsidRPr="00F45378">
        <w:rPr>
          <w:szCs w:val="22"/>
        </w:rPr>
        <w:t>GBV</w:t>
      </w:r>
      <w:r w:rsidRPr="00F45378">
        <w:rPr>
          <w:szCs w:val="22"/>
        </w:rPr>
        <w:t xml:space="preserve"> across the sector, enabling benchmarking, trend analysis, and identification of systemic issues.</w:t>
      </w:r>
    </w:p>
    <w:p w14:paraId="2D3FC271" w14:textId="7B401D58" w:rsidR="0007552B" w:rsidRPr="00F45378" w:rsidRDefault="0007552B" w:rsidP="00374E2E">
      <w:pPr>
        <w:pStyle w:val="ListParagraph"/>
        <w:numPr>
          <w:ilvl w:val="0"/>
          <w:numId w:val="110"/>
        </w:numPr>
        <w:rPr>
          <w:szCs w:val="22"/>
        </w:rPr>
      </w:pPr>
      <w:r w:rsidRPr="00F45378">
        <w:rPr>
          <w:b/>
          <w:bCs/>
          <w:szCs w:val="22"/>
        </w:rPr>
        <w:t>Monitoring and Compliance:</w:t>
      </w:r>
      <w:r w:rsidRPr="00F45378">
        <w:rPr>
          <w:szCs w:val="22"/>
        </w:rPr>
        <w:t xml:space="preserve"> Provides the </w:t>
      </w:r>
      <w:r w:rsidR="00C0297F">
        <w:rPr>
          <w:szCs w:val="22"/>
        </w:rPr>
        <w:t>s</w:t>
      </w:r>
      <w:r w:rsidR="00FF2C64">
        <w:rPr>
          <w:szCs w:val="22"/>
        </w:rPr>
        <w:t>pecialist GBV Reform Branch</w:t>
      </w:r>
      <w:r w:rsidRPr="00F45378">
        <w:rPr>
          <w:szCs w:val="22"/>
        </w:rPr>
        <w:t xml:space="preserve"> with the necessary data to assess whether providers are meeting the mandatory requirements of the </w:t>
      </w:r>
      <w:r w:rsidR="008743F1" w:rsidRPr="00F45378">
        <w:rPr>
          <w:szCs w:val="22"/>
        </w:rPr>
        <w:t>National Code</w:t>
      </w:r>
      <w:r w:rsidRPr="00F45378">
        <w:rPr>
          <w:szCs w:val="22"/>
        </w:rPr>
        <w:t>, and to initiate regulatory action where needed.</w:t>
      </w:r>
    </w:p>
    <w:p w14:paraId="0213436B" w14:textId="77777777" w:rsidR="0007552B" w:rsidRPr="00F45378" w:rsidRDefault="0007552B" w:rsidP="00374E2E">
      <w:pPr>
        <w:pStyle w:val="ListParagraph"/>
        <w:numPr>
          <w:ilvl w:val="0"/>
          <w:numId w:val="110"/>
        </w:numPr>
        <w:rPr>
          <w:szCs w:val="22"/>
        </w:rPr>
      </w:pPr>
      <w:r w:rsidRPr="00F45378">
        <w:rPr>
          <w:b/>
          <w:bCs/>
          <w:szCs w:val="22"/>
        </w:rPr>
        <w:t>Evaluation of Policy Effectiveness:</w:t>
      </w:r>
      <w:r w:rsidRPr="00F45378">
        <w:rPr>
          <w:szCs w:val="22"/>
        </w:rPr>
        <w:t xml:space="preserve"> Facilitates assessment of the quality and impact of the </w:t>
      </w:r>
      <w:r w:rsidR="008743F1" w:rsidRPr="00F45378">
        <w:rPr>
          <w:szCs w:val="22"/>
        </w:rPr>
        <w:t>National Code</w:t>
      </w:r>
      <w:r w:rsidRPr="00F45378">
        <w:rPr>
          <w:szCs w:val="22"/>
        </w:rPr>
        <w:t xml:space="preserve"> itself—both at the institutional level and across the sector—ensuring that the policy is delivering on its objectives and contributing to long-term cultural change.</w:t>
      </w:r>
    </w:p>
    <w:p w14:paraId="380E1598" w14:textId="77777777" w:rsidR="0007552B" w:rsidRPr="00F45378" w:rsidRDefault="0007552B" w:rsidP="00374E2E">
      <w:pPr>
        <w:pStyle w:val="ListParagraph"/>
        <w:numPr>
          <w:ilvl w:val="0"/>
          <w:numId w:val="110"/>
        </w:numPr>
        <w:rPr>
          <w:szCs w:val="22"/>
        </w:rPr>
      </w:pPr>
      <w:r w:rsidRPr="00F45378">
        <w:rPr>
          <w:b/>
          <w:bCs/>
          <w:szCs w:val="22"/>
        </w:rPr>
        <w:t>Transparency and Accountability</w:t>
      </w:r>
      <w:r w:rsidRPr="00F45378">
        <w:rPr>
          <w:szCs w:val="22"/>
        </w:rPr>
        <w:t>: Promotes visibility of institutional efforts to students, staff, and government, reinforcing public trust and sector-wide accountability.</w:t>
      </w:r>
    </w:p>
    <w:p w14:paraId="0F5F4B21" w14:textId="77777777" w:rsidR="0007552B" w:rsidRPr="00F45378" w:rsidRDefault="0007552B" w:rsidP="0007552B">
      <w:pPr>
        <w:rPr>
          <w:szCs w:val="22"/>
        </w:rPr>
      </w:pPr>
      <w:r w:rsidRPr="00F45378">
        <w:rPr>
          <w:szCs w:val="22"/>
        </w:rPr>
        <w:t>To achieve these functions, the data requirements under standard 6 are intentionally rigorous and include:</w:t>
      </w:r>
    </w:p>
    <w:p w14:paraId="55D1F279" w14:textId="5D373323" w:rsidR="0007552B" w:rsidRPr="00F45378" w:rsidRDefault="0007552B" w:rsidP="00374E2E">
      <w:pPr>
        <w:pStyle w:val="ListParagraph"/>
        <w:numPr>
          <w:ilvl w:val="0"/>
          <w:numId w:val="111"/>
        </w:numPr>
        <w:rPr>
          <w:szCs w:val="22"/>
        </w:rPr>
      </w:pPr>
      <w:r w:rsidRPr="00F45378">
        <w:rPr>
          <w:b/>
          <w:bCs/>
          <w:szCs w:val="22"/>
        </w:rPr>
        <w:t>Annual reporting</w:t>
      </w:r>
      <w:r w:rsidRPr="00F45378">
        <w:rPr>
          <w:szCs w:val="22"/>
        </w:rPr>
        <w:t xml:space="preserve"> of de-identified data on </w:t>
      </w:r>
      <w:r w:rsidR="008223FC" w:rsidRPr="00F45378">
        <w:rPr>
          <w:szCs w:val="22"/>
        </w:rPr>
        <w:t>GBV</w:t>
      </w:r>
      <w:r w:rsidRPr="00F45378">
        <w:rPr>
          <w:szCs w:val="22"/>
        </w:rPr>
        <w:t xml:space="preserve"> incidents, support services, and institutional responses.</w:t>
      </w:r>
    </w:p>
    <w:p w14:paraId="725002B7" w14:textId="77777777" w:rsidR="0007552B" w:rsidRPr="00F45378" w:rsidRDefault="0007552B" w:rsidP="00374E2E">
      <w:pPr>
        <w:pStyle w:val="ListParagraph"/>
        <w:numPr>
          <w:ilvl w:val="0"/>
          <w:numId w:val="111"/>
        </w:numPr>
        <w:rPr>
          <w:szCs w:val="22"/>
        </w:rPr>
      </w:pPr>
      <w:r w:rsidRPr="00F45378">
        <w:rPr>
          <w:b/>
          <w:bCs/>
          <w:szCs w:val="22"/>
        </w:rPr>
        <w:t xml:space="preserve">Documentation of implementation </w:t>
      </w:r>
      <w:r w:rsidRPr="00F45378">
        <w:rPr>
          <w:szCs w:val="22"/>
        </w:rPr>
        <w:t>of policies, procedures, and related activities.</w:t>
      </w:r>
    </w:p>
    <w:p w14:paraId="028522DE" w14:textId="77777777" w:rsidR="0007552B" w:rsidRPr="00F45378" w:rsidRDefault="0007552B" w:rsidP="00374E2E">
      <w:pPr>
        <w:pStyle w:val="ListParagraph"/>
        <w:numPr>
          <w:ilvl w:val="0"/>
          <w:numId w:val="111"/>
        </w:numPr>
        <w:rPr>
          <w:szCs w:val="22"/>
        </w:rPr>
      </w:pPr>
      <w:r w:rsidRPr="00F45378">
        <w:rPr>
          <w:b/>
          <w:bCs/>
          <w:szCs w:val="22"/>
        </w:rPr>
        <w:t>Evaluation of impact</w:t>
      </w:r>
      <w:r w:rsidRPr="00F45378">
        <w:rPr>
          <w:szCs w:val="22"/>
        </w:rPr>
        <w:t>, including tracking reporting rates, identifying cultural and systemic barriers, and assessing awareness of policies among students and staff.</w:t>
      </w:r>
    </w:p>
    <w:p w14:paraId="48973FD7" w14:textId="77777777" w:rsidR="0007552B" w:rsidRPr="00F45378" w:rsidRDefault="0007552B" w:rsidP="00374E2E">
      <w:pPr>
        <w:pStyle w:val="ListParagraph"/>
        <w:numPr>
          <w:ilvl w:val="0"/>
          <w:numId w:val="111"/>
        </w:numPr>
        <w:rPr>
          <w:szCs w:val="22"/>
        </w:rPr>
      </w:pPr>
      <w:r w:rsidRPr="00F45378">
        <w:rPr>
          <w:b/>
          <w:bCs/>
          <w:szCs w:val="22"/>
        </w:rPr>
        <w:t>Safe and ethical data practices</w:t>
      </w:r>
      <w:r w:rsidRPr="00F45378">
        <w:rPr>
          <w:szCs w:val="22"/>
        </w:rPr>
        <w:t>, ensuring that all data collection is trauma-informed, person-centred, and compliant with relevant privacy laws</w:t>
      </w:r>
    </w:p>
    <w:p w14:paraId="6D7906DA" w14:textId="3E14C9FF" w:rsidR="0007552B" w:rsidRPr="00F45378" w:rsidRDefault="0007552B" w:rsidP="0007552B">
      <w:pPr>
        <w:rPr>
          <w:szCs w:val="22"/>
        </w:rPr>
      </w:pPr>
      <w:r w:rsidRPr="00F45378">
        <w:rPr>
          <w:szCs w:val="22"/>
        </w:rPr>
        <w:t xml:space="preserve">This data will serve as a foundational input into the broader evaluation of the </w:t>
      </w:r>
      <w:r w:rsidR="008743F1" w:rsidRPr="00F45378">
        <w:rPr>
          <w:szCs w:val="22"/>
        </w:rPr>
        <w:t>National Code</w:t>
      </w:r>
      <w:r w:rsidRPr="00F45378">
        <w:rPr>
          <w:szCs w:val="22"/>
        </w:rPr>
        <w:t xml:space="preserve">. By aggregating and analysing institutional data, the department will be able to assess the </w:t>
      </w:r>
      <w:r w:rsidR="008743F1" w:rsidRPr="00F45378">
        <w:rPr>
          <w:szCs w:val="22"/>
        </w:rPr>
        <w:lastRenderedPageBreak/>
        <w:t>National Code</w:t>
      </w:r>
      <w:r w:rsidRPr="00F45378">
        <w:rPr>
          <w:szCs w:val="22"/>
        </w:rPr>
        <w:t xml:space="preserve">s effectiveness in achieving its intended outcomes. This includes evaluating whether the </w:t>
      </w:r>
      <w:r w:rsidR="008743F1" w:rsidRPr="00F45378">
        <w:rPr>
          <w:szCs w:val="22"/>
        </w:rPr>
        <w:t>National Code</w:t>
      </w:r>
      <w:r w:rsidRPr="00F45378">
        <w:rPr>
          <w:szCs w:val="22"/>
        </w:rPr>
        <w:t xml:space="preserve"> is driving improvement in safety, accountability and cultural change. The data will also inform the department’s internal outcomes framework (see below), enable strategic planning, resource allocation and targeted support for providers. over time, this evidence will support the iterative refinement of the </w:t>
      </w:r>
      <w:r w:rsidR="008743F1" w:rsidRPr="00F45378">
        <w:rPr>
          <w:szCs w:val="22"/>
        </w:rPr>
        <w:t>National Code</w:t>
      </w:r>
      <w:r w:rsidRPr="00F45378">
        <w:rPr>
          <w:szCs w:val="22"/>
        </w:rPr>
        <w:t xml:space="preserve">, ensuring it remains responsive to emerging trends, sector needs, emerging forms of </w:t>
      </w:r>
      <w:r w:rsidR="00100DD6" w:rsidRPr="00F45378">
        <w:rPr>
          <w:szCs w:val="22"/>
        </w:rPr>
        <w:t>gender-based violence</w:t>
      </w:r>
      <w:r w:rsidRPr="00F45378">
        <w:rPr>
          <w:szCs w:val="22"/>
        </w:rPr>
        <w:t xml:space="preserve"> and leading evidence/practice. Ultimately, this integrated evaluation approach will ensure that the </w:t>
      </w:r>
      <w:r w:rsidR="008743F1" w:rsidRPr="00F45378">
        <w:rPr>
          <w:szCs w:val="22"/>
        </w:rPr>
        <w:t>National Code</w:t>
      </w:r>
      <w:r w:rsidRPr="00F45378">
        <w:rPr>
          <w:szCs w:val="22"/>
        </w:rPr>
        <w:t xml:space="preserve"> delivers measurable impact and contributes meaningfully to the national goal of ending </w:t>
      </w:r>
      <w:r w:rsidR="00100DD6" w:rsidRPr="00F45378">
        <w:rPr>
          <w:szCs w:val="22"/>
        </w:rPr>
        <w:t>gender-based violence</w:t>
      </w:r>
      <w:r w:rsidRPr="00F45378">
        <w:rPr>
          <w:szCs w:val="22"/>
        </w:rPr>
        <w:t xml:space="preserve"> within a generation. </w:t>
      </w:r>
    </w:p>
    <w:p w14:paraId="713621DE" w14:textId="0E0F0C49" w:rsidR="007A5F05" w:rsidRPr="008D1008" w:rsidRDefault="0007552B" w:rsidP="00873193">
      <w:pPr>
        <w:rPr>
          <w:szCs w:val="22"/>
        </w:rPr>
      </w:pPr>
      <w:r w:rsidRPr="00F45378">
        <w:rPr>
          <w:szCs w:val="22"/>
        </w:rPr>
        <w:t xml:space="preserve">This dual approach </w:t>
      </w:r>
      <w:r w:rsidR="00693245">
        <w:rPr>
          <w:szCs w:val="22"/>
        </w:rPr>
        <w:t>of</w:t>
      </w:r>
      <w:r w:rsidRPr="00F45378">
        <w:rPr>
          <w:szCs w:val="22"/>
        </w:rPr>
        <w:t xml:space="preserve"> top-down regulation and bottom-up reporting ensures accountability and contextual relevance. </w:t>
      </w:r>
    </w:p>
    <w:p w14:paraId="3E86E45A" w14:textId="7B7922BA" w:rsidR="00902D0F" w:rsidRPr="00F45378" w:rsidRDefault="00902D0F" w:rsidP="00873193">
      <w:pPr>
        <w:rPr>
          <w:b/>
          <w:bCs/>
          <w:szCs w:val="22"/>
        </w:rPr>
      </w:pPr>
      <w:r w:rsidRPr="00F45378">
        <w:rPr>
          <w:b/>
          <w:bCs/>
          <w:szCs w:val="22"/>
        </w:rPr>
        <w:t>Data gaps</w:t>
      </w:r>
    </w:p>
    <w:p w14:paraId="26142873" w14:textId="63E78AB0" w:rsidR="007D5E15" w:rsidRPr="00F45378" w:rsidRDefault="003D2031" w:rsidP="007D5E15">
      <w:pPr>
        <w:rPr>
          <w:szCs w:val="22"/>
        </w:rPr>
      </w:pPr>
      <w:r w:rsidRPr="003D2031">
        <w:rPr>
          <w:szCs w:val="22"/>
        </w:rPr>
        <w:t xml:space="preserve">As outlined in Chapter 1, there are significant gaps in data </w:t>
      </w:r>
      <w:r w:rsidR="00E277B3">
        <w:rPr>
          <w:szCs w:val="22"/>
        </w:rPr>
        <w:t xml:space="preserve">of </w:t>
      </w:r>
      <w:r w:rsidRPr="003D2031">
        <w:rPr>
          <w:szCs w:val="22"/>
        </w:rPr>
        <w:t>GBV within the higher education sector</w:t>
      </w:r>
      <w:r>
        <w:rPr>
          <w:szCs w:val="22"/>
        </w:rPr>
        <w:t xml:space="preserve">, </w:t>
      </w:r>
      <w:r w:rsidRPr="003D2031">
        <w:rPr>
          <w:szCs w:val="22"/>
        </w:rPr>
        <w:t>particularly for individuals from</w:t>
      </w:r>
      <w:r>
        <w:rPr>
          <w:szCs w:val="22"/>
        </w:rPr>
        <w:t xml:space="preserve"> CALD</w:t>
      </w:r>
      <w:r w:rsidRPr="003D2031">
        <w:rPr>
          <w:szCs w:val="22"/>
        </w:rPr>
        <w:t xml:space="preserve"> backgrounds, people with disability, and international students. Standard 6 of the National Code directly addresses these gaps by mandating the collection and reporting of disaggregated demographic data alongside GBV incident data. </w:t>
      </w:r>
      <w:r w:rsidR="00DB366C">
        <w:rPr>
          <w:szCs w:val="22"/>
        </w:rPr>
        <w:t>HEPs</w:t>
      </w:r>
      <w:r w:rsidRPr="003D2031">
        <w:rPr>
          <w:szCs w:val="22"/>
        </w:rPr>
        <w:t xml:space="preserve"> are required to report on characteristics such as Indigenous status, disability status, country of birth, language spoken at home, visa status, and accommodation type, enabling a more nuanced understanding of how GBV affects different cohorts. This includes tracking reporting rates, support service usage, and outcomes of investigations and disciplinary processes by demographic group. By standardising definitions and formats, the </w:t>
      </w:r>
      <w:r>
        <w:rPr>
          <w:szCs w:val="22"/>
        </w:rPr>
        <w:t xml:space="preserve">National </w:t>
      </w:r>
      <w:r w:rsidRPr="003D2031">
        <w:rPr>
          <w:szCs w:val="22"/>
        </w:rPr>
        <w:t>Code ensures that data is comparable, consistent, and inclusive, allowing for the identification of systemic and cultural barriers to safety and support. Over time, this will build a robust national evidence base that reflects the full spectrum of GBV experiences in higher education</w:t>
      </w:r>
      <w:r w:rsidR="007D5E15">
        <w:rPr>
          <w:szCs w:val="22"/>
        </w:rPr>
        <w:t xml:space="preserve">. </w:t>
      </w:r>
    </w:p>
    <w:p w14:paraId="154CA443" w14:textId="6077F8E5" w:rsidR="00902D0F" w:rsidRPr="008D1008" w:rsidRDefault="00902D0F" w:rsidP="008D1008">
      <w:pPr>
        <w:rPr>
          <w:b/>
        </w:rPr>
      </w:pPr>
      <w:bookmarkStart w:id="266" w:name="_Toc204763366"/>
      <w:bookmarkStart w:id="267" w:name="_Toc204764934"/>
      <w:bookmarkStart w:id="268" w:name="_Toc205216946"/>
      <w:r w:rsidRPr="008D1008">
        <w:rPr>
          <w:b/>
        </w:rPr>
        <w:t>Use of external data sources</w:t>
      </w:r>
      <w:r w:rsidR="003E2DFF" w:rsidRPr="008D1008">
        <w:rPr>
          <w:b/>
        </w:rPr>
        <w:t xml:space="preserve"> </w:t>
      </w:r>
      <w:bookmarkEnd w:id="266"/>
      <w:bookmarkEnd w:id="267"/>
      <w:bookmarkEnd w:id="268"/>
    </w:p>
    <w:p w14:paraId="0C54E19D" w14:textId="2394B93F" w:rsidR="00D3184E" w:rsidRPr="00F45378" w:rsidRDefault="003818B0" w:rsidP="003818B0">
      <w:pPr>
        <w:rPr>
          <w:szCs w:val="22"/>
        </w:rPr>
      </w:pPr>
      <w:r w:rsidRPr="00F45378">
        <w:rPr>
          <w:szCs w:val="22"/>
        </w:rPr>
        <w:t xml:space="preserve">To strengthen the evidence base, the </w:t>
      </w:r>
      <w:r w:rsidR="00A5177C">
        <w:rPr>
          <w:szCs w:val="22"/>
        </w:rPr>
        <w:t>d</w:t>
      </w:r>
      <w:r w:rsidRPr="00F45378">
        <w:rPr>
          <w:szCs w:val="22"/>
        </w:rPr>
        <w:t>epartment will incorporate external datasets for comparative analysis.</w:t>
      </w:r>
      <w:r w:rsidR="00D3184E" w:rsidRPr="00F45378">
        <w:rPr>
          <w:szCs w:val="22"/>
        </w:rPr>
        <w:t xml:space="preserve"> This process constitutes a form of benchmarking, where internal data is assessed against external datasets such as the </w:t>
      </w:r>
      <w:r w:rsidR="002820D1" w:rsidRPr="00F45378">
        <w:rPr>
          <w:i/>
          <w:iCs/>
          <w:szCs w:val="22"/>
        </w:rPr>
        <w:t>National Student Safety Survey</w:t>
      </w:r>
      <w:r w:rsidR="002820D1" w:rsidRPr="00F45378">
        <w:rPr>
          <w:szCs w:val="22"/>
        </w:rPr>
        <w:t> (NSSS)</w:t>
      </w:r>
      <w:r w:rsidR="00D3184E" w:rsidRPr="00F45378">
        <w:rPr>
          <w:szCs w:val="22"/>
        </w:rPr>
        <w:t xml:space="preserve"> to evaluate the accuracy and effectiveness of data collection mechanisms under the </w:t>
      </w:r>
      <w:r w:rsidR="008743F1" w:rsidRPr="00F45378">
        <w:rPr>
          <w:szCs w:val="22"/>
        </w:rPr>
        <w:t>National Code</w:t>
      </w:r>
      <w:r w:rsidR="00940DA2">
        <w:rPr>
          <w:szCs w:val="22"/>
        </w:rPr>
        <w:t>.</w:t>
      </w:r>
    </w:p>
    <w:p w14:paraId="1FED799D" w14:textId="2F78DAC3" w:rsidR="000B0283" w:rsidRPr="00F45378" w:rsidRDefault="00DD4B7B" w:rsidP="003818B0">
      <w:pPr>
        <w:rPr>
          <w:szCs w:val="22"/>
        </w:rPr>
      </w:pPr>
      <w:r w:rsidRPr="00F45378">
        <w:rPr>
          <w:szCs w:val="22"/>
        </w:rPr>
        <w:t>S</w:t>
      </w:r>
      <w:r w:rsidRPr="00F45378">
        <w:rPr>
          <w:rFonts w:cs="Segoe UI"/>
          <w:color w:val="424242"/>
          <w:szCs w:val="22"/>
          <w:shd w:val="clear" w:color="auto" w:fill="FAFAFA"/>
        </w:rPr>
        <w:t>e</w:t>
      </w:r>
      <w:r w:rsidRPr="00F45378">
        <w:rPr>
          <w:szCs w:val="22"/>
        </w:rPr>
        <w:t xml:space="preserve">ctor-specific datasets will play a vital role in evaluating the effectiveness of the </w:t>
      </w:r>
      <w:r w:rsidR="008743F1" w:rsidRPr="00F45378">
        <w:rPr>
          <w:szCs w:val="22"/>
        </w:rPr>
        <w:t>National Code</w:t>
      </w:r>
      <w:r w:rsidRPr="00F45378">
        <w:rPr>
          <w:szCs w:val="22"/>
        </w:rPr>
        <w:t xml:space="preserve">. The </w:t>
      </w:r>
      <w:r w:rsidR="00C0297F">
        <w:rPr>
          <w:szCs w:val="22"/>
        </w:rPr>
        <w:t>s</w:t>
      </w:r>
      <w:r w:rsidR="00FF2C64">
        <w:rPr>
          <w:szCs w:val="22"/>
        </w:rPr>
        <w:t>pecialist GBV Reform Branch</w:t>
      </w:r>
      <w:r w:rsidRPr="00F45378">
        <w:rPr>
          <w:szCs w:val="22"/>
        </w:rPr>
        <w:t xml:space="preserve"> will compare internal data against these external sources to assess consistency and reliability. </w:t>
      </w:r>
      <w:r w:rsidR="002820D1">
        <w:rPr>
          <w:szCs w:val="22"/>
        </w:rPr>
        <w:t xml:space="preserve">An example of this is the latest NSSS, that is </w:t>
      </w:r>
      <w:r w:rsidRPr="00F45378">
        <w:rPr>
          <w:szCs w:val="22"/>
        </w:rPr>
        <w:t xml:space="preserve">scheduled </w:t>
      </w:r>
      <w:r w:rsidR="005F020A">
        <w:rPr>
          <w:szCs w:val="22"/>
        </w:rPr>
        <w:t xml:space="preserve">to </w:t>
      </w:r>
      <w:r w:rsidR="002820D1">
        <w:rPr>
          <w:szCs w:val="22"/>
        </w:rPr>
        <w:t>commence</w:t>
      </w:r>
      <w:r w:rsidR="005F020A">
        <w:rPr>
          <w:szCs w:val="22"/>
        </w:rPr>
        <w:t xml:space="preserve"> in</w:t>
      </w:r>
      <w:r w:rsidRPr="00F45378">
        <w:rPr>
          <w:szCs w:val="22"/>
        </w:rPr>
        <w:t xml:space="preserve"> 2026</w:t>
      </w:r>
      <w:r w:rsidR="00EF6F4E">
        <w:rPr>
          <w:szCs w:val="22"/>
        </w:rPr>
        <w:t>. The results of this survey will be a</w:t>
      </w:r>
      <w:r w:rsidRPr="00F45378">
        <w:rPr>
          <w:szCs w:val="22"/>
        </w:rPr>
        <w:t xml:space="preserve"> key opportunity</w:t>
      </w:r>
      <w:r w:rsidR="00EF6F4E">
        <w:rPr>
          <w:szCs w:val="22"/>
        </w:rPr>
        <w:t xml:space="preserve"> to compare to the data to that of the GBV Reform Branch.</w:t>
      </w:r>
      <w:r w:rsidR="00F46513">
        <w:rPr>
          <w:szCs w:val="22"/>
        </w:rPr>
        <w:t xml:space="preserve"> The NSSS </w:t>
      </w:r>
      <w:r w:rsidR="00F46513" w:rsidRPr="000432C5">
        <w:rPr>
          <w:szCs w:val="22"/>
        </w:rPr>
        <w:t>targets students enrolled in Australian higher education</w:t>
      </w:r>
      <w:r w:rsidR="00F46513">
        <w:rPr>
          <w:szCs w:val="22"/>
        </w:rPr>
        <w:t xml:space="preserve"> settings</w:t>
      </w:r>
      <w:r w:rsidR="00F46513" w:rsidRPr="000432C5">
        <w:rPr>
          <w:szCs w:val="22"/>
        </w:rPr>
        <w:t>, aiming to measure experiences of sexual harassment and sexual assault in university settings</w:t>
      </w:r>
      <w:r w:rsidR="00F46513">
        <w:rPr>
          <w:szCs w:val="22"/>
        </w:rPr>
        <w:t xml:space="preserve">, meaning its scope is narrower than </w:t>
      </w:r>
      <w:r w:rsidR="000B0283">
        <w:rPr>
          <w:szCs w:val="22"/>
        </w:rPr>
        <w:t>GBV</w:t>
      </w:r>
      <w:r w:rsidR="00F46513" w:rsidRPr="000432C5">
        <w:rPr>
          <w:szCs w:val="22"/>
        </w:rPr>
        <w:t>.</w:t>
      </w:r>
      <w:r w:rsidR="000B0283">
        <w:rPr>
          <w:szCs w:val="22"/>
        </w:rPr>
        <w:t xml:space="preserve"> This will need to be considered when comparing it to GBV data. </w:t>
      </w:r>
    </w:p>
    <w:p w14:paraId="27CD6B50" w14:textId="4A6D4354" w:rsidR="00D3184E" w:rsidRPr="00F45378" w:rsidRDefault="00CF3BCF" w:rsidP="003818B0">
      <w:pPr>
        <w:rPr>
          <w:szCs w:val="22"/>
        </w:rPr>
      </w:pPr>
      <w:r w:rsidRPr="00CF3BCF">
        <w:rPr>
          <w:szCs w:val="22"/>
        </w:rPr>
        <w:t>In addition to sector-specific datasets, broader national data sources will be used to contextualise and validate findings.</w:t>
      </w:r>
      <w:r w:rsidRPr="000432C5">
        <w:t xml:space="preserve"> </w:t>
      </w:r>
      <w:r w:rsidRPr="00CF3BCF">
        <w:rPr>
          <w:szCs w:val="22"/>
        </w:rPr>
        <w:t xml:space="preserve">The Personal Safety Survey (PSS), conducted by the Australian Bureau of Statistics, is a national household survey targeting the general adult population, with a focus on physical and sexual violence, stalking, and emotional abuse. It </w:t>
      </w:r>
      <w:r w:rsidRPr="00CF3BCF">
        <w:rPr>
          <w:szCs w:val="22"/>
        </w:rPr>
        <w:lastRenderedPageBreak/>
        <w:t>offers a wide lens on GBV prevalence and includes demographic breakdowns relevant to CALD communities, people with disability, and women.</w:t>
      </w:r>
      <w:r w:rsidR="003A00E0">
        <w:rPr>
          <w:szCs w:val="22"/>
        </w:rPr>
        <w:t xml:space="preserve"> </w:t>
      </w:r>
      <w:r w:rsidRPr="00CF3BCF">
        <w:rPr>
          <w:szCs w:val="22"/>
        </w:rPr>
        <w:t>Ten to Men, Australia’s longitudinal study on male health, targets men aged 10 to 55 and collects data on experiences and use of violence, as well as attitudes toward gender roles and relationships. It provides valuable insights into perpetration patterns and risk factors, which can inform prevention strategies in higher education.</w:t>
      </w:r>
      <w:r>
        <w:rPr>
          <w:szCs w:val="22"/>
        </w:rPr>
        <w:t xml:space="preserve"> </w:t>
      </w:r>
      <w:r w:rsidR="00ED692C" w:rsidRPr="00F45378">
        <w:rPr>
          <w:szCs w:val="22"/>
        </w:rPr>
        <w:t xml:space="preserve">Given the embedded nature of higher education within broader societal structures, it is expected that national prevalence rates will be similarly reflected within the student and staff populations of higher education institutions. These datasets offer a broader societal lens, enabling institutions to benchmark internal prevalence rates against national trends. While not exclusive to the higher education sector, their inclusion supports a more comprehensive understanding of </w:t>
      </w:r>
      <w:r w:rsidR="008223FC" w:rsidRPr="00F45378">
        <w:rPr>
          <w:szCs w:val="22"/>
        </w:rPr>
        <w:t>GBV</w:t>
      </w:r>
      <w:r w:rsidR="00ED692C" w:rsidRPr="00F45378">
        <w:rPr>
          <w:szCs w:val="22"/>
        </w:rPr>
        <w:t>, highlights potential underreporting, and informs the development of responsive, evidence-based prevention and support strategies.</w:t>
      </w:r>
    </w:p>
    <w:p w14:paraId="35FD0CBD" w14:textId="038DCB01" w:rsidR="009A7457" w:rsidRDefault="009A7457" w:rsidP="00E87F05">
      <w:pPr>
        <w:pStyle w:val="Heading3"/>
      </w:pPr>
      <w:bookmarkStart w:id="269" w:name="_Toc204682655"/>
      <w:bookmarkStart w:id="270" w:name="_Toc204699915"/>
      <w:bookmarkStart w:id="271" w:name="_Toc204763367"/>
      <w:bookmarkStart w:id="272" w:name="_Toc204764935"/>
      <w:bookmarkStart w:id="273" w:name="_Toc205216947"/>
      <w:r>
        <w:t xml:space="preserve">Evaluation through </w:t>
      </w:r>
      <w:r w:rsidR="001A0B1B">
        <w:t>regulatory activities and assessments</w:t>
      </w:r>
      <w:bookmarkEnd w:id="269"/>
      <w:bookmarkEnd w:id="270"/>
      <w:bookmarkEnd w:id="271"/>
      <w:bookmarkEnd w:id="272"/>
      <w:bookmarkEnd w:id="273"/>
      <w:r w:rsidR="001A0B1B">
        <w:t xml:space="preserve"> </w:t>
      </w:r>
    </w:p>
    <w:p w14:paraId="45F659A1" w14:textId="056CB335" w:rsidR="001A0B1B" w:rsidRPr="00940DA2" w:rsidRDefault="001A0B1B" w:rsidP="00940DA2">
      <w:pPr>
        <w:rPr>
          <w:rFonts w:cs="Calibri"/>
          <w:szCs w:val="22"/>
        </w:rPr>
      </w:pPr>
      <w:r w:rsidRPr="00940DA2">
        <w:rPr>
          <w:rFonts w:cs="Calibri"/>
          <w:szCs w:val="22"/>
        </w:rPr>
        <w:t xml:space="preserve">Regulatory activities and assessments made by the </w:t>
      </w:r>
      <w:r w:rsidR="00C0297F">
        <w:rPr>
          <w:rFonts w:cs="Calibri"/>
          <w:szCs w:val="22"/>
        </w:rPr>
        <w:t>s</w:t>
      </w:r>
      <w:r w:rsidR="00FF2C64">
        <w:rPr>
          <w:rFonts w:cs="Calibri"/>
          <w:szCs w:val="22"/>
        </w:rPr>
        <w:t>pecialist GBV Reform Branch</w:t>
      </w:r>
      <w:r>
        <w:rPr>
          <w:rFonts w:cs="Calibri"/>
          <w:szCs w:val="22"/>
        </w:rPr>
        <w:t xml:space="preserve"> </w:t>
      </w:r>
      <w:r w:rsidRPr="00940DA2">
        <w:rPr>
          <w:rFonts w:cs="Calibri"/>
          <w:szCs w:val="22"/>
        </w:rPr>
        <w:t>wil</w:t>
      </w:r>
      <w:r w:rsidR="00AA121A" w:rsidRPr="00940DA2">
        <w:rPr>
          <w:rFonts w:cs="Calibri"/>
          <w:szCs w:val="22"/>
        </w:rPr>
        <w:t xml:space="preserve">l function as direct </w:t>
      </w:r>
      <w:r w:rsidR="00DB333A" w:rsidRPr="00940DA2">
        <w:rPr>
          <w:rFonts w:cs="Calibri"/>
          <w:szCs w:val="22"/>
        </w:rPr>
        <w:t xml:space="preserve">tools for evaluating the success of the </w:t>
      </w:r>
      <w:r w:rsidR="008743F1" w:rsidRPr="00940DA2">
        <w:rPr>
          <w:rFonts w:cs="Calibri"/>
          <w:szCs w:val="22"/>
        </w:rPr>
        <w:t>National Code</w:t>
      </w:r>
      <w:r w:rsidR="00DB333A" w:rsidRPr="00940DA2">
        <w:rPr>
          <w:rFonts w:cs="Calibri"/>
          <w:szCs w:val="22"/>
        </w:rPr>
        <w:t xml:space="preserve">. Compliance with the standards of the </w:t>
      </w:r>
      <w:r w:rsidR="008743F1" w:rsidRPr="00940DA2">
        <w:rPr>
          <w:rFonts w:cs="Calibri"/>
          <w:szCs w:val="22"/>
        </w:rPr>
        <w:t>National Code</w:t>
      </w:r>
      <w:r w:rsidR="00DB333A" w:rsidRPr="00940DA2">
        <w:rPr>
          <w:rFonts w:cs="Calibri"/>
          <w:szCs w:val="22"/>
        </w:rPr>
        <w:t xml:space="preserve"> will provide measurable indicators of institutional commitment and progress. When providers meet these regulatory requirements, it will reflect success implementation of key practices. Conversely, consistent non-compliance or partial adherence to obligations may signal areas requiring further support, capacity building </w:t>
      </w:r>
      <w:r w:rsidR="00612799" w:rsidRPr="00940DA2">
        <w:rPr>
          <w:rFonts w:cs="Calibri"/>
          <w:szCs w:val="22"/>
        </w:rPr>
        <w:t xml:space="preserve">or further policy review and refinement. </w:t>
      </w:r>
      <w:r w:rsidR="0008558D" w:rsidRPr="00940DA2">
        <w:rPr>
          <w:rFonts w:cs="Calibri"/>
          <w:szCs w:val="22"/>
        </w:rPr>
        <w:t xml:space="preserve">in this context, regulatory activities </w:t>
      </w:r>
      <w:r w:rsidR="00CF7FB5" w:rsidRPr="00940DA2">
        <w:rPr>
          <w:rFonts w:cs="Calibri"/>
          <w:szCs w:val="22"/>
        </w:rPr>
        <w:t xml:space="preserve">function as enforcing </w:t>
      </w:r>
      <w:r w:rsidR="00A43C44" w:rsidRPr="00940DA2">
        <w:rPr>
          <w:rFonts w:cs="Calibri"/>
          <w:szCs w:val="22"/>
        </w:rPr>
        <w:t>accountability but</w:t>
      </w:r>
      <w:r w:rsidR="00CF7FB5" w:rsidRPr="00940DA2">
        <w:rPr>
          <w:rFonts w:cs="Calibri"/>
          <w:szCs w:val="22"/>
        </w:rPr>
        <w:t xml:space="preserve"> will also be a structured mechanism for assessing effectiveness and driving improvement. </w:t>
      </w:r>
    </w:p>
    <w:p w14:paraId="151A3A70" w14:textId="335108F2" w:rsidR="004104D3" w:rsidRPr="00940DA2" w:rsidRDefault="004104D3" w:rsidP="00940DA2">
      <w:pPr>
        <w:rPr>
          <w:rFonts w:cs="Calibri"/>
          <w:szCs w:val="22"/>
        </w:rPr>
      </w:pPr>
      <w:r w:rsidRPr="00940DA2">
        <w:rPr>
          <w:rFonts w:cs="Calibri"/>
          <w:szCs w:val="22"/>
        </w:rPr>
        <w:t xml:space="preserve">Other reporting requirements, including the whole-of-organisation Prevention and Response Plan, along with their internal </w:t>
      </w:r>
      <w:r w:rsidR="007E5F88" w:rsidRPr="00940DA2">
        <w:rPr>
          <w:rFonts w:cs="Calibri"/>
          <w:szCs w:val="22"/>
        </w:rPr>
        <w:t>outcome’s</w:t>
      </w:r>
      <w:r w:rsidRPr="00940DA2">
        <w:rPr>
          <w:rFonts w:cs="Calibri"/>
          <w:szCs w:val="22"/>
        </w:rPr>
        <w:t xml:space="preserve"> framework will represent a provider’s roadmap to addressing </w:t>
      </w:r>
      <w:r w:rsidR="008223FC" w:rsidRPr="00940DA2">
        <w:rPr>
          <w:rFonts w:cs="Calibri"/>
          <w:szCs w:val="22"/>
        </w:rPr>
        <w:t>GBV</w:t>
      </w:r>
      <w:r w:rsidRPr="00940DA2">
        <w:rPr>
          <w:rFonts w:cs="Calibri"/>
          <w:szCs w:val="22"/>
        </w:rPr>
        <w:t xml:space="preserve"> that is tailored to their context</w:t>
      </w:r>
      <w:r w:rsidR="00D021AE" w:rsidRPr="00940DA2">
        <w:rPr>
          <w:rFonts w:cs="Calibri"/>
          <w:szCs w:val="22"/>
        </w:rPr>
        <w:t xml:space="preserve">. These two </w:t>
      </w:r>
      <w:r w:rsidR="00A75C53" w:rsidRPr="00940DA2">
        <w:rPr>
          <w:rFonts w:cs="Calibri"/>
          <w:szCs w:val="22"/>
        </w:rPr>
        <w:t xml:space="preserve">documents will </w:t>
      </w:r>
      <w:r w:rsidR="00116324" w:rsidRPr="00940DA2">
        <w:rPr>
          <w:rFonts w:cs="Calibri"/>
          <w:szCs w:val="22"/>
        </w:rPr>
        <w:t xml:space="preserve">outline strategic </w:t>
      </w:r>
      <w:r w:rsidR="00824BE4" w:rsidRPr="00940DA2">
        <w:rPr>
          <w:rFonts w:cs="Calibri"/>
          <w:szCs w:val="22"/>
        </w:rPr>
        <w:t>priorities</w:t>
      </w:r>
      <w:r w:rsidR="00116324" w:rsidRPr="00940DA2">
        <w:rPr>
          <w:rFonts w:cs="Calibri"/>
          <w:szCs w:val="22"/>
        </w:rPr>
        <w:t xml:space="preserve">, areas for improvement, implementation plan, and measurable outcomes and targets. The </w:t>
      </w:r>
      <w:r w:rsidR="00C0297F">
        <w:rPr>
          <w:rFonts w:cs="Calibri"/>
          <w:szCs w:val="22"/>
        </w:rPr>
        <w:t>s</w:t>
      </w:r>
      <w:r w:rsidR="00FF2C64">
        <w:rPr>
          <w:rFonts w:cs="Calibri"/>
          <w:szCs w:val="22"/>
        </w:rPr>
        <w:t>pecialist GBV Reform Branch</w:t>
      </w:r>
      <w:r w:rsidR="00116324" w:rsidRPr="00940DA2">
        <w:rPr>
          <w:rFonts w:cs="Calibri"/>
          <w:szCs w:val="22"/>
        </w:rPr>
        <w:t xml:space="preserve"> will have oversight of these plans </w:t>
      </w:r>
      <w:r w:rsidR="00B7057F" w:rsidRPr="00940DA2">
        <w:rPr>
          <w:rFonts w:cs="Calibri"/>
          <w:szCs w:val="22"/>
        </w:rPr>
        <w:t>and will assess to see that providers are not only compliant with regulatory</w:t>
      </w:r>
      <w:r w:rsidR="00824BE4" w:rsidRPr="00940DA2">
        <w:rPr>
          <w:rFonts w:cs="Calibri"/>
          <w:szCs w:val="22"/>
        </w:rPr>
        <w:t xml:space="preserve"> </w:t>
      </w:r>
      <w:r w:rsidR="007E5F88" w:rsidRPr="00940DA2">
        <w:rPr>
          <w:rFonts w:cs="Calibri"/>
          <w:szCs w:val="22"/>
        </w:rPr>
        <w:t>requirements but</w:t>
      </w:r>
      <w:r w:rsidR="00CC45EF" w:rsidRPr="00940DA2">
        <w:rPr>
          <w:rFonts w:cs="Calibri"/>
          <w:szCs w:val="22"/>
        </w:rPr>
        <w:t xml:space="preserve"> will also monitor how they are meeting their own targets</w:t>
      </w:r>
      <w:r w:rsidR="00783446" w:rsidRPr="00940DA2">
        <w:rPr>
          <w:rFonts w:cs="Calibri"/>
          <w:szCs w:val="22"/>
        </w:rPr>
        <w:t xml:space="preserve">. A provider’s ability to meet its own targets </w:t>
      </w:r>
      <w:r w:rsidR="00866354" w:rsidRPr="00940DA2">
        <w:rPr>
          <w:rFonts w:cs="Calibri"/>
          <w:szCs w:val="22"/>
        </w:rPr>
        <w:t xml:space="preserve">will become a key tool for evaluation, offering insight into </w:t>
      </w:r>
      <w:r w:rsidR="007E5F88" w:rsidRPr="00940DA2">
        <w:rPr>
          <w:rFonts w:cs="Calibri"/>
          <w:szCs w:val="22"/>
        </w:rPr>
        <w:t xml:space="preserve">their progress of implementation and how their systems mature. This approach recognises that success is not solely defined by compliance, but also by the capacity of providers to set, track and meet their own internal goals that reflect their setting. </w:t>
      </w:r>
    </w:p>
    <w:p w14:paraId="63905A64" w14:textId="0B2706AF" w:rsidR="005C3490" w:rsidRDefault="005C3490" w:rsidP="00E87F05">
      <w:pPr>
        <w:pStyle w:val="Heading3"/>
      </w:pPr>
      <w:bookmarkStart w:id="274" w:name="_Toc204682656"/>
      <w:bookmarkStart w:id="275" w:name="_Toc204699916"/>
      <w:bookmarkStart w:id="276" w:name="_Toc204763368"/>
      <w:bookmarkStart w:id="277" w:name="_Toc204764936"/>
      <w:bookmarkStart w:id="278" w:name="_Toc205216948"/>
      <w:r>
        <w:t>Engagement and feedback loops</w:t>
      </w:r>
      <w:bookmarkEnd w:id="274"/>
      <w:bookmarkEnd w:id="275"/>
      <w:bookmarkEnd w:id="276"/>
      <w:bookmarkEnd w:id="277"/>
      <w:bookmarkEnd w:id="278"/>
      <w:r>
        <w:t xml:space="preserve"> </w:t>
      </w:r>
    </w:p>
    <w:p w14:paraId="24AAC070" w14:textId="3613A117" w:rsidR="0022605D" w:rsidRPr="00F45378" w:rsidRDefault="009D51BA" w:rsidP="009D51BA">
      <w:pPr>
        <w:rPr>
          <w:szCs w:val="22"/>
        </w:rPr>
      </w:pPr>
      <w:r w:rsidRPr="00F45378">
        <w:rPr>
          <w:szCs w:val="22"/>
        </w:rPr>
        <w:t xml:space="preserve">Ongoing engagement with students, staff, providers and other stakeholders will be central to evaluating the </w:t>
      </w:r>
      <w:r w:rsidR="004106C5" w:rsidRPr="00F45378">
        <w:rPr>
          <w:szCs w:val="22"/>
        </w:rPr>
        <w:t>practical</w:t>
      </w:r>
      <w:r w:rsidR="00EE71BF" w:rsidRPr="00F45378">
        <w:rPr>
          <w:szCs w:val="22"/>
        </w:rPr>
        <w:t xml:space="preserve"> experience of t</w:t>
      </w:r>
      <w:r w:rsidR="0064527D" w:rsidRPr="00F45378">
        <w:rPr>
          <w:szCs w:val="22"/>
        </w:rPr>
        <w:t xml:space="preserve">he </w:t>
      </w:r>
      <w:r w:rsidR="008743F1" w:rsidRPr="00F45378">
        <w:rPr>
          <w:szCs w:val="22"/>
        </w:rPr>
        <w:t>National Code</w:t>
      </w:r>
      <w:r w:rsidR="0064527D" w:rsidRPr="00F45378">
        <w:rPr>
          <w:szCs w:val="22"/>
        </w:rPr>
        <w:t xml:space="preserve">. The </w:t>
      </w:r>
      <w:r w:rsidR="00C0297F">
        <w:rPr>
          <w:szCs w:val="22"/>
        </w:rPr>
        <w:t>s</w:t>
      </w:r>
      <w:r w:rsidR="00FF2C64">
        <w:rPr>
          <w:szCs w:val="22"/>
        </w:rPr>
        <w:t>pecialist GBV Reform Branch</w:t>
      </w:r>
      <w:r w:rsidR="0064527D" w:rsidRPr="00F45378">
        <w:rPr>
          <w:szCs w:val="22"/>
        </w:rPr>
        <w:t xml:space="preserve"> will establish regular touch points with relevant groups to gather insights into </w:t>
      </w:r>
      <w:r w:rsidR="00CB46E8" w:rsidRPr="00F45378">
        <w:rPr>
          <w:szCs w:val="22"/>
        </w:rPr>
        <w:t>how</w:t>
      </w:r>
      <w:r w:rsidR="0064527D" w:rsidRPr="00F45378">
        <w:rPr>
          <w:szCs w:val="22"/>
        </w:rPr>
        <w:t xml:space="preserve"> the </w:t>
      </w:r>
      <w:r w:rsidR="008743F1" w:rsidRPr="00F45378">
        <w:rPr>
          <w:szCs w:val="22"/>
        </w:rPr>
        <w:t>National Code</w:t>
      </w:r>
      <w:r w:rsidR="0064527D" w:rsidRPr="00F45378">
        <w:rPr>
          <w:szCs w:val="22"/>
        </w:rPr>
        <w:t xml:space="preserve"> is being implemented and experienced across </w:t>
      </w:r>
      <w:r w:rsidR="00CB46E8" w:rsidRPr="00F45378">
        <w:rPr>
          <w:szCs w:val="22"/>
        </w:rPr>
        <w:t>varied contexts</w:t>
      </w:r>
      <w:r w:rsidR="0022605D" w:rsidRPr="00F45378">
        <w:rPr>
          <w:szCs w:val="22"/>
        </w:rPr>
        <w:t xml:space="preserve">. Students and staff </w:t>
      </w:r>
      <w:r w:rsidR="001766CD" w:rsidRPr="00F45378">
        <w:rPr>
          <w:szCs w:val="22"/>
        </w:rPr>
        <w:t>will</w:t>
      </w:r>
      <w:r w:rsidR="0022605D" w:rsidRPr="00F45378">
        <w:rPr>
          <w:szCs w:val="22"/>
        </w:rPr>
        <w:t xml:space="preserve"> play a pivotal role in </w:t>
      </w:r>
      <w:r w:rsidR="00650979" w:rsidRPr="00F45378">
        <w:rPr>
          <w:szCs w:val="22"/>
        </w:rPr>
        <w:t xml:space="preserve">highlighting the on-the-ground realities and offering critical feedback on whether the policy intent of the </w:t>
      </w:r>
      <w:r w:rsidR="008743F1" w:rsidRPr="00F45378">
        <w:rPr>
          <w:szCs w:val="22"/>
        </w:rPr>
        <w:t>National Code</w:t>
      </w:r>
      <w:r w:rsidR="00650979" w:rsidRPr="00F45378">
        <w:rPr>
          <w:szCs w:val="22"/>
        </w:rPr>
        <w:t xml:space="preserve"> is being realised in practice. </w:t>
      </w:r>
      <w:r w:rsidR="000E280F" w:rsidRPr="00F45378">
        <w:rPr>
          <w:szCs w:val="22"/>
        </w:rPr>
        <w:t xml:space="preserve">This </w:t>
      </w:r>
      <w:r w:rsidR="004C6BEE">
        <w:rPr>
          <w:szCs w:val="22"/>
        </w:rPr>
        <w:t xml:space="preserve">form </w:t>
      </w:r>
      <w:r w:rsidR="000E280F" w:rsidRPr="00F45378">
        <w:rPr>
          <w:szCs w:val="22"/>
        </w:rPr>
        <w:t xml:space="preserve">of evaluation </w:t>
      </w:r>
      <w:r w:rsidR="004C6BEE">
        <w:rPr>
          <w:szCs w:val="22"/>
        </w:rPr>
        <w:t>w</w:t>
      </w:r>
      <w:r w:rsidR="000E280F" w:rsidRPr="00F45378">
        <w:rPr>
          <w:szCs w:val="22"/>
        </w:rPr>
        <w:t xml:space="preserve">ill function more as a qualitative </w:t>
      </w:r>
      <w:r w:rsidR="001766CD" w:rsidRPr="00F45378">
        <w:rPr>
          <w:szCs w:val="22"/>
        </w:rPr>
        <w:t xml:space="preserve">evaluation </w:t>
      </w:r>
      <w:r w:rsidR="00CF1638" w:rsidRPr="00F45378">
        <w:rPr>
          <w:szCs w:val="22"/>
        </w:rPr>
        <w:t>mechanism but</w:t>
      </w:r>
      <w:r w:rsidR="001766CD" w:rsidRPr="00F45378">
        <w:rPr>
          <w:szCs w:val="22"/>
        </w:rPr>
        <w:t xml:space="preserve"> will complement the quantitative data and capture the lived experiences and nuanced impact of policy interventions. </w:t>
      </w:r>
    </w:p>
    <w:p w14:paraId="389E1C4E" w14:textId="2E032BD4" w:rsidR="00650979" w:rsidRPr="00F45378" w:rsidRDefault="00650979" w:rsidP="009D51BA">
      <w:pPr>
        <w:rPr>
          <w:szCs w:val="22"/>
        </w:rPr>
      </w:pPr>
      <w:r w:rsidRPr="00F45378">
        <w:rPr>
          <w:szCs w:val="22"/>
        </w:rPr>
        <w:lastRenderedPageBreak/>
        <w:t xml:space="preserve">The </w:t>
      </w:r>
      <w:r w:rsidR="004C6BEE">
        <w:rPr>
          <w:szCs w:val="22"/>
        </w:rPr>
        <w:t>branch</w:t>
      </w:r>
      <w:r w:rsidR="004C6BEE" w:rsidRPr="00F45378">
        <w:rPr>
          <w:szCs w:val="22"/>
        </w:rPr>
        <w:t xml:space="preserve"> </w:t>
      </w:r>
      <w:r w:rsidR="00AF61F3" w:rsidRPr="00F45378">
        <w:rPr>
          <w:szCs w:val="22"/>
        </w:rPr>
        <w:t xml:space="preserve">will also work closely with higher education </w:t>
      </w:r>
      <w:r w:rsidR="00744C96">
        <w:rPr>
          <w:szCs w:val="22"/>
        </w:rPr>
        <w:t>providers</w:t>
      </w:r>
      <w:r w:rsidR="00AF61F3" w:rsidRPr="00F45378">
        <w:rPr>
          <w:szCs w:val="22"/>
        </w:rPr>
        <w:t xml:space="preserve"> to identify implementation challenges, unintended consequences, and in areas where additional support m</w:t>
      </w:r>
      <w:r w:rsidR="000E280F" w:rsidRPr="00F45378">
        <w:rPr>
          <w:szCs w:val="22"/>
        </w:rPr>
        <w:t xml:space="preserve">ight be needed. </w:t>
      </w:r>
      <w:r w:rsidR="005843E9" w:rsidRPr="00F45378">
        <w:rPr>
          <w:szCs w:val="22"/>
        </w:rPr>
        <w:t xml:space="preserve">This will ensure the </w:t>
      </w:r>
      <w:r w:rsidR="00415F58">
        <w:rPr>
          <w:szCs w:val="22"/>
        </w:rPr>
        <w:t>branch</w:t>
      </w:r>
      <w:r w:rsidR="00415F58" w:rsidRPr="00F45378">
        <w:rPr>
          <w:szCs w:val="22"/>
        </w:rPr>
        <w:t xml:space="preserve"> </w:t>
      </w:r>
      <w:r w:rsidR="005843E9" w:rsidRPr="00F45378">
        <w:rPr>
          <w:szCs w:val="22"/>
        </w:rPr>
        <w:t xml:space="preserve">has insight into the operational realities of applying the </w:t>
      </w:r>
      <w:r w:rsidR="008743F1" w:rsidRPr="00F45378">
        <w:rPr>
          <w:szCs w:val="22"/>
        </w:rPr>
        <w:t>National Code</w:t>
      </w:r>
      <w:r w:rsidR="008E5EDB" w:rsidRPr="00F45378">
        <w:rPr>
          <w:szCs w:val="22"/>
        </w:rPr>
        <w:t xml:space="preserve">. </w:t>
      </w:r>
      <w:r w:rsidR="00F01496" w:rsidRPr="00F45378">
        <w:rPr>
          <w:szCs w:val="22"/>
        </w:rPr>
        <w:t xml:space="preserve">Through regular dialogue and feedback mechanisms, the </w:t>
      </w:r>
      <w:r w:rsidR="00415F58">
        <w:rPr>
          <w:szCs w:val="22"/>
        </w:rPr>
        <w:t>branch</w:t>
      </w:r>
      <w:r w:rsidR="00415F58" w:rsidRPr="00F45378">
        <w:rPr>
          <w:szCs w:val="22"/>
        </w:rPr>
        <w:t xml:space="preserve"> </w:t>
      </w:r>
      <w:r w:rsidR="00F01496" w:rsidRPr="00F45378">
        <w:rPr>
          <w:szCs w:val="22"/>
        </w:rPr>
        <w:t xml:space="preserve">will </w:t>
      </w:r>
      <w:r w:rsidR="00AA0A20" w:rsidRPr="00F45378">
        <w:rPr>
          <w:szCs w:val="22"/>
        </w:rPr>
        <w:t xml:space="preserve">support providers to continuously improve and identify areas that need refinement. </w:t>
      </w:r>
    </w:p>
    <w:p w14:paraId="3CFDFDA9" w14:textId="1A445B23" w:rsidR="00C55587" w:rsidRPr="00F45378" w:rsidRDefault="00B618CC" w:rsidP="009D51BA">
      <w:pPr>
        <w:rPr>
          <w:szCs w:val="22"/>
        </w:rPr>
      </w:pPr>
      <w:r w:rsidRPr="00B618CC">
        <w:rPr>
          <w:szCs w:val="22"/>
        </w:rPr>
        <w:t>Engagement with specialist organisations in the women’s safety and violence prevention sectors could provide valuable external input to inform monitoring and evaluation efforts</w:t>
      </w:r>
      <w:r>
        <w:rPr>
          <w:i/>
          <w:iCs/>
          <w:szCs w:val="22"/>
        </w:rPr>
        <w:t>.</w:t>
      </w:r>
      <w:r w:rsidR="00F60EFD" w:rsidRPr="00F45378">
        <w:rPr>
          <w:szCs w:val="22"/>
        </w:rPr>
        <w:t xml:space="preserve"> These organisations and services are likely to </w:t>
      </w:r>
      <w:r w:rsidR="000D27F6" w:rsidRPr="00F45378">
        <w:rPr>
          <w:szCs w:val="22"/>
        </w:rPr>
        <w:t xml:space="preserve">support individuals affiliated with higher education providers and may collect data on disclosures and referrals that are not captured through institutional reporting channels. Where referral patterns from these organisations appear significantly higher than the corresponding figures reported by providers, this may indicate underreporting or limitations in internal data collection processes. The </w:t>
      </w:r>
      <w:r w:rsidR="00C0297F">
        <w:rPr>
          <w:szCs w:val="22"/>
        </w:rPr>
        <w:t>s</w:t>
      </w:r>
      <w:r w:rsidR="00FF2C64">
        <w:rPr>
          <w:szCs w:val="22"/>
        </w:rPr>
        <w:t>pecialist GBV Reform Branch</w:t>
      </w:r>
      <w:r w:rsidR="000D27F6" w:rsidRPr="00F45378">
        <w:rPr>
          <w:szCs w:val="22"/>
        </w:rPr>
        <w:t xml:space="preserve"> will engage with these organisations to better understand such patterns and incorporate their insights into broader monitoring and compliance efforts. This external perspective will help ensure that institutional reporting aligns more closely with the lived experiences of students and staff, and that emerging risks or blind spots are identified and addressed in a timely manner.</w:t>
      </w:r>
    </w:p>
    <w:p w14:paraId="46AA787A" w14:textId="7B9DCAC0" w:rsidR="00EA0216" w:rsidRDefault="00110DB9" w:rsidP="00E87F05">
      <w:pPr>
        <w:pStyle w:val="Heading3"/>
      </w:pPr>
      <w:bookmarkStart w:id="279" w:name="_Toc204682657"/>
      <w:bookmarkStart w:id="280" w:name="_Toc204699917"/>
      <w:bookmarkStart w:id="281" w:name="_Toc204763369"/>
      <w:bookmarkStart w:id="282" w:name="_Toc204764937"/>
      <w:bookmarkStart w:id="283" w:name="_Toc205216949"/>
      <w:r>
        <w:t>E</w:t>
      </w:r>
      <w:r w:rsidR="007F69BB">
        <w:t>valuation and internal review</w:t>
      </w:r>
      <w:bookmarkEnd w:id="279"/>
      <w:bookmarkEnd w:id="280"/>
      <w:bookmarkEnd w:id="281"/>
      <w:bookmarkEnd w:id="282"/>
      <w:bookmarkEnd w:id="283"/>
      <w:r w:rsidR="007F69BB">
        <w:t xml:space="preserve"> </w:t>
      </w:r>
    </w:p>
    <w:p w14:paraId="4F095443" w14:textId="069F383E" w:rsidR="002160F9" w:rsidRPr="00F45378" w:rsidRDefault="002160F9" w:rsidP="002160F9">
      <w:pPr>
        <w:rPr>
          <w:szCs w:val="22"/>
        </w:rPr>
      </w:pPr>
      <w:r w:rsidRPr="00F45378">
        <w:rPr>
          <w:szCs w:val="22"/>
        </w:rPr>
        <w:t xml:space="preserve">To ensure objectivity and transparency in assessing the impact of the </w:t>
      </w:r>
      <w:r w:rsidR="008743F1" w:rsidRPr="00F45378">
        <w:rPr>
          <w:szCs w:val="22"/>
        </w:rPr>
        <w:t>National Code</w:t>
      </w:r>
      <w:r w:rsidRPr="00F45378">
        <w:rPr>
          <w:szCs w:val="22"/>
        </w:rPr>
        <w:t xml:space="preserve">, the </w:t>
      </w:r>
      <w:r w:rsidR="00A5177C">
        <w:rPr>
          <w:szCs w:val="22"/>
        </w:rPr>
        <w:t>d</w:t>
      </w:r>
      <w:r w:rsidRPr="00F45378">
        <w:rPr>
          <w:szCs w:val="22"/>
        </w:rPr>
        <w:t>epartment</w:t>
      </w:r>
      <w:r w:rsidR="00110DB9">
        <w:rPr>
          <w:szCs w:val="22"/>
        </w:rPr>
        <w:t xml:space="preserve"> intends to</w:t>
      </w:r>
      <w:r w:rsidRPr="00F45378">
        <w:rPr>
          <w:szCs w:val="22"/>
        </w:rPr>
        <w:t xml:space="preserve"> </w:t>
      </w:r>
      <w:r w:rsidR="0006732C">
        <w:rPr>
          <w:szCs w:val="22"/>
        </w:rPr>
        <w:t>seek</w:t>
      </w:r>
      <w:r w:rsidRPr="00F45378">
        <w:rPr>
          <w:szCs w:val="22"/>
        </w:rPr>
        <w:t xml:space="preserve"> evaluations at key milestones throughout its implementation and progression</w:t>
      </w:r>
      <w:r w:rsidR="0006732C">
        <w:rPr>
          <w:szCs w:val="22"/>
        </w:rPr>
        <w:t xml:space="preserve"> (3 </w:t>
      </w:r>
      <w:r w:rsidR="00862B2E">
        <w:rPr>
          <w:szCs w:val="22"/>
        </w:rPr>
        <w:t>–</w:t>
      </w:r>
      <w:r w:rsidR="0006732C">
        <w:rPr>
          <w:szCs w:val="22"/>
        </w:rPr>
        <w:t xml:space="preserve"> </w:t>
      </w:r>
      <w:r w:rsidR="00862B2E">
        <w:rPr>
          <w:szCs w:val="22"/>
        </w:rPr>
        <w:t>5 years)</w:t>
      </w:r>
      <w:r w:rsidRPr="00F45378">
        <w:rPr>
          <w:szCs w:val="22"/>
        </w:rPr>
        <w:t xml:space="preserve">. These evaluations will assess both the effectiveness of the </w:t>
      </w:r>
      <w:r w:rsidR="008743F1" w:rsidRPr="00F45378">
        <w:rPr>
          <w:szCs w:val="22"/>
        </w:rPr>
        <w:t>National Code</w:t>
      </w:r>
      <w:r w:rsidRPr="00F45378">
        <w:rPr>
          <w:szCs w:val="22"/>
        </w:rPr>
        <w:t xml:space="preserve"> itself in achieving its intended outcomes, and the performance of the </w:t>
      </w:r>
      <w:r w:rsidR="00C0297F">
        <w:rPr>
          <w:szCs w:val="22"/>
        </w:rPr>
        <w:t>s</w:t>
      </w:r>
      <w:r w:rsidR="00FF2C64">
        <w:rPr>
          <w:szCs w:val="22"/>
        </w:rPr>
        <w:t>pecialist GBV Reform Branch</w:t>
      </w:r>
      <w:r w:rsidRPr="00F45378">
        <w:rPr>
          <w:szCs w:val="22"/>
        </w:rPr>
        <w:t xml:space="preserve"> in regulating, monitoring, and supporting compliance across the sector. Independent evaluation will provide a critical external lens, helping to validate internal findings, identify areas for improvement, and ensure accountability to stakeholders.</w:t>
      </w:r>
    </w:p>
    <w:p w14:paraId="6AE27CFB" w14:textId="4C98F56D" w:rsidR="002160F9" w:rsidRPr="002160F9" w:rsidRDefault="002160F9" w:rsidP="002160F9">
      <w:r w:rsidRPr="00F45378">
        <w:rPr>
          <w:szCs w:val="22"/>
        </w:rPr>
        <w:t xml:space="preserve">In parallel, the </w:t>
      </w:r>
      <w:r w:rsidR="00A5177C">
        <w:rPr>
          <w:szCs w:val="22"/>
        </w:rPr>
        <w:t>d</w:t>
      </w:r>
      <w:r w:rsidRPr="00F45378">
        <w:rPr>
          <w:szCs w:val="22"/>
        </w:rPr>
        <w:t xml:space="preserve">epartment will </w:t>
      </w:r>
      <w:r w:rsidR="00110DB9">
        <w:rPr>
          <w:szCs w:val="22"/>
        </w:rPr>
        <w:t xml:space="preserve">develop and </w:t>
      </w:r>
      <w:r w:rsidRPr="00F45378">
        <w:rPr>
          <w:szCs w:val="22"/>
        </w:rPr>
        <w:t xml:space="preserve">maintain an internal outcomes framework grounded in the objectives outlined in Chapter Two. This framework will define short-, medium-, and long-term indicators of success, and will guide internal monitoring and evaluation activities. It will also support strategic planning, inform resource allocation, and enable the </w:t>
      </w:r>
      <w:r w:rsidR="00A5177C">
        <w:rPr>
          <w:szCs w:val="22"/>
        </w:rPr>
        <w:t>d</w:t>
      </w:r>
      <w:r w:rsidRPr="00F45378">
        <w:rPr>
          <w:szCs w:val="22"/>
        </w:rPr>
        <w:t xml:space="preserve">epartment to track progress over time. The outcomes framework will be regularly reviewed and refined to reflect evolving understandings of </w:t>
      </w:r>
      <w:r w:rsidR="00100DD6" w:rsidRPr="00F45378">
        <w:rPr>
          <w:szCs w:val="22"/>
        </w:rPr>
        <w:t>gender-based violence</w:t>
      </w:r>
      <w:r w:rsidRPr="00F45378">
        <w:rPr>
          <w:szCs w:val="22"/>
        </w:rPr>
        <w:t xml:space="preserve"> in higher education, emerging evidence, and feedback from stakeholders. Together, independent evaluation and internal review will form a robust, multi-layered approach to assessing the effectiveness of the </w:t>
      </w:r>
      <w:r w:rsidR="008743F1" w:rsidRPr="00F45378">
        <w:rPr>
          <w:szCs w:val="22"/>
        </w:rPr>
        <w:t>National Code</w:t>
      </w:r>
      <w:r w:rsidRPr="00F45378">
        <w:rPr>
          <w:szCs w:val="22"/>
        </w:rPr>
        <w:t xml:space="preserve"> and ensuring its continuous improvement</w:t>
      </w:r>
      <w:r>
        <w:t>.</w:t>
      </w:r>
    </w:p>
    <w:p w14:paraId="6962D07C" w14:textId="762913FE" w:rsidR="00B46A76" w:rsidRDefault="00CD7B55" w:rsidP="00E87F05">
      <w:pPr>
        <w:pStyle w:val="Heading3"/>
      </w:pPr>
      <w:bookmarkStart w:id="284" w:name="_Toc204682658"/>
      <w:bookmarkStart w:id="285" w:name="_Toc204699918"/>
      <w:bookmarkStart w:id="286" w:name="_Toc204763370"/>
      <w:bookmarkStart w:id="287" w:name="_Toc204764938"/>
      <w:bookmarkStart w:id="288" w:name="_Toc205216950"/>
      <w:r>
        <w:t>Transparency</w:t>
      </w:r>
      <w:r w:rsidR="003F7401">
        <w:t xml:space="preserve"> and accountability</w:t>
      </w:r>
      <w:bookmarkEnd w:id="284"/>
      <w:bookmarkEnd w:id="285"/>
      <w:bookmarkEnd w:id="286"/>
      <w:bookmarkEnd w:id="287"/>
      <w:bookmarkEnd w:id="288"/>
      <w:r w:rsidR="003F7401">
        <w:t xml:space="preserve"> </w:t>
      </w:r>
    </w:p>
    <w:p w14:paraId="11C2FCC1" w14:textId="6681EDF4" w:rsidR="0006732C" w:rsidRPr="0006732C" w:rsidRDefault="0006732C" w:rsidP="003F7401">
      <w:pPr>
        <w:rPr>
          <w:szCs w:val="22"/>
        </w:rPr>
      </w:pPr>
      <w:r w:rsidRPr="0006732C">
        <w:rPr>
          <w:szCs w:val="22"/>
        </w:rPr>
        <w:t xml:space="preserve">Annual reporting on the </w:t>
      </w:r>
      <w:r w:rsidR="00C0297F">
        <w:rPr>
          <w:szCs w:val="22"/>
        </w:rPr>
        <w:t>s</w:t>
      </w:r>
      <w:r w:rsidR="00FF2C64">
        <w:rPr>
          <w:szCs w:val="22"/>
        </w:rPr>
        <w:t>pecialist GBV Reform Branch</w:t>
      </w:r>
      <w:r w:rsidRPr="0006732C">
        <w:rPr>
          <w:szCs w:val="22"/>
        </w:rPr>
        <w:t>’s operations and sector performance will be publicly available and tabled in both Houses of Parliament. These reports will include key findings, trends, and recommendations</w:t>
      </w:r>
      <w:r>
        <w:rPr>
          <w:szCs w:val="22"/>
        </w:rPr>
        <w:t xml:space="preserve"> to</w:t>
      </w:r>
      <w:r w:rsidRPr="0006732C">
        <w:rPr>
          <w:szCs w:val="22"/>
        </w:rPr>
        <w:t xml:space="preserve"> </w:t>
      </w:r>
      <w:r>
        <w:rPr>
          <w:szCs w:val="22"/>
        </w:rPr>
        <w:t>e</w:t>
      </w:r>
      <w:r w:rsidRPr="0006732C">
        <w:rPr>
          <w:szCs w:val="22"/>
        </w:rPr>
        <w:t>nsure transparency and accountability.</w:t>
      </w:r>
    </w:p>
    <w:p w14:paraId="1CE3FF32" w14:textId="0E20E7F8" w:rsidR="00445CC6" w:rsidRPr="00CB696D" w:rsidRDefault="003B2F1C" w:rsidP="003F7401">
      <w:pPr>
        <w:rPr>
          <w:szCs w:val="22"/>
        </w:rPr>
      </w:pPr>
      <w:r w:rsidRPr="0006732C">
        <w:rPr>
          <w:szCs w:val="22"/>
        </w:rPr>
        <w:t>Data</w:t>
      </w:r>
      <w:r w:rsidRPr="00CB696D">
        <w:rPr>
          <w:szCs w:val="22"/>
        </w:rPr>
        <w:t xml:space="preserve"> collected under the </w:t>
      </w:r>
      <w:r w:rsidR="005E4539" w:rsidRPr="00CB696D">
        <w:rPr>
          <w:szCs w:val="22"/>
        </w:rPr>
        <w:t xml:space="preserve">National Code will be published by the </w:t>
      </w:r>
      <w:r w:rsidR="00C0297F">
        <w:rPr>
          <w:szCs w:val="22"/>
        </w:rPr>
        <w:t>s</w:t>
      </w:r>
      <w:r w:rsidR="00FF2C64">
        <w:rPr>
          <w:szCs w:val="22"/>
        </w:rPr>
        <w:t>pecialist GBV Reform Branch</w:t>
      </w:r>
      <w:r w:rsidR="005E4539" w:rsidRPr="00CB696D">
        <w:rPr>
          <w:szCs w:val="22"/>
        </w:rPr>
        <w:t xml:space="preserve"> and aggregated form (unless its publication would have the effect that an individual is identifiable or reasonably identifiable). </w:t>
      </w:r>
      <w:r w:rsidR="00445CC6" w:rsidRPr="00CB696D">
        <w:rPr>
          <w:szCs w:val="22"/>
        </w:rPr>
        <w:t xml:space="preserve">By making this information accessible, the </w:t>
      </w:r>
      <w:r w:rsidR="00A5177C">
        <w:rPr>
          <w:szCs w:val="22"/>
        </w:rPr>
        <w:t>d</w:t>
      </w:r>
      <w:r w:rsidR="00445CC6" w:rsidRPr="00CB696D">
        <w:rPr>
          <w:szCs w:val="22"/>
        </w:rPr>
        <w:t>epartment aims to foster trust, support continuous improvement, and demonstrate its commitment to addressing gender-based violence in higher education.</w:t>
      </w:r>
    </w:p>
    <w:p w14:paraId="207F7F53" w14:textId="198C0DF9" w:rsidR="00767880" w:rsidRDefault="00767880" w:rsidP="00767880">
      <w:pPr>
        <w:pStyle w:val="Heading2"/>
      </w:pPr>
      <w:bookmarkStart w:id="289" w:name="_Toc204699919"/>
      <w:bookmarkStart w:id="290" w:name="_Toc210050262"/>
      <w:r>
        <w:lastRenderedPageBreak/>
        <w:t>Success measures</w:t>
      </w:r>
      <w:bookmarkEnd w:id="289"/>
      <w:bookmarkEnd w:id="290"/>
    </w:p>
    <w:p w14:paraId="05F0EEB7" w14:textId="21FB8A1C" w:rsidR="00792D00" w:rsidRPr="00D82926" w:rsidRDefault="008712DC" w:rsidP="00767880">
      <w:pPr>
        <w:rPr>
          <w:rFonts w:ascii="Aptos" w:hAnsi="Aptos"/>
          <w:szCs w:val="22"/>
        </w:rPr>
      </w:pPr>
      <w:r w:rsidRPr="00D82926">
        <w:rPr>
          <w:rFonts w:ascii="Aptos" w:hAnsi="Aptos"/>
          <w:szCs w:val="22"/>
        </w:rPr>
        <w:t xml:space="preserve">Measuring success in the context of </w:t>
      </w:r>
      <w:r w:rsidR="00B7771B" w:rsidRPr="00D82926">
        <w:rPr>
          <w:rFonts w:ascii="Aptos" w:hAnsi="Aptos"/>
          <w:szCs w:val="22"/>
        </w:rPr>
        <w:t>GBV</w:t>
      </w:r>
      <w:r w:rsidRPr="00D82926">
        <w:rPr>
          <w:rFonts w:ascii="Aptos" w:hAnsi="Aptos"/>
          <w:szCs w:val="22"/>
        </w:rPr>
        <w:t xml:space="preserve"> </w:t>
      </w:r>
      <w:r w:rsidR="009028B6" w:rsidRPr="00D82926">
        <w:rPr>
          <w:rFonts w:ascii="Aptos" w:hAnsi="Aptos"/>
          <w:szCs w:val="22"/>
        </w:rPr>
        <w:t>prevention</w:t>
      </w:r>
      <w:r w:rsidRPr="00D82926">
        <w:rPr>
          <w:rFonts w:ascii="Aptos" w:hAnsi="Aptos"/>
          <w:szCs w:val="22"/>
        </w:rPr>
        <w:t xml:space="preserve"> and response within higher education presents unique challenges in evaluation. </w:t>
      </w:r>
      <w:r w:rsidR="00767880" w:rsidRPr="00D82926">
        <w:rPr>
          <w:rFonts w:ascii="Aptos" w:hAnsi="Aptos"/>
          <w:szCs w:val="22"/>
        </w:rPr>
        <w:t xml:space="preserve">As extensively discussed, </w:t>
      </w:r>
      <w:r w:rsidR="00B7771B" w:rsidRPr="00D82926">
        <w:rPr>
          <w:rFonts w:ascii="Aptos" w:hAnsi="Aptos"/>
          <w:szCs w:val="22"/>
        </w:rPr>
        <w:t>GBV</w:t>
      </w:r>
      <w:r w:rsidR="00767880" w:rsidRPr="00D82926">
        <w:rPr>
          <w:rFonts w:ascii="Aptos" w:hAnsi="Aptos"/>
          <w:szCs w:val="22"/>
        </w:rPr>
        <w:t xml:space="preserve"> is a deeply embedded cultural issue.</w:t>
      </w:r>
      <w:r w:rsidR="009028B6" w:rsidRPr="00D82926">
        <w:rPr>
          <w:rFonts w:ascii="Aptos" w:hAnsi="Aptos"/>
          <w:szCs w:val="22"/>
        </w:rPr>
        <w:t xml:space="preserve"> </w:t>
      </w:r>
      <w:r w:rsidR="00767880" w:rsidRPr="00D82926">
        <w:rPr>
          <w:rFonts w:ascii="Aptos" w:hAnsi="Aptos"/>
          <w:szCs w:val="22"/>
        </w:rPr>
        <w:t xml:space="preserve">Cultural change is inherently non-linear, multi-dimensional and context-dependent, making it difficult to isolate cause and effect or attribute to specific interventions. </w:t>
      </w:r>
      <w:r w:rsidR="009028B6" w:rsidRPr="00D82926">
        <w:rPr>
          <w:rFonts w:ascii="Aptos" w:hAnsi="Aptos"/>
          <w:szCs w:val="22"/>
        </w:rPr>
        <w:t xml:space="preserve">As a result, traditional evaluation methods </w:t>
      </w:r>
      <w:r w:rsidR="00E81AF8" w:rsidRPr="00D82926">
        <w:rPr>
          <w:rFonts w:ascii="Aptos" w:hAnsi="Aptos"/>
          <w:szCs w:val="22"/>
        </w:rPr>
        <w:t xml:space="preserve">can often be </w:t>
      </w:r>
      <w:r w:rsidR="00792D00" w:rsidRPr="00D82926">
        <w:rPr>
          <w:rFonts w:ascii="Aptos" w:hAnsi="Aptos"/>
          <w:szCs w:val="22"/>
        </w:rPr>
        <w:t xml:space="preserve">insufficient in capturing the complexity of cultural change. </w:t>
      </w:r>
    </w:p>
    <w:p w14:paraId="1C70E5ED" w14:textId="77777777" w:rsidR="00C903EB" w:rsidRPr="00D82926" w:rsidRDefault="003A1C21" w:rsidP="00236793">
      <w:pPr>
        <w:rPr>
          <w:rFonts w:ascii="Aptos" w:hAnsi="Aptos"/>
          <w:szCs w:val="22"/>
        </w:rPr>
      </w:pPr>
      <w:r w:rsidRPr="00D82926">
        <w:rPr>
          <w:rFonts w:ascii="Aptos" w:hAnsi="Aptos"/>
          <w:szCs w:val="22"/>
        </w:rPr>
        <w:t>In recognition of this complexity, the success measures outlined below</w:t>
      </w:r>
      <w:r w:rsidR="00AB3320" w:rsidRPr="00D82926">
        <w:rPr>
          <w:rFonts w:ascii="Aptos" w:hAnsi="Aptos"/>
          <w:szCs w:val="22"/>
        </w:rPr>
        <w:t xml:space="preserve"> are intentionally broad </w:t>
      </w:r>
      <w:r w:rsidR="000E075A" w:rsidRPr="00D82926">
        <w:rPr>
          <w:rFonts w:ascii="Aptos" w:hAnsi="Aptos"/>
          <w:szCs w:val="22"/>
        </w:rPr>
        <w:t xml:space="preserve">to </w:t>
      </w:r>
      <w:r w:rsidR="00AF28A6" w:rsidRPr="00D82926">
        <w:rPr>
          <w:rFonts w:ascii="Aptos" w:hAnsi="Aptos"/>
          <w:szCs w:val="22"/>
        </w:rPr>
        <w:t>reflect the interconnected nature of objectives and that meaningful change will emerge through a combination of achieving these objectives</w:t>
      </w:r>
      <w:r w:rsidR="00F668D7" w:rsidRPr="00D82926">
        <w:rPr>
          <w:rFonts w:ascii="Aptos" w:hAnsi="Aptos"/>
          <w:szCs w:val="22"/>
        </w:rPr>
        <w:t>, rather than isolated actions.</w:t>
      </w:r>
      <w:r w:rsidR="00C903EB" w:rsidRPr="00D82926">
        <w:rPr>
          <w:rFonts w:ascii="Aptos" w:hAnsi="Aptos"/>
          <w:szCs w:val="22"/>
        </w:rPr>
        <w:t xml:space="preserve"> </w:t>
      </w:r>
    </w:p>
    <w:p w14:paraId="2BA555B7" w14:textId="643A416E" w:rsidR="000130F0" w:rsidRPr="00D82926" w:rsidRDefault="000130F0" w:rsidP="00236793">
      <w:pPr>
        <w:rPr>
          <w:rFonts w:ascii="Aptos" w:hAnsi="Aptos"/>
          <w:szCs w:val="22"/>
        </w:rPr>
      </w:pPr>
      <w:r w:rsidRPr="00D82926">
        <w:rPr>
          <w:rFonts w:ascii="Aptos" w:hAnsi="Aptos"/>
          <w:szCs w:val="22"/>
        </w:rPr>
        <w:t xml:space="preserve">The success measures are organised across short-, medium-, and long-term horizons, each aligned with relevant standards under the </w:t>
      </w:r>
      <w:r w:rsidR="008743F1" w:rsidRPr="00D82926">
        <w:rPr>
          <w:rFonts w:ascii="Aptos" w:hAnsi="Aptos"/>
          <w:szCs w:val="22"/>
        </w:rPr>
        <w:t>National Code</w:t>
      </w:r>
      <w:r w:rsidRPr="00D82926">
        <w:rPr>
          <w:rFonts w:ascii="Aptos" w:hAnsi="Aptos"/>
          <w:szCs w:val="22"/>
        </w:rPr>
        <w:t xml:space="preserve"> and accompanied by appropriate evaluation methods. These measures are not intended to function as rigid performance indicators, but rather as guiding markers that help track progress, identify emerging trends, and inform continuous improvement. Importantly, many of the objectives intersect and reinforce one another - for example, increased awareness may contribute to improved reporting, which in turn may lead to more effective institutional responses.</w:t>
      </w:r>
    </w:p>
    <w:p w14:paraId="5F81987C" w14:textId="2A1221E7" w:rsidR="00730567" w:rsidRPr="00D82926" w:rsidRDefault="00730567" w:rsidP="00236793">
      <w:pPr>
        <w:rPr>
          <w:rFonts w:ascii="Aptos" w:hAnsi="Aptos"/>
          <w:szCs w:val="22"/>
        </w:rPr>
      </w:pPr>
      <w:r w:rsidRPr="00D82926">
        <w:rPr>
          <w:rFonts w:ascii="Aptos" w:hAnsi="Aptos"/>
          <w:szCs w:val="22"/>
        </w:rPr>
        <w:t>This layered approach to evaluation recognises that cultural change is gradual and iterative. It also reflects the reality that success in this context is not solely defined by compliance, but by the extent to which institutions are building capacity, fostering trust, and embedding sustainable, evidence-informed practices. The following tables outline the key success measures across each time horizon, along with the relevant standards and evaluation methods that will be used to assess progress.</w:t>
      </w:r>
    </w:p>
    <w:p w14:paraId="5A180C53" w14:textId="6D00AC09" w:rsidR="00E44D43" w:rsidRPr="00D82926" w:rsidRDefault="001C7FFC" w:rsidP="00236793">
      <w:pPr>
        <w:rPr>
          <w:rFonts w:ascii="Aptos" w:hAnsi="Aptos"/>
          <w:szCs w:val="22"/>
        </w:rPr>
      </w:pPr>
      <w:r w:rsidRPr="00D82926">
        <w:rPr>
          <w:rFonts w:ascii="Aptos" w:hAnsi="Aptos"/>
          <w:szCs w:val="22"/>
        </w:rPr>
        <w:t xml:space="preserve">The middle column of the success measures tables outlines the relevant standards and requirements under the </w:t>
      </w:r>
      <w:r w:rsidR="008743F1" w:rsidRPr="00D82926">
        <w:rPr>
          <w:rFonts w:ascii="Aptos" w:hAnsi="Aptos"/>
          <w:szCs w:val="22"/>
        </w:rPr>
        <w:t>National Code</w:t>
      </w:r>
      <w:r w:rsidRPr="00D82926">
        <w:rPr>
          <w:rFonts w:ascii="Aptos" w:hAnsi="Aptos"/>
          <w:szCs w:val="22"/>
        </w:rPr>
        <w:t xml:space="preserve"> that correspond to each identified outcome. These standards serve as the regulatory foundation for evaluation, specifying what providers are expected to deliver, monitor, and report on. By linking each success measure to a specific provision within the </w:t>
      </w:r>
      <w:r w:rsidR="008743F1" w:rsidRPr="00D82926">
        <w:rPr>
          <w:rFonts w:ascii="Aptos" w:hAnsi="Aptos"/>
          <w:szCs w:val="22"/>
        </w:rPr>
        <w:t>National Code</w:t>
      </w:r>
      <w:r w:rsidRPr="00D82926">
        <w:rPr>
          <w:rFonts w:ascii="Aptos" w:hAnsi="Aptos"/>
          <w:szCs w:val="22"/>
        </w:rPr>
        <w:t xml:space="preserve">, this column ensures that evaluation activities are grounded in enforceable obligations and sector-wide expectations. It also provides clarity on where institutional responsibilities lie, helping to distinguish between aspirational goals and mandated actions. This alignment between success measures and </w:t>
      </w:r>
      <w:r w:rsidR="008743F1" w:rsidRPr="00D82926">
        <w:rPr>
          <w:rFonts w:ascii="Aptos" w:hAnsi="Aptos"/>
          <w:szCs w:val="22"/>
        </w:rPr>
        <w:t>National Code</w:t>
      </w:r>
      <w:r w:rsidRPr="00D82926">
        <w:rPr>
          <w:rFonts w:ascii="Aptos" w:hAnsi="Aptos"/>
          <w:szCs w:val="22"/>
        </w:rPr>
        <w:t xml:space="preserve"> requirements strengthens accountability and enables consistent tracking of progress across institutions.</w:t>
      </w:r>
    </w:p>
    <w:p w14:paraId="01A11769" w14:textId="65B3358A" w:rsidR="00EA2B52" w:rsidRPr="00D82926" w:rsidRDefault="00CE7C06" w:rsidP="00236793">
      <w:pPr>
        <w:rPr>
          <w:b/>
          <w:bCs/>
          <w:szCs w:val="22"/>
        </w:rPr>
      </w:pPr>
      <w:r w:rsidRPr="00D82926">
        <w:rPr>
          <w:b/>
          <w:bCs/>
          <w:szCs w:val="22"/>
        </w:rPr>
        <w:t xml:space="preserve">Short term </w:t>
      </w:r>
      <w:r w:rsidR="00E44D43" w:rsidRPr="00D82926">
        <w:rPr>
          <w:b/>
          <w:bCs/>
          <w:szCs w:val="22"/>
        </w:rPr>
        <w:t>success measures and evaluation</w:t>
      </w:r>
      <w:r w:rsidR="00B54932">
        <w:rPr>
          <w:b/>
          <w:bCs/>
          <w:szCs w:val="22"/>
        </w:rPr>
        <w:t xml:space="preserve"> (0-3 years)</w:t>
      </w:r>
    </w:p>
    <w:p w14:paraId="284DC83D" w14:textId="1F6FD070" w:rsidR="00E44D43" w:rsidRPr="00D82926" w:rsidRDefault="00E44D43" w:rsidP="00236793">
      <w:pPr>
        <w:rPr>
          <w:rFonts w:ascii="Aptos" w:hAnsi="Aptos"/>
          <w:szCs w:val="22"/>
        </w:rPr>
      </w:pPr>
      <w:r w:rsidRPr="00D82926">
        <w:rPr>
          <w:szCs w:val="22"/>
        </w:rPr>
        <w:t xml:space="preserve">The table below reflects the </w:t>
      </w:r>
      <w:r w:rsidR="00E353CE" w:rsidRPr="00D82926">
        <w:rPr>
          <w:szCs w:val="22"/>
        </w:rPr>
        <w:t>short-term</w:t>
      </w:r>
      <w:r w:rsidRPr="00D82926">
        <w:rPr>
          <w:szCs w:val="22"/>
        </w:rPr>
        <w:t xml:space="preserve"> measures, relevant </w:t>
      </w:r>
      <w:r w:rsidR="008743F1" w:rsidRPr="00D82926">
        <w:rPr>
          <w:szCs w:val="22"/>
        </w:rPr>
        <w:t>National Code</w:t>
      </w:r>
      <w:r w:rsidRPr="00D82926">
        <w:rPr>
          <w:szCs w:val="22"/>
        </w:rPr>
        <w:t xml:space="preserve"> data and reporting requirements, and the relevant evaluation method that will be used to assess success. These measu</w:t>
      </w:r>
      <w:r w:rsidR="00E353CE" w:rsidRPr="00D82926">
        <w:rPr>
          <w:szCs w:val="22"/>
        </w:rPr>
        <w:t xml:space="preserve">res </w:t>
      </w:r>
      <w:r w:rsidR="005115D1" w:rsidRPr="00D82926">
        <w:rPr>
          <w:szCs w:val="22"/>
        </w:rPr>
        <w:t xml:space="preserve">focus on the groundwork needed for long-term cultural change by establishing a baseline of sector maturity and organisational readiness. This phase will be mainly compliance-focused with an emphasis on implementation. The </w:t>
      </w:r>
      <w:r w:rsidR="00415F58">
        <w:rPr>
          <w:szCs w:val="22"/>
        </w:rPr>
        <w:t>branch</w:t>
      </w:r>
      <w:r w:rsidR="00415F58" w:rsidRPr="00D82926">
        <w:rPr>
          <w:szCs w:val="22"/>
        </w:rPr>
        <w:t xml:space="preserve"> </w:t>
      </w:r>
      <w:r w:rsidR="005115D1" w:rsidRPr="00D82926">
        <w:rPr>
          <w:szCs w:val="22"/>
        </w:rPr>
        <w:t>seeks to ensure that this compliance is meaningful an</w:t>
      </w:r>
      <w:r w:rsidR="003A2417" w:rsidRPr="00D82926">
        <w:rPr>
          <w:szCs w:val="22"/>
        </w:rPr>
        <w:t xml:space="preserve">d ensure that HEPs are building the necessary infrastructure to support sustained change. </w:t>
      </w:r>
    </w:p>
    <w:tbl>
      <w:tblPr>
        <w:tblStyle w:val="GridTable4-Accent1"/>
        <w:tblW w:w="0" w:type="auto"/>
        <w:tblLook w:val="04A0" w:firstRow="1" w:lastRow="0" w:firstColumn="1" w:lastColumn="0" w:noHBand="0" w:noVBand="1"/>
      </w:tblPr>
      <w:tblGrid>
        <w:gridCol w:w="2830"/>
        <w:gridCol w:w="3180"/>
        <w:gridCol w:w="3006"/>
      </w:tblGrid>
      <w:tr w:rsidR="00532D4F" w:rsidRPr="00D82926" w14:paraId="7EDCD98E" w14:textId="77777777" w:rsidTr="00F45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F3AFCC3" w14:textId="7FF995C5" w:rsidR="00F8199C" w:rsidRPr="00D82926" w:rsidRDefault="00F8199C" w:rsidP="00236793">
            <w:r w:rsidRPr="00D82926">
              <w:t>Success measure</w:t>
            </w:r>
          </w:p>
        </w:tc>
        <w:tc>
          <w:tcPr>
            <w:tcW w:w="3180" w:type="dxa"/>
          </w:tcPr>
          <w:p w14:paraId="34FF8A13" w14:textId="5727F428" w:rsidR="00F8199C" w:rsidRPr="00D82926" w:rsidRDefault="008743F1" w:rsidP="00236793">
            <w:pPr>
              <w:cnfStyle w:val="100000000000" w:firstRow="1" w:lastRow="0" w:firstColumn="0" w:lastColumn="0" w:oddVBand="0" w:evenVBand="0" w:oddHBand="0" w:evenHBand="0" w:firstRowFirstColumn="0" w:firstRowLastColumn="0" w:lastRowFirstColumn="0" w:lastRowLastColumn="0"/>
            </w:pPr>
            <w:r w:rsidRPr="00D82926">
              <w:t>National Code</w:t>
            </w:r>
            <w:r w:rsidR="00A65034" w:rsidRPr="00D82926">
              <w:t xml:space="preserve"> </w:t>
            </w:r>
          </w:p>
        </w:tc>
        <w:tc>
          <w:tcPr>
            <w:tcW w:w="3006" w:type="dxa"/>
          </w:tcPr>
          <w:p w14:paraId="4A60CE72" w14:textId="414F8110" w:rsidR="00F8199C" w:rsidRPr="00D82926" w:rsidRDefault="0025610F" w:rsidP="00236793">
            <w:pPr>
              <w:cnfStyle w:val="100000000000" w:firstRow="1" w:lastRow="0" w:firstColumn="0" w:lastColumn="0" w:oddVBand="0" w:evenVBand="0" w:oddHBand="0" w:evenHBand="0" w:firstRowFirstColumn="0" w:firstRowLastColumn="0" w:lastRowFirstColumn="0" w:lastRowLastColumn="0"/>
            </w:pPr>
            <w:r w:rsidRPr="00D82926">
              <w:t xml:space="preserve">Evaluation </w:t>
            </w:r>
            <w:r w:rsidR="00AD0E8C" w:rsidRPr="00D82926">
              <w:t>method</w:t>
            </w:r>
          </w:p>
        </w:tc>
      </w:tr>
      <w:tr w:rsidR="00532D4F" w:rsidRPr="00D82926" w14:paraId="591BC686" w14:textId="77777777" w:rsidTr="00F4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25C260" w14:textId="78AF91CF" w:rsidR="0025610F" w:rsidRPr="00FD0E2F" w:rsidRDefault="0025610F" w:rsidP="0025610F">
            <w:pPr>
              <w:spacing w:line="259" w:lineRule="auto"/>
              <w:rPr>
                <w:rFonts w:ascii="Aptos" w:hAnsi="Aptos"/>
                <w:b w:val="0"/>
                <w:bCs w:val="0"/>
                <w:sz w:val="20"/>
                <w:szCs w:val="20"/>
              </w:rPr>
            </w:pPr>
            <w:r w:rsidRPr="00FD0E2F">
              <w:rPr>
                <w:rFonts w:ascii="Aptos" w:hAnsi="Aptos"/>
                <w:b w:val="0"/>
                <w:bCs w:val="0"/>
                <w:sz w:val="20"/>
                <w:szCs w:val="20"/>
              </w:rPr>
              <w:lastRenderedPageBreak/>
              <w:t xml:space="preserve">Increased awareness among students and staff of </w:t>
            </w:r>
            <w:r w:rsidR="008223FC" w:rsidRPr="00FD0E2F">
              <w:rPr>
                <w:rFonts w:ascii="Aptos" w:hAnsi="Aptos"/>
                <w:b w:val="0"/>
                <w:bCs w:val="0"/>
                <w:sz w:val="20"/>
                <w:szCs w:val="20"/>
              </w:rPr>
              <w:t>GBV</w:t>
            </w:r>
            <w:r w:rsidRPr="00FD0E2F">
              <w:rPr>
                <w:rFonts w:ascii="Aptos" w:hAnsi="Aptos"/>
                <w:b w:val="0"/>
                <w:bCs w:val="0"/>
                <w:sz w:val="20"/>
                <w:szCs w:val="20"/>
              </w:rPr>
              <w:t>, available support services and reporting pathways</w:t>
            </w:r>
          </w:p>
          <w:p w14:paraId="79931D3C" w14:textId="77777777" w:rsidR="00F8199C" w:rsidRPr="00FD0E2F" w:rsidRDefault="00F8199C" w:rsidP="00236793">
            <w:pPr>
              <w:rPr>
                <w:b w:val="0"/>
                <w:bCs w:val="0"/>
                <w:sz w:val="20"/>
                <w:szCs w:val="20"/>
              </w:rPr>
            </w:pPr>
          </w:p>
        </w:tc>
        <w:tc>
          <w:tcPr>
            <w:tcW w:w="3180" w:type="dxa"/>
          </w:tcPr>
          <w:p w14:paraId="2DD0710C" w14:textId="77777777" w:rsidR="00183BDE" w:rsidRPr="00FD0E2F" w:rsidRDefault="00183BDE"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Standard 3: P</w:t>
            </w:r>
            <w:r w:rsidR="00693063" w:rsidRPr="00FD0E2F">
              <w:rPr>
                <w:sz w:val="20"/>
                <w:szCs w:val="20"/>
              </w:rPr>
              <w:t xml:space="preserve">roviders </w:t>
            </w:r>
            <w:r w:rsidRPr="00FD0E2F">
              <w:rPr>
                <w:sz w:val="20"/>
                <w:szCs w:val="20"/>
              </w:rPr>
              <w:t xml:space="preserve">must report on training participation and awareness outcomes. </w:t>
            </w:r>
          </w:p>
          <w:p w14:paraId="1BD5825B" w14:textId="7C6B81AD" w:rsidR="00183BDE" w:rsidRPr="00FD0E2F" w:rsidRDefault="00183BDE"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Standard 6: Annual reporting on awareness levels</w:t>
            </w:r>
          </w:p>
        </w:tc>
        <w:tc>
          <w:tcPr>
            <w:tcW w:w="3006" w:type="dxa"/>
          </w:tcPr>
          <w:p w14:paraId="168B2404" w14:textId="64DAC1F9" w:rsidR="00F91F48" w:rsidRPr="00FD0E2F" w:rsidRDefault="00AD0E8C" w:rsidP="008D4824">
            <w:pPr>
              <w:pStyle w:val="ListParagraph"/>
              <w:numPr>
                <w:ilvl w:val="0"/>
                <w:numId w:val="115"/>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Annual da</w:t>
            </w:r>
            <w:r w:rsidR="00F91F48" w:rsidRPr="00FD0E2F">
              <w:rPr>
                <w:sz w:val="20"/>
                <w:szCs w:val="20"/>
              </w:rPr>
              <w:t>ta and surveys on awareness levels</w:t>
            </w:r>
            <w:r w:rsidR="00C51E6E" w:rsidRPr="00FD0E2F">
              <w:rPr>
                <w:sz w:val="20"/>
                <w:szCs w:val="20"/>
              </w:rPr>
              <w:t>.</w:t>
            </w:r>
          </w:p>
          <w:p w14:paraId="06F0B4CD" w14:textId="4AA476F3" w:rsidR="00F91F48" w:rsidRPr="00FD0E2F" w:rsidRDefault="00F91F48" w:rsidP="008D4824">
            <w:pPr>
              <w:pStyle w:val="ListParagraph"/>
              <w:numPr>
                <w:ilvl w:val="0"/>
                <w:numId w:val="115"/>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Training participation records</w:t>
            </w:r>
            <w:r w:rsidR="00C51E6E" w:rsidRPr="00FD0E2F">
              <w:rPr>
                <w:sz w:val="20"/>
                <w:szCs w:val="20"/>
              </w:rPr>
              <w:t>.</w:t>
            </w:r>
          </w:p>
          <w:p w14:paraId="68F6A4C3" w14:textId="75C6116B" w:rsidR="00F91F48" w:rsidRPr="00FD0E2F" w:rsidRDefault="00F91F48" w:rsidP="008D4824">
            <w:pPr>
              <w:pStyle w:val="ListParagraph"/>
              <w:numPr>
                <w:ilvl w:val="0"/>
                <w:numId w:val="115"/>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Feedback forms and pre- and post- assessments</w:t>
            </w:r>
            <w:r w:rsidR="00C51E6E" w:rsidRPr="00FD0E2F">
              <w:rPr>
                <w:sz w:val="20"/>
                <w:szCs w:val="20"/>
              </w:rPr>
              <w:t xml:space="preserve">. </w:t>
            </w:r>
          </w:p>
        </w:tc>
      </w:tr>
      <w:tr w:rsidR="00F8199C" w:rsidRPr="00D82926" w14:paraId="7DBCF092" w14:textId="77777777" w:rsidTr="00F45378">
        <w:tc>
          <w:tcPr>
            <w:cnfStyle w:val="001000000000" w:firstRow="0" w:lastRow="0" w:firstColumn="1" w:lastColumn="0" w:oddVBand="0" w:evenVBand="0" w:oddHBand="0" w:evenHBand="0" w:firstRowFirstColumn="0" w:firstRowLastColumn="0" w:lastRowFirstColumn="0" w:lastRowLastColumn="0"/>
            <w:tcW w:w="2830" w:type="dxa"/>
          </w:tcPr>
          <w:p w14:paraId="199BDBEC" w14:textId="4DDE8380" w:rsidR="00F8199C" w:rsidRPr="00FD0E2F" w:rsidRDefault="0025610F" w:rsidP="00C51E6E">
            <w:pPr>
              <w:spacing w:line="259" w:lineRule="auto"/>
              <w:rPr>
                <w:rFonts w:ascii="Aptos" w:hAnsi="Aptos"/>
                <w:b w:val="0"/>
                <w:bCs w:val="0"/>
                <w:sz w:val="20"/>
                <w:szCs w:val="20"/>
              </w:rPr>
            </w:pPr>
            <w:r w:rsidRPr="00FD0E2F">
              <w:rPr>
                <w:rFonts w:ascii="Aptos" w:hAnsi="Aptos"/>
                <w:b w:val="0"/>
                <w:bCs w:val="0"/>
                <w:sz w:val="20"/>
                <w:szCs w:val="20"/>
              </w:rPr>
              <w:t xml:space="preserve">Increase in student and staff knowledge of what constitutes </w:t>
            </w:r>
            <w:r w:rsidR="00B7771B" w:rsidRPr="00FD0E2F">
              <w:rPr>
                <w:rFonts w:ascii="Aptos" w:hAnsi="Aptos"/>
                <w:b w:val="0"/>
                <w:bCs w:val="0"/>
                <w:sz w:val="20"/>
                <w:szCs w:val="20"/>
              </w:rPr>
              <w:t>GBV</w:t>
            </w:r>
            <w:r w:rsidRPr="00FD0E2F">
              <w:rPr>
                <w:rFonts w:ascii="Aptos" w:hAnsi="Aptos"/>
                <w:b w:val="0"/>
                <w:bCs w:val="0"/>
                <w:sz w:val="20"/>
                <w:szCs w:val="20"/>
              </w:rPr>
              <w:t xml:space="preserve">, how to do trauma-informed practice </w:t>
            </w:r>
          </w:p>
        </w:tc>
        <w:tc>
          <w:tcPr>
            <w:tcW w:w="3180" w:type="dxa"/>
          </w:tcPr>
          <w:p w14:paraId="0B50AD07" w14:textId="1EE9CBB8" w:rsidR="00F8199C" w:rsidRPr="00FD0E2F" w:rsidRDefault="00C9476F"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Standard 3: Monitoring and Evaluation of effectiveness of training and </w:t>
            </w:r>
            <w:r w:rsidR="00DD4B3C" w:rsidRPr="00FD0E2F">
              <w:rPr>
                <w:sz w:val="20"/>
                <w:szCs w:val="20"/>
              </w:rPr>
              <w:t>education.</w:t>
            </w:r>
          </w:p>
        </w:tc>
        <w:tc>
          <w:tcPr>
            <w:tcW w:w="3006" w:type="dxa"/>
          </w:tcPr>
          <w:p w14:paraId="46958A64" w14:textId="77777777" w:rsidR="00F91F48" w:rsidRPr="00FD0E2F" w:rsidRDefault="00F91F48" w:rsidP="008D4824">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Evaluation of training and education effectiveness. </w:t>
            </w:r>
          </w:p>
          <w:p w14:paraId="310A932D" w14:textId="4E9F301C" w:rsidR="00F91F48" w:rsidRPr="00FD0E2F" w:rsidRDefault="00F91F48" w:rsidP="008D4824">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Participant feedback and learning outcome tracking</w:t>
            </w:r>
            <w:r w:rsidR="00C51E6E" w:rsidRPr="00FD0E2F">
              <w:rPr>
                <w:sz w:val="20"/>
                <w:szCs w:val="20"/>
              </w:rPr>
              <w:t>.</w:t>
            </w:r>
          </w:p>
        </w:tc>
      </w:tr>
      <w:tr w:rsidR="00532D4F" w:rsidRPr="00D82926" w14:paraId="320F51F9" w14:textId="77777777" w:rsidTr="00F4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B338439" w14:textId="77777777" w:rsidR="0025610F" w:rsidRPr="00FD0E2F" w:rsidRDefault="0025610F" w:rsidP="0025610F">
            <w:pPr>
              <w:spacing w:line="259" w:lineRule="auto"/>
              <w:rPr>
                <w:rFonts w:ascii="Aptos" w:hAnsi="Aptos"/>
                <w:b w:val="0"/>
                <w:bCs w:val="0"/>
                <w:sz w:val="20"/>
                <w:szCs w:val="20"/>
              </w:rPr>
            </w:pPr>
            <w:r w:rsidRPr="00FD0E2F">
              <w:rPr>
                <w:rFonts w:ascii="Aptos" w:hAnsi="Aptos"/>
                <w:b w:val="0"/>
                <w:bCs w:val="0"/>
                <w:sz w:val="20"/>
                <w:szCs w:val="20"/>
              </w:rPr>
              <w:t>Improved institutional readiness to respond to disclosures and reports</w:t>
            </w:r>
          </w:p>
          <w:p w14:paraId="54661F54" w14:textId="77777777" w:rsidR="00F8199C" w:rsidRPr="00FD0E2F" w:rsidRDefault="00F8199C" w:rsidP="00236793">
            <w:pPr>
              <w:rPr>
                <w:b w:val="0"/>
                <w:bCs w:val="0"/>
                <w:sz w:val="20"/>
                <w:szCs w:val="20"/>
              </w:rPr>
            </w:pPr>
          </w:p>
        </w:tc>
        <w:tc>
          <w:tcPr>
            <w:tcW w:w="3180" w:type="dxa"/>
          </w:tcPr>
          <w:p w14:paraId="6CCCB0F4" w14:textId="34020404" w:rsidR="00F8199C" w:rsidRPr="00FD0E2F" w:rsidRDefault="004E5E86"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Standard 1: Providers must submit a Prevention and Response Plan </w:t>
            </w:r>
            <w:r w:rsidR="00233D27" w:rsidRPr="00FD0E2F">
              <w:rPr>
                <w:sz w:val="20"/>
                <w:szCs w:val="20"/>
              </w:rPr>
              <w:t xml:space="preserve">&amp; Outcomes framework, including a whole-of-org assessment and implementation plan. </w:t>
            </w:r>
          </w:p>
        </w:tc>
        <w:tc>
          <w:tcPr>
            <w:tcW w:w="3006" w:type="dxa"/>
          </w:tcPr>
          <w:p w14:paraId="22F300E1" w14:textId="356B353A" w:rsidR="00874700" w:rsidRPr="00FD0E2F" w:rsidRDefault="002A0C8E" w:rsidP="008D4824">
            <w:pPr>
              <w:pStyle w:val="ListParagraph"/>
              <w:numPr>
                <w:ilvl w:val="0"/>
                <w:numId w:val="179"/>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Review of Prevention and Response Plan. </w:t>
            </w:r>
          </w:p>
          <w:p w14:paraId="03AD7FDF" w14:textId="5087659C" w:rsidR="002A0C8E" w:rsidRPr="00FD0E2F" w:rsidRDefault="002A0C8E" w:rsidP="008D4824">
            <w:pPr>
              <w:pStyle w:val="ListParagraph"/>
              <w:numPr>
                <w:ilvl w:val="0"/>
                <w:numId w:val="179"/>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Data on</w:t>
            </w:r>
            <w:r w:rsidR="00D20703" w:rsidRPr="00FD0E2F">
              <w:rPr>
                <w:sz w:val="20"/>
                <w:szCs w:val="20"/>
              </w:rPr>
              <w:t xml:space="preserve"> awareness of students and staff of the Prevention and Response Plan </w:t>
            </w:r>
            <w:r w:rsidR="00874700" w:rsidRPr="00FD0E2F">
              <w:rPr>
                <w:sz w:val="20"/>
                <w:szCs w:val="20"/>
              </w:rPr>
              <w:t xml:space="preserve"> </w:t>
            </w:r>
          </w:p>
        </w:tc>
      </w:tr>
      <w:tr w:rsidR="00F8199C" w:rsidRPr="00D82926" w14:paraId="7A7B25ED" w14:textId="77777777" w:rsidTr="00F45378">
        <w:tc>
          <w:tcPr>
            <w:cnfStyle w:val="001000000000" w:firstRow="0" w:lastRow="0" w:firstColumn="1" w:lastColumn="0" w:oddVBand="0" w:evenVBand="0" w:oddHBand="0" w:evenHBand="0" w:firstRowFirstColumn="0" w:firstRowLastColumn="0" w:lastRowFirstColumn="0" w:lastRowLastColumn="0"/>
            <w:tcW w:w="2830" w:type="dxa"/>
          </w:tcPr>
          <w:p w14:paraId="351A9488" w14:textId="77777777" w:rsidR="0025610F" w:rsidRPr="00FD0E2F" w:rsidRDefault="0025610F" w:rsidP="0025610F">
            <w:pPr>
              <w:spacing w:line="259" w:lineRule="auto"/>
              <w:rPr>
                <w:rFonts w:ascii="Aptos" w:hAnsi="Aptos"/>
                <w:b w:val="0"/>
                <w:bCs w:val="0"/>
                <w:sz w:val="20"/>
                <w:szCs w:val="20"/>
              </w:rPr>
            </w:pPr>
            <w:r w:rsidRPr="00FD0E2F">
              <w:rPr>
                <w:rFonts w:ascii="Aptos" w:hAnsi="Aptos"/>
                <w:b w:val="0"/>
                <w:bCs w:val="0"/>
                <w:sz w:val="20"/>
                <w:szCs w:val="20"/>
              </w:rPr>
              <w:t>Increase in HEPs embedding quality, evidence-based education and training to build capacity and understanding</w:t>
            </w:r>
          </w:p>
          <w:p w14:paraId="10C88DA2" w14:textId="77777777" w:rsidR="00F8199C" w:rsidRPr="00FD0E2F" w:rsidRDefault="00F8199C" w:rsidP="00236793">
            <w:pPr>
              <w:rPr>
                <w:b w:val="0"/>
                <w:bCs w:val="0"/>
                <w:sz w:val="20"/>
                <w:szCs w:val="20"/>
              </w:rPr>
            </w:pPr>
          </w:p>
        </w:tc>
        <w:tc>
          <w:tcPr>
            <w:tcW w:w="3180" w:type="dxa"/>
          </w:tcPr>
          <w:p w14:paraId="78EE40F6" w14:textId="5A42B1F6" w:rsidR="00F8199C" w:rsidRPr="00FD0E2F" w:rsidRDefault="00A65034"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Standard 3: Providers must </w:t>
            </w:r>
            <w:r w:rsidR="000D4884" w:rsidRPr="00FD0E2F">
              <w:rPr>
                <w:sz w:val="20"/>
                <w:szCs w:val="20"/>
              </w:rPr>
              <w:t xml:space="preserve">deliver and evaluate evidence-informed training on prevention for all staff and students and responding to disclosure training to relevant staff and leadership. </w:t>
            </w:r>
          </w:p>
        </w:tc>
        <w:tc>
          <w:tcPr>
            <w:tcW w:w="3006" w:type="dxa"/>
          </w:tcPr>
          <w:p w14:paraId="0CBFAD97" w14:textId="77777777" w:rsidR="00F45378" w:rsidRPr="00FD0E2F" w:rsidRDefault="002A0C8E" w:rsidP="008D4824">
            <w:pPr>
              <w:pStyle w:val="ListParagraph"/>
              <w:numPr>
                <w:ilvl w:val="0"/>
                <w:numId w:val="117"/>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Curriculum and training review, including evidence view.</w:t>
            </w:r>
          </w:p>
          <w:p w14:paraId="673F17A6" w14:textId="3CFF99DE" w:rsidR="002A0C8E" w:rsidRPr="00FD0E2F" w:rsidRDefault="002A0C8E" w:rsidP="008D4824">
            <w:pPr>
              <w:pStyle w:val="ListParagraph"/>
              <w:numPr>
                <w:ilvl w:val="0"/>
                <w:numId w:val="117"/>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Evaluation of training outcomes and data</w:t>
            </w:r>
            <w:r w:rsidR="00C51E6E" w:rsidRPr="00FD0E2F">
              <w:rPr>
                <w:sz w:val="20"/>
                <w:szCs w:val="20"/>
              </w:rPr>
              <w:t>.</w:t>
            </w:r>
          </w:p>
        </w:tc>
      </w:tr>
      <w:tr w:rsidR="00532D4F" w:rsidRPr="00D82926" w14:paraId="7CBBBB56" w14:textId="77777777" w:rsidTr="00F4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D58307" w14:textId="77777777" w:rsidR="0025610F" w:rsidRPr="00FD0E2F" w:rsidRDefault="0025610F" w:rsidP="0025610F">
            <w:pPr>
              <w:spacing w:line="259" w:lineRule="auto"/>
              <w:rPr>
                <w:rFonts w:ascii="Aptos" w:hAnsi="Aptos"/>
                <w:b w:val="0"/>
                <w:bCs w:val="0"/>
                <w:sz w:val="20"/>
                <w:szCs w:val="20"/>
              </w:rPr>
            </w:pPr>
            <w:r w:rsidRPr="00FD0E2F">
              <w:rPr>
                <w:rFonts w:ascii="Aptos" w:hAnsi="Aptos"/>
                <w:b w:val="0"/>
                <w:bCs w:val="0"/>
                <w:sz w:val="20"/>
                <w:szCs w:val="20"/>
              </w:rPr>
              <w:t>Greater alignment across the sector on prevention and response practice</w:t>
            </w:r>
          </w:p>
          <w:p w14:paraId="616AE124" w14:textId="77777777" w:rsidR="00F8199C" w:rsidRPr="00FD0E2F" w:rsidRDefault="00F8199C" w:rsidP="00236793">
            <w:pPr>
              <w:rPr>
                <w:b w:val="0"/>
                <w:bCs w:val="0"/>
                <w:sz w:val="20"/>
                <w:szCs w:val="20"/>
              </w:rPr>
            </w:pPr>
          </w:p>
        </w:tc>
        <w:tc>
          <w:tcPr>
            <w:tcW w:w="3180" w:type="dxa"/>
          </w:tcPr>
          <w:p w14:paraId="5C4C1F95" w14:textId="083608E8" w:rsidR="00F8199C" w:rsidRPr="00FD0E2F" w:rsidRDefault="00CE0F11"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Providers must align </w:t>
            </w:r>
            <w:r w:rsidR="004E493B" w:rsidRPr="00FD0E2F">
              <w:rPr>
                <w:sz w:val="20"/>
                <w:szCs w:val="20"/>
              </w:rPr>
              <w:t xml:space="preserve">their prevention and response with the national standards. </w:t>
            </w:r>
          </w:p>
        </w:tc>
        <w:tc>
          <w:tcPr>
            <w:tcW w:w="3006" w:type="dxa"/>
          </w:tcPr>
          <w:p w14:paraId="03828E9A" w14:textId="3219EE1D" w:rsidR="00F8199C" w:rsidRPr="00FD0E2F" w:rsidRDefault="002A0C8E" w:rsidP="008D4824">
            <w:pPr>
              <w:pStyle w:val="ListParagraph"/>
              <w:numPr>
                <w:ilvl w:val="0"/>
                <w:numId w:val="118"/>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Comparative policy analysis</w:t>
            </w:r>
            <w:r w:rsidR="00C51E6E" w:rsidRPr="00FD0E2F">
              <w:rPr>
                <w:sz w:val="20"/>
                <w:szCs w:val="20"/>
              </w:rPr>
              <w:t xml:space="preserve">. </w:t>
            </w:r>
          </w:p>
          <w:p w14:paraId="6F647A7B" w14:textId="363F51BE" w:rsidR="002A0C8E" w:rsidRPr="00FD0E2F" w:rsidRDefault="002A0C8E" w:rsidP="008D4824">
            <w:pPr>
              <w:pStyle w:val="ListParagraph"/>
              <w:numPr>
                <w:ilvl w:val="0"/>
                <w:numId w:val="118"/>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Sector</w:t>
            </w:r>
            <w:r w:rsidR="00495D36">
              <w:rPr>
                <w:sz w:val="20"/>
                <w:szCs w:val="20"/>
              </w:rPr>
              <w:t>-</w:t>
            </w:r>
            <w:r w:rsidRPr="00FD0E2F">
              <w:rPr>
                <w:sz w:val="20"/>
                <w:szCs w:val="20"/>
              </w:rPr>
              <w:t>wide reviews</w:t>
            </w:r>
            <w:r w:rsidR="00C51E6E" w:rsidRPr="00FD0E2F">
              <w:rPr>
                <w:sz w:val="20"/>
                <w:szCs w:val="20"/>
              </w:rPr>
              <w:t>.</w:t>
            </w:r>
          </w:p>
        </w:tc>
      </w:tr>
      <w:tr w:rsidR="0025610F" w:rsidRPr="00D82926" w14:paraId="6B3327CC" w14:textId="77777777" w:rsidTr="00F45378">
        <w:tc>
          <w:tcPr>
            <w:cnfStyle w:val="001000000000" w:firstRow="0" w:lastRow="0" w:firstColumn="1" w:lastColumn="0" w:oddVBand="0" w:evenVBand="0" w:oddHBand="0" w:evenHBand="0" w:firstRowFirstColumn="0" w:firstRowLastColumn="0" w:lastRowFirstColumn="0" w:lastRowLastColumn="0"/>
            <w:tcW w:w="2830" w:type="dxa"/>
          </w:tcPr>
          <w:p w14:paraId="1A377D7A" w14:textId="2E02245C" w:rsidR="0025610F" w:rsidRPr="00FD0E2F" w:rsidRDefault="0025610F" w:rsidP="0025610F">
            <w:pPr>
              <w:spacing w:line="259" w:lineRule="auto"/>
              <w:rPr>
                <w:rFonts w:ascii="Aptos" w:hAnsi="Aptos"/>
                <w:b w:val="0"/>
                <w:bCs w:val="0"/>
                <w:sz w:val="20"/>
                <w:szCs w:val="20"/>
              </w:rPr>
            </w:pPr>
            <w:r w:rsidRPr="00FD0E2F">
              <w:rPr>
                <w:rFonts w:ascii="Aptos" w:hAnsi="Aptos"/>
                <w:b w:val="0"/>
                <w:bCs w:val="0"/>
                <w:sz w:val="20"/>
                <w:szCs w:val="20"/>
              </w:rPr>
              <w:t xml:space="preserve">Consistent data collection mechanisms established across the sector to inform evaluation and monitoring </w:t>
            </w:r>
          </w:p>
        </w:tc>
        <w:tc>
          <w:tcPr>
            <w:tcW w:w="3180" w:type="dxa"/>
          </w:tcPr>
          <w:p w14:paraId="5DD56864" w14:textId="4F642A11" w:rsidR="0025610F" w:rsidRPr="00FD0E2F" w:rsidRDefault="00842BA8"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Standard 6: Providers must report comprehensive annual data</w:t>
            </w:r>
          </w:p>
        </w:tc>
        <w:tc>
          <w:tcPr>
            <w:tcW w:w="3006" w:type="dxa"/>
          </w:tcPr>
          <w:p w14:paraId="1F4F7D68" w14:textId="795FBFB8" w:rsidR="00C51E6E" w:rsidRPr="00FD0E2F" w:rsidRDefault="002A0C8E" w:rsidP="008D4824">
            <w:pPr>
              <w:pStyle w:val="ListParagraph"/>
              <w:numPr>
                <w:ilvl w:val="0"/>
                <w:numId w:val="119"/>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Annual </w:t>
            </w:r>
            <w:r w:rsidR="00A61F66" w:rsidRPr="00FD0E2F">
              <w:rPr>
                <w:sz w:val="20"/>
                <w:szCs w:val="20"/>
              </w:rPr>
              <w:t>reporting</w:t>
            </w:r>
            <w:r w:rsidR="00C51E6E" w:rsidRPr="00FD0E2F">
              <w:rPr>
                <w:sz w:val="20"/>
                <w:szCs w:val="20"/>
              </w:rPr>
              <w:t>.</w:t>
            </w:r>
          </w:p>
          <w:p w14:paraId="5F12B192" w14:textId="56C71D53" w:rsidR="00C51E6E" w:rsidRPr="00FD0E2F" w:rsidRDefault="00C51E6E" w:rsidP="008D4824">
            <w:pPr>
              <w:pStyle w:val="ListParagraph"/>
              <w:numPr>
                <w:ilvl w:val="0"/>
                <w:numId w:val="119"/>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Sector-wide data reviews and analysis</w:t>
            </w:r>
          </w:p>
        </w:tc>
      </w:tr>
      <w:tr w:rsidR="00532D4F" w:rsidRPr="00D82926" w14:paraId="49909C59" w14:textId="77777777" w:rsidTr="00F4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D5C705" w14:textId="77777777" w:rsidR="0025610F" w:rsidRPr="00FD0E2F" w:rsidRDefault="0025610F" w:rsidP="0025610F">
            <w:pPr>
              <w:spacing w:line="259" w:lineRule="auto"/>
              <w:rPr>
                <w:rFonts w:ascii="Aptos" w:hAnsi="Aptos"/>
                <w:b w:val="0"/>
                <w:bCs w:val="0"/>
                <w:sz w:val="20"/>
                <w:szCs w:val="20"/>
              </w:rPr>
            </w:pPr>
            <w:r w:rsidRPr="00FD0E2F">
              <w:rPr>
                <w:rFonts w:ascii="Aptos" w:hAnsi="Aptos"/>
                <w:b w:val="0"/>
                <w:bCs w:val="0"/>
                <w:sz w:val="20"/>
                <w:szCs w:val="20"/>
              </w:rPr>
              <w:t xml:space="preserve">Visible commitment from organisation leadership to drive change </w:t>
            </w:r>
          </w:p>
          <w:p w14:paraId="62D29FB9" w14:textId="77777777" w:rsidR="0025610F" w:rsidRPr="00FD0E2F" w:rsidRDefault="0025610F" w:rsidP="0025610F">
            <w:pPr>
              <w:spacing w:line="259" w:lineRule="auto"/>
              <w:rPr>
                <w:rFonts w:ascii="Aptos" w:hAnsi="Aptos"/>
                <w:b w:val="0"/>
                <w:bCs w:val="0"/>
                <w:sz w:val="20"/>
                <w:szCs w:val="20"/>
              </w:rPr>
            </w:pPr>
          </w:p>
        </w:tc>
        <w:tc>
          <w:tcPr>
            <w:tcW w:w="3180" w:type="dxa"/>
          </w:tcPr>
          <w:p w14:paraId="45465CDD" w14:textId="450CD98A" w:rsidR="0025610F" w:rsidRPr="00FD0E2F" w:rsidRDefault="008A27A7"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Standard 1: </w:t>
            </w:r>
            <w:r w:rsidR="004503EB" w:rsidRPr="00FD0E2F">
              <w:rPr>
                <w:sz w:val="20"/>
                <w:szCs w:val="20"/>
              </w:rPr>
              <w:t xml:space="preserve">Accountability sits with the HEPEO, </w:t>
            </w:r>
            <w:r w:rsidR="00C1705F" w:rsidRPr="00FD0E2F">
              <w:rPr>
                <w:sz w:val="20"/>
                <w:szCs w:val="20"/>
              </w:rPr>
              <w:t xml:space="preserve">governing body must have oversight. </w:t>
            </w:r>
          </w:p>
        </w:tc>
        <w:tc>
          <w:tcPr>
            <w:tcW w:w="3006" w:type="dxa"/>
          </w:tcPr>
          <w:p w14:paraId="3F7FFF9C" w14:textId="754930C3" w:rsidR="00C51E6E" w:rsidRPr="00FD0E2F" w:rsidRDefault="00C51E6E" w:rsidP="008D4824">
            <w:pPr>
              <w:pStyle w:val="ListParagraph"/>
              <w:numPr>
                <w:ilvl w:val="0"/>
                <w:numId w:val="120"/>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Governing body reports.</w:t>
            </w:r>
          </w:p>
          <w:p w14:paraId="37657043" w14:textId="6A43799A" w:rsidR="00C51E6E" w:rsidRPr="00FD0E2F" w:rsidRDefault="00C51E6E" w:rsidP="008D4824">
            <w:pPr>
              <w:pStyle w:val="ListParagraph"/>
              <w:numPr>
                <w:ilvl w:val="0"/>
                <w:numId w:val="120"/>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Stakeholder engagement with students and staff on leadership engagement. </w:t>
            </w:r>
          </w:p>
        </w:tc>
      </w:tr>
    </w:tbl>
    <w:p w14:paraId="2D62C10D" w14:textId="77777777" w:rsidR="000E342D" w:rsidRDefault="000E342D" w:rsidP="00AD024D">
      <w:pPr>
        <w:spacing w:before="240"/>
        <w:rPr>
          <w:b/>
          <w:bCs/>
          <w:szCs w:val="22"/>
        </w:rPr>
      </w:pPr>
    </w:p>
    <w:p w14:paraId="79D36D2A" w14:textId="77777777" w:rsidR="000D5E3D" w:rsidRDefault="000D5E3D" w:rsidP="00AD024D">
      <w:pPr>
        <w:spacing w:before="240"/>
        <w:rPr>
          <w:b/>
          <w:bCs/>
          <w:szCs w:val="22"/>
        </w:rPr>
      </w:pPr>
    </w:p>
    <w:p w14:paraId="35BECE97" w14:textId="24A21A30" w:rsidR="00F8199C" w:rsidRPr="00D82926" w:rsidRDefault="00CB2C93" w:rsidP="00AD024D">
      <w:pPr>
        <w:spacing w:before="240"/>
        <w:rPr>
          <w:b/>
          <w:bCs/>
          <w:szCs w:val="22"/>
        </w:rPr>
      </w:pPr>
      <w:r w:rsidRPr="00D82926">
        <w:rPr>
          <w:b/>
          <w:bCs/>
          <w:szCs w:val="22"/>
        </w:rPr>
        <w:t>Medium term</w:t>
      </w:r>
      <w:r w:rsidR="00337AEA" w:rsidRPr="00D82926">
        <w:rPr>
          <w:b/>
          <w:bCs/>
          <w:szCs w:val="22"/>
        </w:rPr>
        <w:t xml:space="preserve"> success measures and evaluation </w:t>
      </w:r>
      <w:r w:rsidR="00B54932">
        <w:rPr>
          <w:b/>
          <w:bCs/>
          <w:szCs w:val="22"/>
        </w:rPr>
        <w:t>(3-8 years)</w:t>
      </w:r>
    </w:p>
    <w:p w14:paraId="127F5BE1" w14:textId="457C4007" w:rsidR="003A2417" w:rsidRPr="00D82926" w:rsidRDefault="003A2417" w:rsidP="00236793">
      <w:pPr>
        <w:rPr>
          <w:szCs w:val="22"/>
        </w:rPr>
      </w:pPr>
      <w:r w:rsidRPr="00D82926">
        <w:rPr>
          <w:szCs w:val="22"/>
        </w:rPr>
        <w:t xml:space="preserve">These measures reflect the transition from foundational implementation into active performance monitoring and sector-wide assessment. At this stage, the </w:t>
      </w:r>
      <w:r w:rsidR="00C0297F">
        <w:rPr>
          <w:szCs w:val="22"/>
        </w:rPr>
        <w:t>s</w:t>
      </w:r>
      <w:r w:rsidR="00FF2C64">
        <w:rPr>
          <w:szCs w:val="22"/>
        </w:rPr>
        <w:t>pecialist GBV Reform Branch</w:t>
      </w:r>
      <w:r w:rsidRPr="00D82926">
        <w:rPr>
          <w:szCs w:val="22"/>
        </w:rPr>
        <w:t xml:space="preserve"> will analyse data </w:t>
      </w:r>
      <w:r w:rsidR="00FE7A8D" w:rsidRPr="00D82926">
        <w:rPr>
          <w:szCs w:val="22"/>
        </w:rPr>
        <w:t xml:space="preserve">providers to evaluate progress and maturity. </w:t>
      </w:r>
      <w:r w:rsidR="002F14AB" w:rsidRPr="00D82926">
        <w:rPr>
          <w:szCs w:val="22"/>
        </w:rPr>
        <w:t>Evaluation</w:t>
      </w:r>
      <w:r w:rsidR="00FE7A8D" w:rsidRPr="00D82926">
        <w:rPr>
          <w:szCs w:val="22"/>
        </w:rPr>
        <w:t xml:space="preserve"> will be informed by a combination </w:t>
      </w:r>
      <w:r w:rsidR="0061728D" w:rsidRPr="00D82926">
        <w:rPr>
          <w:szCs w:val="22"/>
        </w:rPr>
        <w:t xml:space="preserve">of </w:t>
      </w:r>
      <w:r w:rsidR="008C3A25" w:rsidRPr="00D82926">
        <w:rPr>
          <w:szCs w:val="22"/>
        </w:rPr>
        <w:t xml:space="preserve">monitoring and compliance activities, stakeholder engagement, provider-submitted </w:t>
      </w:r>
      <w:r w:rsidR="002F14AB" w:rsidRPr="00D82926">
        <w:rPr>
          <w:szCs w:val="22"/>
        </w:rPr>
        <w:t>data</w:t>
      </w:r>
      <w:r w:rsidR="008C3A25" w:rsidRPr="00D82926">
        <w:rPr>
          <w:szCs w:val="22"/>
        </w:rPr>
        <w:t xml:space="preserve"> and external sources such as data sets, union reports and information shared by co-regulators. These measures will help assess that providers are </w:t>
      </w:r>
      <w:r w:rsidR="002F14AB" w:rsidRPr="00D82926">
        <w:rPr>
          <w:szCs w:val="22"/>
        </w:rPr>
        <w:t xml:space="preserve">genuinely engaging in practices that reflect a commitment to prevention, response and cultural change. </w:t>
      </w:r>
    </w:p>
    <w:tbl>
      <w:tblPr>
        <w:tblStyle w:val="GridTable4-Accent1"/>
        <w:tblW w:w="0" w:type="auto"/>
        <w:tblLook w:val="04A0" w:firstRow="1" w:lastRow="0" w:firstColumn="1" w:lastColumn="0" w:noHBand="0" w:noVBand="1"/>
      </w:tblPr>
      <w:tblGrid>
        <w:gridCol w:w="2689"/>
        <w:gridCol w:w="2976"/>
        <w:gridCol w:w="3351"/>
      </w:tblGrid>
      <w:tr w:rsidR="00532D4F" w:rsidRPr="00D82926" w14:paraId="7C6E1930" w14:textId="77777777" w:rsidTr="00DD4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78C07E" w14:textId="6E75C936" w:rsidR="00CE7C06" w:rsidRPr="00D82926" w:rsidRDefault="00CB2C93" w:rsidP="00236793">
            <w:r w:rsidRPr="00D82926">
              <w:t>Success measure</w:t>
            </w:r>
          </w:p>
        </w:tc>
        <w:tc>
          <w:tcPr>
            <w:tcW w:w="2976" w:type="dxa"/>
          </w:tcPr>
          <w:p w14:paraId="5E7D5CBE" w14:textId="367A9AB4" w:rsidR="00CE7C06" w:rsidRPr="00D82926" w:rsidRDefault="00CB2C93" w:rsidP="00236793">
            <w:pPr>
              <w:cnfStyle w:val="100000000000" w:firstRow="1" w:lastRow="0" w:firstColumn="0" w:lastColumn="0" w:oddVBand="0" w:evenVBand="0" w:oddHBand="0" w:evenHBand="0" w:firstRowFirstColumn="0" w:firstRowLastColumn="0" w:lastRowFirstColumn="0" w:lastRowLastColumn="0"/>
            </w:pPr>
            <w:r w:rsidRPr="00D82926">
              <w:t xml:space="preserve">The </w:t>
            </w:r>
            <w:r w:rsidR="008743F1" w:rsidRPr="00D82926">
              <w:t>National Code</w:t>
            </w:r>
          </w:p>
        </w:tc>
        <w:tc>
          <w:tcPr>
            <w:tcW w:w="3351" w:type="dxa"/>
          </w:tcPr>
          <w:p w14:paraId="0A5BBCFE" w14:textId="160603C3" w:rsidR="00CE7C06" w:rsidRPr="00D82926" w:rsidRDefault="00403F54" w:rsidP="00236793">
            <w:pPr>
              <w:cnfStyle w:val="100000000000" w:firstRow="1" w:lastRow="0" w:firstColumn="0" w:lastColumn="0" w:oddVBand="0" w:evenVBand="0" w:oddHBand="0" w:evenHBand="0" w:firstRowFirstColumn="0" w:firstRowLastColumn="0" w:lastRowFirstColumn="0" w:lastRowLastColumn="0"/>
            </w:pPr>
            <w:r w:rsidRPr="00D82926">
              <w:t>Evaluation method</w:t>
            </w:r>
          </w:p>
        </w:tc>
      </w:tr>
      <w:tr w:rsidR="00532D4F" w:rsidRPr="00D82926" w14:paraId="19AF6AF2" w14:textId="77777777" w:rsidTr="00DD4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0DBB00" w14:textId="5D58C9C9" w:rsidR="00CE7C06" w:rsidRPr="00FD0E2F" w:rsidRDefault="00CE7C06" w:rsidP="00CE7C06">
            <w:pPr>
              <w:spacing w:line="259" w:lineRule="auto"/>
              <w:rPr>
                <w:rFonts w:ascii="Aptos" w:hAnsi="Aptos"/>
                <w:b w:val="0"/>
                <w:bCs w:val="0"/>
                <w:sz w:val="20"/>
                <w:szCs w:val="20"/>
              </w:rPr>
            </w:pPr>
            <w:r w:rsidRPr="00FD0E2F">
              <w:rPr>
                <w:rFonts w:ascii="Aptos" w:hAnsi="Aptos"/>
                <w:b w:val="0"/>
                <w:bCs w:val="0"/>
                <w:sz w:val="20"/>
                <w:szCs w:val="20"/>
              </w:rPr>
              <w:t xml:space="preserve">Increase in student and staff disclosures and reports of </w:t>
            </w:r>
            <w:r w:rsidR="00B7771B" w:rsidRPr="00FD0E2F">
              <w:rPr>
                <w:rFonts w:ascii="Aptos" w:hAnsi="Aptos"/>
                <w:b w:val="0"/>
                <w:bCs w:val="0"/>
                <w:sz w:val="20"/>
                <w:szCs w:val="20"/>
              </w:rPr>
              <w:t>GBV</w:t>
            </w:r>
            <w:r w:rsidRPr="00FD0E2F">
              <w:rPr>
                <w:rFonts w:ascii="Aptos" w:hAnsi="Aptos"/>
                <w:b w:val="0"/>
                <w:bCs w:val="0"/>
                <w:sz w:val="20"/>
                <w:szCs w:val="20"/>
              </w:rPr>
              <w:t>. reflecting improved trust in systems</w:t>
            </w:r>
          </w:p>
          <w:p w14:paraId="26C93A21" w14:textId="48AE41B0" w:rsidR="00CE7C06" w:rsidRPr="00FD0E2F" w:rsidRDefault="00CE7C06" w:rsidP="00236793">
            <w:pPr>
              <w:rPr>
                <w:b w:val="0"/>
                <w:bCs w:val="0"/>
                <w:sz w:val="20"/>
                <w:szCs w:val="20"/>
              </w:rPr>
            </w:pPr>
          </w:p>
        </w:tc>
        <w:tc>
          <w:tcPr>
            <w:tcW w:w="2976" w:type="dxa"/>
          </w:tcPr>
          <w:p w14:paraId="10C7C8DA" w14:textId="35548093" w:rsidR="00CE7C06" w:rsidRPr="00FD0E2F" w:rsidRDefault="00E9594E"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lastRenderedPageBreak/>
              <w:t xml:space="preserve">Standard 6: Providers must report annually on the number and nature of disclosures and formal reports. </w:t>
            </w:r>
            <w:r w:rsidR="001A3CE0" w:rsidRPr="00FD0E2F">
              <w:rPr>
                <w:sz w:val="20"/>
                <w:szCs w:val="20"/>
              </w:rPr>
              <w:t xml:space="preserve">This includes </w:t>
            </w:r>
            <w:r w:rsidR="001A3CE0" w:rsidRPr="00FD0E2F">
              <w:rPr>
                <w:sz w:val="20"/>
                <w:szCs w:val="20"/>
              </w:rPr>
              <w:lastRenderedPageBreak/>
              <w:t>satisfaction with response processes</w:t>
            </w:r>
          </w:p>
        </w:tc>
        <w:tc>
          <w:tcPr>
            <w:tcW w:w="3351" w:type="dxa"/>
          </w:tcPr>
          <w:p w14:paraId="0CA93B37" w14:textId="13509F6E" w:rsidR="00813DA1" w:rsidRPr="00CF28D4" w:rsidRDefault="00813DA1" w:rsidP="00CF28D4">
            <w:pPr>
              <w:pStyle w:val="ListParagraph"/>
              <w:numPr>
                <w:ilvl w:val="0"/>
                <w:numId w:val="209"/>
              </w:numPr>
              <w:cnfStyle w:val="000000100000" w:firstRow="0" w:lastRow="0" w:firstColumn="0" w:lastColumn="0" w:oddVBand="0" w:evenVBand="0" w:oddHBand="1" w:evenHBand="0" w:firstRowFirstColumn="0" w:firstRowLastColumn="0" w:lastRowFirstColumn="0" w:lastRowLastColumn="0"/>
              <w:rPr>
                <w:sz w:val="20"/>
                <w:szCs w:val="20"/>
              </w:rPr>
            </w:pPr>
            <w:r w:rsidRPr="00CF28D4">
              <w:rPr>
                <w:sz w:val="20"/>
                <w:szCs w:val="20"/>
              </w:rPr>
              <w:lastRenderedPageBreak/>
              <w:t>Annual reporting of disclosure and formal report data</w:t>
            </w:r>
            <w:r w:rsidR="00C51E6E" w:rsidRPr="00CF28D4">
              <w:rPr>
                <w:sz w:val="20"/>
                <w:szCs w:val="20"/>
              </w:rPr>
              <w:t>.</w:t>
            </w:r>
          </w:p>
          <w:p w14:paraId="07C02230" w14:textId="78DFB9B7" w:rsidR="00813DA1" w:rsidRPr="00FD0E2F" w:rsidRDefault="00813DA1" w:rsidP="008D4824">
            <w:pPr>
              <w:pStyle w:val="ListParagraph"/>
              <w:numPr>
                <w:ilvl w:val="0"/>
                <w:numId w:val="121"/>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lastRenderedPageBreak/>
              <w:t xml:space="preserve">Data </w:t>
            </w:r>
            <w:r w:rsidR="00C51E6E" w:rsidRPr="00FD0E2F">
              <w:rPr>
                <w:sz w:val="20"/>
                <w:szCs w:val="20"/>
              </w:rPr>
              <w:t>o</w:t>
            </w:r>
            <w:r w:rsidRPr="00FD0E2F">
              <w:rPr>
                <w:sz w:val="20"/>
                <w:szCs w:val="20"/>
              </w:rPr>
              <w:t>n satisfaction of processes</w:t>
            </w:r>
            <w:r w:rsidR="00C51E6E" w:rsidRPr="00FD0E2F">
              <w:rPr>
                <w:sz w:val="20"/>
                <w:szCs w:val="20"/>
              </w:rPr>
              <w:t>.</w:t>
            </w:r>
          </w:p>
          <w:p w14:paraId="5B7103E6" w14:textId="2E216BB8" w:rsidR="00813DA1" w:rsidRPr="00FD0E2F" w:rsidRDefault="00813DA1" w:rsidP="008D4824">
            <w:pPr>
              <w:pStyle w:val="ListParagraph"/>
              <w:numPr>
                <w:ilvl w:val="0"/>
                <w:numId w:val="121"/>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Comparative analysis with external datasets.</w:t>
            </w:r>
          </w:p>
        </w:tc>
      </w:tr>
      <w:tr w:rsidR="00CE7C06" w:rsidRPr="00D82926" w14:paraId="4408A693" w14:textId="77777777" w:rsidTr="00DD4830">
        <w:tc>
          <w:tcPr>
            <w:cnfStyle w:val="001000000000" w:firstRow="0" w:lastRow="0" w:firstColumn="1" w:lastColumn="0" w:oddVBand="0" w:evenVBand="0" w:oddHBand="0" w:evenHBand="0" w:firstRowFirstColumn="0" w:firstRowLastColumn="0" w:lastRowFirstColumn="0" w:lastRowLastColumn="0"/>
            <w:tcW w:w="2689" w:type="dxa"/>
          </w:tcPr>
          <w:p w14:paraId="25B6A050" w14:textId="77777777" w:rsidR="00CE7C06" w:rsidRPr="00FD0E2F" w:rsidRDefault="00CE7C06" w:rsidP="00CE7C06">
            <w:pPr>
              <w:spacing w:line="259" w:lineRule="auto"/>
              <w:rPr>
                <w:rFonts w:ascii="Aptos" w:hAnsi="Aptos"/>
                <w:b w:val="0"/>
                <w:bCs w:val="0"/>
                <w:sz w:val="20"/>
                <w:szCs w:val="20"/>
              </w:rPr>
            </w:pPr>
            <w:r w:rsidRPr="00FD0E2F">
              <w:rPr>
                <w:rFonts w:ascii="Aptos" w:hAnsi="Aptos"/>
                <w:b w:val="0"/>
                <w:bCs w:val="0"/>
                <w:sz w:val="20"/>
                <w:szCs w:val="20"/>
              </w:rPr>
              <w:lastRenderedPageBreak/>
              <w:t>Enhanced satisfaction with support services and complaints processes across students and staff populations</w:t>
            </w:r>
          </w:p>
          <w:p w14:paraId="79A677F7" w14:textId="77777777" w:rsidR="00CE7C06" w:rsidRPr="00FD0E2F" w:rsidRDefault="00CE7C06" w:rsidP="00236793">
            <w:pPr>
              <w:rPr>
                <w:b w:val="0"/>
                <w:bCs w:val="0"/>
                <w:sz w:val="20"/>
                <w:szCs w:val="20"/>
              </w:rPr>
            </w:pPr>
          </w:p>
        </w:tc>
        <w:tc>
          <w:tcPr>
            <w:tcW w:w="2976" w:type="dxa"/>
          </w:tcPr>
          <w:p w14:paraId="6C827802" w14:textId="77777777" w:rsidR="00CE7C06" w:rsidRPr="00FD0E2F" w:rsidRDefault="00075D1C"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Standard 4: providers must monitor and evaluate support services every 3 years. </w:t>
            </w:r>
          </w:p>
          <w:p w14:paraId="02552576" w14:textId="1610F23F" w:rsidR="00075D1C" w:rsidRPr="00FD0E2F" w:rsidRDefault="00075D1C"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Standard 6: Annual reporting must include satisfaction data. </w:t>
            </w:r>
          </w:p>
        </w:tc>
        <w:tc>
          <w:tcPr>
            <w:tcW w:w="3351" w:type="dxa"/>
          </w:tcPr>
          <w:p w14:paraId="6203FDB0" w14:textId="1FB9B7EF" w:rsidR="00813DA1" w:rsidRPr="00FD0E2F" w:rsidRDefault="00813DA1" w:rsidP="008D4824">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Service usage trackin</w:t>
            </w:r>
            <w:r w:rsidR="00C51E6E" w:rsidRPr="00FD0E2F">
              <w:rPr>
                <w:sz w:val="20"/>
                <w:szCs w:val="20"/>
              </w:rPr>
              <w:t xml:space="preserve">g. </w:t>
            </w:r>
          </w:p>
          <w:p w14:paraId="65986513" w14:textId="689F5657" w:rsidR="00813DA1" w:rsidRPr="00FD0E2F" w:rsidRDefault="00813DA1" w:rsidP="008D4824">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Satisfaction with services and feedback</w:t>
            </w:r>
            <w:r w:rsidR="00C51E6E" w:rsidRPr="00FD0E2F">
              <w:rPr>
                <w:sz w:val="20"/>
                <w:szCs w:val="20"/>
              </w:rPr>
              <w:t>.</w:t>
            </w:r>
          </w:p>
          <w:p w14:paraId="178AD48B" w14:textId="4119F2AF" w:rsidR="00813DA1" w:rsidRPr="00FD0E2F" w:rsidRDefault="00813DA1" w:rsidP="008D4824">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3 yearly evaluation reports of support services</w:t>
            </w:r>
            <w:r w:rsidR="00C51E6E" w:rsidRPr="00FD0E2F">
              <w:rPr>
                <w:sz w:val="20"/>
                <w:szCs w:val="20"/>
              </w:rPr>
              <w:t xml:space="preserve">. </w:t>
            </w:r>
          </w:p>
        </w:tc>
      </w:tr>
      <w:tr w:rsidR="00532D4F" w:rsidRPr="00D82926" w14:paraId="14CE9A3B" w14:textId="77777777" w:rsidTr="00DD4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D276F81" w14:textId="77777777" w:rsidR="00CE7C06" w:rsidRPr="00FD0E2F" w:rsidRDefault="00CE7C06" w:rsidP="00CE7C06">
            <w:pPr>
              <w:spacing w:line="259" w:lineRule="auto"/>
              <w:rPr>
                <w:rFonts w:ascii="Aptos" w:hAnsi="Aptos"/>
                <w:b w:val="0"/>
                <w:bCs w:val="0"/>
                <w:sz w:val="20"/>
                <w:szCs w:val="20"/>
              </w:rPr>
            </w:pPr>
            <w:r w:rsidRPr="00FD0E2F">
              <w:rPr>
                <w:rFonts w:ascii="Aptos" w:hAnsi="Aptos"/>
                <w:b w:val="0"/>
                <w:bCs w:val="0"/>
                <w:sz w:val="20"/>
                <w:szCs w:val="20"/>
              </w:rPr>
              <w:t>Reduction in attitudes and behaviours that enable violence</w:t>
            </w:r>
          </w:p>
          <w:p w14:paraId="1AEB2A39" w14:textId="77777777" w:rsidR="00CE7C06" w:rsidRPr="00FD0E2F" w:rsidRDefault="00CE7C06" w:rsidP="00236793">
            <w:pPr>
              <w:rPr>
                <w:b w:val="0"/>
                <w:bCs w:val="0"/>
                <w:sz w:val="20"/>
                <w:szCs w:val="20"/>
              </w:rPr>
            </w:pPr>
          </w:p>
        </w:tc>
        <w:tc>
          <w:tcPr>
            <w:tcW w:w="2976" w:type="dxa"/>
          </w:tcPr>
          <w:p w14:paraId="4ABF97DC" w14:textId="22A5F773" w:rsidR="00CE7C06" w:rsidRPr="00FD0E2F" w:rsidRDefault="00075D1C"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Standard 3: Providers </w:t>
            </w:r>
            <w:r w:rsidR="00EE172B" w:rsidRPr="00FD0E2F">
              <w:rPr>
                <w:sz w:val="20"/>
                <w:szCs w:val="20"/>
              </w:rPr>
              <w:t>must evaluate training and education, including behavioural change indicators.</w:t>
            </w:r>
          </w:p>
        </w:tc>
        <w:tc>
          <w:tcPr>
            <w:tcW w:w="3351" w:type="dxa"/>
          </w:tcPr>
          <w:p w14:paraId="44FAA73B" w14:textId="64DE79CD" w:rsidR="00813DA1" w:rsidRPr="00FD0E2F" w:rsidRDefault="00813DA1" w:rsidP="008D4824">
            <w:pPr>
              <w:pStyle w:val="ListParagraph"/>
              <w:numPr>
                <w:ilvl w:val="0"/>
                <w:numId w:val="123"/>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Pre- and post- participant surveys</w:t>
            </w:r>
            <w:r w:rsidR="00C51E6E" w:rsidRPr="00FD0E2F">
              <w:rPr>
                <w:sz w:val="20"/>
                <w:szCs w:val="20"/>
              </w:rPr>
              <w:t>.</w:t>
            </w:r>
          </w:p>
          <w:p w14:paraId="3331B3E1" w14:textId="5E7F08F0" w:rsidR="00813DA1" w:rsidRPr="00FD0E2F" w:rsidRDefault="00813DA1" w:rsidP="008D4824">
            <w:pPr>
              <w:pStyle w:val="ListParagraph"/>
              <w:numPr>
                <w:ilvl w:val="0"/>
                <w:numId w:val="123"/>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Evaluation of prevention initiatives and campaigns</w:t>
            </w:r>
            <w:r w:rsidR="00C51E6E" w:rsidRPr="00FD0E2F">
              <w:rPr>
                <w:sz w:val="20"/>
                <w:szCs w:val="20"/>
              </w:rPr>
              <w:t>.</w:t>
            </w:r>
          </w:p>
        </w:tc>
      </w:tr>
      <w:tr w:rsidR="00CE7C06" w:rsidRPr="00D82926" w14:paraId="0AB4EDA6" w14:textId="77777777" w:rsidTr="00DD4830">
        <w:tc>
          <w:tcPr>
            <w:cnfStyle w:val="001000000000" w:firstRow="0" w:lastRow="0" w:firstColumn="1" w:lastColumn="0" w:oddVBand="0" w:evenVBand="0" w:oddHBand="0" w:evenHBand="0" w:firstRowFirstColumn="0" w:firstRowLastColumn="0" w:lastRowFirstColumn="0" w:lastRowLastColumn="0"/>
            <w:tcW w:w="2689" w:type="dxa"/>
          </w:tcPr>
          <w:p w14:paraId="54FF7497" w14:textId="4B42B377" w:rsidR="00CE7C06" w:rsidRPr="00FD0E2F" w:rsidRDefault="00CE7C06" w:rsidP="00236793">
            <w:pPr>
              <w:rPr>
                <w:b w:val="0"/>
                <w:bCs w:val="0"/>
                <w:sz w:val="20"/>
                <w:szCs w:val="20"/>
              </w:rPr>
            </w:pPr>
            <w:r w:rsidRPr="00FD0E2F">
              <w:rPr>
                <w:rFonts w:ascii="Aptos" w:hAnsi="Aptos"/>
                <w:b w:val="0"/>
                <w:bCs w:val="0"/>
                <w:sz w:val="20"/>
                <w:szCs w:val="20"/>
              </w:rPr>
              <w:t>Comparable data datasets across institutions and jurisdictions</w:t>
            </w:r>
          </w:p>
        </w:tc>
        <w:tc>
          <w:tcPr>
            <w:tcW w:w="2976" w:type="dxa"/>
          </w:tcPr>
          <w:p w14:paraId="6728B6AB" w14:textId="33E1120F" w:rsidR="00CE7C06" w:rsidRPr="00FD0E2F" w:rsidRDefault="00EE172B"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Standard 6: Providers must submit de-identified annual data</w:t>
            </w:r>
            <w:r w:rsidR="00C51E6E" w:rsidRPr="00FD0E2F">
              <w:rPr>
                <w:sz w:val="20"/>
                <w:szCs w:val="20"/>
              </w:rPr>
              <w:t>.</w:t>
            </w:r>
          </w:p>
        </w:tc>
        <w:tc>
          <w:tcPr>
            <w:tcW w:w="3351" w:type="dxa"/>
          </w:tcPr>
          <w:p w14:paraId="33E58310" w14:textId="2E5245C8" w:rsidR="00813DA1" w:rsidRPr="00FD0E2F" w:rsidRDefault="00813DA1" w:rsidP="008D4824">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Sector-wide benchmarking</w:t>
            </w:r>
            <w:r w:rsidR="00C51E6E" w:rsidRPr="00FD0E2F">
              <w:rPr>
                <w:sz w:val="20"/>
                <w:szCs w:val="20"/>
              </w:rPr>
              <w:t>.</w:t>
            </w:r>
          </w:p>
          <w:p w14:paraId="1FF4BAF4" w14:textId="78F3EC95" w:rsidR="00813DA1" w:rsidRPr="00FD0E2F" w:rsidRDefault="00813DA1" w:rsidP="008D4824">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Review and analysis of data collection methods. </w:t>
            </w:r>
          </w:p>
        </w:tc>
      </w:tr>
      <w:tr w:rsidR="00532D4F" w:rsidRPr="00D82926" w14:paraId="6425590E" w14:textId="77777777" w:rsidTr="00DD4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0DA5F6" w14:textId="324852DF" w:rsidR="00CE7C06" w:rsidRPr="00FD0E2F" w:rsidRDefault="00CE7C06" w:rsidP="00717338">
            <w:pPr>
              <w:spacing w:line="259" w:lineRule="auto"/>
              <w:rPr>
                <w:rFonts w:ascii="Aptos" w:hAnsi="Aptos"/>
                <w:b w:val="0"/>
                <w:bCs w:val="0"/>
                <w:sz w:val="20"/>
                <w:szCs w:val="20"/>
              </w:rPr>
            </w:pPr>
            <w:r w:rsidRPr="00FD0E2F">
              <w:rPr>
                <w:rFonts w:ascii="Aptos" w:hAnsi="Aptos"/>
                <w:b w:val="0"/>
                <w:bCs w:val="0"/>
                <w:sz w:val="20"/>
                <w:szCs w:val="20"/>
              </w:rPr>
              <w:t>Increase in providers embedding a whole-of-organisation approach to prevention and response, led by leadership</w:t>
            </w:r>
          </w:p>
        </w:tc>
        <w:tc>
          <w:tcPr>
            <w:tcW w:w="2976" w:type="dxa"/>
          </w:tcPr>
          <w:p w14:paraId="58A4B218" w14:textId="01A5F174" w:rsidR="00CE7C06" w:rsidRPr="00FD0E2F" w:rsidRDefault="00EE172B"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Standard 1: Providers must implement and submit a whole-of-organisation prevention and response plan, that must be endorsed by the governing body and updated every 4 </w:t>
            </w:r>
            <w:r w:rsidR="002059AE" w:rsidRPr="00FD0E2F">
              <w:rPr>
                <w:sz w:val="20"/>
                <w:szCs w:val="20"/>
              </w:rPr>
              <w:t>years and</w:t>
            </w:r>
            <w:r w:rsidRPr="00FD0E2F">
              <w:rPr>
                <w:sz w:val="20"/>
                <w:szCs w:val="20"/>
              </w:rPr>
              <w:t xml:space="preserve"> reported on every 2 years on progress. </w:t>
            </w:r>
          </w:p>
        </w:tc>
        <w:tc>
          <w:tcPr>
            <w:tcW w:w="3351" w:type="dxa"/>
          </w:tcPr>
          <w:p w14:paraId="69F41AE8" w14:textId="7555970C" w:rsidR="00813DA1" w:rsidRPr="00FD0E2F" w:rsidRDefault="00813DA1" w:rsidP="008D4824">
            <w:pPr>
              <w:pStyle w:val="ListParagraph"/>
              <w:numPr>
                <w:ilvl w:val="0"/>
                <w:numId w:val="125"/>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Review of Prevention and Response Plans</w:t>
            </w:r>
            <w:r w:rsidR="00C51E6E" w:rsidRPr="00FD0E2F">
              <w:rPr>
                <w:sz w:val="20"/>
                <w:szCs w:val="20"/>
              </w:rPr>
              <w:t>.</w:t>
            </w:r>
          </w:p>
          <w:p w14:paraId="7E0A8D7E" w14:textId="5CA7E381" w:rsidR="00046203" w:rsidRPr="00FD0E2F" w:rsidRDefault="00813DA1" w:rsidP="008D4824">
            <w:pPr>
              <w:pStyle w:val="ListParagraph"/>
              <w:numPr>
                <w:ilvl w:val="0"/>
                <w:numId w:val="125"/>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Governance reporting</w:t>
            </w:r>
            <w:r w:rsidR="00C51E6E" w:rsidRPr="00FD0E2F">
              <w:rPr>
                <w:sz w:val="20"/>
                <w:szCs w:val="20"/>
              </w:rPr>
              <w:t>.</w:t>
            </w:r>
          </w:p>
          <w:p w14:paraId="415139DB" w14:textId="4F1159A9" w:rsidR="00046203" w:rsidRPr="00FD0E2F" w:rsidRDefault="00046203" w:rsidP="008D4824">
            <w:pPr>
              <w:pStyle w:val="ListParagraph"/>
              <w:numPr>
                <w:ilvl w:val="0"/>
                <w:numId w:val="125"/>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Stakeholder engagement with students and staff</w:t>
            </w:r>
            <w:r w:rsidR="00C51E6E" w:rsidRPr="00FD0E2F">
              <w:rPr>
                <w:sz w:val="20"/>
                <w:szCs w:val="20"/>
              </w:rPr>
              <w:t xml:space="preserve">. </w:t>
            </w:r>
          </w:p>
        </w:tc>
      </w:tr>
    </w:tbl>
    <w:p w14:paraId="711131E1" w14:textId="28C6A8DE" w:rsidR="00717338" w:rsidRPr="00D82926" w:rsidRDefault="00734AA1" w:rsidP="00AD024D">
      <w:pPr>
        <w:spacing w:before="240" w:line="259" w:lineRule="auto"/>
        <w:rPr>
          <w:rFonts w:ascii="Aptos" w:hAnsi="Aptos"/>
          <w:b/>
          <w:bCs/>
          <w:szCs w:val="22"/>
        </w:rPr>
      </w:pPr>
      <w:r w:rsidRPr="00D82926">
        <w:rPr>
          <w:rFonts w:ascii="Aptos" w:hAnsi="Aptos"/>
          <w:b/>
          <w:bCs/>
          <w:szCs w:val="22"/>
        </w:rPr>
        <w:t xml:space="preserve">Long term </w:t>
      </w:r>
      <w:r w:rsidR="00337AEA" w:rsidRPr="00D82926">
        <w:rPr>
          <w:rFonts w:ascii="Aptos" w:hAnsi="Aptos"/>
          <w:b/>
          <w:bCs/>
          <w:szCs w:val="22"/>
        </w:rPr>
        <w:t>success measures and evaluation</w:t>
      </w:r>
      <w:r w:rsidR="00E26E76">
        <w:rPr>
          <w:rFonts w:ascii="Aptos" w:hAnsi="Aptos"/>
          <w:b/>
          <w:bCs/>
          <w:szCs w:val="22"/>
        </w:rPr>
        <w:t xml:space="preserve"> </w:t>
      </w:r>
      <w:r w:rsidR="008F1F71">
        <w:rPr>
          <w:rFonts w:ascii="Aptos" w:hAnsi="Aptos"/>
          <w:b/>
          <w:bCs/>
          <w:szCs w:val="22"/>
        </w:rPr>
        <w:t>(</w:t>
      </w:r>
      <w:r w:rsidR="00E26E76">
        <w:rPr>
          <w:rFonts w:ascii="Aptos" w:hAnsi="Aptos"/>
          <w:b/>
          <w:bCs/>
          <w:szCs w:val="22"/>
        </w:rPr>
        <w:t>8</w:t>
      </w:r>
      <w:r w:rsidR="008F1F71">
        <w:rPr>
          <w:rFonts w:ascii="Aptos" w:hAnsi="Aptos"/>
          <w:b/>
          <w:bCs/>
          <w:szCs w:val="22"/>
        </w:rPr>
        <w:t>+</w:t>
      </w:r>
      <w:r w:rsidR="002E155B">
        <w:rPr>
          <w:rFonts w:ascii="Aptos" w:hAnsi="Aptos"/>
          <w:b/>
          <w:bCs/>
          <w:szCs w:val="22"/>
        </w:rPr>
        <w:t xml:space="preserve"> years</w:t>
      </w:r>
      <w:r w:rsidR="008F1F71">
        <w:rPr>
          <w:rFonts w:ascii="Aptos" w:hAnsi="Aptos"/>
          <w:b/>
          <w:bCs/>
          <w:szCs w:val="22"/>
        </w:rPr>
        <w:t>)</w:t>
      </w:r>
    </w:p>
    <w:p w14:paraId="200278D8" w14:textId="26514D59" w:rsidR="000F3800" w:rsidRPr="00D82926" w:rsidRDefault="00806881" w:rsidP="00CE7C06">
      <w:pPr>
        <w:spacing w:line="259" w:lineRule="auto"/>
        <w:rPr>
          <w:rFonts w:ascii="Aptos" w:hAnsi="Aptos"/>
          <w:szCs w:val="22"/>
        </w:rPr>
      </w:pPr>
      <w:r w:rsidRPr="00D82926">
        <w:rPr>
          <w:rFonts w:ascii="Aptos" w:hAnsi="Aptos"/>
          <w:szCs w:val="22"/>
        </w:rPr>
        <w:t xml:space="preserve">Long term success measures aim to capture the sustained impact of the </w:t>
      </w:r>
      <w:r w:rsidR="008743F1" w:rsidRPr="00D82926">
        <w:rPr>
          <w:rFonts w:ascii="Aptos" w:hAnsi="Aptos"/>
          <w:szCs w:val="22"/>
        </w:rPr>
        <w:t>National Code</w:t>
      </w:r>
      <w:r w:rsidRPr="00D82926">
        <w:rPr>
          <w:rFonts w:ascii="Aptos" w:hAnsi="Aptos"/>
          <w:szCs w:val="22"/>
        </w:rPr>
        <w:t xml:space="preserve"> and the broader cultural transformation it seeks to drive. In this phase, the focus shifts to quality and encouraging providers to exceed minimum standards to embed best practice, evidence informed approaches. The </w:t>
      </w:r>
      <w:r w:rsidR="00415F58">
        <w:rPr>
          <w:rFonts w:ascii="Aptos" w:hAnsi="Aptos"/>
          <w:szCs w:val="22"/>
        </w:rPr>
        <w:t>branch</w:t>
      </w:r>
      <w:r w:rsidR="00415F58" w:rsidRPr="00D82926">
        <w:rPr>
          <w:rFonts w:ascii="Aptos" w:hAnsi="Aptos"/>
          <w:szCs w:val="22"/>
        </w:rPr>
        <w:t xml:space="preserve"> </w:t>
      </w:r>
      <w:r w:rsidRPr="00D82926">
        <w:rPr>
          <w:rFonts w:ascii="Aptos" w:hAnsi="Aptos"/>
          <w:szCs w:val="22"/>
        </w:rPr>
        <w:t xml:space="preserve">will </w:t>
      </w:r>
      <w:r w:rsidR="000F3800" w:rsidRPr="00D82926">
        <w:rPr>
          <w:rFonts w:ascii="Aptos" w:hAnsi="Aptos"/>
          <w:szCs w:val="22"/>
        </w:rPr>
        <w:t>continuously</w:t>
      </w:r>
      <w:r w:rsidRPr="00D82926">
        <w:rPr>
          <w:rFonts w:ascii="Aptos" w:hAnsi="Aptos"/>
          <w:szCs w:val="22"/>
        </w:rPr>
        <w:t xml:space="preserve"> refine its own </w:t>
      </w:r>
      <w:r w:rsidR="000F3800" w:rsidRPr="00D82926">
        <w:rPr>
          <w:rFonts w:ascii="Aptos" w:hAnsi="Aptos"/>
          <w:szCs w:val="22"/>
        </w:rPr>
        <w:t>outputs</w:t>
      </w:r>
      <w:r w:rsidRPr="00D82926">
        <w:rPr>
          <w:rFonts w:ascii="Aptos" w:hAnsi="Aptos"/>
          <w:szCs w:val="22"/>
        </w:rPr>
        <w:t xml:space="preserve"> </w:t>
      </w:r>
      <w:r w:rsidR="000F3800" w:rsidRPr="00D82926">
        <w:rPr>
          <w:rFonts w:ascii="Aptos" w:hAnsi="Aptos"/>
          <w:szCs w:val="22"/>
        </w:rPr>
        <w:t xml:space="preserve">based on emerging evidence, sector feedback and evaluation findings. Providers will evaluate the impact of their own practices. This is to pursue the </w:t>
      </w:r>
      <w:r w:rsidR="006B780F" w:rsidRPr="00D82926">
        <w:rPr>
          <w:rFonts w:ascii="Aptos" w:hAnsi="Aptos"/>
          <w:szCs w:val="22"/>
        </w:rPr>
        <w:t>goal</w:t>
      </w:r>
      <w:r w:rsidR="000F3800" w:rsidRPr="00D82926">
        <w:rPr>
          <w:rFonts w:ascii="Aptos" w:hAnsi="Aptos"/>
          <w:szCs w:val="22"/>
        </w:rPr>
        <w:t xml:space="preserve"> of this specific government intervention: a measurable and lasting reduction in the prevalence an</w:t>
      </w:r>
      <w:r w:rsidR="006B780F" w:rsidRPr="00D82926">
        <w:rPr>
          <w:rFonts w:ascii="Aptos" w:hAnsi="Aptos"/>
          <w:szCs w:val="22"/>
        </w:rPr>
        <w:t>d</w:t>
      </w:r>
      <w:r w:rsidR="000F3800" w:rsidRPr="00D82926">
        <w:rPr>
          <w:rFonts w:ascii="Aptos" w:hAnsi="Aptos"/>
          <w:szCs w:val="22"/>
        </w:rPr>
        <w:t xml:space="preserve"> harm of </w:t>
      </w:r>
      <w:r w:rsidR="00100DD6" w:rsidRPr="00D82926">
        <w:rPr>
          <w:rFonts w:ascii="Aptos" w:hAnsi="Aptos"/>
          <w:szCs w:val="22"/>
        </w:rPr>
        <w:t>gender-based violence</w:t>
      </w:r>
      <w:r w:rsidR="000F3800" w:rsidRPr="00D82926">
        <w:rPr>
          <w:rFonts w:ascii="Aptos" w:hAnsi="Aptos"/>
          <w:szCs w:val="22"/>
        </w:rPr>
        <w:t xml:space="preserve"> in higher education. </w:t>
      </w:r>
    </w:p>
    <w:p w14:paraId="5C67A9D7" w14:textId="77777777" w:rsidR="008C04F9" w:rsidRDefault="008C04F9" w:rsidP="00CE7C06">
      <w:pPr>
        <w:spacing w:line="259" w:lineRule="auto"/>
        <w:rPr>
          <w:rFonts w:ascii="Aptos" w:hAnsi="Aptos"/>
          <w:szCs w:val="22"/>
        </w:rPr>
      </w:pPr>
    </w:p>
    <w:p w14:paraId="5EE5F8C0" w14:textId="77777777" w:rsidR="008C04F9" w:rsidRPr="00D82926" w:rsidRDefault="008C04F9" w:rsidP="00CE7C06">
      <w:pPr>
        <w:spacing w:line="259" w:lineRule="auto"/>
        <w:rPr>
          <w:rFonts w:ascii="Aptos" w:hAnsi="Aptos"/>
          <w:szCs w:val="22"/>
        </w:rPr>
      </w:pPr>
    </w:p>
    <w:tbl>
      <w:tblPr>
        <w:tblStyle w:val="GridTable4-Accent1"/>
        <w:tblW w:w="0" w:type="auto"/>
        <w:tblLook w:val="04A0" w:firstRow="1" w:lastRow="0" w:firstColumn="1" w:lastColumn="0" w:noHBand="0" w:noVBand="1"/>
      </w:tblPr>
      <w:tblGrid>
        <w:gridCol w:w="2405"/>
        <w:gridCol w:w="3605"/>
        <w:gridCol w:w="3006"/>
      </w:tblGrid>
      <w:tr w:rsidR="00532D4F" w:rsidRPr="00D82926" w14:paraId="080A3DE7" w14:textId="77777777" w:rsidTr="00B60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54E1C9" w14:textId="49D9FAC4" w:rsidR="005F3245" w:rsidRPr="00D82926" w:rsidRDefault="005F3245" w:rsidP="00236793">
            <w:r w:rsidRPr="00D82926">
              <w:t xml:space="preserve">Success measure </w:t>
            </w:r>
          </w:p>
        </w:tc>
        <w:tc>
          <w:tcPr>
            <w:tcW w:w="3605" w:type="dxa"/>
          </w:tcPr>
          <w:p w14:paraId="7866C6CA" w14:textId="0FD3D155" w:rsidR="005F3245" w:rsidRPr="00D82926" w:rsidRDefault="00403F54" w:rsidP="00236793">
            <w:pPr>
              <w:cnfStyle w:val="100000000000" w:firstRow="1" w:lastRow="0" w:firstColumn="0" w:lastColumn="0" w:oddVBand="0" w:evenVBand="0" w:oddHBand="0" w:evenHBand="0" w:firstRowFirstColumn="0" w:firstRowLastColumn="0" w:lastRowFirstColumn="0" w:lastRowLastColumn="0"/>
            </w:pPr>
            <w:r w:rsidRPr="00D82926">
              <w:t xml:space="preserve">The </w:t>
            </w:r>
            <w:r w:rsidR="008743F1" w:rsidRPr="00D82926">
              <w:t>National Code</w:t>
            </w:r>
          </w:p>
        </w:tc>
        <w:tc>
          <w:tcPr>
            <w:tcW w:w="3006" w:type="dxa"/>
          </w:tcPr>
          <w:p w14:paraId="19E52D5E" w14:textId="5D79D720" w:rsidR="005F3245" w:rsidRPr="00D82926" w:rsidRDefault="00403F54" w:rsidP="00236793">
            <w:pPr>
              <w:cnfStyle w:val="100000000000" w:firstRow="1" w:lastRow="0" w:firstColumn="0" w:lastColumn="0" w:oddVBand="0" w:evenVBand="0" w:oddHBand="0" w:evenHBand="0" w:firstRowFirstColumn="0" w:firstRowLastColumn="0" w:lastRowFirstColumn="0" w:lastRowLastColumn="0"/>
            </w:pPr>
            <w:r w:rsidRPr="00D82926">
              <w:t>Evaluation method</w:t>
            </w:r>
          </w:p>
        </w:tc>
      </w:tr>
      <w:tr w:rsidR="00532D4F" w:rsidRPr="00D82926" w14:paraId="553B2DA3" w14:textId="77777777" w:rsidTr="00B60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4CBBD0" w14:textId="2BDF4E20" w:rsidR="005F3245" w:rsidRPr="00FD0E2F" w:rsidRDefault="005F3245" w:rsidP="005F3245">
            <w:pPr>
              <w:spacing w:line="259" w:lineRule="auto"/>
              <w:rPr>
                <w:rFonts w:ascii="Aptos" w:hAnsi="Aptos"/>
                <w:b w:val="0"/>
                <w:bCs w:val="0"/>
                <w:sz w:val="20"/>
                <w:szCs w:val="20"/>
              </w:rPr>
            </w:pPr>
            <w:r w:rsidRPr="00FD0E2F">
              <w:rPr>
                <w:rFonts w:ascii="Aptos" w:hAnsi="Aptos"/>
                <w:b w:val="0"/>
                <w:bCs w:val="0"/>
                <w:sz w:val="20"/>
                <w:szCs w:val="20"/>
              </w:rPr>
              <w:t xml:space="preserve">A sustained and measurable reduction in the prevalence and harm of </w:t>
            </w:r>
            <w:r w:rsidR="00B7771B" w:rsidRPr="00FD0E2F">
              <w:rPr>
                <w:rFonts w:ascii="Aptos" w:hAnsi="Aptos"/>
                <w:b w:val="0"/>
                <w:bCs w:val="0"/>
                <w:sz w:val="20"/>
                <w:szCs w:val="20"/>
              </w:rPr>
              <w:t>GBV</w:t>
            </w:r>
            <w:r w:rsidRPr="00FD0E2F">
              <w:rPr>
                <w:rFonts w:ascii="Aptos" w:hAnsi="Aptos"/>
                <w:b w:val="0"/>
                <w:bCs w:val="0"/>
                <w:sz w:val="20"/>
                <w:szCs w:val="20"/>
              </w:rPr>
              <w:t xml:space="preserve"> in higher education settings</w:t>
            </w:r>
          </w:p>
          <w:p w14:paraId="0BF576BA" w14:textId="4BDB39FF" w:rsidR="005F3245" w:rsidRPr="00FD0E2F" w:rsidRDefault="005F3245" w:rsidP="00236793">
            <w:pPr>
              <w:rPr>
                <w:b w:val="0"/>
                <w:bCs w:val="0"/>
                <w:sz w:val="20"/>
                <w:szCs w:val="20"/>
              </w:rPr>
            </w:pPr>
          </w:p>
        </w:tc>
        <w:tc>
          <w:tcPr>
            <w:tcW w:w="3605" w:type="dxa"/>
          </w:tcPr>
          <w:p w14:paraId="62D86CB3" w14:textId="5BCC3B30" w:rsidR="005F3245" w:rsidRPr="00FD0E2F" w:rsidRDefault="00C125C9"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Standard 6: Providers must report annually on the number and nature of disclosures and formal reports. Data must be disaggregated and include systemic and trend analysis. Providers must use this data to evaluate </w:t>
            </w:r>
            <w:r w:rsidR="00582BCE" w:rsidRPr="00FD0E2F">
              <w:rPr>
                <w:sz w:val="20"/>
                <w:szCs w:val="20"/>
              </w:rPr>
              <w:t>response and inform continuous improvement</w:t>
            </w:r>
            <w:r w:rsidR="000D7AB7">
              <w:rPr>
                <w:sz w:val="20"/>
                <w:szCs w:val="20"/>
              </w:rPr>
              <w:t>.</w:t>
            </w:r>
          </w:p>
        </w:tc>
        <w:tc>
          <w:tcPr>
            <w:tcW w:w="3006" w:type="dxa"/>
          </w:tcPr>
          <w:p w14:paraId="7C70F719" w14:textId="1DED4C02" w:rsidR="002059AE" w:rsidRPr="00FD0E2F" w:rsidRDefault="002059AE" w:rsidP="008D4824">
            <w:pPr>
              <w:pStyle w:val="ListParagraph"/>
              <w:numPr>
                <w:ilvl w:val="0"/>
                <w:numId w:val="126"/>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Analysis of all incident data, including comparative analysis over time.</w:t>
            </w:r>
          </w:p>
          <w:p w14:paraId="24EB7B62" w14:textId="5C98B952" w:rsidR="002059AE" w:rsidRPr="00FD0E2F" w:rsidRDefault="002059AE" w:rsidP="008D4824">
            <w:pPr>
              <w:pStyle w:val="ListParagraph"/>
              <w:numPr>
                <w:ilvl w:val="0"/>
                <w:numId w:val="126"/>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External benchmarking (</w:t>
            </w:r>
            <w:r w:rsidR="00D15A86" w:rsidRPr="00FD0E2F">
              <w:rPr>
                <w:sz w:val="20"/>
                <w:szCs w:val="20"/>
              </w:rPr>
              <w:t>e.g.</w:t>
            </w:r>
            <w:r w:rsidRPr="00FD0E2F">
              <w:rPr>
                <w:sz w:val="20"/>
                <w:szCs w:val="20"/>
              </w:rPr>
              <w:t xml:space="preserve"> NSSS)</w:t>
            </w:r>
            <w:r w:rsidR="00F93F4B" w:rsidRPr="00FD0E2F">
              <w:rPr>
                <w:sz w:val="20"/>
                <w:szCs w:val="20"/>
              </w:rPr>
              <w:t xml:space="preserve">. </w:t>
            </w:r>
          </w:p>
          <w:p w14:paraId="23CEF289" w14:textId="355E9F37" w:rsidR="002059AE" w:rsidRPr="00FD0E2F" w:rsidRDefault="00C51E6E" w:rsidP="008D4824">
            <w:pPr>
              <w:pStyle w:val="ListParagraph"/>
              <w:numPr>
                <w:ilvl w:val="0"/>
                <w:numId w:val="126"/>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T</w:t>
            </w:r>
            <w:r w:rsidR="002059AE" w:rsidRPr="00FD0E2F">
              <w:rPr>
                <w:sz w:val="20"/>
                <w:szCs w:val="20"/>
              </w:rPr>
              <w:t>rend analysis</w:t>
            </w:r>
            <w:r w:rsidR="00F93F4B" w:rsidRPr="00FD0E2F">
              <w:rPr>
                <w:sz w:val="20"/>
                <w:szCs w:val="20"/>
              </w:rPr>
              <w:t>.</w:t>
            </w:r>
          </w:p>
        </w:tc>
      </w:tr>
      <w:tr w:rsidR="005F3245" w:rsidRPr="00D82926" w14:paraId="17584976" w14:textId="77777777" w:rsidTr="00CF28D4">
        <w:trPr>
          <w:trHeight w:val="1620"/>
        </w:trPr>
        <w:tc>
          <w:tcPr>
            <w:cnfStyle w:val="001000000000" w:firstRow="0" w:lastRow="0" w:firstColumn="1" w:lastColumn="0" w:oddVBand="0" w:evenVBand="0" w:oddHBand="0" w:evenHBand="0" w:firstRowFirstColumn="0" w:firstRowLastColumn="0" w:lastRowFirstColumn="0" w:lastRowLastColumn="0"/>
            <w:tcW w:w="0" w:type="dxa"/>
          </w:tcPr>
          <w:p w14:paraId="352181C4" w14:textId="1CF60146" w:rsidR="005F3245" w:rsidRPr="00FD0E2F" w:rsidRDefault="005F3245" w:rsidP="005F3245">
            <w:pPr>
              <w:spacing w:line="259" w:lineRule="auto"/>
              <w:rPr>
                <w:rFonts w:ascii="Aptos" w:hAnsi="Aptos"/>
                <w:b w:val="0"/>
                <w:bCs w:val="0"/>
                <w:sz w:val="20"/>
                <w:szCs w:val="20"/>
              </w:rPr>
            </w:pPr>
            <w:r w:rsidRPr="00FD0E2F">
              <w:rPr>
                <w:rFonts w:ascii="Aptos" w:hAnsi="Aptos"/>
                <w:b w:val="0"/>
                <w:bCs w:val="0"/>
                <w:sz w:val="20"/>
                <w:szCs w:val="20"/>
              </w:rPr>
              <w:t xml:space="preserve">Consistently high institutional responses to </w:t>
            </w:r>
            <w:r w:rsidR="008223FC" w:rsidRPr="00FD0E2F">
              <w:rPr>
                <w:rFonts w:ascii="Aptos" w:hAnsi="Aptos"/>
                <w:b w:val="0"/>
                <w:bCs w:val="0"/>
                <w:sz w:val="20"/>
                <w:szCs w:val="20"/>
              </w:rPr>
              <w:t>GBV</w:t>
            </w:r>
          </w:p>
          <w:p w14:paraId="5A52A513" w14:textId="77777777" w:rsidR="005F3245" w:rsidRPr="00FD0E2F" w:rsidRDefault="005F3245" w:rsidP="00236793">
            <w:pPr>
              <w:rPr>
                <w:b w:val="0"/>
                <w:bCs w:val="0"/>
                <w:sz w:val="20"/>
                <w:szCs w:val="20"/>
              </w:rPr>
            </w:pPr>
          </w:p>
        </w:tc>
        <w:tc>
          <w:tcPr>
            <w:tcW w:w="0" w:type="dxa"/>
          </w:tcPr>
          <w:p w14:paraId="109EBF56" w14:textId="77777777" w:rsidR="005F3245" w:rsidRPr="00FD0E2F" w:rsidRDefault="00582BCE"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Standard </w:t>
            </w:r>
            <w:r w:rsidR="00163933" w:rsidRPr="00FD0E2F">
              <w:rPr>
                <w:sz w:val="20"/>
                <w:szCs w:val="20"/>
              </w:rPr>
              <w:t xml:space="preserve">4: </w:t>
            </w:r>
            <w:r w:rsidR="00BF7B69" w:rsidRPr="00FD0E2F">
              <w:rPr>
                <w:sz w:val="20"/>
                <w:szCs w:val="20"/>
              </w:rPr>
              <w:t xml:space="preserve">Providers must ensure trauma-informed and person-centred responses. </w:t>
            </w:r>
          </w:p>
          <w:p w14:paraId="2F93A218" w14:textId="3003DF5A" w:rsidR="006E5D7C" w:rsidRPr="00FD0E2F" w:rsidRDefault="00BF7B69"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Standard </w:t>
            </w:r>
            <w:r w:rsidR="006E5D7C" w:rsidRPr="00FD0E2F">
              <w:rPr>
                <w:sz w:val="20"/>
                <w:szCs w:val="20"/>
              </w:rPr>
              <w:t>6</w:t>
            </w:r>
            <w:r w:rsidRPr="00FD0E2F">
              <w:rPr>
                <w:sz w:val="20"/>
                <w:szCs w:val="20"/>
              </w:rPr>
              <w:t>: Provide</w:t>
            </w:r>
            <w:r w:rsidR="0020380B" w:rsidRPr="00FD0E2F">
              <w:rPr>
                <w:sz w:val="20"/>
                <w:szCs w:val="20"/>
              </w:rPr>
              <w:t xml:space="preserve">s must report on process outcomes, response times, and satisfaction with processes. </w:t>
            </w:r>
          </w:p>
        </w:tc>
        <w:tc>
          <w:tcPr>
            <w:tcW w:w="0" w:type="dxa"/>
          </w:tcPr>
          <w:p w14:paraId="7AF36801" w14:textId="1441B3E7" w:rsidR="006514C6" w:rsidRPr="00FD0E2F" w:rsidRDefault="006514C6" w:rsidP="008D4824">
            <w:pPr>
              <w:pStyle w:val="ListParagraph"/>
              <w:numPr>
                <w:ilvl w:val="0"/>
                <w:numId w:val="127"/>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Data on satisfaction with </w:t>
            </w:r>
            <w:r w:rsidR="00C47876" w:rsidRPr="00FD0E2F">
              <w:rPr>
                <w:sz w:val="20"/>
                <w:szCs w:val="20"/>
              </w:rPr>
              <w:t>institutional</w:t>
            </w:r>
            <w:r w:rsidRPr="00FD0E2F">
              <w:rPr>
                <w:sz w:val="20"/>
                <w:szCs w:val="20"/>
              </w:rPr>
              <w:t xml:space="preserve"> responses. </w:t>
            </w:r>
          </w:p>
          <w:p w14:paraId="4DBE448A" w14:textId="673C9A75" w:rsidR="00C47876" w:rsidRPr="003B2DFB" w:rsidRDefault="006514C6" w:rsidP="00CF28D4">
            <w:pPr>
              <w:pStyle w:val="ListParagraph"/>
              <w:numPr>
                <w:ilvl w:val="0"/>
                <w:numId w:val="127"/>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Regulatory activities (audits, investigations, reviews</w:t>
            </w:r>
            <w:r w:rsidR="00C47876" w:rsidRPr="00FD0E2F">
              <w:rPr>
                <w:sz w:val="20"/>
                <w:szCs w:val="20"/>
              </w:rPr>
              <w:t>)</w:t>
            </w:r>
            <w:r w:rsidR="00C51E6E" w:rsidRPr="00FD0E2F">
              <w:rPr>
                <w:sz w:val="20"/>
                <w:szCs w:val="20"/>
              </w:rPr>
              <w:t xml:space="preserve">. </w:t>
            </w:r>
          </w:p>
        </w:tc>
      </w:tr>
      <w:tr w:rsidR="00532D4F" w:rsidRPr="00D82926" w14:paraId="2C35E267" w14:textId="77777777" w:rsidTr="00B60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CB7F5E" w14:textId="77777777" w:rsidR="005F3245" w:rsidRPr="00FD0E2F" w:rsidRDefault="005F3245" w:rsidP="005F3245">
            <w:pPr>
              <w:spacing w:line="259" w:lineRule="auto"/>
              <w:rPr>
                <w:rFonts w:ascii="Aptos" w:hAnsi="Aptos"/>
                <w:b w:val="0"/>
                <w:bCs w:val="0"/>
                <w:sz w:val="20"/>
                <w:szCs w:val="20"/>
              </w:rPr>
            </w:pPr>
            <w:r w:rsidRPr="00FD0E2F">
              <w:rPr>
                <w:rFonts w:ascii="Aptos" w:hAnsi="Aptos"/>
                <w:b w:val="0"/>
                <w:bCs w:val="0"/>
                <w:sz w:val="20"/>
                <w:szCs w:val="20"/>
              </w:rPr>
              <w:lastRenderedPageBreak/>
              <w:t xml:space="preserve">Contribute to broader national evidence to end violence against women and children </w:t>
            </w:r>
          </w:p>
          <w:p w14:paraId="3106F9DA" w14:textId="77777777" w:rsidR="005F3245" w:rsidRPr="00FD0E2F" w:rsidRDefault="005F3245" w:rsidP="00236793">
            <w:pPr>
              <w:rPr>
                <w:b w:val="0"/>
                <w:bCs w:val="0"/>
                <w:sz w:val="20"/>
                <w:szCs w:val="20"/>
              </w:rPr>
            </w:pPr>
          </w:p>
        </w:tc>
        <w:tc>
          <w:tcPr>
            <w:tcW w:w="3605" w:type="dxa"/>
          </w:tcPr>
          <w:p w14:paraId="73ABECB2" w14:textId="0E2F6A15" w:rsidR="006E5D7C" w:rsidRPr="00FD0E2F" w:rsidRDefault="006E5D7C" w:rsidP="00236793">
            <w:p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Providers must submit comprehensive annual data on the nature, extent and incidence of </w:t>
            </w:r>
            <w:r w:rsidR="00B7771B" w:rsidRPr="00FD0E2F">
              <w:rPr>
                <w:sz w:val="20"/>
                <w:szCs w:val="20"/>
              </w:rPr>
              <w:t>GBV</w:t>
            </w:r>
            <w:r w:rsidRPr="00FD0E2F">
              <w:rPr>
                <w:sz w:val="20"/>
                <w:szCs w:val="20"/>
              </w:rPr>
              <w:t xml:space="preserve">. </w:t>
            </w:r>
          </w:p>
        </w:tc>
        <w:tc>
          <w:tcPr>
            <w:tcW w:w="3006" w:type="dxa"/>
          </w:tcPr>
          <w:p w14:paraId="31CF4EC0" w14:textId="77777777" w:rsidR="005F3245" w:rsidRPr="00FD0E2F" w:rsidRDefault="006514C6" w:rsidP="008D4824">
            <w:pPr>
              <w:pStyle w:val="ListParagraph"/>
              <w:numPr>
                <w:ilvl w:val="0"/>
                <w:numId w:val="128"/>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Aggregation of de-identified data. </w:t>
            </w:r>
          </w:p>
          <w:p w14:paraId="25A453F7" w14:textId="7D99DAB9" w:rsidR="006514C6" w:rsidRPr="00FD0E2F" w:rsidRDefault="006514C6" w:rsidP="008D4824">
            <w:pPr>
              <w:pStyle w:val="ListParagraph"/>
              <w:numPr>
                <w:ilvl w:val="0"/>
                <w:numId w:val="128"/>
              </w:numPr>
              <w:cnfStyle w:val="000000100000" w:firstRow="0" w:lastRow="0" w:firstColumn="0" w:lastColumn="0" w:oddVBand="0" w:evenVBand="0" w:oddHBand="1" w:evenHBand="0" w:firstRowFirstColumn="0" w:firstRowLastColumn="0" w:lastRowFirstColumn="0" w:lastRowLastColumn="0"/>
              <w:rPr>
                <w:sz w:val="20"/>
                <w:szCs w:val="20"/>
              </w:rPr>
            </w:pPr>
            <w:r w:rsidRPr="00FD0E2F">
              <w:rPr>
                <w:sz w:val="20"/>
                <w:szCs w:val="20"/>
              </w:rPr>
              <w:t xml:space="preserve">Publication of this data, including data analysis. </w:t>
            </w:r>
          </w:p>
        </w:tc>
      </w:tr>
      <w:tr w:rsidR="005F3245" w:rsidRPr="00D82926" w14:paraId="310527A2" w14:textId="77777777" w:rsidTr="00CF28D4">
        <w:trPr>
          <w:trHeight w:val="96"/>
        </w:trPr>
        <w:tc>
          <w:tcPr>
            <w:cnfStyle w:val="001000000000" w:firstRow="0" w:lastRow="0" w:firstColumn="1" w:lastColumn="0" w:oddVBand="0" w:evenVBand="0" w:oddHBand="0" w:evenHBand="0" w:firstRowFirstColumn="0" w:firstRowLastColumn="0" w:lastRowFirstColumn="0" w:lastRowLastColumn="0"/>
            <w:tcW w:w="0" w:type="dxa"/>
          </w:tcPr>
          <w:p w14:paraId="78DFEC8D" w14:textId="77777777" w:rsidR="005F3245" w:rsidRPr="00FD0E2F" w:rsidRDefault="005F3245" w:rsidP="005F3245">
            <w:pPr>
              <w:spacing w:line="259" w:lineRule="auto"/>
              <w:rPr>
                <w:rFonts w:ascii="Calibri" w:hAnsi="Calibri" w:cs="Calibri"/>
                <w:b w:val="0"/>
                <w:bCs w:val="0"/>
                <w:sz w:val="20"/>
                <w:szCs w:val="20"/>
              </w:rPr>
            </w:pPr>
            <w:r w:rsidRPr="00FD0E2F">
              <w:rPr>
                <w:rFonts w:ascii="Aptos" w:hAnsi="Aptos"/>
                <w:b w:val="0"/>
                <w:bCs w:val="0"/>
                <w:sz w:val="20"/>
                <w:szCs w:val="20"/>
              </w:rPr>
              <w:t>Development of evidence-based prevention and response approaches informed by data</w:t>
            </w:r>
          </w:p>
          <w:p w14:paraId="2A3B61AF" w14:textId="77777777" w:rsidR="005F3245" w:rsidRPr="00FD0E2F" w:rsidRDefault="005F3245" w:rsidP="00236793">
            <w:pPr>
              <w:rPr>
                <w:b w:val="0"/>
                <w:bCs w:val="0"/>
                <w:sz w:val="20"/>
                <w:szCs w:val="20"/>
              </w:rPr>
            </w:pPr>
          </w:p>
        </w:tc>
        <w:tc>
          <w:tcPr>
            <w:tcW w:w="0" w:type="dxa"/>
          </w:tcPr>
          <w:p w14:paraId="34D015D6" w14:textId="77777777" w:rsidR="005F3245" w:rsidRPr="00FD0E2F" w:rsidRDefault="006E5D7C"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Providers must use data and evidence to inform their prevention and response plans. </w:t>
            </w:r>
          </w:p>
          <w:p w14:paraId="6457C6EF" w14:textId="0DC019D7" w:rsidR="006E5D7C" w:rsidRPr="00FD0E2F" w:rsidRDefault="00816879"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Prevention education and training must be evidence-informed and aligned with current best </w:t>
            </w:r>
            <w:r w:rsidR="00181386" w:rsidRPr="00FD0E2F">
              <w:rPr>
                <w:sz w:val="20"/>
                <w:szCs w:val="20"/>
              </w:rPr>
              <w:t>practice and evaluated.</w:t>
            </w:r>
          </w:p>
          <w:p w14:paraId="6BC79444" w14:textId="6B955700" w:rsidR="0044623A" w:rsidRPr="00FD0E2F" w:rsidRDefault="0044623A"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Response</w:t>
            </w:r>
            <w:r w:rsidR="007B4BD9" w:rsidRPr="00FD0E2F">
              <w:rPr>
                <w:sz w:val="20"/>
                <w:szCs w:val="20"/>
              </w:rPr>
              <w:t>s, practices, and support services must be consistent with best practice</w:t>
            </w:r>
            <w:r w:rsidR="00181386" w:rsidRPr="00FD0E2F">
              <w:rPr>
                <w:sz w:val="20"/>
                <w:szCs w:val="20"/>
              </w:rPr>
              <w:t xml:space="preserve">, and evaluated. </w:t>
            </w:r>
          </w:p>
          <w:p w14:paraId="431F4F5D" w14:textId="1DBB2195" w:rsidR="006E5D7C" w:rsidRPr="00FD0E2F" w:rsidRDefault="00181386" w:rsidP="00236793">
            <w:p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Evaluation findings must guide future planning and practice. </w:t>
            </w:r>
          </w:p>
        </w:tc>
        <w:tc>
          <w:tcPr>
            <w:tcW w:w="0" w:type="dxa"/>
          </w:tcPr>
          <w:p w14:paraId="46FB426D" w14:textId="6F77180D" w:rsidR="006514C6" w:rsidRPr="00FD0E2F" w:rsidRDefault="006514C6" w:rsidP="008D4824">
            <w:pPr>
              <w:pStyle w:val="ListParagraph"/>
              <w:numPr>
                <w:ilvl w:val="0"/>
                <w:numId w:val="129"/>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Evaluation of training and prevention initiatives, including effectiveness. </w:t>
            </w:r>
          </w:p>
          <w:p w14:paraId="61EC3634" w14:textId="603B6E01" w:rsidR="006514C6" w:rsidRPr="00FD0E2F" w:rsidRDefault="006514C6" w:rsidP="008D4824">
            <w:pPr>
              <w:pStyle w:val="ListParagraph"/>
              <w:numPr>
                <w:ilvl w:val="0"/>
                <w:numId w:val="129"/>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 xml:space="preserve">Feedback loops with students and </w:t>
            </w:r>
            <w:r w:rsidR="00C72B84" w:rsidRPr="00FD0E2F">
              <w:rPr>
                <w:sz w:val="20"/>
                <w:szCs w:val="20"/>
              </w:rPr>
              <w:t>s</w:t>
            </w:r>
            <w:r w:rsidRPr="00FD0E2F">
              <w:rPr>
                <w:sz w:val="20"/>
                <w:szCs w:val="20"/>
              </w:rPr>
              <w:t>taff</w:t>
            </w:r>
            <w:r w:rsidR="00F93F4B" w:rsidRPr="00FD0E2F">
              <w:rPr>
                <w:sz w:val="20"/>
                <w:szCs w:val="20"/>
              </w:rPr>
              <w:t>.</w:t>
            </w:r>
          </w:p>
          <w:p w14:paraId="620B22DB" w14:textId="73E88BA6" w:rsidR="006514C6" w:rsidRPr="00FD0E2F" w:rsidRDefault="006514C6" w:rsidP="008D4824">
            <w:pPr>
              <w:pStyle w:val="ListParagraph"/>
              <w:numPr>
                <w:ilvl w:val="0"/>
                <w:numId w:val="129"/>
              </w:numPr>
              <w:cnfStyle w:val="000000000000" w:firstRow="0" w:lastRow="0" w:firstColumn="0" w:lastColumn="0" w:oddVBand="0" w:evenVBand="0" w:oddHBand="0" w:evenHBand="0" w:firstRowFirstColumn="0" w:firstRowLastColumn="0" w:lastRowFirstColumn="0" w:lastRowLastColumn="0"/>
              <w:rPr>
                <w:sz w:val="20"/>
                <w:szCs w:val="20"/>
              </w:rPr>
            </w:pPr>
            <w:r w:rsidRPr="00FD0E2F">
              <w:rPr>
                <w:sz w:val="20"/>
                <w:szCs w:val="20"/>
              </w:rPr>
              <w:t>Document and Evidence review of Prevention and Response Pla</w:t>
            </w:r>
            <w:r w:rsidR="00C51E6E" w:rsidRPr="00FD0E2F">
              <w:rPr>
                <w:sz w:val="20"/>
                <w:szCs w:val="20"/>
              </w:rPr>
              <w:t>n.</w:t>
            </w:r>
          </w:p>
          <w:p w14:paraId="57CF5378" w14:textId="77777777" w:rsidR="006514C6" w:rsidRPr="00FD0E2F" w:rsidRDefault="006514C6" w:rsidP="00236793">
            <w:pPr>
              <w:cnfStyle w:val="000000000000" w:firstRow="0" w:lastRow="0" w:firstColumn="0" w:lastColumn="0" w:oddVBand="0" w:evenVBand="0" w:oddHBand="0" w:evenHBand="0" w:firstRowFirstColumn="0" w:firstRowLastColumn="0" w:lastRowFirstColumn="0" w:lastRowLastColumn="0"/>
              <w:rPr>
                <w:sz w:val="20"/>
                <w:szCs w:val="20"/>
              </w:rPr>
            </w:pPr>
          </w:p>
          <w:p w14:paraId="233485FE" w14:textId="77777777" w:rsidR="006514C6" w:rsidRPr="00FD0E2F" w:rsidRDefault="006514C6" w:rsidP="00236793">
            <w:pPr>
              <w:cnfStyle w:val="000000000000" w:firstRow="0" w:lastRow="0" w:firstColumn="0" w:lastColumn="0" w:oddVBand="0" w:evenVBand="0" w:oddHBand="0" w:evenHBand="0" w:firstRowFirstColumn="0" w:firstRowLastColumn="0" w:lastRowFirstColumn="0" w:lastRowLastColumn="0"/>
              <w:rPr>
                <w:sz w:val="20"/>
                <w:szCs w:val="20"/>
              </w:rPr>
            </w:pPr>
          </w:p>
        </w:tc>
      </w:tr>
    </w:tbl>
    <w:p w14:paraId="56C7CF49" w14:textId="77777777" w:rsidR="00CE7C06" w:rsidRPr="00D82926" w:rsidRDefault="00CE7C06" w:rsidP="00236793">
      <w:pPr>
        <w:rPr>
          <w:szCs w:val="22"/>
        </w:rPr>
      </w:pPr>
    </w:p>
    <w:p w14:paraId="405D284D" w14:textId="77777777" w:rsidR="00683610" w:rsidRDefault="00624B60" w:rsidP="001A275E">
      <w:pPr>
        <w:pStyle w:val="Heading2"/>
        <w:rPr>
          <w:szCs w:val="22"/>
        </w:rPr>
      </w:pPr>
      <w:bookmarkStart w:id="291" w:name="_Toc210050263"/>
      <w:r>
        <w:rPr>
          <w:szCs w:val="22"/>
        </w:rPr>
        <w:t>Use of evaluation evidence to inform decision making</w:t>
      </w:r>
      <w:bookmarkEnd w:id="291"/>
      <w:r>
        <w:rPr>
          <w:szCs w:val="22"/>
        </w:rPr>
        <w:t xml:space="preserve"> </w:t>
      </w:r>
    </w:p>
    <w:p w14:paraId="063F097C" w14:textId="2EEAD546" w:rsidR="00683610" w:rsidRDefault="00683610" w:rsidP="00683610">
      <w:r>
        <w:t>Evaluation evidence collected under the National Code and this evaluation framework will be central to shaping regulatory strategy, guiding continuous improvement, and informing decision-making. The specialist GBV Reform Branch will analyse data submitted by</w:t>
      </w:r>
      <w:r w:rsidR="009016B2">
        <w:t xml:space="preserve"> HEPs</w:t>
      </w:r>
      <w:r>
        <w:t xml:space="preserve"> to identify trends, gaps, and systemic risks. This evidence will be used to refine regulatory activities, update implementation support materials, and inform future iterations of </w:t>
      </w:r>
      <w:r w:rsidR="00A74E5B">
        <w:t>the National</w:t>
      </w:r>
      <w:r w:rsidR="009016B2">
        <w:t xml:space="preserve"> </w:t>
      </w:r>
      <w:r>
        <w:t>Code and its supporting frameworks.</w:t>
      </w:r>
    </w:p>
    <w:p w14:paraId="411AAD52" w14:textId="78C54B44" w:rsidR="00683610" w:rsidRDefault="00683610" w:rsidP="00683610">
      <w:r>
        <w:t>Key decision points following implementation include:</w:t>
      </w:r>
    </w:p>
    <w:p w14:paraId="5AF98CCE" w14:textId="2A3824FD" w:rsidR="00683610" w:rsidRDefault="00683610" w:rsidP="00683610">
      <w:pPr>
        <w:pStyle w:val="ListParagraph"/>
        <w:numPr>
          <w:ilvl w:val="0"/>
          <w:numId w:val="224"/>
        </w:numPr>
      </w:pPr>
      <w:r>
        <w:t xml:space="preserve">Initial Reporting (2026–2027): Providers will submit their first Prevention and Response Plans and baseline data, which will be used to assess sector readiness, identify priority areas for support, and inform the development of tailored engagement strategies. </w:t>
      </w:r>
    </w:p>
    <w:p w14:paraId="0EC7D952" w14:textId="40A77B18" w:rsidR="0091107E" w:rsidRDefault="00683610" w:rsidP="00683610">
      <w:pPr>
        <w:pStyle w:val="ListParagraph"/>
        <w:numPr>
          <w:ilvl w:val="0"/>
          <w:numId w:val="224"/>
        </w:numPr>
      </w:pPr>
      <w:r>
        <w:t>Annual Data Reporting (from June 202</w:t>
      </w:r>
      <w:r w:rsidR="00725B36">
        <w:t>7</w:t>
      </w:r>
      <w:r>
        <w:t>): Aggregated data will inform compliance monitoring, sector benchmarking, and targeted outreach to providers. It will also support the publication of sector-wide performance reports and transparency measures.</w:t>
      </w:r>
    </w:p>
    <w:p w14:paraId="46EBD5ED" w14:textId="11AAB715" w:rsidR="0091107E" w:rsidRDefault="0091107E" w:rsidP="00683610">
      <w:pPr>
        <w:pStyle w:val="ListParagraph"/>
        <w:numPr>
          <w:ilvl w:val="0"/>
          <w:numId w:val="224"/>
        </w:numPr>
      </w:pPr>
      <w:r>
        <w:t>Annual reporting to Parliament (from 2026): the GBV Reform branch will</w:t>
      </w:r>
      <w:r w:rsidR="0025463F">
        <w:t xml:space="preserve"> complete </w:t>
      </w:r>
      <w:r w:rsidR="00D31C97">
        <w:t xml:space="preserve">annual </w:t>
      </w:r>
      <w:r w:rsidR="0025463F">
        <w:t>performance reports</w:t>
      </w:r>
      <w:r w:rsidR="00D31C97">
        <w:t>, informed by evaluation</w:t>
      </w:r>
      <w:r w:rsidR="0075443A">
        <w:t xml:space="preserve">. These </w:t>
      </w:r>
      <w:r w:rsidR="00D31C97">
        <w:t>will be</w:t>
      </w:r>
      <w:r w:rsidR="0025463F">
        <w:t xml:space="preserve"> tabled in both houses of </w:t>
      </w:r>
      <w:r w:rsidR="00D31C97">
        <w:t xml:space="preserve">parliament annually to ensure transparency, accountability and public oversight of the implementation and impact of the National Code. </w:t>
      </w:r>
    </w:p>
    <w:p w14:paraId="23E8E73F" w14:textId="0899AE9D" w:rsidR="0091107E" w:rsidRDefault="00683610" w:rsidP="00683610">
      <w:pPr>
        <w:pStyle w:val="ListParagraph"/>
        <w:numPr>
          <w:ilvl w:val="0"/>
          <w:numId w:val="224"/>
        </w:numPr>
      </w:pPr>
      <w:r>
        <w:t>Progress Reports (from 2028): Providers will report on their outcomes frameworks, enabling the department to assess institutional maturity, track progress against objectives, and identify emerging patterns of success or concern.</w:t>
      </w:r>
    </w:p>
    <w:p w14:paraId="3C9DA9A7" w14:textId="77777777" w:rsidR="00683610" w:rsidRDefault="00683610" w:rsidP="002940B3">
      <w:pPr>
        <w:pStyle w:val="ListParagraph"/>
        <w:numPr>
          <w:ilvl w:val="0"/>
          <w:numId w:val="224"/>
        </w:numPr>
      </w:pPr>
      <w:r>
        <w:t>Ongoing Regulatory Reviews: Evaluation findings will guide enforcement priorities, risk assessments, and the development of thematic reviews or sector-wide audits.</w:t>
      </w:r>
    </w:p>
    <w:p w14:paraId="0F95142F" w14:textId="59814E30" w:rsidR="00E84BB9" w:rsidRDefault="00683610" w:rsidP="00683610">
      <w:r>
        <w:t>Importantly, evaluation evidence will also inform the regulatory operating strategy of the GBV Reform Branch, ensuring that compliance activities are proportionate, risk-based, and responsive to sector needs. This includes shaping the branch’s engagement approach</w:t>
      </w:r>
      <w:r w:rsidR="00C149DB">
        <w:t xml:space="preserve">, </w:t>
      </w:r>
      <w:r>
        <w:t xml:space="preserve">such </w:t>
      </w:r>
      <w:r>
        <w:lastRenderedPageBreak/>
        <w:t>as site visits, forums, and tailored support</w:t>
      </w:r>
      <w:r w:rsidR="00C149DB">
        <w:t xml:space="preserve">, </w:t>
      </w:r>
      <w:r>
        <w:t>based on provider performance, feedback, and maturity.</w:t>
      </w:r>
    </w:p>
    <w:p w14:paraId="677BD3F4" w14:textId="50C5B532" w:rsidR="00683610" w:rsidRPr="00683610" w:rsidRDefault="00683610" w:rsidP="002940B3">
      <w:r>
        <w:t xml:space="preserve"> </w:t>
      </w:r>
      <w:r w:rsidR="00E84BB9">
        <w:t xml:space="preserve">This will </w:t>
      </w:r>
      <w:r>
        <w:t>ensure that the National Code remains dynamic, evidence-informed, and capable of driving sustained cultural and systemic change.</w:t>
      </w:r>
    </w:p>
    <w:p w14:paraId="201731B3" w14:textId="72E3E83D" w:rsidR="00994CD5" w:rsidRPr="00D82926" w:rsidRDefault="00994CD5" w:rsidP="002940B3">
      <w:pPr>
        <w:pStyle w:val="BodyText"/>
      </w:pPr>
      <w:r w:rsidRPr="00D82926">
        <w:br w:type="page"/>
      </w:r>
    </w:p>
    <w:p w14:paraId="1D3C58E2" w14:textId="419EAA43" w:rsidR="003741EF" w:rsidRPr="00ED2A6C" w:rsidRDefault="003741EF" w:rsidP="003741EF">
      <w:pPr>
        <w:pStyle w:val="Heading1"/>
        <w:spacing w:before="400" w:after="40" w:line="240" w:lineRule="auto"/>
      </w:pPr>
      <w:bookmarkStart w:id="292" w:name="_Toc199437760"/>
      <w:bookmarkStart w:id="293" w:name="_Toc199511492"/>
      <w:bookmarkStart w:id="294" w:name="_Toc204699920"/>
      <w:bookmarkStart w:id="295" w:name="_Toc210050264"/>
      <w:r w:rsidRPr="00ED2A6C">
        <w:lastRenderedPageBreak/>
        <w:t xml:space="preserve">Glossary, </w:t>
      </w:r>
      <w:r w:rsidR="000D5E3D" w:rsidRPr="00ED2A6C">
        <w:t>acronyms,</w:t>
      </w:r>
      <w:r w:rsidRPr="00ED2A6C">
        <w:t xml:space="preserve"> and abbreviations</w:t>
      </w:r>
      <w:bookmarkEnd w:id="292"/>
      <w:bookmarkEnd w:id="293"/>
      <w:bookmarkEnd w:id="294"/>
      <w:bookmarkEnd w:id="295"/>
    </w:p>
    <w:tbl>
      <w:tblPr>
        <w:tblStyle w:val="GridTable4-Accent1"/>
        <w:tblW w:w="0" w:type="auto"/>
        <w:tblLook w:val="04A0" w:firstRow="1" w:lastRow="0" w:firstColumn="1" w:lastColumn="0" w:noHBand="0" w:noVBand="1"/>
      </w:tblPr>
      <w:tblGrid>
        <w:gridCol w:w="1838"/>
        <w:gridCol w:w="7178"/>
      </w:tblGrid>
      <w:tr w:rsidR="008B3677" w:rsidRPr="00ED2A6C" w14:paraId="145AE369" w14:textId="77777777" w:rsidTr="00663F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0121DEBD" w14:textId="36273B1D" w:rsidR="008B3677" w:rsidRPr="00337AEA" w:rsidRDefault="00663F2A">
            <w:pPr>
              <w:spacing w:line="259" w:lineRule="auto"/>
              <w:rPr>
                <w:rFonts w:ascii="Aptos" w:hAnsi="Aptos" w:cs="Calibri"/>
                <w:sz w:val="18"/>
                <w:szCs w:val="18"/>
              </w:rPr>
            </w:pPr>
            <w:r>
              <w:rPr>
                <w:rFonts w:ascii="Aptos" w:hAnsi="Aptos" w:cs="Calibri"/>
                <w:sz w:val="18"/>
                <w:szCs w:val="18"/>
              </w:rPr>
              <w:t>Term</w:t>
            </w:r>
          </w:p>
        </w:tc>
        <w:tc>
          <w:tcPr>
            <w:tcW w:w="7178" w:type="dxa"/>
          </w:tcPr>
          <w:p w14:paraId="0B6A9ECD" w14:textId="740A67C2" w:rsidR="008B3677" w:rsidRPr="003741EF" w:rsidRDefault="00663F2A">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cs="Calibri"/>
                <w:sz w:val="18"/>
                <w:szCs w:val="18"/>
              </w:rPr>
            </w:pPr>
            <w:r>
              <w:rPr>
                <w:rFonts w:ascii="Aptos" w:hAnsi="Aptos" w:cs="Calibri"/>
                <w:sz w:val="18"/>
                <w:szCs w:val="18"/>
              </w:rPr>
              <w:t>Definition</w:t>
            </w:r>
          </w:p>
        </w:tc>
      </w:tr>
      <w:tr w:rsidR="00C410B8" w:rsidRPr="00ED2A6C" w14:paraId="2DCBAB08"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2A878E" w14:textId="7EA9CB77" w:rsidR="003741EF" w:rsidRPr="00337AEA" w:rsidRDefault="003741EF">
            <w:pPr>
              <w:spacing w:line="259" w:lineRule="auto"/>
              <w:rPr>
                <w:rFonts w:ascii="Aptos" w:hAnsi="Aptos" w:cs="Calibri"/>
                <w:b w:val="0"/>
                <w:bCs w:val="0"/>
                <w:sz w:val="18"/>
                <w:szCs w:val="18"/>
              </w:rPr>
            </w:pPr>
            <w:r w:rsidRPr="00337AEA">
              <w:rPr>
                <w:rFonts w:ascii="Aptos" w:hAnsi="Aptos" w:cs="Calibri"/>
                <w:sz w:val="18"/>
                <w:szCs w:val="18"/>
              </w:rPr>
              <w:t>Action Plan</w:t>
            </w:r>
          </w:p>
        </w:tc>
        <w:tc>
          <w:tcPr>
            <w:tcW w:w="7178" w:type="dxa"/>
          </w:tcPr>
          <w:p w14:paraId="0D9F27EF" w14:textId="030F3D4C"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sz w:val="18"/>
                <w:szCs w:val="18"/>
              </w:rPr>
              <w:t xml:space="preserve">Action Plan Addressing </w:t>
            </w:r>
            <w:r w:rsidR="00B7771B">
              <w:rPr>
                <w:rFonts w:ascii="Aptos" w:hAnsi="Aptos" w:cs="Calibri"/>
                <w:sz w:val="18"/>
                <w:szCs w:val="18"/>
              </w:rPr>
              <w:t>GBV</w:t>
            </w:r>
            <w:r w:rsidRPr="003741EF">
              <w:rPr>
                <w:rFonts w:ascii="Aptos" w:hAnsi="Aptos" w:cs="Calibri"/>
                <w:sz w:val="18"/>
                <w:szCs w:val="18"/>
              </w:rPr>
              <w:t xml:space="preserve"> in Higher Education (2024)</w:t>
            </w:r>
          </w:p>
        </w:tc>
      </w:tr>
      <w:tr w:rsidR="00C410B8" w:rsidRPr="00ED2A6C" w14:paraId="3894F48C"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796D1603"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AHRC</w:t>
            </w:r>
          </w:p>
        </w:tc>
        <w:tc>
          <w:tcPr>
            <w:tcW w:w="7178" w:type="dxa"/>
          </w:tcPr>
          <w:p w14:paraId="68F27590"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sz w:val="18"/>
                <w:szCs w:val="18"/>
              </w:rPr>
              <w:t>Australian Human Rights Commission</w:t>
            </w:r>
          </w:p>
        </w:tc>
      </w:tr>
      <w:tr w:rsidR="003741EF" w:rsidRPr="00ED2A6C" w14:paraId="2A87EDF6"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5767387"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Base Case</w:t>
            </w:r>
          </w:p>
        </w:tc>
        <w:tc>
          <w:tcPr>
            <w:tcW w:w="7178" w:type="dxa"/>
          </w:tcPr>
          <w:p w14:paraId="6C3AE59F" w14:textId="204D5FE2" w:rsidR="003741EF" w:rsidRPr="003741EF" w:rsidRDefault="009366E9">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Pr>
                <w:rFonts w:ascii="Aptos" w:hAnsi="Aptos" w:cs="Calibri"/>
                <w:sz w:val="18"/>
                <w:szCs w:val="18"/>
              </w:rPr>
              <w:t xml:space="preserve">Represents </w:t>
            </w:r>
            <w:r w:rsidR="00C046C0" w:rsidRPr="00C046C0">
              <w:rPr>
                <w:rFonts w:ascii="Aptos" w:hAnsi="Aptos" w:cs="Calibri"/>
                <w:sz w:val="18"/>
                <w:szCs w:val="18"/>
              </w:rPr>
              <w:t>what is expected to happen if the</w:t>
            </w:r>
            <w:r w:rsidR="0096501C">
              <w:rPr>
                <w:rFonts w:ascii="Aptos" w:hAnsi="Aptos" w:cs="Calibri"/>
                <w:sz w:val="18"/>
                <w:szCs w:val="18"/>
              </w:rPr>
              <w:t xml:space="preserve"> policy intervention</w:t>
            </w:r>
            <w:r w:rsidR="00C046C0" w:rsidRPr="00C046C0">
              <w:rPr>
                <w:rFonts w:ascii="Aptos" w:hAnsi="Aptos" w:cs="Calibri"/>
                <w:sz w:val="18"/>
                <w:szCs w:val="18"/>
              </w:rPr>
              <w:t xml:space="preserve"> is not implemented</w:t>
            </w:r>
            <w:r w:rsidR="0096501C">
              <w:rPr>
                <w:rFonts w:ascii="Aptos" w:hAnsi="Aptos" w:cs="Calibri"/>
                <w:sz w:val="18"/>
                <w:szCs w:val="18"/>
              </w:rPr>
              <w:t xml:space="preserve">. It is the current state to which proposed policy interventions can be compared to. </w:t>
            </w:r>
          </w:p>
        </w:tc>
      </w:tr>
      <w:tr w:rsidR="00C410B8" w:rsidRPr="00ED2A6C" w14:paraId="3FFAF3DF"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68D43F28" w14:textId="49631F30" w:rsidR="00520795" w:rsidRDefault="00520795">
            <w:pPr>
              <w:spacing w:line="259" w:lineRule="auto"/>
              <w:rPr>
                <w:rFonts w:ascii="Aptos" w:hAnsi="Aptos" w:cs="Calibri"/>
                <w:color w:val="000000"/>
                <w:sz w:val="18"/>
                <w:szCs w:val="18"/>
              </w:rPr>
            </w:pPr>
            <w:r>
              <w:rPr>
                <w:rFonts w:ascii="Aptos" w:hAnsi="Aptos" w:cs="Calibri"/>
                <w:color w:val="000000"/>
                <w:sz w:val="18"/>
                <w:szCs w:val="18"/>
              </w:rPr>
              <w:t>Break-even-analysis (BEA)</w:t>
            </w:r>
          </w:p>
        </w:tc>
        <w:tc>
          <w:tcPr>
            <w:tcW w:w="7178" w:type="dxa"/>
          </w:tcPr>
          <w:p w14:paraId="3187C0C4" w14:textId="08CE96B9" w:rsidR="00520795" w:rsidRPr="00520795" w:rsidRDefault="00241928">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241928">
              <w:rPr>
                <w:rFonts w:ascii="Aptos" w:hAnsi="Aptos" w:cs="Calibri"/>
                <w:sz w:val="18"/>
                <w:szCs w:val="18"/>
              </w:rPr>
              <w:t>Break-even analysis determines the point at which the benefits of a policy or intervention equal its costs. This point, referred to as the break-even point, represents the minimum level of effectiveness required for the policy to yield enough benefits to be worth pursuing. Any benefit achieved beyond the break-even point generates a net positive outcome, further strengthening the case for implementation.</w:t>
            </w:r>
          </w:p>
        </w:tc>
      </w:tr>
      <w:tr w:rsidR="007562D8" w:rsidRPr="00ED2A6C" w14:paraId="4D3EE28B"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B67FD6" w14:textId="090930B4" w:rsidR="007562D8" w:rsidRPr="003741EF" w:rsidRDefault="00ED30B4">
            <w:pPr>
              <w:spacing w:line="259" w:lineRule="auto"/>
              <w:rPr>
                <w:rFonts w:ascii="Aptos" w:hAnsi="Aptos" w:cs="Calibri"/>
                <w:color w:val="000000"/>
                <w:sz w:val="18"/>
                <w:szCs w:val="18"/>
              </w:rPr>
            </w:pPr>
            <w:r>
              <w:rPr>
                <w:rFonts w:ascii="Aptos" w:hAnsi="Aptos" w:cs="Calibri"/>
                <w:color w:val="000000"/>
                <w:sz w:val="18"/>
                <w:szCs w:val="18"/>
              </w:rPr>
              <w:t>Benefit-</w:t>
            </w:r>
            <w:r w:rsidR="005579B7">
              <w:rPr>
                <w:rFonts w:ascii="Aptos" w:hAnsi="Aptos" w:cs="Calibri"/>
                <w:color w:val="000000"/>
                <w:sz w:val="18"/>
                <w:szCs w:val="18"/>
              </w:rPr>
              <w:t>cost-ratio (BCR)</w:t>
            </w:r>
          </w:p>
        </w:tc>
        <w:tc>
          <w:tcPr>
            <w:tcW w:w="7178" w:type="dxa"/>
          </w:tcPr>
          <w:p w14:paraId="7E52E598" w14:textId="531587F8" w:rsidR="007562D8" w:rsidRDefault="00520795">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520795">
              <w:rPr>
                <w:rFonts w:ascii="Aptos" w:hAnsi="Aptos" w:cs="Calibri"/>
                <w:sz w:val="18"/>
                <w:szCs w:val="18"/>
              </w:rPr>
              <w:t>The BCR refers to the scale of quantified benefits relative to quantified costs, expressed in the form of a ratio (where benefits are divided by costs). A BCR greater than one indicates that the quantified benefits related to the Code are greater than quantified costs (or, for every $1 of cost incurred, a benefit of greater than $1 is achieved). As such, any BCR that is equal to or greater than one can be expected to result in a positive impact in aggregate.</w:t>
            </w:r>
          </w:p>
        </w:tc>
      </w:tr>
      <w:tr w:rsidR="00C410B8" w:rsidRPr="00ED2A6C" w14:paraId="4A2066EC"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743F96D6" w14:textId="19AA9396" w:rsidR="004C791A" w:rsidRDefault="00492665">
            <w:pPr>
              <w:spacing w:line="259" w:lineRule="auto"/>
              <w:rPr>
                <w:rFonts w:ascii="Aptos" w:hAnsi="Aptos" w:cs="Calibri"/>
                <w:color w:val="000000"/>
                <w:sz w:val="18"/>
                <w:szCs w:val="18"/>
              </w:rPr>
            </w:pPr>
            <w:r>
              <w:rPr>
                <w:rFonts w:ascii="Aptos" w:hAnsi="Aptos" w:cs="Calibri"/>
                <w:color w:val="000000"/>
                <w:sz w:val="18"/>
                <w:szCs w:val="18"/>
              </w:rPr>
              <w:t>CGS</w:t>
            </w:r>
          </w:p>
        </w:tc>
        <w:tc>
          <w:tcPr>
            <w:tcW w:w="7178" w:type="dxa"/>
          </w:tcPr>
          <w:p w14:paraId="468A7E69" w14:textId="3CF4056D" w:rsidR="004C791A" w:rsidRPr="00520795" w:rsidRDefault="00492665">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Pr>
                <w:rFonts w:ascii="Aptos" w:hAnsi="Aptos" w:cs="Calibri"/>
                <w:sz w:val="18"/>
                <w:szCs w:val="18"/>
              </w:rPr>
              <w:t>Commonwealth Grant Scheme</w:t>
            </w:r>
          </w:p>
        </w:tc>
      </w:tr>
      <w:tr w:rsidR="007D255A" w:rsidRPr="00ED2A6C" w14:paraId="25C71E2D"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C0D11B"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Change the Course report</w:t>
            </w:r>
          </w:p>
        </w:tc>
        <w:tc>
          <w:tcPr>
            <w:tcW w:w="7178" w:type="dxa"/>
          </w:tcPr>
          <w:p w14:paraId="6F22D15F"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Change the Course: National Report on Sexual Assault and Sexual Harassment at Australian Universities (2017)</w:t>
            </w:r>
          </w:p>
        </w:tc>
      </w:tr>
      <w:tr w:rsidR="00C410B8" w:rsidRPr="00ED2A6C" w14:paraId="30467A1F"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0D75B8CD" w14:textId="754348F3" w:rsidR="007F7834" w:rsidRPr="003741EF" w:rsidRDefault="007F7834">
            <w:pPr>
              <w:spacing w:line="259" w:lineRule="auto"/>
              <w:rPr>
                <w:rFonts w:ascii="Aptos" w:hAnsi="Aptos" w:cs="Calibri"/>
                <w:color w:val="000000"/>
                <w:sz w:val="18"/>
                <w:szCs w:val="18"/>
              </w:rPr>
            </w:pPr>
            <w:r>
              <w:rPr>
                <w:rFonts w:ascii="Aptos" w:hAnsi="Aptos" w:cs="Calibri"/>
                <w:color w:val="000000"/>
                <w:sz w:val="18"/>
                <w:szCs w:val="18"/>
              </w:rPr>
              <w:t>Change The Story</w:t>
            </w:r>
          </w:p>
        </w:tc>
        <w:tc>
          <w:tcPr>
            <w:tcW w:w="7178" w:type="dxa"/>
          </w:tcPr>
          <w:p w14:paraId="783F5255" w14:textId="75F21460" w:rsidR="007F7834" w:rsidRPr="003741EF" w:rsidRDefault="007F7834">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Pr>
                <w:rFonts w:ascii="Aptos" w:hAnsi="Aptos" w:cs="Calibri"/>
                <w:color w:val="000000"/>
                <w:sz w:val="18"/>
                <w:szCs w:val="18"/>
              </w:rPr>
              <w:t xml:space="preserve">Change the </w:t>
            </w:r>
            <w:r w:rsidR="00D77EA2">
              <w:rPr>
                <w:rFonts w:ascii="Aptos" w:hAnsi="Aptos" w:cs="Calibri"/>
                <w:color w:val="000000"/>
                <w:sz w:val="18"/>
                <w:szCs w:val="18"/>
              </w:rPr>
              <w:t>Story: A Shared Framework for the Primary Prevention of Violence Against Women and their Children</w:t>
            </w:r>
            <w:r w:rsidR="00860150">
              <w:rPr>
                <w:rFonts w:ascii="Aptos" w:hAnsi="Aptos" w:cs="Calibri"/>
                <w:color w:val="000000"/>
                <w:sz w:val="18"/>
                <w:szCs w:val="18"/>
              </w:rPr>
              <w:t xml:space="preserve"> (</w:t>
            </w:r>
            <w:r w:rsidR="00F8193A">
              <w:rPr>
                <w:rFonts w:ascii="Aptos" w:hAnsi="Aptos" w:cs="Calibri"/>
                <w:color w:val="000000"/>
                <w:sz w:val="18"/>
                <w:szCs w:val="18"/>
              </w:rPr>
              <w:t>2</w:t>
            </w:r>
            <w:r w:rsidR="00F8193A" w:rsidRPr="00F8193A">
              <w:rPr>
                <w:rFonts w:ascii="Aptos" w:hAnsi="Aptos" w:cs="Calibri"/>
                <w:color w:val="000000"/>
                <w:sz w:val="18"/>
                <w:szCs w:val="18"/>
                <w:vertAlign w:val="superscript"/>
              </w:rPr>
              <w:t>nd</w:t>
            </w:r>
            <w:r w:rsidR="00F8193A">
              <w:rPr>
                <w:rFonts w:ascii="Aptos" w:hAnsi="Aptos" w:cs="Calibri"/>
                <w:color w:val="000000"/>
                <w:sz w:val="18"/>
                <w:szCs w:val="18"/>
              </w:rPr>
              <w:t xml:space="preserve"> ed. </w:t>
            </w:r>
            <w:r w:rsidR="00860150">
              <w:rPr>
                <w:rFonts w:ascii="Aptos" w:hAnsi="Aptos" w:cs="Calibri"/>
                <w:color w:val="000000"/>
                <w:sz w:val="18"/>
                <w:szCs w:val="18"/>
              </w:rPr>
              <w:t>2021</w:t>
            </w:r>
            <w:r w:rsidR="00FA357B">
              <w:rPr>
                <w:rFonts w:ascii="Aptos" w:hAnsi="Aptos" w:cs="Calibri"/>
                <w:color w:val="000000"/>
                <w:sz w:val="18"/>
                <w:szCs w:val="18"/>
              </w:rPr>
              <w:t>). Our Watch.</w:t>
            </w:r>
            <w:r w:rsidR="00860150">
              <w:rPr>
                <w:rFonts w:ascii="Aptos" w:hAnsi="Aptos" w:cs="Calibri"/>
                <w:color w:val="000000"/>
                <w:sz w:val="18"/>
                <w:szCs w:val="18"/>
              </w:rPr>
              <w:t xml:space="preserve"> </w:t>
            </w:r>
          </w:p>
        </w:tc>
      </w:tr>
      <w:tr w:rsidR="00B24FFD" w:rsidRPr="00ED2A6C" w14:paraId="13DB2ED8"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DD7724"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sz w:val="18"/>
                <w:szCs w:val="18"/>
              </w:rPr>
              <w:t>Closing the Gap</w:t>
            </w:r>
          </w:p>
        </w:tc>
        <w:tc>
          <w:tcPr>
            <w:tcW w:w="7178" w:type="dxa"/>
          </w:tcPr>
          <w:p w14:paraId="65309544"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sz w:val="18"/>
                <w:szCs w:val="18"/>
              </w:rPr>
              <w:t>National Agreement on Closing the Gap (2020)</w:t>
            </w:r>
          </w:p>
        </w:tc>
      </w:tr>
      <w:tr w:rsidR="00C410B8" w:rsidRPr="00ED2A6C" w14:paraId="6C28763C"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5AA0BF7A"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The department</w:t>
            </w:r>
          </w:p>
        </w:tc>
        <w:tc>
          <w:tcPr>
            <w:tcW w:w="7178" w:type="dxa"/>
          </w:tcPr>
          <w:p w14:paraId="63DE8F33"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sz w:val="18"/>
                <w:szCs w:val="18"/>
              </w:rPr>
              <w:t>The Department of Education</w:t>
            </w:r>
          </w:p>
        </w:tc>
      </w:tr>
      <w:tr w:rsidR="00B24FFD" w:rsidRPr="00ED2A6C" w14:paraId="3A661F7D"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4CCC69"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Discloser</w:t>
            </w:r>
          </w:p>
        </w:tc>
        <w:tc>
          <w:tcPr>
            <w:tcW w:w="7178" w:type="dxa"/>
          </w:tcPr>
          <w:p w14:paraId="084AD8A6" w14:textId="2FF560C6"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A person who has shared information about their experience of </w:t>
            </w:r>
            <w:r w:rsidR="00B7771B">
              <w:rPr>
                <w:rFonts w:ascii="Aptos" w:hAnsi="Aptos" w:cs="Calibri"/>
                <w:color w:val="000000"/>
                <w:sz w:val="18"/>
                <w:szCs w:val="18"/>
              </w:rPr>
              <w:t>GBV</w:t>
            </w:r>
            <w:r w:rsidRPr="003741EF">
              <w:rPr>
                <w:rFonts w:ascii="Aptos" w:hAnsi="Aptos" w:cs="Calibri"/>
                <w:color w:val="000000"/>
                <w:sz w:val="18"/>
                <w:szCs w:val="18"/>
              </w:rPr>
              <w:t xml:space="preserve">. </w:t>
            </w:r>
          </w:p>
        </w:tc>
      </w:tr>
      <w:tr w:rsidR="00C410B8" w:rsidRPr="00ED2A6C" w14:paraId="2C9E1BD6"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7AD2C750"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Disclosure</w:t>
            </w:r>
          </w:p>
        </w:tc>
        <w:tc>
          <w:tcPr>
            <w:tcW w:w="7178" w:type="dxa"/>
          </w:tcPr>
          <w:p w14:paraId="03353E27" w14:textId="341A7F55" w:rsidR="003741EF" w:rsidRPr="00663F2A"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663F2A">
              <w:rPr>
                <w:rFonts w:ascii="Aptos" w:hAnsi="Aptos" w:cs="Calibri"/>
                <w:color w:val="000000"/>
                <w:sz w:val="18"/>
                <w:szCs w:val="18"/>
              </w:rPr>
              <w:t xml:space="preserve">The provision of information about a person's experience of </w:t>
            </w:r>
            <w:r w:rsidR="00B7771B" w:rsidRPr="00663F2A">
              <w:rPr>
                <w:rFonts w:ascii="Aptos" w:hAnsi="Aptos" w:cs="Calibri"/>
                <w:color w:val="000000"/>
                <w:sz w:val="18"/>
                <w:szCs w:val="18"/>
              </w:rPr>
              <w:t>GBV</w:t>
            </w:r>
            <w:r w:rsidRPr="00663F2A">
              <w:rPr>
                <w:rFonts w:ascii="Aptos" w:hAnsi="Aptos" w:cs="Calibri"/>
                <w:color w:val="000000"/>
                <w:sz w:val="18"/>
                <w:szCs w:val="18"/>
              </w:rPr>
              <w:t xml:space="preserve"> to a Provider by the Discloser or another person.</w:t>
            </w:r>
          </w:p>
        </w:tc>
      </w:tr>
      <w:tr w:rsidR="00FF284A" w:rsidRPr="00ED2A6C" w14:paraId="66B13DC7"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210EB6" w14:textId="10C5AE3F" w:rsidR="00FF284A" w:rsidRPr="003741EF" w:rsidRDefault="00FF284A">
            <w:pPr>
              <w:spacing w:line="259" w:lineRule="auto"/>
              <w:rPr>
                <w:rFonts w:ascii="Aptos" w:hAnsi="Aptos" w:cs="Calibri"/>
                <w:color w:val="000000"/>
                <w:sz w:val="18"/>
                <w:szCs w:val="18"/>
              </w:rPr>
            </w:pPr>
            <w:r>
              <w:rPr>
                <w:rFonts w:ascii="Aptos" w:hAnsi="Aptos" w:cs="Calibri"/>
                <w:color w:val="000000"/>
                <w:sz w:val="18"/>
                <w:szCs w:val="18"/>
              </w:rPr>
              <w:t xml:space="preserve">Disability </w:t>
            </w:r>
          </w:p>
        </w:tc>
        <w:tc>
          <w:tcPr>
            <w:tcW w:w="7178" w:type="dxa"/>
          </w:tcPr>
          <w:p w14:paraId="0CC1E7FD" w14:textId="5DA81F05" w:rsidR="00C75A68" w:rsidRPr="00663F2A" w:rsidRDefault="00FF284A"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The Disability Discrimination Act (DDA)</w:t>
            </w:r>
            <w:r w:rsidR="006C1FCA" w:rsidRPr="00663F2A">
              <w:rPr>
                <w:rFonts w:ascii="Aptos" w:hAnsi="Aptos" w:cs="Calibri"/>
                <w:color w:val="000000"/>
                <w:sz w:val="18"/>
                <w:szCs w:val="18"/>
              </w:rPr>
              <w:t xml:space="preserve"> 1992 (Cth) defines disability as</w:t>
            </w:r>
            <w:r w:rsidR="00C75A68" w:rsidRPr="00663F2A">
              <w:rPr>
                <w:rFonts w:ascii="Times New Roman" w:eastAsia="Times New Roman" w:hAnsi="Times New Roman" w:cs="Times New Roman"/>
                <w:color w:val="000000"/>
                <w:lang w:eastAsia="en-AU"/>
              </w:rPr>
              <w:t xml:space="preserve"> </w:t>
            </w:r>
            <w:r w:rsidR="00C75A68" w:rsidRPr="00663F2A">
              <w:rPr>
                <w:rFonts w:ascii="Aptos" w:hAnsi="Aptos" w:cs="Calibri"/>
                <w:color w:val="000000"/>
                <w:sz w:val="18"/>
                <w:szCs w:val="18"/>
              </w:rPr>
              <w:t>in relation to a person, means:</w:t>
            </w:r>
          </w:p>
          <w:p w14:paraId="05ED7C40"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(a) total or partial loss of the person’s bodily or mental functions; or</w:t>
            </w:r>
          </w:p>
          <w:p w14:paraId="02C46497"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(b) total or partial loss of a part of the body; or</w:t>
            </w:r>
          </w:p>
          <w:p w14:paraId="4353B751"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(c) the presence in the body of organisms causing disease or illness; or</w:t>
            </w:r>
          </w:p>
          <w:p w14:paraId="7DAC7CAF"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(d) the presence in the body of organisms capable of causing disease or illness; or</w:t>
            </w:r>
          </w:p>
          <w:p w14:paraId="5D3849BF"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(e) the malfunction, malformation or disfigurement of a part of the person’s body; or</w:t>
            </w:r>
          </w:p>
          <w:p w14:paraId="53720E1C"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(f) a disorder or malfunction that results in the person learning differently from a person without the disorder or malfunction; or</w:t>
            </w:r>
          </w:p>
          <w:p w14:paraId="59942D53"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(g) a disorder, illness or disease that affects a person’s thought processes, perception of reality, emotions or judgment or that results in disturbed behaviour;</w:t>
            </w:r>
          </w:p>
          <w:p w14:paraId="249BAB3C"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and includes a disability that:</w:t>
            </w:r>
          </w:p>
          <w:p w14:paraId="0304EDB9"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(h) presently exists; or</w:t>
            </w:r>
          </w:p>
          <w:p w14:paraId="6F208C46"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(i) previously existed but no longer exists; or</w:t>
            </w:r>
          </w:p>
          <w:p w14:paraId="4EB250DE"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(j) may exist in the future (including because of a genetic predisposition to that disability); or</w:t>
            </w:r>
          </w:p>
          <w:p w14:paraId="29D533BC" w14:textId="77777777" w:rsidR="00C75A68" w:rsidRPr="00663F2A" w:rsidRDefault="00C75A68" w:rsidP="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 (k) is imputed to a person.</w:t>
            </w:r>
          </w:p>
          <w:p w14:paraId="583E3CD9" w14:textId="4C969F7C" w:rsidR="006C1FCA" w:rsidRPr="00663F2A" w:rsidRDefault="00C75A68">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663F2A">
              <w:rPr>
                <w:rFonts w:ascii="Aptos" w:hAnsi="Aptos" w:cs="Calibri"/>
                <w:color w:val="000000"/>
                <w:sz w:val="18"/>
                <w:szCs w:val="18"/>
              </w:rPr>
              <w:t>To avoid doubt, a </w:t>
            </w:r>
            <w:r w:rsidRPr="00663F2A">
              <w:rPr>
                <w:rFonts w:ascii="Aptos" w:hAnsi="Aptos" w:cs="Calibri"/>
                <w:i/>
                <w:iCs/>
                <w:color w:val="000000"/>
                <w:sz w:val="18"/>
                <w:szCs w:val="18"/>
              </w:rPr>
              <w:t>disability</w:t>
            </w:r>
            <w:r w:rsidRPr="00663F2A">
              <w:rPr>
                <w:rFonts w:ascii="Aptos" w:hAnsi="Aptos" w:cs="Calibri"/>
                <w:color w:val="000000"/>
                <w:sz w:val="18"/>
                <w:szCs w:val="18"/>
              </w:rPr>
              <w:t> that is otherwise covered by this definition includes behaviour that is a symptom or manifestation of the disability.</w:t>
            </w:r>
          </w:p>
        </w:tc>
      </w:tr>
      <w:tr w:rsidR="00C410B8" w:rsidRPr="00ED2A6C" w14:paraId="3E088FB2"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489EA707"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ESOS Act</w:t>
            </w:r>
          </w:p>
        </w:tc>
        <w:tc>
          <w:tcPr>
            <w:tcW w:w="7178" w:type="dxa"/>
          </w:tcPr>
          <w:p w14:paraId="097A9090"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Education Services for Overseas Students Act 2000 </w:t>
            </w:r>
          </w:p>
        </w:tc>
      </w:tr>
      <w:tr w:rsidR="00696FB5" w:rsidRPr="00ED2A6C" w14:paraId="723A2CA5"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7D8005"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 xml:space="preserve">ESOS </w:t>
            </w:r>
            <w:r w:rsidR="008743F1">
              <w:rPr>
                <w:rFonts w:ascii="Aptos" w:hAnsi="Aptos" w:cs="Calibri"/>
                <w:color w:val="000000"/>
                <w:sz w:val="18"/>
                <w:szCs w:val="18"/>
              </w:rPr>
              <w:t>National Code</w:t>
            </w:r>
          </w:p>
        </w:tc>
        <w:tc>
          <w:tcPr>
            <w:tcW w:w="7178" w:type="dxa"/>
          </w:tcPr>
          <w:p w14:paraId="0EA53049"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Education Services for Overseas Students </w:t>
            </w:r>
            <w:r w:rsidR="008743F1">
              <w:rPr>
                <w:rFonts w:ascii="Aptos" w:hAnsi="Aptos" w:cs="Calibri"/>
                <w:color w:val="000000"/>
                <w:sz w:val="18"/>
                <w:szCs w:val="18"/>
              </w:rPr>
              <w:t>National Code</w:t>
            </w:r>
            <w:r w:rsidRPr="003741EF">
              <w:rPr>
                <w:rFonts w:ascii="Aptos" w:hAnsi="Aptos" w:cs="Calibri"/>
                <w:color w:val="000000"/>
                <w:sz w:val="18"/>
                <w:szCs w:val="18"/>
              </w:rPr>
              <w:t xml:space="preserve"> 2018</w:t>
            </w:r>
          </w:p>
        </w:tc>
      </w:tr>
      <w:tr w:rsidR="004D773D" w:rsidRPr="00ED2A6C" w14:paraId="717F8549"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2DA4D547" w14:textId="7A5345D3" w:rsidR="00085ACC" w:rsidRPr="003741EF" w:rsidRDefault="00085ACC">
            <w:pPr>
              <w:spacing w:line="259" w:lineRule="auto"/>
              <w:rPr>
                <w:rFonts w:ascii="Aptos" w:hAnsi="Aptos" w:cs="Calibri"/>
                <w:color w:val="000000"/>
                <w:sz w:val="18"/>
                <w:szCs w:val="18"/>
              </w:rPr>
            </w:pPr>
            <w:r>
              <w:rPr>
                <w:rFonts w:ascii="Aptos" w:hAnsi="Aptos" w:cs="Calibri"/>
                <w:color w:val="000000"/>
                <w:sz w:val="18"/>
                <w:szCs w:val="18"/>
              </w:rPr>
              <w:t>ERG</w:t>
            </w:r>
          </w:p>
        </w:tc>
        <w:tc>
          <w:tcPr>
            <w:tcW w:w="7178" w:type="dxa"/>
          </w:tcPr>
          <w:p w14:paraId="2796D618" w14:textId="7F53B2C3" w:rsidR="00085ACC" w:rsidRPr="003741EF" w:rsidRDefault="004526BD">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Pr>
                <w:rFonts w:ascii="Aptos" w:hAnsi="Aptos" w:cs="Calibri"/>
                <w:color w:val="000000"/>
                <w:sz w:val="18"/>
                <w:szCs w:val="18"/>
              </w:rPr>
              <w:t>Expert Reference Group</w:t>
            </w:r>
          </w:p>
        </w:tc>
      </w:tr>
      <w:tr w:rsidR="00B24FFD" w:rsidRPr="00ED2A6C" w14:paraId="1D31CA2A"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CFA4C3"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Fair Work Act</w:t>
            </w:r>
          </w:p>
        </w:tc>
        <w:tc>
          <w:tcPr>
            <w:tcW w:w="7178" w:type="dxa"/>
          </w:tcPr>
          <w:p w14:paraId="04F09932"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Fair Work Act 2009</w:t>
            </w:r>
          </w:p>
        </w:tc>
      </w:tr>
      <w:tr w:rsidR="00C410B8" w:rsidRPr="00ED2A6C" w14:paraId="4F84F655"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1A256D2D"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 xml:space="preserve">Formal Report </w:t>
            </w:r>
          </w:p>
        </w:tc>
        <w:tc>
          <w:tcPr>
            <w:tcW w:w="7178" w:type="dxa"/>
          </w:tcPr>
          <w:p w14:paraId="28DA0881" w14:textId="77D8AA11"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The provision through formal reporting channels of information about their experience of </w:t>
            </w:r>
            <w:r w:rsidR="00B7771B">
              <w:rPr>
                <w:rFonts w:ascii="Aptos" w:hAnsi="Aptos" w:cs="Calibri"/>
                <w:color w:val="000000"/>
                <w:sz w:val="18"/>
                <w:szCs w:val="18"/>
              </w:rPr>
              <w:t>GBV</w:t>
            </w:r>
            <w:r w:rsidRPr="003741EF">
              <w:rPr>
                <w:rFonts w:ascii="Aptos" w:hAnsi="Aptos" w:cs="Calibri"/>
                <w:color w:val="000000"/>
                <w:sz w:val="18"/>
                <w:szCs w:val="18"/>
              </w:rPr>
              <w:t xml:space="preserve"> by a Discloser to a Provider, which requires the Provider to consider taking steps beyond the offer and provision of support services, including (without limitation) the commencement of an investigation and/or a disciplinary process in appropriate circumstances. </w:t>
            </w:r>
          </w:p>
        </w:tc>
      </w:tr>
      <w:tr w:rsidR="00B24FFD" w:rsidRPr="00ED2A6C" w14:paraId="7317F585"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EB00EF"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GEAP</w:t>
            </w:r>
          </w:p>
        </w:tc>
        <w:tc>
          <w:tcPr>
            <w:tcW w:w="7178" w:type="dxa"/>
          </w:tcPr>
          <w:p w14:paraId="648F936F"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Gender Equality Action Plan</w:t>
            </w:r>
          </w:p>
        </w:tc>
      </w:tr>
      <w:tr w:rsidR="00C410B8" w:rsidRPr="00ED2A6C" w14:paraId="1AC71D0C"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7932D43E"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Gender Equality Act</w:t>
            </w:r>
          </w:p>
        </w:tc>
        <w:tc>
          <w:tcPr>
            <w:tcW w:w="7178" w:type="dxa"/>
          </w:tcPr>
          <w:p w14:paraId="2E054224"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Gender Equality Act 2020 </w:t>
            </w:r>
          </w:p>
        </w:tc>
      </w:tr>
      <w:tr w:rsidR="00B24FFD" w:rsidRPr="00ED2A6C" w14:paraId="235564C3"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B21126" w14:textId="21AD420F" w:rsidR="003741EF" w:rsidRPr="003741EF" w:rsidRDefault="00B7771B">
            <w:pPr>
              <w:spacing w:line="259" w:lineRule="auto"/>
              <w:rPr>
                <w:rFonts w:ascii="Aptos" w:hAnsi="Aptos" w:cs="Calibri"/>
                <w:b w:val="0"/>
                <w:bCs w:val="0"/>
                <w:sz w:val="18"/>
                <w:szCs w:val="18"/>
              </w:rPr>
            </w:pPr>
            <w:r>
              <w:rPr>
                <w:rFonts w:ascii="Aptos" w:hAnsi="Aptos" w:cs="Calibri"/>
                <w:color w:val="000000"/>
                <w:sz w:val="18"/>
                <w:szCs w:val="18"/>
              </w:rPr>
              <w:lastRenderedPageBreak/>
              <w:t>GBV</w:t>
            </w:r>
          </w:p>
        </w:tc>
        <w:tc>
          <w:tcPr>
            <w:tcW w:w="7178" w:type="dxa"/>
          </w:tcPr>
          <w:p w14:paraId="4148DD0F"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Any form of physical or non-physical violence, harassment, abuse or threats, based on gender, that results in, or is likely to result in, harm, coercion, control, fear or deprivation of liberty or autonomy.</w:t>
            </w:r>
          </w:p>
        </w:tc>
      </w:tr>
      <w:tr w:rsidR="00C410B8" w:rsidRPr="00ED2A6C" w14:paraId="3E035B69"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38EFE3E9" w14:textId="765714B0" w:rsidR="00EB48B6" w:rsidRDefault="00EB48B6">
            <w:pPr>
              <w:spacing w:line="259" w:lineRule="auto"/>
              <w:rPr>
                <w:rFonts w:ascii="Aptos" w:hAnsi="Aptos" w:cs="Calibri"/>
                <w:color w:val="000000"/>
                <w:sz w:val="18"/>
                <w:szCs w:val="18"/>
              </w:rPr>
            </w:pPr>
            <w:r>
              <w:rPr>
                <w:rFonts w:ascii="Aptos" w:hAnsi="Aptos" w:cs="Calibri"/>
                <w:color w:val="000000"/>
                <w:sz w:val="18"/>
                <w:szCs w:val="18"/>
              </w:rPr>
              <w:t>HELP</w:t>
            </w:r>
          </w:p>
        </w:tc>
        <w:tc>
          <w:tcPr>
            <w:tcW w:w="7178" w:type="dxa"/>
          </w:tcPr>
          <w:p w14:paraId="6607382F" w14:textId="4125786B" w:rsidR="00EB48B6" w:rsidRPr="003741EF" w:rsidRDefault="001D012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Pr>
                <w:rFonts w:ascii="Aptos" w:hAnsi="Aptos" w:cs="Calibri"/>
                <w:color w:val="000000"/>
                <w:sz w:val="18"/>
                <w:szCs w:val="18"/>
              </w:rPr>
              <w:t>Higher Education Loan Program</w:t>
            </w:r>
          </w:p>
        </w:tc>
      </w:tr>
      <w:tr w:rsidR="00707969" w:rsidRPr="00ED2A6C" w14:paraId="797F5C47"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0E701F" w14:textId="18110EB9" w:rsidR="00707969" w:rsidRDefault="00FF2C64">
            <w:pPr>
              <w:spacing w:line="259" w:lineRule="auto"/>
              <w:rPr>
                <w:rFonts w:ascii="Aptos" w:hAnsi="Aptos" w:cs="Calibri"/>
                <w:color w:val="000000"/>
                <w:sz w:val="18"/>
                <w:szCs w:val="18"/>
              </w:rPr>
            </w:pPr>
            <w:r>
              <w:rPr>
                <w:rFonts w:ascii="Aptos" w:hAnsi="Aptos" w:cs="Calibri"/>
                <w:color w:val="000000"/>
                <w:sz w:val="18"/>
                <w:szCs w:val="18"/>
              </w:rPr>
              <w:t>Specialist GBV Reform Branch</w:t>
            </w:r>
          </w:p>
        </w:tc>
        <w:tc>
          <w:tcPr>
            <w:tcW w:w="7178" w:type="dxa"/>
          </w:tcPr>
          <w:p w14:paraId="6BF0371E" w14:textId="6B6F5904" w:rsidR="00707969" w:rsidRPr="003741EF" w:rsidRDefault="00707969">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Pr>
                <w:rFonts w:ascii="Aptos" w:hAnsi="Aptos" w:cs="Calibri"/>
                <w:color w:val="000000"/>
                <w:sz w:val="18"/>
                <w:szCs w:val="18"/>
              </w:rPr>
              <w:t>The specialis</w:t>
            </w:r>
            <w:r w:rsidR="00415F58">
              <w:rPr>
                <w:rFonts w:ascii="Aptos" w:hAnsi="Aptos" w:cs="Calibri"/>
                <w:color w:val="000000"/>
                <w:sz w:val="18"/>
                <w:szCs w:val="18"/>
              </w:rPr>
              <w:t xml:space="preserve">t branch </w:t>
            </w:r>
            <w:r w:rsidR="00AF07F7">
              <w:rPr>
                <w:rFonts w:ascii="Aptos" w:hAnsi="Aptos" w:cs="Calibri"/>
                <w:color w:val="000000"/>
                <w:sz w:val="18"/>
                <w:szCs w:val="18"/>
              </w:rPr>
              <w:t>established</w:t>
            </w:r>
            <w:r>
              <w:rPr>
                <w:rFonts w:ascii="Aptos" w:hAnsi="Aptos" w:cs="Calibri"/>
                <w:color w:val="000000"/>
                <w:sz w:val="18"/>
                <w:szCs w:val="18"/>
              </w:rPr>
              <w:t xml:space="preserve"> in the Department of Education to implement and monitor regulatory compliance with the National Code. </w:t>
            </w:r>
          </w:p>
        </w:tc>
      </w:tr>
      <w:tr w:rsidR="00C410B8" w:rsidRPr="00ED2A6C" w14:paraId="02635F78"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1633B023" w14:textId="2763EF49" w:rsidR="009B4E4C" w:rsidRPr="003741EF" w:rsidRDefault="009772A2">
            <w:pPr>
              <w:spacing w:line="259" w:lineRule="auto"/>
              <w:rPr>
                <w:rFonts w:ascii="Aptos" w:hAnsi="Aptos" w:cs="Calibri"/>
                <w:color w:val="000000"/>
                <w:sz w:val="18"/>
                <w:szCs w:val="18"/>
              </w:rPr>
            </w:pPr>
            <w:r>
              <w:rPr>
                <w:rFonts w:ascii="Aptos" w:hAnsi="Aptos" w:cs="Calibri"/>
                <w:color w:val="000000"/>
                <w:sz w:val="18"/>
                <w:szCs w:val="18"/>
              </w:rPr>
              <w:t>HEPs</w:t>
            </w:r>
          </w:p>
        </w:tc>
        <w:tc>
          <w:tcPr>
            <w:tcW w:w="7178" w:type="dxa"/>
          </w:tcPr>
          <w:p w14:paraId="57F8E483" w14:textId="7EB195F0" w:rsidR="009B4E4C" w:rsidRPr="003741EF" w:rsidRDefault="009772A2">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Pr>
                <w:rFonts w:ascii="Aptos" w:hAnsi="Aptos" w:cs="Calibri"/>
                <w:color w:val="000000"/>
                <w:sz w:val="18"/>
                <w:szCs w:val="18"/>
              </w:rPr>
              <w:t>Higher Education Providers</w:t>
            </w:r>
          </w:p>
        </w:tc>
      </w:tr>
      <w:tr w:rsidR="00FD0E2F" w:rsidRPr="00ED2A6C" w14:paraId="23764DBD"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075E4A"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HESA Act</w:t>
            </w:r>
          </w:p>
        </w:tc>
        <w:tc>
          <w:tcPr>
            <w:tcW w:w="7178" w:type="dxa"/>
          </w:tcPr>
          <w:p w14:paraId="1BB9015F"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Higher Education Support Act 2003 </w:t>
            </w:r>
          </w:p>
        </w:tc>
      </w:tr>
      <w:tr w:rsidR="00C410B8" w:rsidRPr="00ED2A6C" w14:paraId="65248691"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0C91164B"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Interim Report</w:t>
            </w:r>
          </w:p>
        </w:tc>
        <w:tc>
          <w:tcPr>
            <w:tcW w:w="7178" w:type="dxa"/>
          </w:tcPr>
          <w:p w14:paraId="3510EB6D"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Australian Universities Accord Interim Report (2023)</w:t>
            </w:r>
          </w:p>
        </w:tc>
      </w:tr>
      <w:tr w:rsidR="00FD0E2F" w:rsidRPr="00ED2A6C" w14:paraId="2B2E9E80"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54B5DF0"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Issues Paper</w:t>
            </w:r>
          </w:p>
        </w:tc>
        <w:tc>
          <w:tcPr>
            <w:tcW w:w="7178" w:type="dxa"/>
          </w:tcPr>
          <w:p w14:paraId="775FA44A" w14:textId="6EFBE6E5"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National Higher Education </w:t>
            </w:r>
            <w:r w:rsidR="008743F1">
              <w:rPr>
                <w:rFonts w:ascii="Aptos" w:hAnsi="Aptos" w:cs="Calibri"/>
                <w:color w:val="000000"/>
                <w:sz w:val="18"/>
                <w:szCs w:val="18"/>
              </w:rPr>
              <w:t>National Code</w:t>
            </w:r>
            <w:r w:rsidRPr="003741EF">
              <w:rPr>
                <w:rFonts w:ascii="Aptos" w:hAnsi="Aptos" w:cs="Calibri"/>
                <w:color w:val="000000"/>
                <w:sz w:val="18"/>
                <w:szCs w:val="18"/>
              </w:rPr>
              <w:t xml:space="preserve"> to Prevent and Respond to </w:t>
            </w:r>
            <w:r w:rsidR="00B7771B">
              <w:rPr>
                <w:rFonts w:ascii="Aptos" w:hAnsi="Aptos" w:cs="Calibri"/>
                <w:color w:val="000000"/>
                <w:sz w:val="18"/>
                <w:szCs w:val="18"/>
              </w:rPr>
              <w:t>GBV</w:t>
            </w:r>
            <w:r w:rsidRPr="003741EF">
              <w:rPr>
                <w:rFonts w:ascii="Aptos" w:hAnsi="Aptos" w:cs="Calibri"/>
                <w:color w:val="000000"/>
                <w:sz w:val="18"/>
                <w:szCs w:val="18"/>
              </w:rPr>
              <w:t xml:space="preserve"> Issues Paper</w:t>
            </w:r>
          </w:p>
        </w:tc>
      </w:tr>
      <w:tr w:rsidR="00C410B8" w:rsidRPr="00ED2A6C" w14:paraId="73138ADA"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36835277"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National Plan</w:t>
            </w:r>
          </w:p>
        </w:tc>
        <w:tc>
          <w:tcPr>
            <w:tcW w:w="7178" w:type="dxa"/>
          </w:tcPr>
          <w:p w14:paraId="66FF8162"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National Plan to End Violence against Women and Children 2022-2032</w:t>
            </w:r>
          </w:p>
        </w:tc>
      </w:tr>
      <w:tr w:rsidR="00775A42" w:rsidRPr="00ED2A6C" w14:paraId="3D163581"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C95E96" w14:textId="25AAC366" w:rsidR="00775A42" w:rsidRPr="003741EF" w:rsidRDefault="005E51B4">
            <w:pPr>
              <w:spacing w:line="259" w:lineRule="auto"/>
              <w:rPr>
                <w:rFonts w:ascii="Aptos" w:hAnsi="Aptos" w:cs="Calibri"/>
                <w:color w:val="000000"/>
                <w:sz w:val="18"/>
                <w:szCs w:val="18"/>
              </w:rPr>
            </w:pPr>
            <w:r>
              <w:rPr>
                <w:rFonts w:ascii="Aptos" w:hAnsi="Aptos" w:cs="Calibri"/>
                <w:color w:val="000000"/>
                <w:sz w:val="18"/>
                <w:szCs w:val="18"/>
              </w:rPr>
              <w:t xml:space="preserve">Net-present value </w:t>
            </w:r>
            <w:r w:rsidR="00941C94">
              <w:rPr>
                <w:rFonts w:ascii="Aptos" w:hAnsi="Aptos" w:cs="Calibri"/>
                <w:color w:val="000000"/>
                <w:sz w:val="18"/>
                <w:szCs w:val="18"/>
              </w:rPr>
              <w:t>(</w:t>
            </w:r>
            <w:r w:rsidR="00775A42">
              <w:rPr>
                <w:rFonts w:ascii="Aptos" w:hAnsi="Aptos" w:cs="Calibri"/>
                <w:color w:val="000000"/>
                <w:sz w:val="18"/>
                <w:szCs w:val="18"/>
              </w:rPr>
              <w:t>NPV</w:t>
            </w:r>
            <w:r w:rsidR="00941C94">
              <w:rPr>
                <w:rFonts w:ascii="Aptos" w:hAnsi="Aptos" w:cs="Calibri"/>
                <w:color w:val="000000"/>
                <w:sz w:val="18"/>
                <w:szCs w:val="18"/>
              </w:rPr>
              <w:t>)</w:t>
            </w:r>
          </w:p>
        </w:tc>
        <w:tc>
          <w:tcPr>
            <w:tcW w:w="7178" w:type="dxa"/>
          </w:tcPr>
          <w:p w14:paraId="733E6E31" w14:textId="017FD2E1" w:rsidR="00775A42" w:rsidRPr="003741EF" w:rsidRDefault="005E51B4">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5E51B4">
              <w:rPr>
                <w:rFonts w:ascii="Aptos" w:hAnsi="Aptos" w:cs="Calibri"/>
                <w:color w:val="000000"/>
                <w:sz w:val="18"/>
                <w:szCs w:val="18"/>
              </w:rPr>
              <w:t>Calculates the total economic value by converting future costs and benefits into present-day dollars.</w:t>
            </w:r>
          </w:p>
        </w:tc>
      </w:tr>
      <w:tr w:rsidR="00C410B8" w:rsidRPr="00ED2A6C" w14:paraId="30F36D28"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0BAE73E5" w14:textId="326FF7B0" w:rsidR="005D705D" w:rsidRDefault="005D705D">
            <w:pPr>
              <w:spacing w:line="259" w:lineRule="auto"/>
              <w:rPr>
                <w:rFonts w:ascii="Aptos" w:hAnsi="Aptos" w:cs="Calibri"/>
                <w:color w:val="000000"/>
                <w:sz w:val="18"/>
                <w:szCs w:val="18"/>
              </w:rPr>
            </w:pPr>
            <w:r>
              <w:rPr>
                <w:rFonts w:ascii="Aptos" w:hAnsi="Aptos" w:cs="Calibri"/>
                <w:color w:val="000000"/>
                <w:sz w:val="18"/>
                <w:szCs w:val="18"/>
              </w:rPr>
              <w:t>NSO</w:t>
            </w:r>
          </w:p>
        </w:tc>
        <w:tc>
          <w:tcPr>
            <w:tcW w:w="7178" w:type="dxa"/>
          </w:tcPr>
          <w:p w14:paraId="3EA0E0A6" w14:textId="6DE11469" w:rsidR="005D705D" w:rsidRPr="005E51B4" w:rsidRDefault="005D705D">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color w:val="000000"/>
                <w:sz w:val="18"/>
                <w:szCs w:val="18"/>
              </w:rPr>
            </w:pPr>
            <w:r>
              <w:rPr>
                <w:rFonts w:ascii="Aptos" w:hAnsi="Aptos" w:cs="Calibri"/>
                <w:color w:val="000000"/>
                <w:sz w:val="18"/>
                <w:szCs w:val="18"/>
              </w:rPr>
              <w:t xml:space="preserve">National Student Ombudsman </w:t>
            </w:r>
          </w:p>
        </w:tc>
      </w:tr>
      <w:tr w:rsidR="003741EF" w:rsidRPr="00ED2A6C" w14:paraId="769A7820"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B4570"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NSSS</w:t>
            </w:r>
          </w:p>
        </w:tc>
        <w:tc>
          <w:tcPr>
            <w:tcW w:w="7178" w:type="dxa"/>
          </w:tcPr>
          <w:p w14:paraId="69838BE3"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National Student Safety Survey (2021)</w:t>
            </w:r>
          </w:p>
        </w:tc>
      </w:tr>
      <w:tr w:rsidR="00C410B8" w:rsidRPr="00ED2A6C" w14:paraId="6C1826B6"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1EFF5CB6"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NTEU</w:t>
            </w:r>
          </w:p>
        </w:tc>
        <w:tc>
          <w:tcPr>
            <w:tcW w:w="7178" w:type="dxa"/>
          </w:tcPr>
          <w:p w14:paraId="459479F9"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National Tertiary Education Union</w:t>
            </w:r>
          </w:p>
        </w:tc>
      </w:tr>
      <w:tr w:rsidR="00FD0E2F" w:rsidRPr="00ED2A6C" w14:paraId="3754974B"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9A031D"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 xml:space="preserve">Person-centred </w:t>
            </w:r>
          </w:p>
        </w:tc>
        <w:tc>
          <w:tcPr>
            <w:tcW w:w="7178" w:type="dxa"/>
          </w:tcPr>
          <w:p w14:paraId="29763824"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Ensuring that the Discloser's needs and preferences are at the centre of decisions made in response to the Disclosure. The response systems, Policies and Procedures affirm the Discloser's dignity and support their healing by genuinely considering their wishes and the impact that decisions may have on them, while at all times ensuring the safety and wellbeing of the Discloser and other Students and Staff. </w:t>
            </w:r>
          </w:p>
        </w:tc>
      </w:tr>
      <w:tr w:rsidR="00C410B8" w:rsidRPr="00ED2A6C" w14:paraId="78EA5733"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433CE665"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sz w:val="18"/>
                <w:szCs w:val="18"/>
              </w:rPr>
              <w:t>Positive Duty</w:t>
            </w:r>
          </w:p>
        </w:tc>
        <w:tc>
          <w:tcPr>
            <w:tcW w:w="7178" w:type="dxa"/>
          </w:tcPr>
          <w:p w14:paraId="125F9BD8"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sz w:val="18"/>
                <w:szCs w:val="18"/>
              </w:rPr>
              <w:t>Positive Duty in the Sex Discrimination Act</w:t>
            </w:r>
          </w:p>
        </w:tc>
      </w:tr>
      <w:tr w:rsidR="00FD0E2F" w:rsidRPr="00ED2A6C" w14:paraId="613375F7"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204666" w14:textId="060C2E22" w:rsidR="003741EF" w:rsidRPr="003741EF" w:rsidRDefault="008743F1">
            <w:pPr>
              <w:spacing w:line="259" w:lineRule="auto"/>
              <w:rPr>
                <w:rFonts w:ascii="Aptos" w:hAnsi="Aptos" w:cs="Calibri"/>
                <w:b w:val="0"/>
                <w:bCs w:val="0"/>
                <w:sz w:val="18"/>
                <w:szCs w:val="18"/>
              </w:rPr>
            </w:pPr>
            <w:r>
              <w:rPr>
                <w:rFonts w:ascii="Aptos" w:hAnsi="Aptos" w:cs="Calibri"/>
                <w:color w:val="000000"/>
                <w:sz w:val="18"/>
                <w:szCs w:val="18"/>
              </w:rPr>
              <w:t>National Code</w:t>
            </w:r>
          </w:p>
        </w:tc>
        <w:tc>
          <w:tcPr>
            <w:tcW w:w="7178" w:type="dxa"/>
          </w:tcPr>
          <w:p w14:paraId="5E398F18" w14:textId="29B6D1E2"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sz w:val="18"/>
                <w:szCs w:val="18"/>
              </w:rPr>
              <w:t xml:space="preserve">Proposed National Higher Education </w:t>
            </w:r>
            <w:r w:rsidR="008743F1">
              <w:rPr>
                <w:rFonts w:ascii="Aptos" w:hAnsi="Aptos" w:cs="Calibri"/>
                <w:sz w:val="18"/>
                <w:szCs w:val="18"/>
              </w:rPr>
              <w:t>Code</w:t>
            </w:r>
            <w:r w:rsidRPr="003741EF">
              <w:rPr>
                <w:rFonts w:ascii="Aptos" w:hAnsi="Aptos" w:cs="Calibri"/>
                <w:sz w:val="18"/>
                <w:szCs w:val="18"/>
              </w:rPr>
              <w:t xml:space="preserve"> to Prevent and Respond to </w:t>
            </w:r>
            <w:r w:rsidR="00B7771B">
              <w:rPr>
                <w:rFonts w:ascii="Aptos" w:hAnsi="Aptos" w:cs="Calibri"/>
                <w:sz w:val="18"/>
                <w:szCs w:val="18"/>
              </w:rPr>
              <w:t>GBV</w:t>
            </w:r>
          </w:p>
        </w:tc>
      </w:tr>
      <w:tr w:rsidR="00C410B8" w:rsidRPr="00ED2A6C" w14:paraId="1EAB8BCD"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0E41744D"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RBE</w:t>
            </w:r>
          </w:p>
        </w:tc>
        <w:tc>
          <w:tcPr>
            <w:tcW w:w="7178" w:type="dxa"/>
          </w:tcPr>
          <w:p w14:paraId="00177336"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Regulatory Burden Estimate </w:t>
            </w:r>
          </w:p>
        </w:tc>
      </w:tr>
      <w:tr w:rsidR="00FD0E2F" w:rsidRPr="00ED2A6C" w14:paraId="7072AD7F"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1EFF42"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Respect@Work Act</w:t>
            </w:r>
          </w:p>
        </w:tc>
        <w:tc>
          <w:tcPr>
            <w:tcW w:w="7178" w:type="dxa"/>
          </w:tcPr>
          <w:p w14:paraId="5E33488A"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Anti-Discrimination and Human Rights Legislation Amendment (Respect@Work) Act 2022 </w:t>
            </w:r>
          </w:p>
        </w:tc>
      </w:tr>
      <w:tr w:rsidR="00C410B8" w:rsidRPr="00ED2A6C" w14:paraId="6B4CBCB7"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7A76D965"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The Report</w:t>
            </w:r>
          </w:p>
        </w:tc>
        <w:tc>
          <w:tcPr>
            <w:tcW w:w="7178" w:type="dxa"/>
          </w:tcPr>
          <w:p w14:paraId="3C7EE610"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Respect@Work: Sexual Harassment National Inquiry Report (2020)</w:t>
            </w:r>
          </w:p>
        </w:tc>
      </w:tr>
      <w:tr w:rsidR="009B3E93" w:rsidRPr="00ED2A6C" w14:paraId="7EAB042C"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39EE34" w14:textId="225BF23E" w:rsidR="009B3E93" w:rsidRPr="003741EF" w:rsidRDefault="009B3E93">
            <w:pPr>
              <w:spacing w:line="259" w:lineRule="auto"/>
              <w:rPr>
                <w:rFonts w:ascii="Aptos" w:hAnsi="Aptos" w:cs="Calibri"/>
                <w:color w:val="000000"/>
                <w:sz w:val="18"/>
                <w:szCs w:val="18"/>
              </w:rPr>
            </w:pPr>
            <w:r>
              <w:rPr>
                <w:rFonts w:ascii="Aptos" w:hAnsi="Aptos" w:cs="Calibri"/>
                <w:color w:val="000000"/>
                <w:sz w:val="18"/>
                <w:szCs w:val="18"/>
              </w:rPr>
              <w:t>SAP</w:t>
            </w:r>
          </w:p>
        </w:tc>
        <w:tc>
          <w:tcPr>
            <w:tcW w:w="7178" w:type="dxa"/>
          </w:tcPr>
          <w:p w14:paraId="21741DE1" w14:textId="670C205E" w:rsidR="009B3E93" w:rsidRPr="003741EF" w:rsidRDefault="00F52877">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F52877">
              <w:rPr>
                <w:rFonts w:ascii="Aptos" w:hAnsi="Aptos" w:cs="Calibri"/>
                <w:color w:val="000000"/>
                <w:sz w:val="18"/>
                <w:szCs w:val="18"/>
              </w:rPr>
              <w:t>Student Accommodation</w:t>
            </w:r>
            <w:r w:rsidR="00663F2A">
              <w:rPr>
                <w:rFonts w:ascii="Aptos" w:hAnsi="Aptos" w:cs="Calibri"/>
                <w:color w:val="000000"/>
                <w:sz w:val="18"/>
                <w:szCs w:val="18"/>
              </w:rPr>
              <w:t xml:space="preserve"> Provider</w:t>
            </w:r>
          </w:p>
        </w:tc>
      </w:tr>
      <w:tr w:rsidR="00C410B8" w:rsidRPr="00ED2A6C" w14:paraId="5A9DEA1C"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79F0AE90"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Sex Discrimination Act</w:t>
            </w:r>
          </w:p>
        </w:tc>
        <w:tc>
          <w:tcPr>
            <w:tcW w:w="7178" w:type="dxa"/>
          </w:tcPr>
          <w:p w14:paraId="2165D4B5"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Sex Discrimination Act 1984</w:t>
            </w:r>
          </w:p>
        </w:tc>
      </w:tr>
      <w:tr w:rsidR="00696FB5" w:rsidRPr="00ED2A6C" w14:paraId="54287AEC"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2B2383"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 xml:space="preserve">Support for Students Policy </w:t>
            </w:r>
          </w:p>
        </w:tc>
        <w:tc>
          <w:tcPr>
            <w:tcW w:w="7178" w:type="dxa"/>
          </w:tcPr>
          <w:p w14:paraId="4CFE55A5"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Support for Students Policy in the Higher Education Support Act 2003 </w:t>
            </w:r>
          </w:p>
        </w:tc>
      </w:tr>
      <w:tr w:rsidR="00C410B8" w:rsidRPr="00ED2A6C" w14:paraId="457D7422"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3000A3BA"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TEQSA</w:t>
            </w:r>
          </w:p>
        </w:tc>
        <w:tc>
          <w:tcPr>
            <w:tcW w:w="7178" w:type="dxa"/>
          </w:tcPr>
          <w:p w14:paraId="2395D0F1"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 xml:space="preserve">Tertiary Education Quality and Standards Agency </w:t>
            </w:r>
          </w:p>
        </w:tc>
      </w:tr>
      <w:tr w:rsidR="00696FB5" w:rsidRPr="00ED2A6C" w14:paraId="3B367C71"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DD1A3C"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TEQSA Act</w:t>
            </w:r>
          </w:p>
        </w:tc>
        <w:tc>
          <w:tcPr>
            <w:tcW w:w="7178" w:type="dxa"/>
          </w:tcPr>
          <w:p w14:paraId="5544607D"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Tertiary Education Quality and Standards Agency Act 2011</w:t>
            </w:r>
          </w:p>
        </w:tc>
      </w:tr>
      <w:tr w:rsidR="00C410B8" w:rsidRPr="00ED2A6C" w14:paraId="6A359950"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3450DD82"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Threshold Standards</w:t>
            </w:r>
          </w:p>
        </w:tc>
        <w:tc>
          <w:tcPr>
            <w:tcW w:w="7178" w:type="dxa"/>
          </w:tcPr>
          <w:p w14:paraId="1D4E91A1" w14:textId="77777777" w:rsidR="003741EF" w:rsidRPr="003741EF" w:rsidRDefault="003741EF">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Higher Education Standards Framework (Threshold Standards) 2021 </w:t>
            </w:r>
          </w:p>
        </w:tc>
      </w:tr>
      <w:tr w:rsidR="00696FB5" w:rsidRPr="00ED2A6C" w14:paraId="45708A53" w14:textId="77777777" w:rsidTr="0066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478B60"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 xml:space="preserve">Trauma-informed </w:t>
            </w:r>
          </w:p>
        </w:tc>
        <w:tc>
          <w:tcPr>
            <w:tcW w:w="7178" w:type="dxa"/>
          </w:tcPr>
          <w:p w14:paraId="44BA9846"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An approach that applies the core principles of safety (physical, psychological and emotional), trust, choice, collaboration and empowerment. It should minimise the risk of re-traumatisation and promote recovery and healing to the greatest extent possible.</w:t>
            </w:r>
          </w:p>
        </w:tc>
      </w:tr>
      <w:tr w:rsidR="00C410B8" w:rsidRPr="00ED2A6C" w14:paraId="19804291" w14:textId="77777777" w:rsidTr="00663F2A">
        <w:tc>
          <w:tcPr>
            <w:cnfStyle w:val="001000000000" w:firstRow="0" w:lastRow="0" w:firstColumn="1" w:lastColumn="0" w:oddVBand="0" w:evenVBand="0" w:oddHBand="0" w:evenHBand="0" w:firstRowFirstColumn="0" w:firstRowLastColumn="0" w:lastRowFirstColumn="0" w:lastRowLastColumn="0"/>
            <w:tcW w:w="1838" w:type="dxa"/>
          </w:tcPr>
          <w:p w14:paraId="09776447"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Undiscounted</w:t>
            </w:r>
          </w:p>
        </w:tc>
        <w:tc>
          <w:tcPr>
            <w:tcW w:w="7178" w:type="dxa"/>
          </w:tcPr>
          <w:p w14:paraId="444EAE44" w14:textId="47F14373" w:rsidR="003741EF" w:rsidRPr="003741EF" w:rsidRDefault="005F1BB0">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Calibri"/>
                <w:sz w:val="18"/>
                <w:szCs w:val="18"/>
              </w:rPr>
            </w:pPr>
            <w:r>
              <w:rPr>
                <w:rFonts w:ascii="Aptos" w:hAnsi="Aptos" w:cs="Calibri"/>
                <w:sz w:val="18"/>
                <w:szCs w:val="18"/>
              </w:rPr>
              <w:t xml:space="preserve">A discounted </w:t>
            </w:r>
            <w:r w:rsidR="006D213E">
              <w:rPr>
                <w:rFonts w:ascii="Aptos" w:hAnsi="Aptos" w:cs="Calibri"/>
                <w:sz w:val="18"/>
                <w:szCs w:val="18"/>
              </w:rPr>
              <w:t>cost has been adjusted to incorporate</w:t>
            </w:r>
            <w:r w:rsidR="005034BC">
              <w:rPr>
                <w:rFonts w:ascii="Aptos" w:hAnsi="Aptos" w:cs="Calibri"/>
                <w:sz w:val="18"/>
                <w:szCs w:val="18"/>
              </w:rPr>
              <w:t xml:space="preserve"> the time and value </w:t>
            </w:r>
            <w:r w:rsidR="00CE4A38">
              <w:rPr>
                <w:rFonts w:ascii="Aptos" w:hAnsi="Aptos" w:cs="Calibri"/>
                <w:sz w:val="18"/>
                <w:szCs w:val="18"/>
              </w:rPr>
              <w:t xml:space="preserve">of money. Discounted figures are </w:t>
            </w:r>
            <w:r w:rsidR="00C931AA">
              <w:rPr>
                <w:rFonts w:ascii="Aptos" w:hAnsi="Aptos" w:cs="Calibri"/>
                <w:sz w:val="18"/>
                <w:szCs w:val="18"/>
              </w:rPr>
              <w:t>considered</w:t>
            </w:r>
            <w:r w:rsidR="00CE4A38">
              <w:rPr>
                <w:rFonts w:ascii="Aptos" w:hAnsi="Aptos" w:cs="Calibri"/>
                <w:sz w:val="18"/>
                <w:szCs w:val="18"/>
              </w:rPr>
              <w:t xml:space="preserve"> more accurate. </w:t>
            </w:r>
          </w:p>
        </w:tc>
      </w:tr>
      <w:tr w:rsidR="00771D5D" w:rsidRPr="00ED2A6C" w14:paraId="65ED265E" w14:textId="77777777" w:rsidTr="00663F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8" w:type="dxa"/>
          </w:tcPr>
          <w:p w14:paraId="1DD7A425" w14:textId="77777777" w:rsidR="003741EF" w:rsidRPr="003741EF" w:rsidRDefault="003741EF">
            <w:pPr>
              <w:spacing w:line="259" w:lineRule="auto"/>
              <w:rPr>
                <w:rFonts w:ascii="Aptos" w:hAnsi="Aptos" w:cs="Calibri"/>
                <w:b w:val="0"/>
                <w:bCs w:val="0"/>
                <w:sz w:val="18"/>
                <w:szCs w:val="18"/>
              </w:rPr>
            </w:pPr>
            <w:r w:rsidRPr="003741EF">
              <w:rPr>
                <w:rFonts w:ascii="Aptos" w:hAnsi="Aptos" w:cs="Calibri"/>
                <w:color w:val="000000"/>
                <w:sz w:val="18"/>
                <w:szCs w:val="18"/>
              </w:rPr>
              <w:t xml:space="preserve">Whole-of-Organisation </w:t>
            </w:r>
          </w:p>
        </w:tc>
        <w:tc>
          <w:tcPr>
            <w:tcW w:w="7178" w:type="dxa"/>
          </w:tcPr>
          <w:p w14:paraId="74C0D829" w14:textId="77777777" w:rsidR="003741EF" w:rsidRPr="003741EF" w:rsidRDefault="003741EF">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Calibri"/>
                <w:color w:val="000000"/>
                <w:sz w:val="18"/>
                <w:szCs w:val="18"/>
              </w:rPr>
            </w:pPr>
            <w:r w:rsidRPr="003741EF">
              <w:rPr>
                <w:rFonts w:ascii="Aptos" w:hAnsi="Aptos" w:cs="Calibri"/>
                <w:color w:val="000000"/>
                <w:sz w:val="18"/>
                <w:szCs w:val="18"/>
              </w:rPr>
              <w:t>An approach applied across all areas of a Provider’s operations, including any Student Accommodation which it directly owns, operates and/or manages, or the operations of a Student Accommodation Provider or Affiliated Student Accommodation Provider as the context requires it, and at all levels that is evidence-informed, uses multiple strategies and is subject to ongoing monitoring and evaluation, including in respect to:</w:t>
            </w:r>
          </w:p>
          <w:p w14:paraId="253189FE"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leadership, culture and environment;</w:t>
            </w:r>
          </w:p>
          <w:p w14:paraId="78879ABB"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structures, norms and practices;</w:t>
            </w:r>
          </w:p>
          <w:p w14:paraId="0547E063"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systems and infrastructure;</w:t>
            </w:r>
          </w:p>
          <w:p w14:paraId="3177F189"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service delivery, such as curriculum, teaching and learning;</w:t>
            </w:r>
          </w:p>
          <w:p w14:paraId="6179D7C1"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Policies and Procedures;</w:t>
            </w:r>
          </w:p>
          <w:p w14:paraId="1A56EFCA"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management and governance;</w:t>
            </w:r>
          </w:p>
          <w:p w14:paraId="1439E8B5"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community engagement;</w:t>
            </w:r>
          </w:p>
          <w:p w14:paraId="0CA136CF"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business;</w:t>
            </w:r>
          </w:p>
          <w:p w14:paraId="1FC04884"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research; and</w:t>
            </w:r>
          </w:p>
          <w:p w14:paraId="2EAAB4F7" w14:textId="77777777" w:rsidR="003741EF" w:rsidRPr="003741EF" w:rsidRDefault="003741EF" w:rsidP="008D4824">
            <w:pPr>
              <w:pStyle w:val="ListParagraph"/>
              <w:numPr>
                <w:ilvl w:val="0"/>
                <w:numId w:val="130"/>
              </w:numPr>
              <w:spacing w:line="259" w:lineRule="auto"/>
              <w:ind w:left="454"/>
              <w:contextualSpacing w:val="0"/>
              <w:cnfStyle w:val="000000100000" w:firstRow="0" w:lastRow="0" w:firstColumn="0" w:lastColumn="0" w:oddVBand="0" w:evenVBand="0" w:oddHBand="1" w:evenHBand="0" w:firstRowFirstColumn="0" w:firstRowLastColumn="0" w:lastRowFirstColumn="0" w:lastRowLastColumn="0"/>
              <w:rPr>
                <w:rFonts w:ascii="Aptos" w:hAnsi="Aptos" w:cs="Calibri"/>
                <w:sz w:val="18"/>
                <w:szCs w:val="18"/>
              </w:rPr>
            </w:pPr>
            <w:r w:rsidRPr="003741EF">
              <w:rPr>
                <w:rFonts w:ascii="Aptos" w:hAnsi="Aptos" w:cs="Calibri"/>
                <w:color w:val="000000"/>
                <w:sz w:val="18"/>
                <w:szCs w:val="18"/>
              </w:rPr>
              <w:t>partnerships.</w:t>
            </w:r>
          </w:p>
        </w:tc>
      </w:tr>
    </w:tbl>
    <w:p w14:paraId="25970AD2" w14:textId="77777777" w:rsidR="005372FE" w:rsidRPr="00CF1449" w:rsidRDefault="005372FE" w:rsidP="00663F2A">
      <w:pPr>
        <w:pStyle w:val="Heading1"/>
      </w:pPr>
      <w:bookmarkStart w:id="296" w:name="_Toc199437761"/>
      <w:bookmarkStart w:id="297" w:name="_Toc199511493"/>
      <w:bookmarkStart w:id="298" w:name="_Toc204699921"/>
      <w:bookmarkStart w:id="299" w:name="_Toc210050265"/>
      <w:r w:rsidRPr="00CF1449">
        <w:lastRenderedPageBreak/>
        <w:t>Appendix A: Summary of key reports</w:t>
      </w:r>
      <w:bookmarkEnd w:id="296"/>
      <w:bookmarkEnd w:id="297"/>
      <w:bookmarkEnd w:id="298"/>
      <w:bookmarkEnd w:id="299"/>
    </w:p>
    <w:tbl>
      <w:tblPr>
        <w:tblStyle w:val="GridTable4-Accent1"/>
        <w:tblW w:w="9067" w:type="dxa"/>
        <w:tblLook w:val="04A0" w:firstRow="1" w:lastRow="0" w:firstColumn="1" w:lastColumn="0" w:noHBand="0" w:noVBand="1"/>
      </w:tblPr>
      <w:tblGrid>
        <w:gridCol w:w="2184"/>
        <w:gridCol w:w="6883"/>
      </w:tblGrid>
      <w:tr w:rsidR="00BC0086" w:rsidRPr="00CF1449" w14:paraId="28B4E12A" w14:textId="77777777" w:rsidTr="000E342D">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11" w:type="dxa"/>
            <w:hideMark/>
          </w:tcPr>
          <w:p w14:paraId="2E86DEA0" w14:textId="77777777" w:rsidR="005372FE" w:rsidRPr="00CF1449" w:rsidRDefault="005372FE">
            <w:pPr>
              <w:spacing w:before="120" w:after="120"/>
              <w:textAlignment w:val="baseline"/>
              <w:rPr>
                <w:rFonts w:ascii="Aptos" w:eastAsia="Times New Roman" w:hAnsi="Aptos" w:cs="Calibri"/>
                <w:color w:val="auto"/>
                <w:sz w:val="20"/>
                <w:szCs w:val="20"/>
                <w:lang w:eastAsia="en-AU"/>
              </w:rPr>
            </w:pPr>
            <w:r w:rsidRPr="00337AEA">
              <w:rPr>
                <w:rFonts w:ascii="Aptos" w:eastAsia="Times New Roman" w:hAnsi="Aptos" w:cs="Calibri"/>
                <w:sz w:val="20"/>
                <w:szCs w:val="20"/>
                <w:lang w:eastAsia="en-AU"/>
              </w:rPr>
              <w:t>Key report  </w:t>
            </w:r>
          </w:p>
        </w:tc>
        <w:tc>
          <w:tcPr>
            <w:tcW w:w="6956" w:type="dxa"/>
            <w:hideMark/>
          </w:tcPr>
          <w:p w14:paraId="07176CC8" w14:textId="588F1427" w:rsidR="005372FE" w:rsidRPr="00CF1449" w:rsidRDefault="005372FE">
            <w:pPr>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b w:val="0"/>
                <w:bCs w:val="0"/>
                <w:color w:val="auto"/>
                <w:sz w:val="20"/>
                <w:szCs w:val="20"/>
                <w:lang w:eastAsia="en-AU"/>
              </w:rPr>
            </w:pPr>
            <w:r w:rsidRPr="00CF1449">
              <w:rPr>
                <w:rFonts w:ascii="Aptos" w:eastAsia="Times New Roman" w:hAnsi="Aptos" w:cs="Calibri"/>
                <w:color w:val="auto"/>
                <w:sz w:val="20"/>
                <w:szCs w:val="20"/>
                <w:lang w:eastAsia="en-AU"/>
              </w:rPr>
              <w:t> </w:t>
            </w:r>
            <w:r w:rsidR="00DE1A1E" w:rsidRPr="00DD4830">
              <w:rPr>
                <w:rFonts w:ascii="Aptos" w:eastAsia="Times New Roman" w:hAnsi="Aptos" w:cs="Calibri"/>
                <w:sz w:val="20"/>
                <w:szCs w:val="20"/>
                <w:lang w:eastAsia="en-AU"/>
              </w:rPr>
              <w:t>Recommendations</w:t>
            </w:r>
          </w:p>
        </w:tc>
      </w:tr>
      <w:tr w:rsidR="00BC0086" w:rsidRPr="00CF1449" w14:paraId="0A6AD48D" w14:textId="77777777" w:rsidTr="000E342D">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111" w:type="dxa"/>
            <w:hideMark/>
          </w:tcPr>
          <w:p w14:paraId="3E2EDE0D" w14:textId="77777777" w:rsidR="005372FE" w:rsidRPr="00CF1449" w:rsidRDefault="005372FE">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Change The Course: National Report on Sexual Assault and Sexual Harassment at Australian Universities (Australian Human Rights Commission, 2017) </w:t>
            </w:r>
          </w:p>
          <w:p w14:paraId="270971BD" w14:textId="77777777" w:rsidR="005372FE" w:rsidRPr="00CF1449" w:rsidRDefault="005372FE">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 </w:t>
            </w:r>
          </w:p>
        </w:tc>
        <w:tc>
          <w:tcPr>
            <w:tcW w:w="6956" w:type="dxa"/>
            <w:hideMark/>
          </w:tcPr>
          <w:p w14:paraId="305D3169" w14:textId="48E1E826" w:rsidR="005372FE" w:rsidRPr="00CF1449" w:rsidRDefault="005372FE">
            <w:pPr>
              <w:spacing w:before="120" w:after="120"/>
              <w:ind w:right="-3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The</w:t>
            </w:r>
            <w:r w:rsidRPr="00CF1449">
              <w:rPr>
                <w:rFonts w:ascii="Aptos" w:eastAsia="Times New Roman" w:hAnsi="Aptos" w:cs="Calibri"/>
                <w:i/>
                <w:iCs/>
                <w:sz w:val="20"/>
                <w:szCs w:val="20"/>
                <w:lang w:eastAsia="en-AU"/>
              </w:rPr>
              <w:t xml:space="preserve"> Change the Course</w:t>
            </w:r>
            <w:r w:rsidRPr="00CF1449">
              <w:rPr>
                <w:rFonts w:ascii="Aptos" w:eastAsia="Times New Roman" w:hAnsi="Aptos" w:cs="Calibri"/>
                <w:sz w:val="20"/>
                <w:szCs w:val="20"/>
                <w:lang w:eastAsia="en-AU"/>
              </w:rPr>
              <w:t xml:space="preserve"> report gave </w:t>
            </w:r>
            <w:r w:rsidR="008F608B" w:rsidRPr="00CF1449">
              <w:rPr>
                <w:rFonts w:ascii="Aptos" w:eastAsia="Times New Roman" w:hAnsi="Aptos" w:cs="Calibri"/>
                <w:sz w:val="20"/>
                <w:szCs w:val="20"/>
                <w:lang w:eastAsia="en-AU"/>
              </w:rPr>
              <w:t>nine</w:t>
            </w:r>
            <w:r w:rsidRPr="00CF1449">
              <w:rPr>
                <w:rFonts w:ascii="Aptos" w:eastAsia="Times New Roman" w:hAnsi="Aptos" w:cs="Calibri"/>
                <w:sz w:val="20"/>
                <w:szCs w:val="20"/>
                <w:lang w:eastAsia="en-AU"/>
              </w:rPr>
              <w:t xml:space="preserve"> recommendations for Australian universities and university residential colleges to follow. These recommendations focused on structural and cultural reforms to minimise the frequency of incidences and effectively manage sexual harassment and assault in all university settings. </w:t>
            </w:r>
          </w:p>
          <w:p w14:paraId="023D4325" w14:textId="77777777" w:rsidR="005372FE" w:rsidRPr="00CF1449" w:rsidRDefault="005372FE">
            <w:pPr>
              <w:spacing w:before="120" w:after="120"/>
              <w:ind w:right="-3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Recommendations included: </w:t>
            </w:r>
          </w:p>
          <w:p w14:paraId="03458630" w14:textId="77777777" w:rsidR="005372FE" w:rsidRPr="00CF1449" w:rsidRDefault="005372FE" w:rsidP="005372FE">
            <w:pPr>
              <w:pStyle w:val="ListParagraph"/>
              <w:numPr>
                <w:ilvl w:val="0"/>
                <w:numId w:val="19"/>
              </w:numPr>
              <w:spacing w:before="120" w:after="120"/>
              <w:ind w:left="46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Vice-Chancellors should take direct responsibility for the implementation of these recommendations, including decision-making and monitoring and evaluation of actions taken</w:t>
            </w:r>
          </w:p>
          <w:p w14:paraId="1D398535" w14:textId="77777777" w:rsidR="005372FE" w:rsidRPr="00CF1449" w:rsidRDefault="005372FE" w:rsidP="005372FE">
            <w:pPr>
              <w:pStyle w:val="ListParagraph"/>
              <w:numPr>
                <w:ilvl w:val="0"/>
                <w:numId w:val="19"/>
              </w:numPr>
              <w:spacing w:before="120" w:after="120"/>
              <w:ind w:left="46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universities develop a plan for addressing the drivers of sexual assault and sexual harassment through education</w:t>
            </w:r>
          </w:p>
          <w:p w14:paraId="42B7FB58" w14:textId="77777777" w:rsidR="005372FE" w:rsidRPr="00CF1449" w:rsidRDefault="005372FE" w:rsidP="005372FE">
            <w:pPr>
              <w:pStyle w:val="ListParagraph"/>
              <w:numPr>
                <w:ilvl w:val="0"/>
                <w:numId w:val="19"/>
              </w:numPr>
              <w:spacing w:before="120" w:after="120"/>
              <w:ind w:left="46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universities ensure students and staff know about support services and reporting processes for sexual assault or sexual harassment</w:t>
            </w:r>
          </w:p>
          <w:p w14:paraId="273240E7" w14:textId="77777777" w:rsidR="005372FE" w:rsidRPr="00CF1449" w:rsidRDefault="005372FE" w:rsidP="005372FE">
            <w:pPr>
              <w:pStyle w:val="ListParagraph"/>
              <w:numPr>
                <w:ilvl w:val="0"/>
                <w:numId w:val="19"/>
              </w:numPr>
              <w:spacing w:before="120" w:after="120"/>
              <w:ind w:left="46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within a year universities should commission an independent, expert-led review of existing university policies and response pathways in relation to sexual assault and sexual harassment</w:t>
            </w:r>
          </w:p>
          <w:p w14:paraId="4DF0A0E7" w14:textId="77777777" w:rsidR="005372FE" w:rsidRPr="00CF1449" w:rsidRDefault="005372FE" w:rsidP="005372FE">
            <w:pPr>
              <w:pStyle w:val="ListParagraph"/>
              <w:numPr>
                <w:ilvl w:val="0"/>
                <w:numId w:val="19"/>
              </w:numPr>
              <w:spacing w:before="120" w:after="120"/>
              <w:ind w:left="46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universities should ensure that information about individual disclosures and reports of sexual assault and sexual harassment is collected and stored confidentially and used for continuous improvement of processes</w:t>
            </w:r>
          </w:p>
          <w:p w14:paraId="2359A698" w14:textId="77777777" w:rsidR="005372FE" w:rsidRPr="00CF1449" w:rsidRDefault="005372FE" w:rsidP="005372FE">
            <w:pPr>
              <w:pStyle w:val="ListParagraph"/>
              <w:numPr>
                <w:ilvl w:val="0"/>
                <w:numId w:val="19"/>
              </w:numPr>
              <w:spacing w:before="120" w:after="120"/>
              <w:ind w:left="46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as soon as possible universities should conduct an audit of university counselling services</w:t>
            </w:r>
          </w:p>
          <w:p w14:paraId="4158E58B" w14:textId="77777777" w:rsidR="005372FE" w:rsidRPr="00CF1449" w:rsidRDefault="005372FE" w:rsidP="005372FE">
            <w:pPr>
              <w:pStyle w:val="ListParagraph"/>
              <w:numPr>
                <w:ilvl w:val="0"/>
                <w:numId w:val="19"/>
              </w:numPr>
              <w:spacing w:before="120" w:after="120"/>
              <w:ind w:left="46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universities should engage an independent body to conduct the National university student survey of sexual assault and sexual harassment at three-yearly intervals. </w:t>
            </w:r>
          </w:p>
        </w:tc>
      </w:tr>
      <w:tr w:rsidR="001C7FFC" w:rsidRPr="00CF1449" w14:paraId="025686A1" w14:textId="77777777" w:rsidTr="002F6C85">
        <w:trPr>
          <w:trHeight w:val="713"/>
        </w:trPr>
        <w:tc>
          <w:tcPr>
            <w:cnfStyle w:val="001000000000" w:firstRow="0" w:lastRow="0" w:firstColumn="1" w:lastColumn="0" w:oddVBand="0" w:evenVBand="0" w:oddHBand="0" w:evenHBand="0" w:firstRowFirstColumn="0" w:firstRowLastColumn="0" w:lastRowFirstColumn="0" w:lastRowLastColumn="0"/>
            <w:tcW w:w="0" w:type="dxa"/>
          </w:tcPr>
          <w:p w14:paraId="3F68CA8A" w14:textId="77777777" w:rsidR="005372FE" w:rsidRPr="00CF1449" w:rsidRDefault="005372FE">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Connecting the Dots: Understanding sexual assault in university communities (End Rape on Campus, 2017) </w:t>
            </w:r>
          </w:p>
        </w:tc>
        <w:tc>
          <w:tcPr>
            <w:tcW w:w="0" w:type="dxa"/>
          </w:tcPr>
          <w:p w14:paraId="322ED525" w14:textId="77777777" w:rsidR="005372FE" w:rsidRPr="00CF1449" w:rsidRDefault="005372FE">
            <w:pPr>
              <w:spacing w:before="120" w:after="120"/>
              <w:ind w:right="-3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2017 </w:t>
            </w:r>
            <w:r w:rsidRPr="00CF1449">
              <w:rPr>
                <w:rFonts w:ascii="Aptos" w:eastAsia="Times New Roman" w:hAnsi="Aptos" w:cs="Calibri"/>
                <w:i/>
                <w:iCs/>
                <w:sz w:val="20"/>
                <w:szCs w:val="20"/>
                <w:lang w:eastAsia="en-AU"/>
              </w:rPr>
              <w:t>Connecting the dots</w:t>
            </w:r>
            <w:r w:rsidRPr="00CF1449">
              <w:rPr>
                <w:rFonts w:ascii="Aptos" w:eastAsia="Times New Roman" w:hAnsi="Aptos" w:cs="Calibri"/>
                <w:sz w:val="20"/>
                <w:szCs w:val="20"/>
                <w:lang w:eastAsia="en-AU"/>
              </w:rPr>
              <w:t xml:space="preserve"> report by Professor Catharine Lumby, as part of the </w:t>
            </w:r>
            <w:r w:rsidRPr="00CF1449">
              <w:rPr>
                <w:rFonts w:ascii="Aptos" w:eastAsia="Times New Roman" w:hAnsi="Aptos" w:cs="Calibri"/>
                <w:i/>
                <w:iCs/>
                <w:sz w:val="20"/>
                <w:szCs w:val="20"/>
                <w:lang w:eastAsia="en-AU"/>
              </w:rPr>
              <w:t xml:space="preserve">End Rape on Campus Australia </w:t>
            </w:r>
            <w:r w:rsidRPr="00CF1449">
              <w:rPr>
                <w:rFonts w:ascii="Aptos" w:eastAsia="Times New Roman" w:hAnsi="Aptos" w:cs="Calibri"/>
                <w:sz w:val="20"/>
                <w:szCs w:val="20"/>
                <w:lang w:eastAsia="en-AU"/>
              </w:rPr>
              <w:t>campaign, explores the ongoing problem of sexual assault in Australian universities including the nature and extent of the issue, obstacles that students may face when reporting and accessing support and the historical context of university’s failure to respond to the issue. The report also focuses on how survivors’ needs can be best met and supported within tertiary institutions.  </w:t>
            </w:r>
          </w:p>
          <w:p w14:paraId="49B3AB15" w14:textId="77777777" w:rsidR="005372FE" w:rsidRPr="00CF1449" w:rsidRDefault="005372FE">
            <w:pPr>
              <w:spacing w:before="120" w:after="120"/>
              <w:ind w:right="-3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Based on EROC’s research and findings during the curation of the report, they made several recommendations for changes in universities and beyond. Some of these include: </w:t>
            </w:r>
          </w:p>
          <w:p w14:paraId="0CB718C7" w14:textId="7584D7A0" w:rsidR="005372FE" w:rsidRPr="00CF1449" w:rsidRDefault="005372FE" w:rsidP="005372FE">
            <w:pPr>
              <w:pStyle w:val="ListParagraph"/>
              <w:numPr>
                <w:ilvl w:val="0"/>
                <w:numId w:val="19"/>
              </w:numPr>
              <w:spacing w:before="120" w:after="120"/>
              <w:ind w:left="46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develop the education sector to deliver on evidence-based findings and equip them with the support systems to </w:t>
            </w:r>
            <w:r w:rsidR="00BE6008" w:rsidRPr="00CF1449">
              <w:rPr>
                <w:rFonts w:ascii="Aptos" w:eastAsia="Times New Roman" w:hAnsi="Aptos" w:cs="Calibri"/>
                <w:sz w:val="20"/>
                <w:szCs w:val="20"/>
                <w:lang w:eastAsia="en-AU"/>
              </w:rPr>
              <w:t>effectively manage</w:t>
            </w:r>
            <w:r w:rsidRPr="00CF1449">
              <w:rPr>
                <w:rFonts w:ascii="Aptos" w:eastAsia="Times New Roman" w:hAnsi="Aptos" w:cs="Calibri"/>
                <w:sz w:val="20"/>
                <w:szCs w:val="20"/>
                <w:lang w:eastAsia="en-AU"/>
              </w:rPr>
              <w:t xml:space="preserve"> student reports </w:t>
            </w:r>
          </w:p>
          <w:p w14:paraId="673E3D18" w14:textId="77777777" w:rsidR="005372FE" w:rsidRPr="00CF1449" w:rsidRDefault="005372FE" w:rsidP="005372FE">
            <w:pPr>
              <w:pStyle w:val="ListParagraph"/>
              <w:numPr>
                <w:ilvl w:val="0"/>
                <w:numId w:val="19"/>
              </w:numPr>
              <w:spacing w:before="120" w:after="120"/>
              <w:ind w:left="46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implement survivor-centric policies and procedures with functional record-keeping processes </w:t>
            </w:r>
          </w:p>
          <w:p w14:paraId="59BAA167" w14:textId="77777777" w:rsidR="005372FE" w:rsidRPr="00CF1449" w:rsidRDefault="005372FE" w:rsidP="005372FE">
            <w:pPr>
              <w:pStyle w:val="ListParagraph"/>
              <w:numPr>
                <w:ilvl w:val="0"/>
                <w:numId w:val="19"/>
              </w:numPr>
              <w:spacing w:before="120" w:after="120"/>
              <w:ind w:left="46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government commitment to funding support services and ongoing research</w:t>
            </w:r>
          </w:p>
          <w:p w14:paraId="67CEC488" w14:textId="77777777" w:rsidR="005372FE" w:rsidRPr="00CF1449" w:rsidRDefault="005372FE" w:rsidP="005372FE">
            <w:pPr>
              <w:pStyle w:val="ListParagraph"/>
              <w:numPr>
                <w:ilvl w:val="0"/>
                <w:numId w:val="19"/>
              </w:numPr>
              <w:spacing w:before="120" w:after="120"/>
              <w:ind w:left="46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implementation of a federal complaints mechanism to escalate student concerns. </w:t>
            </w:r>
          </w:p>
        </w:tc>
      </w:tr>
      <w:tr w:rsidR="00BC0086" w:rsidRPr="00CF1449" w14:paraId="3E7891FC" w14:textId="77777777" w:rsidTr="000E342D">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111" w:type="dxa"/>
            <w:hideMark/>
          </w:tcPr>
          <w:p w14:paraId="4C776D35" w14:textId="77777777" w:rsidR="005372FE" w:rsidRPr="00CF1449" w:rsidRDefault="005372FE">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lastRenderedPageBreak/>
              <w:t>The Red Zone Report: An investigation into sexual violence and hazing in Australian university residential colleges (End Rape on Campus, 2018) </w:t>
            </w:r>
          </w:p>
          <w:p w14:paraId="1CA5763B" w14:textId="77777777" w:rsidR="005372FE" w:rsidRPr="00CF1449" w:rsidRDefault="005372FE">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 </w:t>
            </w:r>
          </w:p>
        </w:tc>
        <w:tc>
          <w:tcPr>
            <w:tcW w:w="6956" w:type="dxa"/>
            <w:hideMark/>
          </w:tcPr>
          <w:p w14:paraId="12B5761A" w14:textId="77777777" w:rsidR="005372FE" w:rsidRPr="00CF1449" w:rsidRDefault="005372FE">
            <w:pPr>
              <w:spacing w:before="120" w:after="12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w:t>
            </w:r>
            <w:r w:rsidRPr="00CF1449">
              <w:rPr>
                <w:rFonts w:ascii="Aptos" w:eastAsia="Times New Roman" w:hAnsi="Aptos" w:cs="Calibri"/>
                <w:i/>
                <w:iCs/>
                <w:sz w:val="20"/>
                <w:szCs w:val="20"/>
                <w:lang w:eastAsia="en-AU"/>
              </w:rPr>
              <w:t>Red Zone Report</w:t>
            </w:r>
            <w:r w:rsidRPr="00CF1449">
              <w:rPr>
                <w:rFonts w:ascii="Aptos" w:eastAsia="Times New Roman" w:hAnsi="Aptos" w:cs="Calibri"/>
                <w:sz w:val="20"/>
                <w:szCs w:val="20"/>
                <w:lang w:eastAsia="en-AU"/>
              </w:rPr>
              <w:t xml:space="preserve"> was a 2018 investigation into sexual violence and hazing in Australian university residential colleges conducted by End Rape on Campus. The report highlighted the risks to students during university orientation weeks, with increases in hazing, bullying, harassment and sexual assault. The report attempted to address these issues by reviewing the full breadth of available evidence, showing the normalisation of hazing and initiation rituals in university communities. </w:t>
            </w:r>
          </w:p>
          <w:p w14:paraId="56806D8E" w14:textId="74AEB578" w:rsidR="005372FE" w:rsidRPr="00CF1449" w:rsidRDefault="005372FE">
            <w:pPr>
              <w:spacing w:before="120" w:after="120"/>
              <w:ind w:right="-3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report outlined a total of </w:t>
            </w:r>
            <w:r w:rsidR="008F608B" w:rsidRPr="00CF1449">
              <w:rPr>
                <w:rFonts w:ascii="Aptos" w:eastAsia="Times New Roman" w:hAnsi="Aptos" w:cs="Calibri"/>
                <w:sz w:val="20"/>
                <w:szCs w:val="20"/>
                <w:lang w:eastAsia="en-AU"/>
              </w:rPr>
              <w:t>ten</w:t>
            </w:r>
            <w:r w:rsidRPr="00CF1449">
              <w:rPr>
                <w:rFonts w:ascii="Aptos" w:eastAsia="Times New Roman" w:hAnsi="Aptos" w:cs="Calibri"/>
                <w:sz w:val="20"/>
                <w:szCs w:val="20"/>
                <w:lang w:eastAsia="en-AU"/>
              </w:rPr>
              <w:t xml:space="preserve"> recommendations urging both systemic and cultural shifts to minimise sexual assault and harassment in university settings, including:  </w:t>
            </w:r>
          </w:p>
          <w:p w14:paraId="17F7BD93" w14:textId="77777777" w:rsidR="005372FE" w:rsidRPr="00CF1449" w:rsidRDefault="005372FE" w:rsidP="005372FE">
            <w:pPr>
              <w:pStyle w:val="ListParagraph"/>
              <w:numPr>
                <w:ilvl w:val="0"/>
                <w:numId w:val="19"/>
              </w:numPr>
              <w:spacing w:before="120" w:after="120"/>
              <w:ind w:left="460" w:right="-3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improving oversight of respective student residences by the university and taking accountability for behaviours that occur on premises to create streamlined processes across both campus and accommodation </w:t>
            </w:r>
          </w:p>
          <w:p w14:paraId="163073D7" w14:textId="77777777" w:rsidR="005372FE" w:rsidRPr="00CF1449" w:rsidRDefault="005372FE" w:rsidP="005372FE">
            <w:pPr>
              <w:pStyle w:val="ListParagraph"/>
              <w:numPr>
                <w:ilvl w:val="0"/>
                <w:numId w:val="19"/>
              </w:numPr>
              <w:spacing w:before="120" w:after="120"/>
              <w:ind w:left="460" w:right="-3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ensuring equally accessible university complaints procedures and counselling services for university and college students </w:t>
            </w:r>
          </w:p>
          <w:p w14:paraId="5BD8C4DD" w14:textId="77777777" w:rsidR="005372FE" w:rsidRPr="00CF1449" w:rsidRDefault="005372FE" w:rsidP="005372FE">
            <w:pPr>
              <w:pStyle w:val="ListParagraph"/>
              <w:numPr>
                <w:ilvl w:val="0"/>
                <w:numId w:val="19"/>
              </w:numPr>
              <w:spacing w:before="120" w:after="120"/>
              <w:ind w:left="460" w:right="-3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reviewing the role of secondary schools in ‘feeding’ residential colleges to try and break systematic distribution misbehaviours and culture </w:t>
            </w:r>
          </w:p>
          <w:p w14:paraId="2605303F" w14:textId="77777777" w:rsidR="005372FE" w:rsidRPr="00CF1449" w:rsidRDefault="005372FE" w:rsidP="005372FE">
            <w:pPr>
              <w:pStyle w:val="ListParagraph"/>
              <w:numPr>
                <w:ilvl w:val="0"/>
                <w:numId w:val="19"/>
              </w:numPr>
              <w:spacing w:before="120" w:after="120"/>
              <w:ind w:left="460" w:right="-3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criminalising harmful initiation practices known as ‘hazing’ </w:t>
            </w:r>
          </w:p>
          <w:p w14:paraId="3018B22F" w14:textId="77777777" w:rsidR="005372FE" w:rsidRPr="00CF1449" w:rsidRDefault="005372FE" w:rsidP="005372FE">
            <w:pPr>
              <w:pStyle w:val="ListParagraph"/>
              <w:numPr>
                <w:ilvl w:val="0"/>
                <w:numId w:val="19"/>
              </w:numPr>
              <w:spacing w:before="120" w:after="120"/>
              <w:ind w:left="460" w:right="-30"/>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establishing a government taskforce to oversee responses to sexual assault in the education sector and introduce mandatory reporting from universities </w:t>
            </w:r>
          </w:p>
        </w:tc>
      </w:tr>
      <w:tr w:rsidR="001C7FFC" w:rsidRPr="00CF1449" w14:paraId="72E51CA0" w14:textId="77777777" w:rsidTr="002F6C85">
        <w:trPr>
          <w:trHeight w:val="345"/>
        </w:trPr>
        <w:tc>
          <w:tcPr>
            <w:cnfStyle w:val="001000000000" w:firstRow="0" w:lastRow="0" w:firstColumn="1" w:lastColumn="0" w:oddVBand="0" w:evenVBand="0" w:oddHBand="0" w:evenHBand="0" w:firstRowFirstColumn="0" w:firstRowLastColumn="0" w:lastRowFirstColumn="0" w:lastRowLastColumn="0"/>
            <w:tcW w:w="0" w:type="dxa"/>
            <w:hideMark/>
          </w:tcPr>
          <w:p w14:paraId="32855361" w14:textId="77777777" w:rsidR="005372FE" w:rsidRPr="00CF1449" w:rsidRDefault="005372FE">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Combative to Collaborative: International Perspectives on Prevention Sexual Violence at Australian Universities (Camille Schloeffel, 2023) </w:t>
            </w:r>
          </w:p>
          <w:p w14:paraId="3FDC7A1E" w14:textId="77777777" w:rsidR="005372FE" w:rsidRPr="00CF1449" w:rsidRDefault="005372FE">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 </w:t>
            </w:r>
          </w:p>
        </w:tc>
        <w:tc>
          <w:tcPr>
            <w:tcW w:w="0" w:type="dxa"/>
            <w:hideMark/>
          </w:tcPr>
          <w:p w14:paraId="0845AE7D" w14:textId="77777777" w:rsidR="005372FE" w:rsidRPr="00CF1449" w:rsidRDefault="005372FE">
            <w:pPr>
              <w:spacing w:before="120" w:after="120"/>
              <w:ind w:right="-3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2023 </w:t>
            </w:r>
            <w:r w:rsidRPr="00CF1449">
              <w:rPr>
                <w:rFonts w:ascii="Aptos" w:eastAsia="Times New Roman" w:hAnsi="Aptos" w:cs="Calibri"/>
                <w:i/>
                <w:iCs/>
                <w:sz w:val="20"/>
                <w:szCs w:val="20"/>
                <w:lang w:eastAsia="en-AU"/>
              </w:rPr>
              <w:t>Combative to Collaborative: International Perspectives on Preventing Sexual Violence at Australian Universities</w:t>
            </w:r>
            <w:r w:rsidRPr="00CF1449">
              <w:rPr>
                <w:rFonts w:ascii="Aptos" w:eastAsia="Times New Roman" w:hAnsi="Aptos" w:cs="Calibri"/>
                <w:sz w:val="20"/>
                <w:szCs w:val="20"/>
                <w:lang w:eastAsia="en-AU"/>
              </w:rPr>
              <w:t xml:space="preserve"> report by Camille Schoeffel focuses on the prevalence of sexual assault in Australian universities and provides guidance on appropriate prevention. The report compares Australian university approaches to counterparts in the USA, Canada and the UK. </w:t>
            </w:r>
          </w:p>
          <w:p w14:paraId="74439FDD" w14:textId="3095FF2E" w:rsidR="005372FE" w:rsidRPr="00CF1449" w:rsidRDefault="005372FE">
            <w:pPr>
              <w:spacing w:before="120" w:after="120"/>
              <w:ind w:right="-28"/>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report outlines </w:t>
            </w:r>
            <w:r w:rsidR="008F608B" w:rsidRPr="00CF1449">
              <w:rPr>
                <w:rFonts w:ascii="Aptos" w:eastAsia="Times New Roman" w:hAnsi="Aptos" w:cs="Calibri"/>
                <w:sz w:val="20"/>
                <w:szCs w:val="20"/>
                <w:lang w:eastAsia="en-AU"/>
              </w:rPr>
              <w:t>seven</w:t>
            </w:r>
            <w:r w:rsidRPr="00CF1449">
              <w:rPr>
                <w:rFonts w:ascii="Aptos" w:eastAsia="Times New Roman" w:hAnsi="Aptos" w:cs="Calibri"/>
                <w:sz w:val="20"/>
                <w:szCs w:val="20"/>
                <w:lang w:eastAsia="en-AU"/>
              </w:rPr>
              <w:t xml:space="preserve"> core principles for effective prevention and 61 recommendations which provide a clear path for universities to follow. The key themes of these recommendations include: </w:t>
            </w:r>
          </w:p>
          <w:p w14:paraId="6158D2CD" w14:textId="77777777" w:rsidR="005372FE" w:rsidRPr="00CF1449" w:rsidRDefault="005372FE" w:rsidP="005372FE">
            <w:pPr>
              <w:pStyle w:val="ListParagraph"/>
              <w:numPr>
                <w:ilvl w:val="0"/>
                <w:numId w:val="19"/>
              </w:numPr>
              <w:spacing w:before="120" w:after="120"/>
              <w:ind w:left="46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universities should implement structures to prevent sexual assault on campus </w:t>
            </w:r>
          </w:p>
          <w:p w14:paraId="279BE382" w14:textId="77777777" w:rsidR="005372FE" w:rsidRPr="00CF1449" w:rsidRDefault="005372FE" w:rsidP="005372FE">
            <w:pPr>
              <w:pStyle w:val="ListParagraph"/>
              <w:numPr>
                <w:ilvl w:val="0"/>
                <w:numId w:val="19"/>
              </w:numPr>
              <w:spacing w:before="120" w:after="120"/>
              <w:ind w:left="46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collaboration and activism are required to drive systematic and cultural change across the globe </w:t>
            </w:r>
          </w:p>
          <w:p w14:paraId="2273AE52" w14:textId="1E1656CD" w:rsidR="005372FE" w:rsidRPr="00CF1449" w:rsidRDefault="005372FE" w:rsidP="005372FE">
            <w:pPr>
              <w:pStyle w:val="ListParagraph"/>
              <w:numPr>
                <w:ilvl w:val="0"/>
                <w:numId w:val="19"/>
              </w:numPr>
              <w:spacing w:before="120" w:after="120"/>
              <w:ind w:left="46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increased accountability and transparency </w:t>
            </w:r>
            <w:r w:rsidR="00C931AA" w:rsidRPr="00CF1449">
              <w:rPr>
                <w:rFonts w:ascii="Aptos" w:eastAsia="Times New Roman" w:hAnsi="Aptos" w:cs="Calibri"/>
                <w:sz w:val="20"/>
                <w:szCs w:val="20"/>
                <w:lang w:eastAsia="en-AU"/>
              </w:rPr>
              <w:t>are</w:t>
            </w:r>
            <w:r w:rsidRPr="00CF1449">
              <w:rPr>
                <w:rFonts w:ascii="Aptos" w:eastAsia="Times New Roman" w:hAnsi="Aptos" w:cs="Calibri"/>
                <w:sz w:val="20"/>
                <w:szCs w:val="20"/>
                <w:lang w:eastAsia="en-AU"/>
              </w:rPr>
              <w:t xml:space="preserve"> needed across universities regarding their reporting and support structures </w:t>
            </w:r>
          </w:p>
          <w:p w14:paraId="4AF34D31" w14:textId="77777777" w:rsidR="005372FE" w:rsidRPr="00CF1449" w:rsidRDefault="005372FE" w:rsidP="005372FE">
            <w:pPr>
              <w:pStyle w:val="ListParagraph"/>
              <w:numPr>
                <w:ilvl w:val="0"/>
                <w:numId w:val="19"/>
              </w:numPr>
              <w:spacing w:before="120" w:after="120"/>
              <w:ind w:left="46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government intervention is necessary to make major reforms to see long lasting change </w:t>
            </w:r>
          </w:p>
        </w:tc>
      </w:tr>
    </w:tbl>
    <w:p w14:paraId="775B9096" w14:textId="77777777" w:rsidR="005372FE" w:rsidRPr="00CF1449" w:rsidRDefault="005372FE" w:rsidP="005372FE">
      <w:pPr>
        <w:pStyle w:val="Heading1"/>
        <w:numPr>
          <w:ilvl w:val="0"/>
          <w:numId w:val="0"/>
        </w:numPr>
        <w:ind w:left="432"/>
        <w:rPr>
          <w:rFonts w:ascii="Aptos" w:hAnsi="Aptos"/>
        </w:rPr>
      </w:pPr>
    </w:p>
    <w:p w14:paraId="2E63AE21" w14:textId="77777777" w:rsidR="005372FE" w:rsidRPr="00CF1449" w:rsidRDefault="005372FE">
      <w:pPr>
        <w:rPr>
          <w:rFonts w:ascii="Aptos" w:eastAsiaTheme="majorEastAsia" w:hAnsi="Aptos" w:cstheme="majorBidi"/>
          <w:color w:val="0F4761" w:themeColor="accent1" w:themeShade="BF"/>
          <w:sz w:val="40"/>
          <w:szCs w:val="40"/>
        </w:rPr>
      </w:pPr>
      <w:r w:rsidRPr="00CF1449">
        <w:rPr>
          <w:rFonts w:ascii="Aptos" w:hAnsi="Aptos"/>
        </w:rPr>
        <w:br w:type="page"/>
      </w:r>
    </w:p>
    <w:p w14:paraId="306C4B61" w14:textId="24AEA585" w:rsidR="00CF1449" w:rsidRPr="00CF1449" w:rsidRDefault="00CF1449" w:rsidP="00CF1449">
      <w:pPr>
        <w:pStyle w:val="Heading1"/>
        <w:spacing w:before="400" w:after="40" w:line="240" w:lineRule="auto"/>
        <w:rPr>
          <w:rFonts w:ascii="Aptos" w:hAnsi="Aptos"/>
        </w:rPr>
      </w:pPr>
      <w:bookmarkStart w:id="300" w:name="_Toc199437762"/>
      <w:bookmarkStart w:id="301" w:name="_Toc199511494"/>
      <w:r>
        <w:rPr>
          <w:rFonts w:ascii="Aptos" w:hAnsi="Aptos"/>
        </w:rPr>
        <w:lastRenderedPageBreak/>
        <w:t xml:space="preserve"> </w:t>
      </w:r>
      <w:bookmarkStart w:id="302" w:name="_Toc204699922"/>
      <w:bookmarkStart w:id="303" w:name="_Toc210050266"/>
      <w:r w:rsidRPr="00CF1449">
        <w:rPr>
          <w:rFonts w:ascii="Aptos" w:hAnsi="Aptos"/>
        </w:rPr>
        <w:t xml:space="preserve">Appendix B: Current regulatory scope and limitations to regulating </w:t>
      </w:r>
      <w:bookmarkEnd w:id="300"/>
      <w:bookmarkEnd w:id="301"/>
      <w:r w:rsidR="00B7771B">
        <w:rPr>
          <w:rFonts w:ascii="Aptos" w:hAnsi="Aptos"/>
        </w:rPr>
        <w:t>GBV</w:t>
      </w:r>
      <w:bookmarkEnd w:id="302"/>
      <w:bookmarkEnd w:id="303"/>
      <w:r w:rsidRPr="00CF1449">
        <w:rPr>
          <w:rFonts w:ascii="Aptos" w:hAnsi="Aptos"/>
        </w:rPr>
        <w:t xml:space="preserve"> </w:t>
      </w:r>
    </w:p>
    <w:tbl>
      <w:tblPr>
        <w:tblStyle w:val="GridTable4-Accent1"/>
        <w:tblW w:w="8926" w:type="dxa"/>
        <w:tblLook w:val="04A0" w:firstRow="1" w:lastRow="0" w:firstColumn="1" w:lastColumn="0" w:noHBand="0" w:noVBand="1"/>
      </w:tblPr>
      <w:tblGrid>
        <w:gridCol w:w="2263"/>
        <w:gridCol w:w="6663"/>
      </w:tblGrid>
      <w:tr w:rsidR="00BC0086" w:rsidRPr="00CF1449" w14:paraId="30051ACD" w14:textId="77777777" w:rsidTr="00663F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63" w:type="dxa"/>
            <w:hideMark/>
          </w:tcPr>
          <w:p w14:paraId="45948AA0" w14:textId="77777777" w:rsidR="00CF1449" w:rsidRPr="00CF1449" w:rsidRDefault="00CF1449">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Regulation </w:t>
            </w:r>
          </w:p>
        </w:tc>
        <w:tc>
          <w:tcPr>
            <w:tcW w:w="6663" w:type="dxa"/>
            <w:hideMark/>
          </w:tcPr>
          <w:p w14:paraId="6E96F36A" w14:textId="77777777" w:rsidR="00CF1449" w:rsidRPr="00CF1449" w:rsidRDefault="00CF1449">
            <w:pPr>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Current regulatory scope </w:t>
            </w:r>
          </w:p>
        </w:tc>
      </w:tr>
      <w:tr w:rsidR="00BC0086" w:rsidRPr="00CF1449" w14:paraId="64FB381D" w14:textId="77777777" w:rsidTr="000E3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4EE1F686" w14:textId="77777777" w:rsidR="00CF1449" w:rsidRPr="00CF1449" w:rsidRDefault="00CF1449">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Higher Education Standards Framework (Threshold Standards) 2021 </w:t>
            </w:r>
          </w:p>
        </w:tc>
        <w:tc>
          <w:tcPr>
            <w:tcW w:w="6663" w:type="dxa"/>
            <w:hideMark/>
          </w:tcPr>
          <w:p w14:paraId="4DBB5A88" w14:textId="420201CD" w:rsidR="00CF1449" w:rsidRPr="00CF1449" w:rsidRDefault="00CF1449" w:rsidP="00CF1449">
            <w:pPr>
              <w:pStyle w:val="ListParagraph"/>
              <w:numPr>
                <w:ilvl w:val="0"/>
                <w:numId w:val="19"/>
              </w:numPr>
              <w:spacing w:before="120" w:after="120"/>
              <w:ind w:left="4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Threshold Standards cover safety and wellbeing for students, but do not provide specific compliance requirements for preventing and responding to </w:t>
            </w:r>
            <w:r w:rsidR="00B7771B">
              <w:rPr>
                <w:rFonts w:ascii="Aptos" w:eastAsia="Times New Roman" w:hAnsi="Aptos" w:cs="Calibri"/>
                <w:sz w:val="20"/>
                <w:szCs w:val="20"/>
                <w:lang w:eastAsia="en-AU"/>
              </w:rPr>
              <w:t>GBV</w:t>
            </w:r>
            <w:r w:rsidRPr="00CF1449">
              <w:rPr>
                <w:rFonts w:ascii="Aptos" w:eastAsia="Times New Roman" w:hAnsi="Aptos" w:cs="Calibri"/>
                <w:sz w:val="20"/>
                <w:szCs w:val="20"/>
                <w:lang w:eastAsia="en-AU"/>
              </w:rPr>
              <w:t>, including specifics on the nature and extent of support services.   </w:t>
            </w:r>
          </w:p>
          <w:p w14:paraId="278CE3CE" w14:textId="77777777" w:rsidR="00CF1449" w:rsidRPr="00CF1449" w:rsidRDefault="00CF1449" w:rsidP="00CF1449">
            <w:pPr>
              <w:pStyle w:val="ListParagraph"/>
              <w:numPr>
                <w:ilvl w:val="0"/>
                <w:numId w:val="19"/>
              </w:numPr>
              <w:spacing w:before="120" w:after="120"/>
              <w:ind w:left="4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Student accommodation providers are not subject to the Threshold Standards. </w:t>
            </w:r>
          </w:p>
          <w:p w14:paraId="630C2BDA" w14:textId="7D5633D6" w:rsidR="00CF1449" w:rsidRPr="00CF1449" w:rsidRDefault="00CF1449" w:rsidP="00CF1449">
            <w:pPr>
              <w:pStyle w:val="ListParagraph"/>
              <w:numPr>
                <w:ilvl w:val="0"/>
                <w:numId w:val="19"/>
              </w:numPr>
              <w:spacing w:before="120" w:after="120"/>
              <w:ind w:left="4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There is no requirement for </w:t>
            </w:r>
            <w:r w:rsidRPr="00CF1449">
              <w:rPr>
                <w:rFonts w:ascii="Aptos" w:hAnsi="Aptos" w:cs="Calibri"/>
                <w:sz w:val="20"/>
                <w:szCs w:val="20"/>
              </w:rPr>
              <w:t xml:space="preserve">higher education </w:t>
            </w:r>
            <w:r w:rsidRPr="00CF1449">
              <w:rPr>
                <w:rFonts w:ascii="Aptos" w:eastAsia="Times New Roman" w:hAnsi="Aptos" w:cs="Calibri"/>
                <w:sz w:val="20"/>
                <w:szCs w:val="20"/>
                <w:lang w:eastAsia="en-AU"/>
              </w:rPr>
              <w:t xml:space="preserve">providers to report publicly, regularly, consistently on </w:t>
            </w:r>
            <w:r w:rsidR="00B7771B">
              <w:rPr>
                <w:rFonts w:ascii="Aptos" w:eastAsia="Times New Roman" w:hAnsi="Aptos" w:cs="Calibri"/>
                <w:sz w:val="20"/>
                <w:szCs w:val="20"/>
                <w:lang w:eastAsia="en-AU"/>
              </w:rPr>
              <w:t>GBV</w:t>
            </w:r>
            <w:r w:rsidRPr="00CF1449">
              <w:rPr>
                <w:rFonts w:ascii="Aptos" w:eastAsia="Times New Roman" w:hAnsi="Aptos" w:cs="Calibri"/>
                <w:sz w:val="20"/>
                <w:szCs w:val="20"/>
                <w:lang w:eastAsia="en-AU"/>
              </w:rPr>
              <w:t xml:space="preserve"> incidents and responses to these incidents. </w:t>
            </w:r>
          </w:p>
        </w:tc>
      </w:tr>
      <w:tr w:rsidR="001C7FFC" w:rsidRPr="00CF1449" w14:paraId="168AEE1F" w14:textId="77777777" w:rsidTr="002F6C85">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4A49C49" w14:textId="77777777" w:rsidR="00CF1449" w:rsidRPr="00CF1449" w:rsidRDefault="00CF1449">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Higher Education Support Act 2003, Higher Education Provider Guidelines 2023 </w:t>
            </w:r>
          </w:p>
        </w:tc>
        <w:tc>
          <w:tcPr>
            <w:tcW w:w="6663" w:type="dxa"/>
            <w:hideMark/>
          </w:tcPr>
          <w:p w14:paraId="0A0C57A4" w14:textId="44938BDA" w:rsidR="00CF1449" w:rsidRPr="00CF1449" w:rsidRDefault="00CF1449" w:rsidP="00CF1449">
            <w:pPr>
              <w:pStyle w:val="ListParagraph"/>
              <w:numPr>
                <w:ilvl w:val="0"/>
                <w:numId w:val="19"/>
              </w:numPr>
              <w:spacing w:before="120" w:after="120"/>
              <w:ind w:left="4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Act and Guidelines require </w:t>
            </w:r>
            <w:r w:rsidRPr="00CF1449">
              <w:rPr>
                <w:rFonts w:ascii="Aptos" w:hAnsi="Aptos" w:cs="Calibri"/>
                <w:sz w:val="20"/>
                <w:szCs w:val="20"/>
              </w:rPr>
              <w:t xml:space="preserve">higher education </w:t>
            </w:r>
            <w:r w:rsidRPr="00CF1449">
              <w:rPr>
                <w:rFonts w:ascii="Aptos" w:eastAsia="Times New Roman" w:hAnsi="Aptos" w:cs="Calibri"/>
                <w:sz w:val="20"/>
                <w:szCs w:val="20"/>
                <w:lang w:eastAsia="en-AU"/>
              </w:rPr>
              <w:t xml:space="preserve">providers to have grievance and review procedures in place for student complaints on academic and non-academic matters. However, they do not require specific information on the nature of grievance and review procedures in relation to </w:t>
            </w:r>
            <w:r w:rsidR="00B7771B">
              <w:rPr>
                <w:rFonts w:ascii="Aptos" w:eastAsia="Times New Roman" w:hAnsi="Aptos" w:cs="Calibri"/>
                <w:sz w:val="20"/>
                <w:szCs w:val="20"/>
                <w:lang w:eastAsia="en-AU"/>
              </w:rPr>
              <w:t>GBV</w:t>
            </w:r>
            <w:r w:rsidRPr="00CF1449">
              <w:rPr>
                <w:rFonts w:ascii="Aptos" w:eastAsia="Times New Roman" w:hAnsi="Aptos" w:cs="Calibri"/>
                <w:sz w:val="20"/>
                <w:szCs w:val="20"/>
                <w:lang w:eastAsia="en-AU"/>
              </w:rPr>
              <w:t xml:space="preserve"> nor require those procedures to be victim-centred and trauma-informed to reduce the likelihood of further harm. </w:t>
            </w:r>
          </w:p>
        </w:tc>
      </w:tr>
      <w:tr w:rsidR="00BC0086" w:rsidRPr="00CF1449" w14:paraId="2C97B047" w14:textId="77777777" w:rsidTr="000E3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6ADDCFEF" w14:textId="77777777" w:rsidR="00CF1449" w:rsidRPr="00CF1449" w:rsidRDefault="00CF1449">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Support for Students Policy (HESA 2003, s19-43) </w:t>
            </w:r>
          </w:p>
        </w:tc>
        <w:tc>
          <w:tcPr>
            <w:tcW w:w="6663" w:type="dxa"/>
            <w:hideMark/>
          </w:tcPr>
          <w:p w14:paraId="5A7EF843" w14:textId="77777777" w:rsidR="00CF1449" w:rsidRPr="00CF1449" w:rsidRDefault="00CF1449" w:rsidP="00CF1449">
            <w:pPr>
              <w:pStyle w:val="ListParagraph"/>
              <w:numPr>
                <w:ilvl w:val="0"/>
                <w:numId w:val="19"/>
              </w:numPr>
              <w:spacing w:before="120" w:after="120"/>
              <w:ind w:left="4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Support for Students Policy requires </w:t>
            </w:r>
            <w:r w:rsidRPr="00CF1449">
              <w:rPr>
                <w:rFonts w:ascii="Aptos" w:hAnsi="Aptos" w:cs="Calibri"/>
                <w:sz w:val="20"/>
                <w:szCs w:val="20"/>
              </w:rPr>
              <w:t xml:space="preserve">higher education </w:t>
            </w:r>
            <w:r w:rsidRPr="00CF1449">
              <w:rPr>
                <w:rFonts w:ascii="Aptos" w:eastAsia="Times New Roman" w:hAnsi="Aptos" w:cs="Calibri"/>
                <w:sz w:val="20"/>
                <w:szCs w:val="20"/>
                <w:lang w:eastAsia="en-AU"/>
              </w:rPr>
              <w:t xml:space="preserve">providers to have, comply with and report on a policy that supports students to successfully complete units of study in which they are enrolled. However, these requirements only apply to HESA-approved providers – not all TEQSA approved </w:t>
            </w:r>
            <w:r w:rsidRPr="00CF1449">
              <w:rPr>
                <w:rFonts w:ascii="Aptos" w:hAnsi="Aptos" w:cs="Calibri"/>
                <w:sz w:val="20"/>
                <w:szCs w:val="20"/>
              </w:rPr>
              <w:t xml:space="preserve">higher education </w:t>
            </w:r>
            <w:r w:rsidRPr="00CF1449">
              <w:rPr>
                <w:rFonts w:ascii="Aptos" w:eastAsia="Times New Roman" w:hAnsi="Aptos" w:cs="Calibri"/>
                <w:sz w:val="20"/>
                <w:szCs w:val="20"/>
                <w:lang w:eastAsia="en-AU"/>
              </w:rPr>
              <w:t>providers.</w:t>
            </w:r>
          </w:p>
          <w:p w14:paraId="540706AB" w14:textId="34E3F4EE" w:rsidR="00CF1449" w:rsidRPr="00CF1449" w:rsidRDefault="00CF1449" w:rsidP="00CF1449">
            <w:pPr>
              <w:pStyle w:val="ListParagraph"/>
              <w:numPr>
                <w:ilvl w:val="0"/>
                <w:numId w:val="19"/>
              </w:numPr>
              <w:spacing w:before="120" w:after="120"/>
              <w:ind w:left="4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guidelines recognise students may experience family and domestic violence, harassment, sexual harm but do not specifically include other forms of </w:t>
            </w:r>
            <w:r w:rsidR="00B7771B">
              <w:rPr>
                <w:rFonts w:ascii="Aptos" w:eastAsia="Times New Roman" w:hAnsi="Aptos" w:cs="Calibri"/>
                <w:sz w:val="20"/>
                <w:szCs w:val="20"/>
                <w:lang w:eastAsia="en-AU"/>
              </w:rPr>
              <w:t>GBV</w:t>
            </w:r>
            <w:r w:rsidRPr="00CF1449">
              <w:rPr>
                <w:rFonts w:ascii="Aptos" w:eastAsia="Times New Roman" w:hAnsi="Aptos" w:cs="Calibri"/>
                <w:sz w:val="20"/>
                <w:szCs w:val="20"/>
                <w:lang w:eastAsia="en-AU"/>
              </w:rPr>
              <w:t>.   </w:t>
            </w:r>
          </w:p>
        </w:tc>
      </w:tr>
      <w:tr w:rsidR="001C7FFC" w:rsidRPr="00CF1449" w14:paraId="163479EA" w14:textId="77777777" w:rsidTr="002F6C85">
        <w:trPr>
          <w:trHeight w:val="1210"/>
        </w:trPr>
        <w:tc>
          <w:tcPr>
            <w:cnfStyle w:val="001000000000" w:firstRow="0" w:lastRow="0" w:firstColumn="1" w:lastColumn="0" w:oddVBand="0" w:evenVBand="0" w:oddHBand="0" w:evenHBand="0" w:firstRowFirstColumn="0" w:firstRowLastColumn="0" w:lastRowFirstColumn="0" w:lastRowLastColumn="0"/>
            <w:tcW w:w="0" w:type="dxa"/>
            <w:hideMark/>
          </w:tcPr>
          <w:p w14:paraId="52526BAF" w14:textId="77777777" w:rsidR="00CF1449" w:rsidRPr="00CF1449" w:rsidRDefault="00CF1449">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Higher Education Support (Student Services, Amenities, Representation and Advocacy) Guidelines 2022 </w:t>
            </w:r>
          </w:p>
        </w:tc>
        <w:tc>
          <w:tcPr>
            <w:tcW w:w="6663" w:type="dxa"/>
            <w:hideMark/>
          </w:tcPr>
          <w:p w14:paraId="3EF9F4E3" w14:textId="091F154F" w:rsidR="00CF1449" w:rsidRPr="00CF1449" w:rsidRDefault="00CF1449" w:rsidP="00CF1449">
            <w:pPr>
              <w:pStyle w:val="ListParagraph"/>
              <w:numPr>
                <w:ilvl w:val="0"/>
                <w:numId w:val="19"/>
              </w:numPr>
              <w:spacing w:before="120" w:after="120"/>
              <w:ind w:left="4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These Guidelines require higher education providers who charge a student services and amenities fee (SSAF) to publicly report on how allocations are spent. SSAF revenue can only be spent on a range of non-academic support services. However, it does not prescribe support the kinds of support required for victims of </w:t>
            </w:r>
            <w:r w:rsidR="00B7771B">
              <w:rPr>
                <w:rFonts w:ascii="Aptos" w:eastAsia="Times New Roman" w:hAnsi="Aptos" w:cs="Calibri"/>
                <w:sz w:val="20"/>
                <w:szCs w:val="20"/>
                <w:lang w:eastAsia="en-AU"/>
              </w:rPr>
              <w:t>GBV</w:t>
            </w:r>
            <w:r w:rsidRPr="00CF1449">
              <w:rPr>
                <w:rFonts w:ascii="Aptos" w:eastAsia="Times New Roman" w:hAnsi="Aptos" w:cs="Calibri"/>
                <w:sz w:val="20"/>
                <w:szCs w:val="20"/>
                <w:lang w:eastAsia="en-AU"/>
              </w:rPr>
              <w:t>. </w:t>
            </w:r>
          </w:p>
        </w:tc>
      </w:tr>
      <w:tr w:rsidR="00BC0086" w:rsidRPr="00CF1449" w14:paraId="67E7A07D" w14:textId="77777777" w:rsidTr="000E342D">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2263" w:type="dxa"/>
            <w:hideMark/>
          </w:tcPr>
          <w:p w14:paraId="7635CA7D" w14:textId="77777777" w:rsidR="00CF1449" w:rsidRPr="00CF1449" w:rsidRDefault="00CF1449">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The </w:t>
            </w:r>
            <w:r w:rsidR="008743F1">
              <w:rPr>
                <w:rFonts w:ascii="Aptos" w:eastAsia="Times New Roman" w:hAnsi="Aptos" w:cs="Calibri"/>
                <w:sz w:val="20"/>
                <w:szCs w:val="20"/>
                <w:lang w:eastAsia="en-AU"/>
              </w:rPr>
              <w:t>National Code</w:t>
            </w:r>
            <w:r w:rsidRPr="00CF1449">
              <w:rPr>
                <w:rFonts w:ascii="Aptos" w:eastAsia="Times New Roman" w:hAnsi="Aptos" w:cs="Calibri"/>
                <w:sz w:val="20"/>
                <w:szCs w:val="20"/>
                <w:lang w:eastAsia="en-AU"/>
              </w:rPr>
              <w:t xml:space="preserve"> of Practice for Providers of Education and Training to Overseas Students 2018  </w:t>
            </w:r>
          </w:p>
        </w:tc>
        <w:tc>
          <w:tcPr>
            <w:tcW w:w="6663" w:type="dxa"/>
            <w:hideMark/>
          </w:tcPr>
          <w:p w14:paraId="08A61E5E" w14:textId="26BDE7F1" w:rsidR="00CF1449" w:rsidRPr="00CF1449" w:rsidRDefault="00CF1449" w:rsidP="00CF1449">
            <w:pPr>
              <w:pStyle w:val="ListParagraph"/>
              <w:numPr>
                <w:ilvl w:val="0"/>
                <w:numId w:val="19"/>
              </w:numPr>
              <w:spacing w:before="120" w:after="120"/>
              <w:ind w:left="4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This </w:t>
            </w:r>
            <w:r w:rsidR="008743F1">
              <w:rPr>
                <w:rFonts w:ascii="Aptos" w:eastAsia="Times New Roman" w:hAnsi="Aptos" w:cs="Calibri"/>
                <w:sz w:val="20"/>
                <w:szCs w:val="20"/>
                <w:lang w:eastAsia="en-AU"/>
              </w:rPr>
              <w:t>National Code</w:t>
            </w:r>
            <w:r w:rsidRPr="00CF1449">
              <w:rPr>
                <w:rFonts w:ascii="Aptos" w:eastAsia="Times New Roman" w:hAnsi="Aptos" w:cs="Calibri"/>
                <w:sz w:val="20"/>
                <w:szCs w:val="20"/>
                <w:lang w:eastAsia="en-AU"/>
              </w:rPr>
              <w:t xml:space="preserve"> focuses solely on the delivery of education to overseas students. Similar to the Threshold Standards, it outlines minimum standards for </w:t>
            </w:r>
            <w:r w:rsidRPr="00CF1449">
              <w:rPr>
                <w:rFonts w:ascii="Aptos" w:hAnsi="Aptos" w:cs="Calibri"/>
                <w:sz w:val="20"/>
                <w:szCs w:val="20"/>
              </w:rPr>
              <w:t xml:space="preserve">higher education </w:t>
            </w:r>
            <w:r w:rsidRPr="00CF1449">
              <w:rPr>
                <w:rFonts w:ascii="Aptos" w:eastAsia="Times New Roman" w:hAnsi="Aptos" w:cs="Calibri"/>
                <w:sz w:val="20"/>
                <w:szCs w:val="20"/>
                <w:lang w:eastAsia="en-AU"/>
              </w:rPr>
              <w:t>providers to ensure safe environments for students.</w:t>
            </w:r>
          </w:p>
        </w:tc>
      </w:tr>
      <w:tr w:rsidR="001C7FFC" w:rsidRPr="00CF1449" w14:paraId="353A1FC9" w14:textId="77777777" w:rsidTr="002F6C85">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C04B8EC" w14:textId="77777777" w:rsidR="00CF1449" w:rsidRPr="00CF1449" w:rsidRDefault="00CF1449">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Sex Discrimination Act 1984 - Positive duty requirements / Fair Work Act 2009 </w:t>
            </w:r>
          </w:p>
        </w:tc>
        <w:tc>
          <w:tcPr>
            <w:tcW w:w="6663" w:type="dxa"/>
            <w:hideMark/>
          </w:tcPr>
          <w:p w14:paraId="1C370396" w14:textId="330E9EE2" w:rsidR="00CF1449" w:rsidRPr="00CF1449" w:rsidRDefault="00CF1449" w:rsidP="00DD4830">
            <w:pPr>
              <w:pStyle w:val="ListParagraph"/>
              <w:numPr>
                <w:ilvl w:val="0"/>
                <w:numId w:val="19"/>
              </w:numPr>
              <w:spacing w:before="120"/>
              <w:ind w:left="4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Requires employers to take ‘reasonable and proportionate measures’ to eliminate and </w:t>
            </w:r>
            <w:r w:rsidR="00C931AA" w:rsidRPr="00CF1449">
              <w:rPr>
                <w:rFonts w:ascii="Aptos" w:eastAsia="Times New Roman" w:hAnsi="Aptos" w:cs="Calibri"/>
                <w:sz w:val="20"/>
                <w:szCs w:val="20"/>
                <w:lang w:eastAsia="en-AU"/>
              </w:rPr>
              <w:t>prevent</w:t>
            </w:r>
            <w:r w:rsidRPr="00CF1449">
              <w:rPr>
                <w:rFonts w:ascii="Aptos" w:eastAsia="Times New Roman" w:hAnsi="Aptos" w:cs="Calibri"/>
                <w:sz w:val="20"/>
                <w:szCs w:val="20"/>
                <w:lang w:eastAsia="en-AU"/>
              </w:rPr>
              <w:t xml:space="preserve"> discrimination on the grounds of sex in a work context; sexual harassment in connection with work; sex-based harassment in connection with work; conduct creating a workplace environment that is hostile on the grounds of sex; related acts of victimisation.  </w:t>
            </w:r>
          </w:p>
          <w:p w14:paraId="059160C5" w14:textId="77777777" w:rsidR="00CF1449" w:rsidRPr="00CF1449" w:rsidRDefault="00CF1449" w:rsidP="00CF1449">
            <w:pPr>
              <w:pStyle w:val="ListParagraph"/>
              <w:numPr>
                <w:ilvl w:val="0"/>
                <w:numId w:val="19"/>
              </w:numPr>
              <w:spacing w:before="120" w:after="120"/>
              <w:ind w:left="4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Applies to employees/staff but does not apply to students.</w:t>
            </w:r>
            <w:r w:rsidRPr="00CF1449">
              <w:rPr>
                <w:rFonts w:ascii="Aptos" w:hAnsi="Aptos" w:cs="Calibri"/>
                <w:sz w:val="20"/>
                <w:szCs w:val="20"/>
                <w:lang w:eastAsia="en-AU"/>
              </w:rPr>
              <w:t> </w:t>
            </w:r>
          </w:p>
        </w:tc>
      </w:tr>
      <w:tr w:rsidR="00BC0086" w:rsidRPr="00CF1449" w14:paraId="7841E4E3" w14:textId="77777777" w:rsidTr="000E3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11E24108" w14:textId="77777777" w:rsidR="00CF1449" w:rsidRPr="00CF1449" w:rsidRDefault="00CF1449">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lastRenderedPageBreak/>
              <w:t>Work health and safety laws </w:t>
            </w:r>
          </w:p>
        </w:tc>
        <w:tc>
          <w:tcPr>
            <w:tcW w:w="6663" w:type="dxa"/>
            <w:hideMark/>
          </w:tcPr>
          <w:p w14:paraId="2FE58FAC" w14:textId="77777777" w:rsidR="00CF1449" w:rsidRPr="00CF1449" w:rsidRDefault="00CF1449" w:rsidP="00CF1449">
            <w:pPr>
              <w:pStyle w:val="ListParagraph"/>
              <w:numPr>
                <w:ilvl w:val="0"/>
                <w:numId w:val="19"/>
              </w:numPr>
              <w:spacing w:before="120" w:after="120"/>
              <w:ind w:left="4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hAnsi="Aptos" w:cs="Calibri"/>
                <w:sz w:val="20"/>
                <w:szCs w:val="20"/>
              </w:rPr>
              <w:t>Higher education providers</w:t>
            </w:r>
            <w:r w:rsidRPr="00CF1449">
              <w:rPr>
                <w:rFonts w:ascii="Aptos" w:eastAsia="Times New Roman" w:hAnsi="Aptos" w:cs="Calibri"/>
                <w:sz w:val="20"/>
                <w:szCs w:val="20"/>
                <w:lang w:eastAsia="en-AU"/>
              </w:rPr>
              <w:t xml:space="preserve"> have a primary duty to monitor workers’ health and conditions and manage health and safety risks. This includes eliminating or minimising psychosocial hazards at work, which include sexual harassment, violence and aggression.</w:t>
            </w:r>
          </w:p>
          <w:p w14:paraId="14C58311" w14:textId="77777777" w:rsidR="00CF1449" w:rsidRPr="00CF1449" w:rsidRDefault="00CF1449" w:rsidP="00CF1449">
            <w:pPr>
              <w:pStyle w:val="ListParagraph"/>
              <w:numPr>
                <w:ilvl w:val="0"/>
                <w:numId w:val="19"/>
              </w:numPr>
              <w:spacing w:before="120" w:after="120"/>
              <w:ind w:left="4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Guidelines do not always provide specific guidance on how to achieve compliance with the WHS Duty.  </w:t>
            </w:r>
          </w:p>
        </w:tc>
      </w:tr>
      <w:tr w:rsidR="001C7FFC" w:rsidRPr="00CF1449" w14:paraId="5AD24BE6" w14:textId="77777777" w:rsidTr="002F6C85">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2F6BDC5" w14:textId="77777777" w:rsidR="00CF1449" w:rsidRPr="00CF1449" w:rsidRDefault="00CF1449">
            <w:pPr>
              <w:spacing w:before="120" w:after="120"/>
              <w:textAlignment w:val="baseline"/>
              <w:rPr>
                <w:rFonts w:ascii="Aptos" w:eastAsia="Times New Roman" w:hAnsi="Aptos" w:cs="Calibri"/>
                <w:sz w:val="20"/>
                <w:szCs w:val="20"/>
                <w:lang w:eastAsia="en-AU"/>
              </w:rPr>
            </w:pPr>
            <w:r w:rsidRPr="00CF1449">
              <w:rPr>
                <w:rFonts w:ascii="Aptos" w:eastAsia="Times New Roman" w:hAnsi="Aptos" w:cs="Calibri"/>
                <w:sz w:val="20"/>
                <w:szCs w:val="20"/>
                <w:lang w:eastAsia="en-AU"/>
              </w:rPr>
              <w:t>Workplace Gender Equality Agency reporting requirements </w:t>
            </w:r>
          </w:p>
        </w:tc>
        <w:tc>
          <w:tcPr>
            <w:tcW w:w="6663" w:type="dxa"/>
            <w:hideMark/>
          </w:tcPr>
          <w:p w14:paraId="1EDAF839" w14:textId="77777777" w:rsidR="00CF1449" w:rsidRPr="00CF1449" w:rsidRDefault="00CF1449" w:rsidP="00CF1449">
            <w:pPr>
              <w:pStyle w:val="ListParagraph"/>
              <w:numPr>
                <w:ilvl w:val="0"/>
                <w:numId w:val="19"/>
              </w:numPr>
              <w:spacing w:before="120" w:after="120"/>
              <w:ind w:left="4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Requires </w:t>
            </w:r>
            <w:r w:rsidRPr="00CF1449">
              <w:rPr>
                <w:rFonts w:ascii="Aptos" w:hAnsi="Aptos" w:cs="Calibri"/>
                <w:sz w:val="20"/>
                <w:szCs w:val="20"/>
              </w:rPr>
              <w:t>higher education</w:t>
            </w:r>
            <w:r w:rsidRPr="00CF1449">
              <w:rPr>
                <w:rFonts w:ascii="Aptos" w:eastAsia="Times New Roman" w:hAnsi="Aptos" w:cs="Calibri"/>
                <w:sz w:val="20"/>
                <w:szCs w:val="20"/>
                <w:lang w:eastAsia="en-AU"/>
              </w:rPr>
              <w:t xml:space="preserve"> providers to register for the Gender Equality Program if they are standalone organisations with 100 or more employees, or a corporate structure with 100 or more employees in total across all entities.</w:t>
            </w:r>
          </w:p>
          <w:p w14:paraId="51716B63" w14:textId="77777777" w:rsidR="00CF1449" w:rsidRPr="00CF1449" w:rsidRDefault="00CF1449" w:rsidP="00CF1449">
            <w:pPr>
              <w:pStyle w:val="ListParagraph"/>
              <w:numPr>
                <w:ilvl w:val="0"/>
                <w:numId w:val="19"/>
              </w:numPr>
              <w:spacing w:before="120" w:after="120"/>
              <w:ind w:left="4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Reporting is focused on gender equality and equity (which can include harassment and discrimination). </w:t>
            </w:r>
          </w:p>
          <w:p w14:paraId="07319627" w14:textId="5FC0DF3D" w:rsidR="00CF1449" w:rsidRPr="00CF1449" w:rsidRDefault="00CF1449" w:rsidP="00CF1449">
            <w:pPr>
              <w:pStyle w:val="ListParagraph"/>
              <w:numPr>
                <w:ilvl w:val="0"/>
                <w:numId w:val="19"/>
              </w:numPr>
              <w:spacing w:before="120" w:after="120"/>
              <w:ind w:left="4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Reporting does not relate to students, student complaints, disclosures of </w:t>
            </w:r>
            <w:r w:rsidR="00B7771B">
              <w:rPr>
                <w:rFonts w:ascii="Aptos" w:eastAsia="Times New Roman" w:hAnsi="Aptos" w:cs="Calibri"/>
                <w:sz w:val="20"/>
                <w:szCs w:val="20"/>
                <w:lang w:eastAsia="en-AU"/>
              </w:rPr>
              <w:t>GBV</w:t>
            </w:r>
            <w:r w:rsidRPr="00CF1449">
              <w:rPr>
                <w:rFonts w:ascii="Aptos" w:eastAsia="Times New Roman" w:hAnsi="Aptos" w:cs="Calibri"/>
                <w:sz w:val="20"/>
                <w:szCs w:val="20"/>
                <w:lang w:eastAsia="en-AU"/>
              </w:rPr>
              <w:t xml:space="preserve"> or related incident rates. </w:t>
            </w:r>
          </w:p>
          <w:p w14:paraId="1459F9D6" w14:textId="77777777" w:rsidR="00CF1449" w:rsidRPr="00CF1449" w:rsidRDefault="00CF1449" w:rsidP="00CF1449">
            <w:pPr>
              <w:pStyle w:val="ListParagraph"/>
              <w:numPr>
                <w:ilvl w:val="0"/>
                <w:numId w:val="19"/>
              </w:numPr>
              <w:spacing w:before="120" w:after="120"/>
              <w:ind w:left="4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z w:val="20"/>
                <w:szCs w:val="20"/>
                <w:lang w:eastAsia="en-AU"/>
              </w:rPr>
            </w:pPr>
            <w:r w:rsidRPr="00CF1449">
              <w:rPr>
                <w:rFonts w:ascii="Aptos" w:eastAsia="Times New Roman" w:hAnsi="Aptos" w:cs="Calibri"/>
                <w:sz w:val="20"/>
                <w:szCs w:val="20"/>
                <w:lang w:eastAsia="en-AU"/>
              </w:rPr>
              <w:t xml:space="preserve">Does not apply to all registered higher education providers.   </w:t>
            </w:r>
          </w:p>
        </w:tc>
      </w:tr>
    </w:tbl>
    <w:p w14:paraId="6F13B170" w14:textId="556DA9A3" w:rsidR="005F3245" w:rsidRDefault="005F3245" w:rsidP="00BE6D90">
      <w:pPr>
        <w:spacing w:before="120" w:after="120" w:line="240" w:lineRule="auto"/>
        <w:rPr>
          <w:rFonts w:ascii="Aptos" w:eastAsiaTheme="minorEastAsia" w:hAnsi="Aptos" w:cs="Calibri"/>
          <w:b/>
          <w:szCs w:val="22"/>
        </w:rPr>
      </w:pPr>
    </w:p>
    <w:p w14:paraId="6806FB97" w14:textId="77777777" w:rsidR="00C410B8" w:rsidRDefault="00C410B8" w:rsidP="00BE6D90">
      <w:pPr>
        <w:spacing w:before="120" w:after="120" w:line="240" w:lineRule="auto"/>
        <w:rPr>
          <w:rFonts w:ascii="Aptos" w:eastAsiaTheme="minorEastAsia" w:hAnsi="Aptos" w:cs="Calibri"/>
          <w:b/>
          <w:szCs w:val="22"/>
        </w:rPr>
      </w:pPr>
    </w:p>
    <w:p w14:paraId="579744D0" w14:textId="77777777" w:rsidR="00C410B8" w:rsidRDefault="00C410B8" w:rsidP="00BE6D90">
      <w:pPr>
        <w:spacing w:before="120" w:after="120" w:line="240" w:lineRule="auto"/>
        <w:rPr>
          <w:rFonts w:ascii="Aptos" w:eastAsiaTheme="minorEastAsia" w:hAnsi="Aptos" w:cs="Calibri"/>
          <w:b/>
          <w:szCs w:val="22"/>
        </w:rPr>
      </w:pPr>
    </w:p>
    <w:p w14:paraId="357F4BAC" w14:textId="77777777" w:rsidR="00C410B8" w:rsidRDefault="00C410B8" w:rsidP="00BE6D90">
      <w:pPr>
        <w:spacing w:before="120" w:after="120" w:line="240" w:lineRule="auto"/>
        <w:rPr>
          <w:rFonts w:ascii="Aptos" w:eastAsiaTheme="minorEastAsia" w:hAnsi="Aptos" w:cs="Calibri"/>
          <w:b/>
          <w:szCs w:val="22"/>
        </w:rPr>
      </w:pPr>
    </w:p>
    <w:p w14:paraId="22C8151F" w14:textId="77777777" w:rsidR="00C410B8" w:rsidRDefault="00C410B8" w:rsidP="00BE6D90">
      <w:pPr>
        <w:spacing w:before="120" w:after="120" w:line="240" w:lineRule="auto"/>
        <w:rPr>
          <w:rFonts w:ascii="Aptos" w:eastAsiaTheme="minorEastAsia" w:hAnsi="Aptos" w:cs="Calibri"/>
          <w:b/>
          <w:szCs w:val="22"/>
        </w:rPr>
      </w:pPr>
    </w:p>
    <w:p w14:paraId="05F63F51" w14:textId="77777777" w:rsidR="00C410B8" w:rsidRDefault="00C410B8" w:rsidP="00BE6D90">
      <w:pPr>
        <w:spacing w:before="120" w:after="120" w:line="240" w:lineRule="auto"/>
        <w:rPr>
          <w:rFonts w:ascii="Aptos" w:eastAsiaTheme="minorEastAsia" w:hAnsi="Aptos" w:cs="Calibri"/>
          <w:b/>
          <w:szCs w:val="22"/>
        </w:rPr>
      </w:pPr>
    </w:p>
    <w:p w14:paraId="02C4F085" w14:textId="77777777" w:rsidR="00C410B8" w:rsidRDefault="00C410B8" w:rsidP="00BE6D90">
      <w:pPr>
        <w:spacing w:before="120" w:after="120" w:line="240" w:lineRule="auto"/>
        <w:rPr>
          <w:rFonts w:ascii="Aptos" w:eastAsiaTheme="minorEastAsia" w:hAnsi="Aptos" w:cs="Calibri"/>
          <w:b/>
          <w:szCs w:val="22"/>
        </w:rPr>
      </w:pPr>
    </w:p>
    <w:p w14:paraId="6F492F97" w14:textId="77777777" w:rsidR="00C410B8" w:rsidRDefault="00C410B8" w:rsidP="00BE6D90">
      <w:pPr>
        <w:spacing w:before="120" w:after="120" w:line="240" w:lineRule="auto"/>
        <w:rPr>
          <w:rFonts w:ascii="Aptos" w:eastAsiaTheme="minorEastAsia" w:hAnsi="Aptos" w:cs="Calibri"/>
          <w:b/>
          <w:szCs w:val="22"/>
        </w:rPr>
      </w:pPr>
    </w:p>
    <w:p w14:paraId="3965DCC1" w14:textId="77777777" w:rsidR="00C410B8" w:rsidRDefault="00C410B8" w:rsidP="00BE6D90">
      <w:pPr>
        <w:spacing w:before="120" w:after="120" w:line="240" w:lineRule="auto"/>
        <w:rPr>
          <w:rFonts w:ascii="Aptos" w:eastAsiaTheme="minorEastAsia" w:hAnsi="Aptos" w:cs="Calibri"/>
          <w:b/>
          <w:szCs w:val="22"/>
        </w:rPr>
      </w:pPr>
    </w:p>
    <w:p w14:paraId="1121FBEF" w14:textId="77777777" w:rsidR="00C410B8" w:rsidRDefault="00C410B8" w:rsidP="00BE6D90">
      <w:pPr>
        <w:spacing w:before="120" w:after="120" w:line="240" w:lineRule="auto"/>
        <w:rPr>
          <w:rFonts w:ascii="Aptos" w:eastAsiaTheme="minorEastAsia" w:hAnsi="Aptos" w:cs="Calibri"/>
          <w:b/>
          <w:szCs w:val="22"/>
        </w:rPr>
      </w:pPr>
    </w:p>
    <w:p w14:paraId="7E953F68" w14:textId="77777777" w:rsidR="00C410B8" w:rsidRDefault="00C410B8" w:rsidP="00BE6D90">
      <w:pPr>
        <w:spacing w:before="120" w:after="120" w:line="240" w:lineRule="auto"/>
        <w:rPr>
          <w:rFonts w:ascii="Aptos" w:eastAsiaTheme="minorEastAsia" w:hAnsi="Aptos" w:cs="Calibri"/>
          <w:b/>
          <w:szCs w:val="22"/>
        </w:rPr>
      </w:pPr>
    </w:p>
    <w:p w14:paraId="4821B953" w14:textId="77777777" w:rsidR="00C410B8" w:rsidRDefault="00C410B8" w:rsidP="00BE6D90">
      <w:pPr>
        <w:spacing w:before="120" w:after="120" w:line="240" w:lineRule="auto"/>
        <w:rPr>
          <w:rFonts w:ascii="Aptos" w:eastAsiaTheme="minorEastAsia" w:hAnsi="Aptos" w:cs="Calibri"/>
          <w:b/>
          <w:szCs w:val="22"/>
        </w:rPr>
      </w:pPr>
    </w:p>
    <w:p w14:paraId="418FDBBB" w14:textId="77777777" w:rsidR="00C410B8" w:rsidRDefault="00C410B8" w:rsidP="00BE6D90">
      <w:pPr>
        <w:spacing w:before="120" w:after="120" w:line="240" w:lineRule="auto"/>
        <w:rPr>
          <w:rFonts w:ascii="Aptos" w:eastAsiaTheme="minorEastAsia" w:hAnsi="Aptos" w:cs="Calibri"/>
          <w:b/>
          <w:szCs w:val="22"/>
        </w:rPr>
      </w:pPr>
    </w:p>
    <w:p w14:paraId="202F378A" w14:textId="77777777" w:rsidR="00C410B8" w:rsidRDefault="00C410B8" w:rsidP="00BE6D90">
      <w:pPr>
        <w:spacing w:before="120" w:after="120" w:line="240" w:lineRule="auto"/>
        <w:rPr>
          <w:rFonts w:ascii="Aptos" w:eastAsiaTheme="minorEastAsia" w:hAnsi="Aptos" w:cs="Calibri"/>
          <w:b/>
          <w:szCs w:val="22"/>
        </w:rPr>
      </w:pPr>
    </w:p>
    <w:p w14:paraId="183D1178" w14:textId="77777777" w:rsidR="00C410B8" w:rsidRDefault="00C410B8" w:rsidP="00BE6D90">
      <w:pPr>
        <w:spacing w:before="120" w:after="120" w:line="240" w:lineRule="auto"/>
        <w:rPr>
          <w:rFonts w:ascii="Aptos" w:eastAsiaTheme="minorEastAsia" w:hAnsi="Aptos" w:cs="Calibri"/>
          <w:b/>
          <w:szCs w:val="22"/>
        </w:rPr>
      </w:pPr>
    </w:p>
    <w:p w14:paraId="53C7A102" w14:textId="77777777" w:rsidR="00C410B8" w:rsidRDefault="00C410B8" w:rsidP="00BE6D90">
      <w:pPr>
        <w:spacing w:before="120" w:after="120" w:line="240" w:lineRule="auto"/>
        <w:rPr>
          <w:rFonts w:ascii="Aptos" w:eastAsiaTheme="minorEastAsia" w:hAnsi="Aptos" w:cs="Calibri"/>
          <w:b/>
          <w:szCs w:val="22"/>
        </w:rPr>
      </w:pPr>
    </w:p>
    <w:p w14:paraId="29E5D1D5" w14:textId="77777777" w:rsidR="00C410B8" w:rsidRDefault="00C410B8" w:rsidP="00BE6D90">
      <w:pPr>
        <w:spacing w:before="120" w:after="120" w:line="240" w:lineRule="auto"/>
        <w:rPr>
          <w:rFonts w:ascii="Aptos" w:eastAsiaTheme="minorEastAsia" w:hAnsi="Aptos" w:cs="Calibri"/>
          <w:b/>
          <w:szCs w:val="22"/>
        </w:rPr>
      </w:pPr>
    </w:p>
    <w:p w14:paraId="6BEFFD1B" w14:textId="77777777" w:rsidR="00C410B8" w:rsidRDefault="00C410B8" w:rsidP="00BE6D90">
      <w:pPr>
        <w:spacing w:before="120" w:after="120" w:line="240" w:lineRule="auto"/>
        <w:rPr>
          <w:rFonts w:ascii="Aptos" w:eastAsiaTheme="minorEastAsia" w:hAnsi="Aptos" w:cs="Calibri"/>
          <w:b/>
          <w:szCs w:val="22"/>
        </w:rPr>
      </w:pPr>
    </w:p>
    <w:p w14:paraId="6E86D63E" w14:textId="77777777" w:rsidR="00C410B8" w:rsidRDefault="00C410B8" w:rsidP="00BE6D90">
      <w:pPr>
        <w:spacing w:before="120" w:after="120" w:line="240" w:lineRule="auto"/>
        <w:rPr>
          <w:rFonts w:ascii="Aptos" w:eastAsiaTheme="minorEastAsia" w:hAnsi="Aptos" w:cs="Calibri"/>
          <w:b/>
          <w:szCs w:val="22"/>
        </w:rPr>
      </w:pPr>
    </w:p>
    <w:p w14:paraId="044798E5" w14:textId="77777777" w:rsidR="00C410B8" w:rsidRDefault="00C410B8" w:rsidP="00BE6D90">
      <w:pPr>
        <w:spacing w:before="120" w:after="120" w:line="240" w:lineRule="auto"/>
        <w:rPr>
          <w:rFonts w:ascii="Aptos" w:eastAsiaTheme="minorEastAsia" w:hAnsi="Aptos" w:cs="Calibri"/>
          <w:b/>
          <w:szCs w:val="22"/>
        </w:rPr>
      </w:pPr>
    </w:p>
    <w:p w14:paraId="7C67EBC2" w14:textId="77777777" w:rsidR="00C410B8" w:rsidRDefault="00C410B8" w:rsidP="00BE6D90">
      <w:pPr>
        <w:spacing w:before="120" w:after="120" w:line="240" w:lineRule="auto"/>
        <w:rPr>
          <w:rFonts w:ascii="Aptos" w:eastAsiaTheme="minorEastAsia" w:hAnsi="Aptos" w:cs="Calibri"/>
          <w:b/>
          <w:szCs w:val="22"/>
        </w:rPr>
      </w:pPr>
    </w:p>
    <w:p w14:paraId="4FAE5112" w14:textId="77777777" w:rsidR="00C410B8" w:rsidRDefault="00C410B8" w:rsidP="00BE6D90">
      <w:pPr>
        <w:spacing w:before="120" w:after="120" w:line="240" w:lineRule="auto"/>
        <w:rPr>
          <w:rFonts w:ascii="Aptos" w:eastAsiaTheme="minorEastAsia" w:hAnsi="Aptos" w:cs="Calibri"/>
          <w:b/>
          <w:szCs w:val="22"/>
        </w:rPr>
      </w:pPr>
    </w:p>
    <w:p w14:paraId="4BE160D0" w14:textId="77777777" w:rsidR="00C410B8" w:rsidRDefault="00C410B8" w:rsidP="00BE6D90">
      <w:pPr>
        <w:spacing w:before="120" w:after="120" w:line="240" w:lineRule="auto"/>
        <w:rPr>
          <w:rFonts w:ascii="Aptos" w:eastAsiaTheme="minorEastAsia" w:hAnsi="Aptos" w:cs="Calibri"/>
          <w:b/>
          <w:szCs w:val="22"/>
        </w:rPr>
      </w:pPr>
    </w:p>
    <w:p w14:paraId="1C38502B" w14:textId="2C272BDF" w:rsidR="00C410B8" w:rsidRPr="00CF1449" w:rsidRDefault="005A05F5" w:rsidP="00C410B8">
      <w:pPr>
        <w:pStyle w:val="Heading1"/>
        <w:spacing w:before="400" w:after="40" w:line="240" w:lineRule="auto"/>
        <w:rPr>
          <w:rFonts w:ascii="Aptos" w:hAnsi="Aptos"/>
        </w:rPr>
      </w:pPr>
      <w:r>
        <w:rPr>
          <w:rFonts w:ascii="Aptos" w:hAnsi="Aptos"/>
        </w:rPr>
        <w:lastRenderedPageBreak/>
        <w:t xml:space="preserve"> </w:t>
      </w:r>
      <w:bookmarkStart w:id="304" w:name="_Toc210050267"/>
      <w:r w:rsidR="00C410B8" w:rsidRPr="00CF1449">
        <w:rPr>
          <w:rFonts w:ascii="Aptos" w:hAnsi="Aptos"/>
        </w:rPr>
        <w:t xml:space="preserve">Appendix </w:t>
      </w:r>
      <w:r w:rsidR="00C410B8">
        <w:rPr>
          <w:rFonts w:ascii="Aptos" w:hAnsi="Aptos"/>
        </w:rPr>
        <w:t>C</w:t>
      </w:r>
      <w:r w:rsidR="00C410B8" w:rsidRPr="00CF1449">
        <w:rPr>
          <w:rFonts w:ascii="Aptos" w:hAnsi="Aptos"/>
        </w:rPr>
        <w:t xml:space="preserve">: </w:t>
      </w:r>
      <w:r w:rsidR="00C410B8">
        <w:rPr>
          <w:rFonts w:ascii="Aptos" w:hAnsi="Aptos"/>
        </w:rPr>
        <w:t>Cost-benefit analysis</w:t>
      </w:r>
      <w:r w:rsidR="00A22ACD">
        <w:rPr>
          <w:rFonts w:ascii="Aptos" w:hAnsi="Aptos"/>
        </w:rPr>
        <w:t xml:space="preserve"> of the proposed National Higher Education Code to Prevent and Respond to Gender-based Violence</w:t>
      </w:r>
      <w:bookmarkEnd w:id="304"/>
      <w:r w:rsidR="00A22ACD">
        <w:rPr>
          <w:rFonts w:ascii="Aptos" w:hAnsi="Aptos"/>
        </w:rPr>
        <w:t xml:space="preserve"> </w:t>
      </w:r>
      <w:r w:rsidR="00C410B8" w:rsidRPr="00CF1449">
        <w:rPr>
          <w:rFonts w:ascii="Aptos" w:hAnsi="Aptos"/>
        </w:rPr>
        <w:t xml:space="preserve"> </w:t>
      </w:r>
    </w:p>
    <w:p w14:paraId="7AADD154" w14:textId="77777777" w:rsidR="00C410B8" w:rsidRPr="00BE6D90" w:rsidRDefault="00C410B8" w:rsidP="00BE6D90">
      <w:pPr>
        <w:spacing w:before="120" w:after="120" w:line="240" w:lineRule="auto"/>
        <w:rPr>
          <w:rFonts w:ascii="Aptos" w:eastAsiaTheme="minorEastAsia" w:hAnsi="Aptos" w:cs="Calibri"/>
          <w:b/>
          <w:szCs w:val="22"/>
        </w:rPr>
      </w:pPr>
    </w:p>
    <w:sectPr w:rsidR="00C410B8" w:rsidRPr="00BE6D90" w:rsidSect="000F3800">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25DC7" w14:textId="77777777" w:rsidR="00631FA8" w:rsidRDefault="00631FA8" w:rsidP="00D449CC">
      <w:pPr>
        <w:spacing w:after="0" w:line="240" w:lineRule="auto"/>
      </w:pPr>
      <w:r>
        <w:separator/>
      </w:r>
    </w:p>
  </w:endnote>
  <w:endnote w:type="continuationSeparator" w:id="0">
    <w:p w14:paraId="5110C870" w14:textId="77777777" w:rsidR="00631FA8" w:rsidRDefault="00631FA8" w:rsidP="00D44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rdo">
    <w:altName w:val="Times New Roman"/>
    <w:charset w:val="00"/>
    <w:family w:val="roman"/>
    <w:pitch w:val="variable"/>
    <w:sig w:usb0="E40008FF" w:usb1="5201E0FB" w:usb2="04608000" w:usb3="00000000" w:csb0="000000BB"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BD8E1" w14:textId="45EAE923" w:rsidR="00C76E5C" w:rsidRDefault="00C76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853057"/>
      <w:docPartObj>
        <w:docPartGallery w:val="Page Numbers (Bottom of Page)"/>
        <w:docPartUnique/>
      </w:docPartObj>
    </w:sdtPr>
    <w:sdtEndPr>
      <w:rPr>
        <w:noProof/>
      </w:rPr>
    </w:sdtEndPr>
    <w:sdtContent>
      <w:p w14:paraId="10D7824F" w14:textId="3A48ECFA" w:rsidR="000F3800" w:rsidRDefault="000F3800">
        <w:pPr>
          <w:pStyle w:val="Footer"/>
        </w:pPr>
        <w:r>
          <w:fldChar w:fldCharType="begin"/>
        </w:r>
        <w:r>
          <w:instrText xml:space="preserve"> PAGE   \* MERGEFORMAT </w:instrText>
        </w:r>
        <w:r>
          <w:fldChar w:fldCharType="separate"/>
        </w:r>
        <w:r w:rsidR="00436603">
          <w:rPr>
            <w:noProof/>
          </w:rPr>
          <w:t>1</w:t>
        </w:r>
        <w:r>
          <w:rPr>
            <w:noProof/>
          </w:rPr>
          <w:fldChar w:fldCharType="end"/>
        </w:r>
      </w:p>
    </w:sdtContent>
  </w:sdt>
  <w:p w14:paraId="7EB50F71" w14:textId="64C9127F" w:rsidR="00C76E5C" w:rsidRDefault="00C76E5C" w:rsidP="00DB24E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7FF2F" w14:textId="31C74D3D" w:rsidR="00C76E5C" w:rsidRDefault="00C76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72482" w14:textId="77777777" w:rsidR="00631FA8" w:rsidRDefault="00631FA8" w:rsidP="00D449CC">
      <w:pPr>
        <w:spacing w:after="0" w:line="240" w:lineRule="auto"/>
      </w:pPr>
      <w:r>
        <w:separator/>
      </w:r>
    </w:p>
  </w:footnote>
  <w:footnote w:type="continuationSeparator" w:id="0">
    <w:p w14:paraId="193DE217" w14:textId="77777777" w:rsidR="00631FA8" w:rsidRDefault="00631FA8" w:rsidP="00D449CC">
      <w:pPr>
        <w:spacing w:after="0" w:line="240" w:lineRule="auto"/>
      </w:pPr>
      <w:r>
        <w:continuationSeparator/>
      </w:r>
    </w:p>
  </w:footnote>
  <w:footnote w:id="1">
    <w:p w14:paraId="509DA091" w14:textId="659EA670" w:rsidR="00496F2E" w:rsidRDefault="00496F2E">
      <w:pPr>
        <w:pStyle w:val="FootnoteText"/>
      </w:pPr>
      <w:r>
        <w:rPr>
          <w:rStyle w:val="FootnoteReference"/>
        </w:rPr>
        <w:footnoteRef/>
      </w:r>
      <w:r>
        <w:t xml:space="preserve"> </w:t>
      </w:r>
      <w:r w:rsidR="00F357A8" w:rsidRPr="00DD4830">
        <w:rPr>
          <w:sz w:val="16"/>
          <w:szCs w:val="16"/>
        </w:rPr>
        <w:t>Australian Human Rights Commission. (2017). Change the course: National report on sexual assault and sexual harassment at Australian universities. https://humanrights.gov.au/our-work/sex-discrimination/publications/change-course-national-report-sexual-assault-and</w:t>
      </w:r>
    </w:p>
  </w:footnote>
  <w:footnote w:id="2">
    <w:p w14:paraId="2EE6832E" w14:textId="0DE9B320" w:rsidR="00496F2E" w:rsidRPr="00496F2E" w:rsidRDefault="00496F2E">
      <w:pPr>
        <w:pStyle w:val="FootnoteText"/>
        <w:rPr>
          <w:sz w:val="16"/>
          <w:szCs w:val="16"/>
        </w:rPr>
      </w:pPr>
      <w:r w:rsidRPr="00496F2E">
        <w:rPr>
          <w:rStyle w:val="FootnoteReference"/>
          <w:sz w:val="16"/>
          <w:szCs w:val="16"/>
        </w:rPr>
        <w:footnoteRef/>
      </w:r>
      <w:r w:rsidR="00F357A8">
        <w:rPr>
          <w:sz w:val="16"/>
          <w:szCs w:val="16"/>
        </w:rPr>
        <w:t xml:space="preserve"> </w:t>
      </w:r>
      <w:r w:rsidR="00F357A8" w:rsidRPr="00F357A8">
        <w:rPr>
          <w:sz w:val="16"/>
          <w:szCs w:val="16"/>
        </w:rPr>
        <w:t xml:space="preserve">Australian Human Rights Commission. (2017). Change the course: National report on sexual assault and sexual harassment at Australian universities. </w:t>
      </w:r>
      <w:hyperlink r:id="rId1" w:history="1">
        <w:r w:rsidR="00A75A18" w:rsidRPr="00FB76C7">
          <w:rPr>
            <w:rStyle w:val="Hyperlink"/>
            <w:sz w:val="16"/>
            <w:szCs w:val="16"/>
          </w:rPr>
          <w:t>https://humanrights.gov.au/our-work/sex-discrimination/publications/change-course-national-report-sexual-assault-and</w:t>
        </w:r>
      </w:hyperlink>
      <w:r w:rsidR="00A75A18">
        <w:rPr>
          <w:sz w:val="16"/>
          <w:szCs w:val="16"/>
        </w:rPr>
        <w:t xml:space="preserve"> </w:t>
      </w:r>
    </w:p>
  </w:footnote>
  <w:footnote w:id="3">
    <w:p w14:paraId="6F2A241C" w14:textId="1E66C1D6" w:rsidR="00250810" w:rsidRPr="00FA29B9" w:rsidRDefault="00250810">
      <w:pPr>
        <w:pStyle w:val="FootnoteText"/>
        <w:rPr>
          <w:sz w:val="16"/>
          <w:szCs w:val="16"/>
        </w:rPr>
      </w:pPr>
      <w:r>
        <w:rPr>
          <w:rStyle w:val="FootnoteReference"/>
        </w:rPr>
        <w:footnoteRef/>
      </w:r>
      <w:r>
        <w:t xml:space="preserve"> </w:t>
      </w:r>
      <w:r w:rsidR="001856A7" w:rsidRPr="001856A7">
        <w:rPr>
          <w:sz w:val="16"/>
          <w:szCs w:val="16"/>
        </w:rPr>
        <w:t xml:space="preserve">Social Research Centre. (2022). National Student Safety Survey. </w:t>
      </w:r>
      <w:hyperlink r:id="rId2" w:history="1">
        <w:r w:rsidR="001856A7" w:rsidRPr="001856A7">
          <w:rPr>
            <w:rStyle w:val="Hyperlink"/>
            <w:sz w:val="16"/>
            <w:szCs w:val="16"/>
          </w:rPr>
          <w:t>https://www.nsss.edu.au/</w:t>
        </w:r>
      </w:hyperlink>
    </w:p>
  </w:footnote>
  <w:footnote w:id="4">
    <w:p w14:paraId="3984A286" w14:textId="7985829B" w:rsidR="00A75A18" w:rsidRPr="0016658D" w:rsidRDefault="00D429C2">
      <w:pPr>
        <w:pStyle w:val="FootnoteText"/>
        <w:rPr>
          <w:sz w:val="16"/>
          <w:szCs w:val="16"/>
        </w:rPr>
      </w:pPr>
      <w:r w:rsidRPr="00FA29B9">
        <w:rPr>
          <w:rStyle w:val="FootnoteReference"/>
          <w:sz w:val="16"/>
          <w:szCs w:val="16"/>
        </w:rPr>
        <w:footnoteRef/>
      </w:r>
      <w:r w:rsidRPr="00FA29B9">
        <w:rPr>
          <w:sz w:val="16"/>
          <w:szCs w:val="16"/>
        </w:rPr>
        <w:t xml:space="preserve"> National Tertiary Education Union. (2023). Sexual harassment survey report.</w:t>
      </w:r>
      <w:r w:rsidRPr="00D429C2">
        <w:rPr>
          <w:sz w:val="16"/>
          <w:szCs w:val="16"/>
        </w:rPr>
        <w:t xml:space="preserve"> </w:t>
      </w:r>
      <w:hyperlink r:id="rId3" w:history="1">
        <w:r w:rsidR="00A75A18" w:rsidRPr="00FB76C7">
          <w:rPr>
            <w:rStyle w:val="Hyperlink"/>
            <w:sz w:val="16"/>
            <w:szCs w:val="16"/>
          </w:rPr>
          <w:t>https://www.nteu.au/News_Articles/Media_Releases/Sexual_Harassment_Survey_Report.aspx</w:t>
        </w:r>
      </w:hyperlink>
      <w:r w:rsidR="00A75A18">
        <w:rPr>
          <w:sz w:val="16"/>
          <w:szCs w:val="16"/>
        </w:rPr>
        <w:t xml:space="preserve">  </w:t>
      </w:r>
    </w:p>
  </w:footnote>
  <w:footnote w:id="5">
    <w:p w14:paraId="4E7F2295" w14:textId="139396A4" w:rsidR="5F9A7F11" w:rsidRPr="0016658D" w:rsidRDefault="5F9A7F11" w:rsidP="5F9A7F11">
      <w:pPr>
        <w:pStyle w:val="FootnoteText"/>
        <w:rPr>
          <w:sz w:val="16"/>
          <w:szCs w:val="16"/>
        </w:rPr>
      </w:pPr>
      <w:r w:rsidRPr="0016658D">
        <w:rPr>
          <w:rStyle w:val="FootnoteReference"/>
          <w:sz w:val="16"/>
          <w:szCs w:val="16"/>
        </w:rPr>
        <w:footnoteRef/>
      </w:r>
      <w:r w:rsidRPr="0016658D">
        <w:rPr>
          <w:sz w:val="16"/>
          <w:szCs w:val="16"/>
        </w:rPr>
        <w:t xml:space="preserve"> </w:t>
      </w:r>
      <w:r w:rsidR="008D7E1D" w:rsidRPr="0016658D">
        <w:rPr>
          <w:sz w:val="16"/>
          <w:szCs w:val="16"/>
        </w:rPr>
        <w:t>Australian Bureau of Statistics. (2021-22). </w:t>
      </w:r>
      <w:r w:rsidR="008D7E1D" w:rsidRPr="0016658D">
        <w:rPr>
          <w:i/>
          <w:iCs/>
          <w:sz w:val="16"/>
          <w:szCs w:val="16"/>
        </w:rPr>
        <w:t>Personal Safety, Australia</w:t>
      </w:r>
      <w:r w:rsidR="008D7E1D" w:rsidRPr="0016658D">
        <w:rPr>
          <w:sz w:val="16"/>
          <w:szCs w:val="16"/>
        </w:rPr>
        <w:t xml:space="preserve">. ABS </w:t>
      </w:r>
    </w:p>
  </w:footnote>
  <w:footnote w:id="6">
    <w:p w14:paraId="7E5E8411" w14:textId="6760A8CE" w:rsidR="5F9A7F11" w:rsidRPr="0016658D" w:rsidRDefault="5F9A7F11" w:rsidP="5F9A7F11">
      <w:pPr>
        <w:pStyle w:val="FootnoteText"/>
        <w:rPr>
          <w:sz w:val="16"/>
          <w:szCs w:val="16"/>
        </w:rPr>
      </w:pPr>
      <w:r w:rsidRPr="0016658D">
        <w:rPr>
          <w:rStyle w:val="FootnoteReference"/>
          <w:sz w:val="16"/>
          <w:szCs w:val="16"/>
        </w:rPr>
        <w:footnoteRef/>
      </w:r>
      <w:r w:rsidRPr="0016658D">
        <w:rPr>
          <w:sz w:val="16"/>
          <w:szCs w:val="16"/>
        </w:rPr>
        <w:t xml:space="preserve"> </w:t>
      </w:r>
      <w:r w:rsidR="00025F43" w:rsidRPr="0016658D">
        <w:rPr>
          <w:sz w:val="16"/>
          <w:szCs w:val="16"/>
        </w:rPr>
        <w:t xml:space="preserve">Ibid. </w:t>
      </w:r>
    </w:p>
  </w:footnote>
  <w:footnote w:id="7">
    <w:p w14:paraId="0AFD8D7E" w14:textId="7E9AB65B" w:rsidR="5F9A7F11" w:rsidRPr="0016658D" w:rsidRDefault="5F9A7F11" w:rsidP="5F9A7F11">
      <w:pPr>
        <w:pStyle w:val="FootnoteText"/>
        <w:rPr>
          <w:sz w:val="16"/>
          <w:szCs w:val="16"/>
        </w:rPr>
      </w:pPr>
      <w:r w:rsidRPr="0016658D">
        <w:rPr>
          <w:rStyle w:val="FootnoteReference"/>
          <w:sz w:val="16"/>
          <w:szCs w:val="16"/>
        </w:rPr>
        <w:footnoteRef/>
      </w:r>
      <w:r w:rsidRPr="0016658D">
        <w:rPr>
          <w:sz w:val="16"/>
          <w:szCs w:val="16"/>
        </w:rPr>
        <w:t xml:space="preserve"> </w:t>
      </w:r>
      <w:r w:rsidR="00025F43" w:rsidRPr="0016658D">
        <w:rPr>
          <w:sz w:val="16"/>
          <w:szCs w:val="16"/>
        </w:rPr>
        <w:t xml:space="preserve">Ibid. </w:t>
      </w:r>
    </w:p>
  </w:footnote>
  <w:footnote w:id="8">
    <w:p w14:paraId="3C29E46E" w14:textId="0E088681" w:rsidR="5F9A7F11" w:rsidRPr="0016658D" w:rsidRDefault="5F9A7F11" w:rsidP="5F9A7F11">
      <w:pPr>
        <w:pStyle w:val="FootnoteText"/>
        <w:rPr>
          <w:sz w:val="16"/>
          <w:szCs w:val="16"/>
        </w:rPr>
      </w:pPr>
      <w:r w:rsidRPr="0016658D">
        <w:rPr>
          <w:rStyle w:val="FootnoteReference"/>
          <w:sz w:val="16"/>
          <w:szCs w:val="16"/>
        </w:rPr>
        <w:footnoteRef/>
      </w:r>
      <w:r w:rsidRPr="0016658D">
        <w:rPr>
          <w:sz w:val="16"/>
          <w:szCs w:val="16"/>
        </w:rPr>
        <w:t xml:space="preserve"> </w:t>
      </w:r>
      <w:r w:rsidR="00614CCE" w:rsidRPr="0016658D">
        <w:rPr>
          <w:sz w:val="16"/>
          <w:szCs w:val="16"/>
        </w:rPr>
        <w:t>Miles, H., &amp; Bricknell, S. (2025). Homicide in Australia 2023–24 (Statistical Report No. 52). Australian Institute of Criminology. https://doi.org/10.52922/sr77826</w:t>
      </w:r>
      <w:r w:rsidR="00614CCE" w:rsidRPr="00062D3B" w:rsidDel="00614CCE">
        <w:rPr>
          <w:sz w:val="16"/>
          <w:szCs w:val="16"/>
        </w:rPr>
        <w:t xml:space="preserve"> </w:t>
      </w:r>
    </w:p>
  </w:footnote>
  <w:footnote w:id="9">
    <w:p w14:paraId="7147A6DE" w14:textId="77777777" w:rsidR="00410E7A" w:rsidRPr="0016658D" w:rsidRDefault="5F9A7F11" w:rsidP="00410E7A">
      <w:pPr>
        <w:pStyle w:val="FootnoteText"/>
        <w:rPr>
          <w:sz w:val="16"/>
          <w:szCs w:val="16"/>
        </w:rPr>
      </w:pPr>
      <w:r w:rsidRPr="0016658D">
        <w:rPr>
          <w:rStyle w:val="FootnoteReference"/>
          <w:sz w:val="16"/>
          <w:szCs w:val="16"/>
        </w:rPr>
        <w:footnoteRef/>
      </w:r>
      <w:r w:rsidRPr="0016658D">
        <w:rPr>
          <w:sz w:val="16"/>
          <w:szCs w:val="16"/>
        </w:rPr>
        <w:t xml:space="preserve"> </w:t>
      </w:r>
      <w:r w:rsidR="00410E7A" w:rsidRPr="0016658D">
        <w:rPr>
          <w:sz w:val="16"/>
          <w:szCs w:val="16"/>
        </w:rPr>
        <w:t xml:space="preserve">O’Donnell, K., Woldegiorgis, M., Gasser, C., Scurrah, K., Andersson, C., McKay, H., Hegarty, K., </w:t>
      </w:r>
    </w:p>
    <w:p w14:paraId="2E2D18A5" w14:textId="781CAA7F" w:rsidR="5F9A7F11" w:rsidRPr="0016658D" w:rsidRDefault="00410E7A" w:rsidP="00410E7A">
      <w:pPr>
        <w:pStyle w:val="FootnoteText"/>
        <w:rPr>
          <w:sz w:val="16"/>
          <w:szCs w:val="16"/>
        </w:rPr>
      </w:pPr>
      <w:r w:rsidRPr="0016658D">
        <w:rPr>
          <w:sz w:val="16"/>
          <w:szCs w:val="16"/>
        </w:rPr>
        <w:t xml:space="preserve">Seidler, Z., &amp; Martin, S. (2025). The use of intimate partner violence among Australian men. Insights #3, Chapter 1. Melbourne: Australian Institute of Family Studies. </w:t>
      </w:r>
    </w:p>
  </w:footnote>
  <w:footnote w:id="10">
    <w:p w14:paraId="7E14249F" w14:textId="77697BDD" w:rsidR="00C84EA5" w:rsidRPr="0016658D" w:rsidRDefault="00C84EA5">
      <w:pPr>
        <w:pStyle w:val="FootnoteText"/>
        <w:rPr>
          <w:sz w:val="16"/>
          <w:szCs w:val="16"/>
        </w:rPr>
      </w:pPr>
      <w:r w:rsidRPr="0016658D">
        <w:rPr>
          <w:rStyle w:val="FootnoteReference"/>
          <w:sz w:val="16"/>
          <w:szCs w:val="16"/>
        </w:rPr>
        <w:footnoteRef/>
      </w:r>
      <w:r w:rsidRPr="0016658D">
        <w:rPr>
          <w:sz w:val="16"/>
          <w:szCs w:val="16"/>
        </w:rPr>
        <w:t xml:space="preserve"> </w:t>
      </w:r>
      <w:r w:rsidR="00253B9C" w:rsidRPr="00062D3B">
        <w:rPr>
          <w:sz w:val="16"/>
          <w:szCs w:val="16"/>
        </w:rPr>
        <w:t>Appendix A.</w:t>
      </w:r>
    </w:p>
  </w:footnote>
  <w:footnote w:id="11">
    <w:p w14:paraId="2926DCC6" w14:textId="3946C8E4" w:rsidR="00152522" w:rsidRDefault="00152522">
      <w:pPr>
        <w:pStyle w:val="FootnoteText"/>
      </w:pPr>
      <w:r w:rsidRPr="0016658D">
        <w:rPr>
          <w:rStyle w:val="FootnoteReference"/>
          <w:sz w:val="16"/>
          <w:szCs w:val="16"/>
        </w:rPr>
        <w:footnoteRef/>
      </w:r>
      <w:r w:rsidRPr="0016658D">
        <w:rPr>
          <w:sz w:val="16"/>
          <w:szCs w:val="16"/>
        </w:rPr>
        <w:t xml:space="preserve"> </w:t>
      </w:r>
      <w:r w:rsidRPr="00062D3B">
        <w:rPr>
          <w:sz w:val="16"/>
          <w:szCs w:val="16"/>
        </w:rPr>
        <w:t>Commonwealth</w:t>
      </w:r>
      <w:r w:rsidR="00A75A18">
        <w:rPr>
          <w:sz w:val="16"/>
          <w:szCs w:val="16"/>
        </w:rPr>
        <w:t xml:space="preserve"> </w:t>
      </w:r>
      <w:r w:rsidRPr="00062D3B">
        <w:rPr>
          <w:sz w:val="16"/>
          <w:szCs w:val="16"/>
        </w:rPr>
        <w:t>Department of Social Services. (2022) National Plan to End Violence against Women and Children 2022-2032. https://www.dss.gov.au/system/files/resources/national-plan-end-violence-against-women-and-children-2022-2032.pdf</w:t>
      </w:r>
    </w:p>
  </w:footnote>
  <w:footnote w:id="12">
    <w:p w14:paraId="335BAE40" w14:textId="05719776" w:rsidR="5F9A7F11" w:rsidRPr="00DD4830" w:rsidRDefault="5F9A7F11" w:rsidP="5F9A7F11">
      <w:pPr>
        <w:pStyle w:val="FootnoteText"/>
        <w:rPr>
          <w:sz w:val="16"/>
          <w:szCs w:val="16"/>
        </w:rPr>
      </w:pPr>
      <w:r w:rsidRPr="5F9A7F11">
        <w:rPr>
          <w:rStyle w:val="FootnoteReference"/>
        </w:rPr>
        <w:footnoteRef/>
      </w:r>
      <w:r>
        <w:t xml:space="preserve"> </w:t>
      </w:r>
      <w:r w:rsidR="0068377E" w:rsidRPr="00DD4830">
        <w:rPr>
          <w:sz w:val="16"/>
          <w:szCs w:val="16"/>
        </w:rPr>
        <w:t>Australian Human Rights Commission. (2017). Change the course: National report on sexual assault and sexual harassment at Australian universities. https://humanrights.gov.au/our-work/sex-discrimination/publications/change-course-national-report-sexual-assault-</w:t>
      </w:r>
      <w:r w:rsidR="002516D2" w:rsidRPr="00DD4830">
        <w:rPr>
          <w:sz w:val="16"/>
          <w:szCs w:val="16"/>
        </w:rPr>
        <w:t>and</w:t>
      </w:r>
    </w:p>
  </w:footnote>
  <w:footnote w:id="13">
    <w:p w14:paraId="5F3893D5" w14:textId="71CC4356" w:rsidR="5F9A7F11" w:rsidRPr="00DD4830" w:rsidRDefault="5F9A7F11" w:rsidP="5F9A7F11">
      <w:pPr>
        <w:pStyle w:val="FootnoteText"/>
        <w:rPr>
          <w:sz w:val="16"/>
          <w:szCs w:val="16"/>
        </w:rPr>
      </w:pPr>
      <w:r w:rsidRPr="00DD4830">
        <w:rPr>
          <w:rStyle w:val="FootnoteReference"/>
          <w:sz w:val="16"/>
          <w:szCs w:val="16"/>
        </w:rPr>
        <w:footnoteRef/>
      </w:r>
      <w:r w:rsidRPr="00DD4830">
        <w:rPr>
          <w:sz w:val="16"/>
          <w:szCs w:val="16"/>
        </w:rPr>
        <w:t xml:space="preserve"> </w:t>
      </w:r>
      <w:r w:rsidR="00AD52BE" w:rsidRPr="00DD4830">
        <w:rPr>
          <w:sz w:val="16"/>
          <w:szCs w:val="16"/>
        </w:rPr>
        <w:t>Australian Government. (2024). Working for women: A strategy for gender equality. https://genderequality.gov.au/</w:t>
      </w:r>
      <w:hyperlink r:id="rId4">
        <w:r w:rsidRPr="00DD4830">
          <w:rPr>
            <w:rStyle w:val="Hyperlink"/>
            <w:sz w:val="16"/>
            <w:szCs w:val="16"/>
          </w:rPr>
          <w:t>Working for Women: A strategy for Gender Equality</w:t>
        </w:r>
      </w:hyperlink>
      <w:r w:rsidRPr="00DD4830">
        <w:rPr>
          <w:sz w:val="16"/>
          <w:szCs w:val="16"/>
        </w:rPr>
        <w:t xml:space="preserve">, </w:t>
      </w:r>
    </w:p>
  </w:footnote>
  <w:footnote w:id="14">
    <w:p w14:paraId="188C3044" w14:textId="567DFE48" w:rsidR="5F9A7F11" w:rsidRPr="00DD4830" w:rsidRDefault="5F9A7F11" w:rsidP="5F9A7F11">
      <w:pPr>
        <w:pStyle w:val="FootnoteText"/>
        <w:rPr>
          <w:sz w:val="16"/>
          <w:szCs w:val="16"/>
        </w:rPr>
      </w:pPr>
      <w:r w:rsidRPr="00DD4830">
        <w:rPr>
          <w:rStyle w:val="FootnoteReference"/>
          <w:sz w:val="16"/>
          <w:szCs w:val="16"/>
        </w:rPr>
        <w:footnoteRef/>
      </w:r>
      <w:r w:rsidR="004A3286" w:rsidRPr="00025F43">
        <w:rPr>
          <w:sz w:val="16"/>
          <w:szCs w:val="16"/>
        </w:rPr>
        <w:t xml:space="preserve"> </w:t>
      </w:r>
      <w:r w:rsidR="004A3286" w:rsidRPr="00DD4830">
        <w:rPr>
          <w:sz w:val="16"/>
          <w:szCs w:val="16"/>
        </w:rPr>
        <w:t>Our Watch. (2021). Change the story: A shared framework for the primary prevention of violence against women in Australia (2nd ed.).</w:t>
      </w:r>
      <w:hyperlink r:id="rId5" w:history="1">
        <w:r w:rsidR="004A3286" w:rsidRPr="00DD4830">
          <w:rPr>
            <w:rStyle w:val="Hyperlink"/>
            <w:sz w:val="16"/>
            <w:szCs w:val="16"/>
          </w:rPr>
          <w:t>https://www.ourwatch.org.au/resource/change-the-story-framework/</w:t>
        </w:r>
      </w:hyperlink>
    </w:p>
  </w:footnote>
  <w:footnote w:id="15">
    <w:p w14:paraId="55246B08" w14:textId="64E0A822" w:rsidR="5F9A7F11" w:rsidRPr="00DD4830" w:rsidRDefault="5F9A7F11" w:rsidP="5F9A7F11">
      <w:pPr>
        <w:pStyle w:val="FootnoteText"/>
        <w:rPr>
          <w:sz w:val="16"/>
          <w:szCs w:val="16"/>
        </w:rPr>
      </w:pPr>
      <w:r w:rsidRPr="00DD4830">
        <w:rPr>
          <w:rStyle w:val="FootnoteReference"/>
          <w:sz w:val="16"/>
          <w:szCs w:val="16"/>
        </w:rPr>
        <w:footnoteRef/>
      </w:r>
      <w:r w:rsidRPr="00DD4830">
        <w:rPr>
          <w:sz w:val="16"/>
          <w:szCs w:val="16"/>
        </w:rPr>
        <w:t xml:space="preserve"> </w:t>
      </w:r>
      <w:r w:rsidR="00DF026D" w:rsidRPr="00DD4830">
        <w:rPr>
          <w:sz w:val="16"/>
          <w:szCs w:val="16"/>
        </w:rPr>
        <w:t>Australian Government. (2024). Working for women: A strategy for gender equality. https://genderequality.gov.au/</w:t>
      </w:r>
    </w:p>
  </w:footnote>
  <w:footnote w:id="16">
    <w:p w14:paraId="712AF2F0" w14:textId="52FDC459" w:rsidR="5F9A7F11" w:rsidRDefault="5F9A7F11" w:rsidP="5F9A7F11">
      <w:pPr>
        <w:pStyle w:val="FootnoteText"/>
      </w:pPr>
      <w:r w:rsidRPr="00DD4830">
        <w:rPr>
          <w:rStyle w:val="FootnoteReference"/>
          <w:sz w:val="16"/>
          <w:szCs w:val="16"/>
        </w:rPr>
        <w:footnoteRef/>
      </w:r>
      <w:r w:rsidRPr="00DD4830">
        <w:rPr>
          <w:sz w:val="16"/>
          <w:szCs w:val="16"/>
        </w:rPr>
        <w:t xml:space="preserve"> </w:t>
      </w:r>
      <w:r w:rsidR="00D21485" w:rsidRPr="00DD4830">
        <w:rPr>
          <w:sz w:val="16"/>
          <w:szCs w:val="16"/>
        </w:rPr>
        <w:t>Our Watch. (2021). Change the story: A shared framework for the primary prevention of violence against women in Australia (2nd ed.).</w:t>
      </w:r>
      <w:r w:rsidR="00025F43">
        <w:rPr>
          <w:sz w:val="16"/>
          <w:szCs w:val="16"/>
        </w:rPr>
        <w:t xml:space="preserve"> </w:t>
      </w:r>
      <w:hyperlink r:id="rId6" w:history="1">
        <w:r w:rsidR="00A75A18" w:rsidRPr="00FB76C7">
          <w:rPr>
            <w:rStyle w:val="Hyperlink"/>
            <w:sz w:val="16"/>
            <w:szCs w:val="16"/>
          </w:rPr>
          <w:t>https://www.ourwatch.org.au/resource/change-the-story-framework/</w:t>
        </w:r>
      </w:hyperlink>
      <w:r w:rsidR="00A75A18">
        <w:rPr>
          <w:sz w:val="16"/>
          <w:szCs w:val="16"/>
        </w:rPr>
        <w:t xml:space="preserve"> </w:t>
      </w:r>
    </w:p>
  </w:footnote>
  <w:footnote w:id="17">
    <w:p w14:paraId="6E504AFA" w14:textId="45201387" w:rsidR="007F4023" w:rsidRPr="00DD4830" w:rsidRDefault="007F4023" w:rsidP="007F4023">
      <w:pPr>
        <w:pStyle w:val="FootnoteText"/>
        <w:rPr>
          <w:sz w:val="16"/>
          <w:szCs w:val="16"/>
        </w:rPr>
      </w:pPr>
      <w:r w:rsidRPr="00DD4830">
        <w:rPr>
          <w:rStyle w:val="FootnoteReference"/>
          <w:sz w:val="16"/>
          <w:szCs w:val="16"/>
        </w:rPr>
        <w:footnoteRef/>
      </w:r>
      <w:r w:rsidRPr="00DD4830">
        <w:rPr>
          <w:sz w:val="16"/>
          <w:szCs w:val="16"/>
        </w:rPr>
        <w:t xml:space="preserve"> </w:t>
      </w:r>
      <w:r w:rsidR="007F1ACF" w:rsidRPr="00DD4830">
        <w:rPr>
          <w:sz w:val="16"/>
          <w:szCs w:val="16"/>
        </w:rPr>
        <w:t xml:space="preserve">Australian Human Rights Commission. (2017). Change the course: National report on sexual assault and sexual harassment at Australian universities. </w:t>
      </w:r>
      <w:hyperlink r:id="rId7" w:history="1">
        <w:r w:rsidR="00A75A18" w:rsidRPr="00FB76C7">
          <w:rPr>
            <w:rStyle w:val="Hyperlink"/>
            <w:sz w:val="16"/>
            <w:szCs w:val="16"/>
          </w:rPr>
          <w:t>https://humanrights.gov.au/our-work/sex-discrimination/publications/change-course-national-report-sexual-assault-and</w:t>
        </w:r>
      </w:hyperlink>
      <w:r w:rsidR="00A75A18">
        <w:rPr>
          <w:sz w:val="16"/>
          <w:szCs w:val="16"/>
        </w:rPr>
        <w:t xml:space="preserve"> </w:t>
      </w:r>
    </w:p>
  </w:footnote>
  <w:footnote w:id="18">
    <w:p w14:paraId="51796E0D" w14:textId="1C1A5DA9" w:rsidR="004413B4" w:rsidRPr="00DD4830" w:rsidRDefault="004413B4" w:rsidP="004413B4">
      <w:pPr>
        <w:pStyle w:val="FootnoteText"/>
        <w:rPr>
          <w:sz w:val="16"/>
          <w:szCs w:val="16"/>
        </w:rPr>
      </w:pPr>
      <w:r w:rsidRPr="00DD4830">
        <w:rPr>
          <w:rStyle w:val="FootnoteReference"/>
          <w:sz w:val="16"/>
          <w:szCs w:val="16"/>
        </w:rPr>
        <w:footnoteRef/>
      </w:r>
      <w:r w:rsidRPr="00DD4830">
        <w:rPr>
          <w:sz w:val="16"/>
          <w:szCs w:val="16"/>
        </w:rPr>
        <w:t xml:space="preserve"> </w:t>
      </w:r>
      <w:r w:rsidR="00BE1DDC" w:rsidRPr="00DD4830">
        <w:rPr>
          <w:sz w:val="16"/>
          <w:szCs w:val="16"/>
        </w:rPr>
        <w:t xml:space="preserve">Universities Australia. (n.d.). Teaching and learning funding. </w:t>
      </w:r>
      <w:hyperlink r:id="rId8" w:history="1">
        <w:r w:rsidR="00A75A18" w:rsidRPr="00FB76C7">
          <w:rPr>
            <w:rStyle w:val="Hyperlink"/>
            <w:sz w:val="16"/>
            <w:szCs w:val="16"/>
          </w:rPr>
          <w:t>https://universitiesaustralia.edu.au/policy-submissions/teaching-learning-funding/</w:t>
        </w:r>
      </w:hyperlink>
      <w:r w:rsidR="00A75A18">
        <w:rPr>
          <w:sz w:val="16"/>
          <w:szCs w:val="16"/>
        </w:rPr>
        <w:t xml:space="preserve"> </w:t>
      </w:r>
    </w:p>
  </w:footnote>
  <w:footnote w:id="19">
    <w:p w14:paraId="75792A4F" w14:textId="75027751" w:rsidR="00E424BF" w:rsidRPr="00DD4830" w:rsidRDefault="00E424BF">
      <w:pPr>
        <w:pStyle w:val="FootnoteText"/>
        <w:rPr>
          <w:sz w:val="16"/>
          <w:szCs w:val="16"/>
        </w:rPr>
      </w:pPr>
      <w:r w:rsidRPr="00DD4830">
        <w:rPr>
          <w:rStyle w:val="FootnoteReference"/>
          <w:sz w:val="16"/>
          <w:szCs w:val="16"/>
        </w:rPr>
        <w:footnoteRef/>
      </w:r>
      <w:r w:rsidRPr="00DD4830">
        <w:rPr>
          <w:sz w:val="16"/>
          <w:szCs w:val="16"/>
        </w:rPr>
        <w:t xml:space="preserve"> </w:t>
      </w:r>
      <w:r w:rsidR="004E5AC1" w:rsidRPr="00DD4830">
        <w:rPr>
          <w:sz w:val="16"/>
          <w:szCs w:val="16"/>
        </w:rPr>
        <w:t xml:space="preserve">Group of Eight. (2023). The role of a modern Australian university system in the 21st century [Policy brief]. </w:t>
      </w:r>
      <w:hyperlink r:id="rId9" w:history="1">
        <w:r w:rsidR="00A75A18" w:rsidRPr="00FB76C7">
          <w:rPr>
            <w:rStyle w:val="Hyperlink"/>
            <w:sz w:val="16"/>
            <w:szCs w:val="16"/>
          </w:rPr>
          <w:t>https://go8.edu.au/wp-content/uploads/2023/03/Go8-Policy-Brief_modern-Aus-uni-system.pdf</w:t>
        </w:r>
      </w:hyperlink>
      <w:r w:rsidR="00A75A18">
        <w:rPr>
          <w:sz w:val="16"/>
          <w:szCs w:val="16"/>
        </w:rPr>
        <w:t xml:space="preserve"> </w:t>
      </w:r>
    </w:p>
  </w:footnote>
  <w:footnote w:id="20">
    <w:p w14:paraId="12724F9A" w14:textId="11CF6C96" w:rsidR="00077423" w:rsidRPr="00DD4830" w:rsidRDefault="00077423">
      <w:pPr>
        <w:pStyle w:val="FootnoteText"/>
        <w:rPr>
          <w:sz w:val="16"/>
          <w:szCs w:val="16"/>
        </w:rPr>
      </w:pPr>
      <w:r w:rsidRPr="00DD4830">
        <w:rPr>
          <w:rStyle w:val="FootnoteReference"/>
          <w:sz w:val="16"/>
          <w:szCs w:val="16"/>
        </w:rPr>
        <w:footnoteRef/>
      </w:r>
      <w:r w:rsidRPr="00DD4830">
        <w:rPr>
          <w:sz w:val="16"/>
          <w:szCs w:val="16"/>
        </w:rPr>
        <w:t xml:space="preserve"> </w:t>
      </w:r>
      <w:r w:rsidR="00C911C9" w:rsidRPr="00DD4830">
        <w:rPr>
          <w:sz w:val="16"/>
          <w:szCs w:val="16"/>
        </w:rPr>
        <w:t xml:space="preserve">Department of Education. (2024). Key findings: 2023 student data. </w:t>
      </w:r>
      <w:hyperlink r:id="rId10" w:history="1">
        <w:r w:rsidR="00A75A18" w:rsidRPr="00FB76C7">
          <w:rPr>
            <w:rStyle w:val="Hyperlink"/>
            <w:sz w:val="16"/>
            <w:szCs w:val="16"/>
          </w:rPr>
          <w:t>https://www.education.gov.au/higher-education-statistics/student-data/selected-higher-education-statistics-2023-student-data/key-findings-2023-student-data</w:t>
        </w:r>
      </w:hyperlink>
      <w:r w:rsidR="00A75A18">
        <w:rPr>
          <w:sz w:val="16"/>
          <w:szCs w:val="16"/>
        </w:rPr>
        <w:t xml:space="preserve"> </w:t>
      </w:r>
    </w:p>
  </w:footnote>
  <w:footnote w:id="21">
    <w:p w14:paraId="7FB229E1" w14:textId="5F40D7D0" w:rsidR="00E8117F" w:rsidRPr="0016658D" w:rsidRDefault="00E8117F">
      <w:pPr>
        <w:pStyle w:val="FootnoteText"/>
        <w:rPr>
          <w:sz w:val="16"/>
          <w:szCs w:val="16"/>
        </w:rPr>
      </w:pPr>
      <w:r w:rsidRPr="0016658D">
        <w:rPr>
          <w:rStyle w:val="FootnoteReference"/>
          <w:sz w:val="16"/>
          <w:szCs w:val="16"/>
        </w:rPr>
        <w:footnoteRef/>
      </w:r>
      <w:r w:rsidRPr="0016658D">
        <w:rPr>
          <w:sz w:val="16"/>
          <w:szCs w:val="16"/>
        </w:rPr>
        <w:t xml:space="preserve"> Deloitte Access E</w:t>
      </w:r>
      <w:r w:rsidR="004712DF" w:rsidRPr="0016658D">
        <w:rPr>
          <w:sz w:val="16"/>
          <w:szCs w:val="16"/>
        </w:rPr>
        <w:t xml:space="preserve">conomics. </w:t>
      </w:r>
      <w:r w:rsidR="001A3256" w:rsidRPr="0016658D">
        <w:rPr>
          <w:sz w:val="16"/>
          <w:szCs w:val="16"/>
        </w:rPr>
        <w:t xml:space="preserve">(2025). </w:t>
      </w:r>
      <w:r w:rsidR="001A3256" w:rsidRPr="0016658D">
        <w:rPr>
          <w:i/>
          <w:iCs/>
          <w:sz w:val="16"/>
          <w:szCs w:val="16"/>
        </w:rPr>
        <w:t>Cost Benefit Analysis of the Proposed National Higher Education Code to Prevent and Respond to Gender-based Violence</w:t>
      </w:r>
      <w:r w:rsidR="001A3256" w:rsidRPr="0016658D">
        <w:rPr>
          <w:sz w:val="16"/>
          <w:szCs w:val="16"/>
        </w:rPr>
        <w:t xml:space="preserve">, prepared for the Commonwealth Department of Education. </w:t>
      </w:r>
    </w:p>
  </w:footnote>
  <w:footnote w:id="22">
    <w:p w14:paraId="5E9B6B85" w14:textId="6449A952" w:rsidR="004413B4" w:rsidRPr="00DD4830" w:rsidRDefault="004413B4" w:rsidP="001C7B10">
      <w:pPr>
        <w:spacing w:after="0" w:line="240" w:lineRule="auto"/>
        <w:rPr>
          <w:sz w:val="16"/>
          <w:szCs w:val="16"/>
        </w:rPr>
      </w:pPr>
      <w:r w:rsidRPr="00DD4830">
        <w:rPr>
          <w:rStyle w:val="FootnoteReference"/>
          <w:sz w:val="16"/>
          <w:szCs w:val="16"/>
        </w:rPr>
        <w:footnoteRef/>
      </w:r>
      <w:r w:rsidR="001C7B10" w:rsidRPr="00DD4830">
        <w:rPr>
          <w:rStyle w:val="Hyperlink"/>
          <w:color w:val="auto"/>
          <w:sz w:val="16"/>
          <w:szCs w:val="16"/>
          <w:u w:val="none"/>
        </w:rPr>
        <w:t xml:space="preserve"> </w:t>
      </w:r>
      <w:r w:rsidR="00553280" w:rsidRPr="00DD4830">
        <w:rPr>
          <w:rStyle w:val="Hyperlink"/>
          <w:color w:val="auto"/>
          <w:sz w:val="16"/>
          <w:szCs w:val="16"/>
          <w:u w:val="none"/>
        </w:rPr>
        <w:t xml:space="preserve">Department of Education. (2024). Selected higher education statistics – 2023 staff data. </w:t>
      </w:r>
      <w:hyperlink r:id="rId11" w:history="1">
        <w:r w:rsidR="00A75A18" w:rsidRPr="00FB76C7">
          <w:rPr>
            <w:rStyle w:val="Hyperlink"/>
            <w:sz w:val="16"/>
            <w:szCs w:val="16"/>
          </w:rPr>
          <w:t>https://www.education.gov.au/higher-education-statistics/staff-data/selected-higher-education-statistics-2023-staff-data</w:t>
        </w:r>
      </w:hyperlink>
      <w:r w:rsidR="00A75A18">
        <w:rPr>
          <w:rStyle w:val="Hyperlink"/>
          <w:color w:val="auto"/>
          <w:sz w:val="16"/>
          <w:szCs w:val="16"/>
          <w:u w:val="none"/>
        </w:rPr>
        <w:t xml:space="preserve"> </w:t>
      </w:r>
    </w:p>
  </w:footnote>
  <w:footnote w:id="23">
    <w:p w14:paraId="2A9E74E2" w14:textId="759592C4" w:rsidR="00AE2D4F" w:rsidRPr="0040389B" w:rsidRDefault="00AE2D4F">
      <w:pPr>
        <w:pStyle w:val="FootnoteText"/>
        <w:rPr>
          <w:sz w:val="16"/>
          <w:szCs w:val="16"/>
        </w:rPr>
      </w:pPr>
      <w:r w:rsidRPr="0040389B">
        <w:rPr>
          <w:rStyle w:val="FootnoteReference"/>
          <w:sz w:val="16"/>
          <w:szCs w:val="16"/>
        </w:rPr>
        <w:footnoteRef/>
      </w:r>
      <w:r w:rsidRPr="0040389B">
        <w:rPr>
          <w:sz w:val="16"/>
          <w:szCs w:val="16"/>
        </w:rPr>
        <w:t xml:space="preserve"> </w:t>
      </w:r>
      <w:r w:rsidR="00DC1882" w:rsidRPr="0040389B">
        <w:rPr>
          <w:sz w:val="16"/>
          <w:szCs w:val="16"/>
        </w:rPr>
        <w:t xml:space="preserve">Australian Human Rights Commission. (2017). Change the course: National report on sexual assault and sexual harassment at Australian universities. </w:t>
      </w:r>
      <w:hyperlink r:id="rId12" w:history="1">
        <w:r w:rsidR="00A75A18" w:rsidRPr="0040389B">
          <w:rPr>
            <w:rStyle w:val="Hyperlink"/>
            <w:sz w:val="16"/>
            <w:szCs w:val="16"/>
          </w:rPr>
          <w:t>https://humanrights.gov.au/our-work/sex-discrimination/publications/change-course-national-report-sexual-assault-and</w:t>
        </w:r>
      </w:hyperlink>
      <w:r w:rsidR="00A75A18" w:rsidRPr="0040389B">
        <w:rPr>
          <w:sz w:val="16"/>
          <w:szCs w:val="16"/>
        </w:rPr>
        <w:t xml:space="preserve"> </w:t>
      </w:r>
    </w:p>
  </w:footnote>
  <w:footnote w:id="24">
    <w:p w14:paraId="762734FE" w14:textId="7CC80654" w:rsidR="00AE2D4F" w:rsidRPr="0040389B" w:rsidRDefault="00AE2D4F">
      <w:pPr>
        <w:pStyle w:val="FootnoteText"/>
        <w:rPr>
          <w:sz w:val="16"/>
          <w:szCs w:val="16"/>
        </w:rPr>
      </w:pPr>
      <w:r w:rsidRPr="0040389B">
        <w:rPr>
          <w:rStyle w:val="FootnoteReference"/>
          <w:sz w:val="16"/>
          <w:szCs w:val="16"/>
        </w:rPr>
        <w:footnoteRef/>
      </w:r>
      <w:r w:rsidRPr="0040389B">
        <w:rPr>
          <w:sz w:val="16"/>
          <w:szCs w:val="16"/>
        </w:rPr>
        <w:t xml:space="preserve"> </w:t>
      </w:r>
      <w:r w:rsidR="00DE1F25" w:rsidRPr="0040389B">
        <w:rPr>
          <w:sz w:val="16"/>
          <w:szCs w:val="16"/>
        </w:rPr>
        <w:t xml:space="preserve">Social Research Centre. (2022). National Student Safety Survey. </w:t>
      </w:r>
      <w:hyperlink r:id="rId13" w:history="1">
        <w:r w:rsidR="00A75A18" w:rsidRPr="0040389B">
          <w:rPr>
            <w:rStyle w:val="Hyperlink"/>
            <w:sz w:val="16"/>
            <w:szCs w:val="16"/>
          </w:rPr>
          <w:t>https://www.nsss.edu.au/</w:t>
        </w:r>
      </w:hyperlink>
      <w:r w:rsidR="00A75A18" w:rsidRPr="0040389B">
        <w:rPr>
          <w:sz w:val="16"/>
          <w:szCs w:val="16"/>
        </w:rPr>
        <w:t xml:space="preserve"> </w:t>
      </w:r>
    </w:p>
  </w:footnote>
  <w:footnote w:id="25">
    <w:p w14:paraId="7E2F9C2F" w14:textId="2C556D86" w:rsidR="00AE2D4F" w:rsidRPr="0040389B" w:rsidRDefault="00AE2D4F">
      <w:pPr>
        <w:pStyle w:val="FootnoteText"/>
        <w:rPr>
          <w:sz w:val="16"/>
          <w:szCs w:val="16"/>
        </w:rPr>
      </w:pPr>
      <w:r w:rsidRPr="0040389B">
        <w:rPr>
          <w:rStyle w:val="FootnoteReference"/>
          <w:sz w:val="16"/>
          <w:szCs w:val="16"/>
        </w:rPr>
        <w:footnoteRef/>
      </w:r>
      <w:r w:rsidR="00DE1F25" w:rsidRPr="0040389B">
        <w:rPr>
          <w:sz w:val="16"/>
          <w:szCs w:val="16"/>
        </w:rPr>
        <w:t xml:space="preserve"> </w:t>
      </w:r>
      <w:r w:rsidR="00180DDD" w:rsidRPr="0040389B">
        <w:rPr>
          <w:sz w:val="16"/>
          <w:szCs w:val="16"/>
        </w:rPr>
        <w:t xml:space="preserve">Ibid. </w:t>
      </w:r>
    </w:p>
  </w:footnote>
  <w:footnote w:id="26">
    <w:p w14:paraId="1BC9F7E1" w14:textId="14DC9A04" w:rsidR="00E50D91" w:rsidRPr="0040389B" w:rsidRDefault="00E50D91">
      <w:pPr>
        <w:pStyle w:val="FootnoteText"/>
        <w:rPr>
          <w:sz w:val="16"/>
          <w:szCs w:val="16"/>
        </w:rPr>
      </w:pPr>
      <w:r w:rsidRPr="0040389B">
        <w:rPr>
          <w:rStyle w:val="FootnoteReference"/>
          <w:sz w:val="16"/>
          <w:szCs w:val="16"/>
        </w:rPr>
        <w:footnoteRef/>
      </w:r>
      <w:r w:rsidRPr="0040389B">
        <w:rPr>
          <w:sz w:val="16"/>
          <w:szCs w:val="16"/>
        </w:rPr>
        <w:t xml:space="preserve"> </w:t>
      </w:r>
      <w:r w:rsidR="00E00A48" w:rsidRPr="0040389B">
        <w:rPr>
          <w:sz w:val="16"/>
          <w:szCs w:val="16"/>
        </w:rPr>
        <w:t xml:space="preserve">Australian Human Rights Commission. (2017). Change the course: National report on sexual assault and sexual harassment at Australian universities. </w:t>
      </w:r>
      <w:hyperlink r:id="rId14" w:history="1">
        <w:r w:rsidR="00A75A18" w:rsidRPr="0040389B">
          <w:rPr>
            <w:rStyle w:val="Hyperlink"/>
            <w:sz w:val="16"/>
            <w:szCs w:val="16"/>
          </w:rPr>
          <w:t>https://humanrights.gov.au/our-work/sex-discrimination/publications/change-course-national-report-sexual-assault-and</w:t>
        </w:r>
      </w:hyperlink>
      <w:r w:rsidR="00A75A18" w:rsidRPr="0040389B">
        <w:rPr>
          <w:sz w:val="16"/>
          <w:szCs w:val="16"/>
        </w:rPr>
        <w:t xml:space="preserve"> </w:t>
      </w:r>
    </w:p>
  </w:footnote>
  <w:footnote w:id="27">
    <w:p w14:paraId="04A0E01B" w14:textId="75614C19" w:rsidR="004768D2" w:rsidRDefault="004768D2">
      <w:pPr>
        <w:pStyle w:val="FootnoteText"/>
      </w:pPr>
      <w:r w:rsidRPr="0040389B">
        <w:rPr>
          <w:rStyle w:val="FootnoteReference"/>
          <w:sz w:val="16"/>
          <w:szCs w:val="16"/>
        </w:rPr>
        <w:footnoteRef/>
      </w:r>
      <w:r w:rsidRPr="0040389B">
        <w:rPr>
          <w:sz w:val="16"/>
          <w:szCs w:val="16"/>
        </w:rPr>
        <w:t xml:space="preserve"> </w:t>
      </w:r>
      <w:r w:rsidR="0061396C" w:rsidRPr="0040389B">
        <w:rPr>
          <w:sz w:val="16"/>
          <w:szCs w:val="16"/>
        </w:rPr>
        <w:t>Social Research Centre. (202</w:t>
      </w:r>
      <w:r w:rsidR="00025F43" w:rsidRPr="0040389B">
        <w:rPr>
          <w:sz w:val="16"/>
          <w:szCs w:val="16"/>
        </w:rPr>
        <w:t>2</w:t>
      </w:r>
      <w:r w:rsidR="0061396C" w:rsidRPr="0040389B">
        <w:rPr>
          <w:sz w:val="16"/>
          <w:szCs w:val="16"/>
        </w:rPr>
        <w:t>). </w:t>
      </w:r>
      <w:r w:rsidR="0061396C" w:rsidRPr="0040389B">
        <w:rPr>
          <w:i/>
          <w:iCs/>
          <w:sz w:val="16"/>
          <w:szCs w:val="16"/>
        </w:rPr>
        <w:t>National Student Safety Survey</w:t>
      </w:r>
      <w:r w:rsidR="0061396C" w:rsidRPr="0040389B">
        <w:rPr>
          <w:sz w:val="16"/>
          <w:szCs w:val="16"/>
        </w:rPr>
        <w:t>. </w:t>
      </w:r>
      <w:hyperlink r:id="rId15" w:history="1">
        <w:r w:rsidR="00A75A18" w:rsidRPr="0040389B">
          <w:rPr>
            <w:rStyle w:val="Hyperlink"/>
            <w:sz w:val="16"/>
            <w:szCs w:val="16"/>
          </w:rPr>
          <w:t>https://www.nsss.edu.au/</w:t>
        </w:r>
      </w:hyperlink>
      <w:r w:rsidR="00A75A18">
        <w:rPr>
          <w:sz w:val="18"/>
          <w:szCs w:val="18"/>
        </w:rPr>
        <w:t xml:space="preserve"> </w:t>
      </w:r>
    </w:p>
  </w:footnote>
  <w:footnote w:id="28">
    <w:p w14:paraId="2901402C" w14:textId="7227A854" w:rsidR="00C9774F" w:rsidRPr="0040389B" w:rsidRDefault="00C9774F">
      <w:pPr>
        <w:pStyle w:val="FootnoteText"/>
        <w:rPr>
          <w:sz w:val="16"/>
          <w:szCs w:val="16"/>
        </w:rPr>
      </w:pPr>
      <w:r w:rsidRPr="0040389B">
        <w:rPr>
          <w:rStyle w:val="FootnoteReference"/>
          <w:sz w:val="16"/>
          <w:szCs w:val="16"/>
        </w:rPr>
        <w:footnoteRef/>
      </w:r>
      <w:r w:rsidRPr="0040389B">
        <w:rPr>
          <w:sz w:val="16"/>
          <w:szCs w:val="16"/>
        </w:rPr>
        <w:t xml:space="preserve"> Social Research Centre. (2021). National Student Safety Survey. </w:t>
      </w:r>
      <w:hyperlink r:id="rId16" w:history="1">
        <w:r w:rsidRPr="0040389B">
          <w:rPr>
            <w:rStyle w:val="Hyperlink"/>
            <w:sz w:val="16"/>
            <w:szCs w:val="16"/>
          </w:rPr>
          <w:t>https://www.nsss.edu.au/</w:t>
        </w:r>
      </w:hyperlink>
    </w:p>
  </w:footnote>
  <w:footnote w:id="29">
    <w:p w14:paraId="51699182" w14:textId="2F468DD3" w:rsidR="009D291E" w:rsidRPr="0040389B" w:rsidRDefault="009D291E">
      <w:pPr>
        <w:pStyle w:val="FootnoteText"/>
        <w:rPr>
          <w:sz w:val="16"/>
          <w:szCs w:val="16"/>
        </w:rPr>
      </w:pPr>
      <w:r w:rsidRPr="0040389B">
        <w:rPr>
          <w:rStyle w:val="FootnoteReference"/>
          <w:sz w:val="16"/>
          <w:szCs w:val="16"/>
        </w:rPr>
        <w:footnoteRef/>
      </w:r>
      <w:r w:rsidRPr="0040389B">
        <w:rPr>
          <w:sz w:val="16"/>
          <w:szCs w:val="16"/>
        </w:rPr>
        <w:t xml:space="preserve"> Funnell, N., Hush, A., Bremner, S., &amp; Lumby, C. (2018). </w:t>
      </w:r>
      <w:r w:rsidRPr="0040389B">
        <w:rPr>
          <w:i/>
          <w:iCs/>
          <w:sz w:val="16"/>
          <w:szCs w:val="16"/>
        </w:rPr>
        <w:t>The Red Zone Report 2018</w:t>
      </w:r>
      <w:r w:rsidRPr="0040389B">
        <w:rPr>
          <w:sz w:val="16"/>
          <w:szCs w:val="16"/>
        </w:rPr>
        <w:t>. End Rape on Campus.</w:t>
      </w:r>
    </w:p>
  </w:footnote>
  <w:footnote w:id="30">
    <w:p w14:paraId="68A23AD4" w14:textId="198565C4" w:rsidR="0020303B" w:rsidRPr="0040389B" w:rsidRDefault="0020303B">
      <w:pPr>
        <w:pStyle w:val="FootnoteText"/>
        <w:rPr>
          <w:sz w:val="16"/>
          <w:szCs w:val="16"/>
        </w:rPr>
      </w:pPr>
      <w:r w:rsidRPr="0040389B">
        <w:rPr>
          <w:rStyle w:val="FootnoteReference"/>
          <w:sz w:val="16"/>
          <w:szCs w:val="16"/>
        </w:rPr>
        <w:footnoteRef/>
      </w:r>
      <w:r w:rsidRPr="0040389B">
        <w:rPr>
          <w:sz w:val="16"/>
          <w:szCs w:val="16"/>
        </w:rPr>
        <w:t xml:space="preserve"> Ibid.</w:t>
      </w:r>
    </w:p>
  </w:footnote>
  <w:footnote w:id="31">
    <w:p w14:paraId="07BF4AFA" w14:textId="22366B96" w:rsidR="002A2A61" w:rsidRPr="0040389B" w:rsidRDefault="002A2A61">
      <w:pPr>
        <w:pStyle w:val="FootnoteText"/>
        <w:rPr>
          <w:sz w:val="16"/>
          <w:szCs w:val="16"/>
        </w:rPr>
      </w:pPr>
      <w:r w:rsidRPr="0040389B">
        <w:rPr>
          <w:rStyle w:val="FootnoteReference"/>
          <w:sz w:val="16"/>
          <w:szCs w:val="16"/>
        </w:rPr>
        <w:footnoteRef/>
      </w:r>
      <w:r w:rsidRPr="0040389B">
        <w:rPr>
          <w:sz w:val="16"/>
          <w:szCs w:val="16"/>
        </w:rPr>
        <w:t xml:space="preserve"> Ibid. </w:t>
      </w:r>
    </w:p>
  </w:footnote>
  <w:footnote w:id="32">
    <w:p w14:paraId="5CB91138" w14:textId="017021CB" w:rsidR="00936DB3" w:rsidRPr="0040389B" w:rsidRDefault="00936DB3">
      <w:pPr>
        <w:pStyle w:val="FootnoteText"/>
        <w:rPr>
          <w:sz w:val="16"/>
          <w:szCs w:val="16"/>
        </w:rPr>
      </w:pPr>
      <w:r w:rsidRPr="0040389B">
        <w:rPr>
          <w:rStyle w:val="FootnoteReference"/>
          <w:sz w:val="16"/>
          <w:szCs w:val="16"/>
        </w:rPr>
        <w:footnoteRef/>
      </w:r>
      <w:r w:rsidRPr="0040389B">
        <w:rPr>
          <w:sz w:val="16"/>
          <w:szCs w:val="16"/>
        </w:rPr>
        <w:t xml:space="preserve"> Ibid.</w:t>
      </w:r>
    </w:p>
  </w:footnote>
  <w:footnote w:id="33">
    <w:p w14:paraId="6B822EFE" w14:textId="68B206DA" w:rsidR="00162373" w:rsidRPr="00DD4830" w:rsidRDefault="00162373">
      <w:pPr>
        <w:pStyle w:val="FootnoteText"/>
        <w:rPr>
          <w:sz w:val="18"/>
          <w:szCs w:val="18"/>
        </w:rPr>
      </w:pPr>
      <w:r w:rsidRPr="0040389B">
        <w:rPr>
          <w:rStyle w:val="FootnoteReference"/>
          <w:sz w:val="16"/>
          <w:szCs w:val="16"/>
        </w:rPr>
        <w:footnoteRef/>
      </w:r>
      <w:r w:rsidRPr="0040389B">
        <w:rPr>
          <w:sz w:val="16"/>
          <w:szCs w:val="16"/>
        </w:rPr>
        <w:t xml:space="preserve"> </w:t>
      </w:r>
      <w:r w:rsidR="00C9774F" w:rsidRPr="0040389B">
        <w:rPr>
          <w:sz w:val="16"/>
          <w:szCs w:val="16"/>
        </w:rPr>
        <w:t>Ibid.</w:t>
      </w:r>
    </w:p>
  </w:footnote>
  <w:footnote w:id="34">
    <w:p w14:paraId="03B8E8BE" w14:textId="1DB63D10" w:rsidR="00CF357F" w:rsidRPr="00F958ED" w:rsidRDefault="00CF357F">
      <w:pPr>
        <w:pStyle w:val="FootnoteText"/>
        <w:rPr>
          <w:sz w:val="16"/>
          <w:szCs w:val="16"/>
        </w:rPr>
      </w:pPr>
      <w:r w:rsidRPr="00F958ED">
        <w:rPr>
          <w:rStyle w:val="FootnoteReference"/>
          <w:sz w:val="16"/>
          <w:szCs w:val="16"/>
        </w:rPr>
        <w:footnoteRef/>
      </w:r>
      <w:r w:rsidRPr="00F958ED">
        <w:rPr>
          <w:sz w:val="16"/>
          <w:szCs w:val="16"/>
        </w:rPr>
        <w:t xml:space="preserve"> Social Research Centre. (2021). National Student Safety Survey. </w:t>
      </w:r>
      <w:hyperlink r:id="rId17" w:history="1">
        <w:r w:rsidRPr="00F958ED">
          <w:rPr>
            <w:rStyle w:val="Hyperlink"/>
            <w:sz w:val="16"/>
            <w:szCs w:val="16"/>
          </w:rPr>
          <w:t>https://www.nsss.edu.au/</w:t>
        </w:r>
      </w:hyperlink>
    </w:p>
  </w:footnote>
  <w:footnote w:id="35">
    <w:p w14:paraId="30219C84" w14:textId="09A246AB" w:rsidR="00163864" w:rsidRPr="00F958ED" w:rsidRDefault="00163864">
      <w:pPr>
        <w:pStyle w:val="FootnoteText"/>
        <w:rPr>
          <w:sz w:val="16"/>
          <w:szCs w:val="16"/>
        </w:rPr>
      </w:pPr>
      <w:r w:rsidRPr="00F958ED">
        <w:rPr>
          <w:rStyle w:val="FootnoteReference"/>
          <w:sz w:val="16"/>
          <w:szCs w:val="16"/>
        </w:rPr>
        <w:footnoteRef/>
      </w:r>
      <w:r w:rsidRPr="00F958ED">
        <w:rPr>
          <w:sz w:val="16"/>
          <w:szCs w:val="16"/>
        </w:rPr>
        <w:t xml:space="preserve"> Smithers, K., Harris, J., Heffernan, T., &amp; Gurr, S. (2025). Decasualisation and the universities accord: an examination of university approaches. Journal of Higher Education Policy and Management, 47(3), 282–298. </w:t>
      </w:r>
      <w:hyperlink r:id="rId18" w:history="1">
        <w:r w:rsidR="00BE36CE" w:rsidRPr="00F958ED">
          <w:rPr>
            <w:rStyle w:val="Hyperlink"/>
            <w:sz w:val="16"/>
            <w:szCs w:val="16"/>
          </w:rPr>
          <w:t>https://doi.org/10.1080/1360080X.2025.2462128</w:t>
        </w:r>
      </w:hyperlink>
      <w:r w:rsidR="00BE36CE" w:rsidRPr="00F958ED">
        <w:rPr>
          <w:sz w:val="16"/>
          <w:szCs w:val="16"/>
        </w:rPr>
        <w:t xml:space="preserve"> </w:t>
      </w:r>
    </w:p>
  </w:footnote>
  <w:footnote w:id="36">
    <w:p w14:paraId="49A8BB66" w14:textId="2A62021D" w:rsidR="005A36E0" w:rsidRPr="00F958ED" w:rsidRDefault="005A36E0">
      <w:pPr>
        <w:pStyle w:val="FootnoteText"/>
        <w:rPr>
          <w:sz w:val="16"/>
          <w:szCs w:val="16"/>
        </w:rPr>
      </w:pPr>
      <w:r w:rsidRPr="00F958ED">
        <w:rPr>
          <w:rStyle w:val="FootnoteReference"/>
          <w:sz w:val="16"/>
          <w:szCs w:val="16"/>
        </w:rPr>
        <w:footnoteRef/>
      </w:r>
      <w:r w:rsidRPr="00F958ED">
        <w:rPr>
          <w:sz w:val="16"/>
          <w:szCs w:val="16"/>
        </w:rPr>
        <w:t xml:space="preserve"> </w:t>
      </w:r>
      <w:r w:rsidR="00585093" w:rsidRPr="00F958ED">
        <w:rPr>
          <w:sz w:val="16"/>
          <w:szCs w:val="16"/>
        </w:rPr>
        <w:t>Nixon, C. (2025). Report of a review into matters of gender and culture in the ANU College of Health and Medicine and its constituent Schools. The Australian National University.</w:t>
      </w:r>
    </w:p>
  </w:footnote>
  <w:footnote w:id="37">
    <w:p w14:paraId="1B0B8F1A" w14:textId="23B85B79" w:rsidR="00E82E58" w:rsidRPr="00F958ED" w:rsidRDefault="00E82E58">
      <w:pPr>
        <w:pStyle w:val="FootnoteText"/>
        <w:rPr>
          <w:sz w:val="16"/>
          <w:szCs w:val="16"/>
        </w:rPr>
      </w:pPr>
      <w:r w:rsidRPr="00F958ED">
        <w:rPr>
          <w:rStyle w:val="FootnoteReference"/>
          <w:sz w:val="16"/>
          <w:szCs w:val="16"/>
        </w:rPr>
        <w:footnoteRef/>
      </w:r>
      <w:r w:rsidRPr="00F958ED">
        <w:rPr>
          <w:sz w:val="16"/>
          <w:szCs w:val="16"/>
        </w:rPr>
        <w:t xml:space="preserve"> </w:t>
      </w:r>
      <w:hyperlink r:id="rId19" w:history="1">
        <w:r w:rsidR="00A45C4A" w:rsidRPr="00F958ED">
          <w:rPr>
            <w:rStyle w:val="Hyperlink"/>
            <w:sz w:val="16"/>
            <w:szCs w:val="16"/>
          </w:rPr>
          <w:t>Australian Human Rights Commission. (2020). Respect@Work: National Inquiry into Sexual harassment in Australian Workplaces. </w:t>
        </w:r>
      </w:hyperlink>
    </w:p>
  </w:footnote>
  <w:footnote w:id="38">
    <w:p w14:paraId="7929FDEF" w14:textId="31D68773" w:rsidR="004C0AFC" w:rsidRPr="00CF357F" w:rsidRDefault="004C0AFC">
      <w:pPr>
        <w:pStyle w:val="FootnoteText"/>
        <w:rPr>
          <w:sz w:val="18"/>
          <w:szCs w:val="18"/>
        </w:rPr>
      </w:pPr>
      <w:r w:rsidRPr="00F958ED">
        <w:rPr>
          <w:rStyle w:val="FootnoteReference"/>
          <w:sz w:val="16"/>
          <w:szCs w:val="16"/>
        </w:rPr>
        <w:footnoteRef/>
      </w:r>
      <w:r w:rsidRPr="00F958ED">
        <w:rPr>
          <w:sz w:val="16"/>
          <w:szCs w:val="16"/>
        </w:rPr>
        <w:t xml:space="preserve"> </w:t>
      </w:r>
      <w:r w:rsidR="00342332" w:rsidRPr="00F958ED">
        <w:rPr>
          <w:sz w:val="16"/>
          <w:szCs w:val="16"/>
        </w:rPr>
        <w:t>Ibid.</w:t>
      </w:r>
      <w:r w:rsidR="00342332" w:rsidRPr="00CF357F">
        <w:rPr>
          <w:sz w:val="14"/>
          <w:szCs w:val="14"/>
        </w:rPr>
        <w:t xml:space="preserve"> </w:t>
      </w:r>
      <w:r w:rsidR="00C13CAA" w:rsidRPr="00CF357F">
        <w:rPr>
          <w:sz w:val="14"/>
          <w:szCs w:val="14"/>
        </w:rPr>
        <w:t xml:space="preserve"> </w:t>
      </w:r>
    </w:p>
  </w:footnote>
  <w:footnote w:id="39">
    <w:p w14:paraId="4F293401" w14:textId="76194910" w:rsidR="004B6AF3" w:rsidRPr="00543357" w:rsidRDefault="004B6AF3" w:rsidP="004B6AF3">
      <w:pPr>
        <w:pStyle w:val="FootnoteText"/>
        <w:rPr>
          <w:sz w:val="16"/>
          <w:szCs w:val="16"/>
        </w:rPr>
      </w:pPr>
      <w:r w:rsidRPr="00543357">
        <w:rPr>
          <w:rStyle w:val="FootnoteReference"/>
          <w:sz w:val="16"/>
          <w:szCs w:val="16"/>
        </w:rPr>
        <w:footnoteRef/>
      </w:r>
      <w:r w:rsidRPr="00543357">
        <w:rPr>
          <w:sz w:val="16"/>
          <w:szCs w:val="16"/>
        </w:rPr>
        <w:t xml:space="preserve"> National Tertiary Education Union. (2023). Sexual harassment survey report. </w:t>
      </w:r>
      <w:hyperlink r:id="rId20" w:history="1">
        <w:r w:rsidR="00343558" w:rsidRPr="00543357">
          <w:rPr>
            <w:rStyle w:val="Hyperlink"/>
            <w:sz w:val="16"/>
            <w:szCs w:val="16"/>
          </w:rPr>
          <w:t>https://www.nteu.au/News_Articles/Media_Releases/Sexual_Harassment_Survey_Report.aspx</w:t>
        </w:r>
      </w:hyperlink>
      <w:r w:rsidR="00BE36CE" w:rsidRPr="00543357">
        <w:rPr>
          <w:sz w:val="16"/>
          <w:szCs w:val="16"/>
        </w:rPr>
        <w:t xml:space="preserve"> </w:t>
      </w:r>
    </w:p>
  </w:footnote>
  <w:footnote w:id="40">
    <w:p w14:paraId="6280DFD6" w14:textId="2829871F" w:rsidR="004851A4" w:rsidRPr="00543357" w:rsidRDefault="004851A4">
      <w:pPr>
        <w:pStyle w:val="FootnoteText"/>
        <w:rPr>
          <w:sz w:val="16"/>
          <w:szCs w:val="16"/>
        </w:rPr>
      </w:pPr>
      <w:r w:rsidRPr="00543357">
        <w:rPr>
          <w:rStyle w:val="FootnoteReference"/>
          <w:sz w:val="16"/>
          <w:szCs w:val="16"/>
        </w:rPr>
        <w:footnoteRef/>
      </w:r>
      <w:r w:rsidRPr="00543357">
        <w:rPr>
          <w:sz w:val="16"/>
          <w:szCs w:val="16"/>
        </w:rPr>
        <w:t xml:space="preserve"> Ibid. </w:t>
      </w:r>
    </w:p>
  </w:footnote>
  <w:footnote w:id="41">
    <w:p w14:paraId="457912AA" w14:textId="77777777" w:rsidR="002F2FC5" w:rsidRDefault="002F2FC5" w:rsidP="002F2FC5">
      <w:pPr>
        <w:pStyle w:val="FootnoteText"/>
      </w:pPr>
      <w:r w:rsidRPr="00543357">
        <w:rPr>
          <w:rStyle w:val="FootnoteReference"/>
          <w:sz w:val="16"/>
          <w:szCs w:val="16"/>
        </w:rPr>
        <w:footnoteRef/>
      </w:r>
      <w:r w:rsidRPr="00543357">
        <w:rPr>
          <w:sz w:val="16"/>
          <w:szCs w:val="16"/>
        </w:rPr>
        <w:t xml:space="preserve"> Ibid.</w:t>
      </w:r>
      <w:r>
        <w:t xml:space="preserve"> </w:t>
      </w:r>
    </w:p>
  </w:footnote>
  <w:footnote w:id="42">
    <w:p w14:paraId="7411AAFE" w14:textId="7D285FBD" w:rsidR="00A42C3B" w:rsidRPr="005D3DBD" w:rsidRDefault="00A42C3B">
      <w:pPr>
        <w:pStyle w:val="FootnoteText"/>
        <w:rPr>
          <w:sz w:val="16"/>
          <w:szCs w:val="16"/>
        </w:rPr>
      </w:pPr>
      <w:r w:rsidRPr="005D3DBD">
        <w:rPr>
          <w:rStyle w:val="FootnoteReference"/>
          <w:sz w:val="16"/>
          <w:szCs w:val="16"/>
        </w:rPr>
        <w:footnoteRef/>
      </w:r>
      <w:r w:rsidRPr="005D3DBD">
        <w:rPr>
          <w:sz w:val="16"/>
          <w:szCs w:val="16"/>
        </w:rPr>
        <w:t xml:space="preserve"> </w:t>
      </w:r>
      <w:r w:rsidR="00B24FFD" w:rsidRPr="005D3DBD">
        <w:rPr>
          <w:sz w:val="16"/>
          <w:szCs w:val="16"/>
        </w:rPr>
        <w:t xml:space="preserve">Australian Human Rights Commission. (2017). Change the course: National report on sexual assault and sexual harassment at Australian universities. </w:t>
      </w:r>
      <w:hyperlink r:id="rId21" w:history="1">
        <w:r w:rsidR="00BE36CE" w:rsidRPr="005D3DBD">
          <w:rPr>
            <w:rStyle w:val="Hyperlink"/>
            <w:sz w:val="16"/>
            <w:szCs w:val="16"/>
          </w:rPr>
          <w:t>https://humanrights.gov.au/our-work/sex-discrimination/publications/change-course-national-report-sexual-assault-and</w:t>
        </w:r>
      </w:hyperlink>
      <w:r w:rsidR="00BE36CE" w:rsidRPr="005D3DBD">
        <w:rPr>
          <w:sz w:val="16"/>
          <w:szCs w:val="16"/>
        </w:rPr>
        <w:t xml:space="preserve"> </w:t>
      </w:r>
    </w:p>
  </w:footnote>
  <w:footnote w:id="43">
    <w:p w14:paraId="0BCA1F01" w14:textId="0462FF61" w:rsidR="002C638D" w:rsidRPr="005D3DBD" w:rsidRDefault="002C638D" w:rsidP="002C638D">
      <w:pPr>
        <w:pStyle w:val="FootnoteText"/>
        <w:rPr>
          <w:sz w:val="16"/>
          <w:szCs w:val="16"/>
        </w:rPr>
      </w:pPr>
      <w:r w:rsidRPr="005D3DBD">
        <w:rPr>
          <w:rStyle w:val="FootnoteReference"/>
          <w:sz w:val="16"/>
          <w:szCs w:val="16"/>
        </w:rPr>
        <w:footnoteRef/>
      </w:r>
      <w:r w:rsidRPr="005D3DBD">
        <w:rPr>
          <w:sz w:val="16"/>
          <w:szCs w:val="16"/>
        </w:rPr>
        <w:t xml:space="preserve"> </w:t>
      </w:r>
      <w:r w:rsidR="00B24FFD" w:rsidRPr="005D3DBD">
        <w:rPr>
          <w:sz w:val="16"/>
          <w:szCs w:val="16"/>
        </w:rPr>
        <w:t>Ibid.</w:t>
      </w:r>
    </w:p>
  </w:footnote>
  <w:footnote w:id="44">
    <w:p w14:paraId="545D4ADD" w14:textId="77777777" w:rsidR="002C638D" w:rsidRPr="005D3DBD" w:rsidRDefault="002C638D" w:rsidP="002C638D">
      <w:pPr>
        <w:pStyle w:val="FootnoteText"/>
        <w:rPr>
          <w:sz w:val="16"/>
          <w:szCs w:val="16"/>
        </w:rPr>
      </w:pPr>
      <w:r w:rsidRPr="005D3DBD">
        <w:rPr>
          <w:rStyle w:val="FootnoteReference"/>
          <w:sz w:val="16"/>
          <w:szCs w:val="16"/>
        </w:rPr>
        <w:footnoteRef/>
      </w:r>
      <w:r w:rsidRPr="005D3DBD">
        <w:rPr>
          <w:sz w:val="16"/>
          <w:szCs w:val="16"/>
        </w:rPr>
        <w:t xml:space="preserve">  Summers, Anne; Shortridge, Thomas; Sobeck, Kristen (2025). The Cost of Domestic Violence to Women's Employment and Education. University of Technology Sydney. Report. </w:t>
      </w:r>
      <w:hyperlink r:id="rId22" w:history="1">
        <w:r w:rsidRPr="005D3DBD">
          <w:rPr>
            <w:rStyle w:val="Hyperlink"/>
            <w:sz w:val="16"/>
            <w:szCs w:val="16"/>
          </w:rPr>
          <w:t>https://doi.org/10.71741/4pyxmbnjaq.28489736.v2</w:t>
        </w:r>
      </w:hyperlink>
      <w:r w:rsidRPr="005D3DBD">
        <w:rPr>
          <w:sz w:val="16"/>
          <w:szCs w:val="16"/>
        </w:rPr>
        <w:t xml:space="preserve"> </w:t>
      </w:r>
    </w:p>
  </w:footnote>
  <w:footnote w:id="45">
    <w:p w14:paraId="1B963B9C" w14:textId="15DDDA4E" w:rsidR="006B2809" w:rsidRPr="005D3DBD" w:rsidRDefault="006B2809" w:rsidP="006B2809">
      <w:pPr>
        <w:pStyle w:val="FootnoteText"/>
        <w:rPr>
          <w:sz w:val="16"/>
          <w:szCs w:val="16"/>
        </w:rPr>
      </w:pPr>
      <w:r w:rsidRPr="005D3DBD">
        <w:rPr>
          <w:rStyle w:val="FootnoteReference"/>
          <w:sz w:val="16"/>
          <w:szCs w:val="16"/>
        </w:rPr>
        <w:footnoteRef/>
      </w:r>
      <w:r w:rsidRPr="005D3DBD">
        <w:rPr>
          <w:sz w:val="16"/>
          <w:szCs w:val="16"/>
        </w:rPr>
        <w:t xml:space="preserve">  </w:t>
      </w:r>
      <w:r w:rsidR="0087690B" w:rsidRPr="005D3DBD">
        <w:rPr>
          <w:sz w:val="16"/>
          <w:szCs w:val="16"/>
        </w:rPr>
        <w:t>Ibid</w:t>
      </w:r>
      <w:r w:rsidR="00205D72" w:rsidRPr="005D3DBD">
        <w:rPr>
          <w:sz w:val="16"/>
          <w:szCs w:val="16"/>
        </w:rPr>
        <w:t>.</w:t>
      </w:r>
    </w:p>
  </w:footnote>
  <w:footnote w:id="46">
    <w:p w14:paraId="6D799C52" w14:textId="46A0888E" w:rsidR="006B2809" w:rsidRDefault="006B2809" w:rsidP="006B2809">
      <w:pPr>
        <w:pStyle w:val="FootnoteText"/>
      </w:pPr>
      <w:r w:rsidRPr="005D3DBD">
        <w:rPr>
          <w:rStyle w:val="FootnoteReference"/>
          <w:sz w:val="16"/>
          <w:szCs w:val="16"/>
        </w:rPr>
        <w:footnoteRef/>
      </w:r>
      <w:r w:rsidRPr="005D3DBD">
        <w:rPr>
          <w:sz w:val="16"/>
          <w:szCs w:val="16"/>
        </w:rPr>
        <w:t xml:space="preserve"> </w:t>
      </w:r>
      <w:r w:rsidR="00E50BCF" w:rsidRPr="005D3DBD">
        <w:rPr>
          <w:sz w:val="16"/>
          <w:szCs w:val="16"/>
        </w:rPr>
        <w:t xml:space="preserve">Commonwealth Department of Education. </w:t>
      </w:r>
      <w:r w:rsidR="004B055C" w:rsidRPr="005D3DBD">
        <w:rPr>
          <w:sz w:val="16"/>
          <w:szCs w:val="16"/>
        </w:rPr>
        <w:t xml:space="preserve">(2016). Integrated Data Research: Benefits of educational attainment. </w:t>
      </w:r>
      <w:hyperlink r:id="rId23" w:history="1">
        <w:r w:rsidR="00045BEC" w:rsidRPr="005D3DBD">
          <w:rPr>
            <w:rStyle w:val="Hyperlink"/>
            <w:sz w:val="16"/>
            <w:szCs w:val="16"/>
          </w:rPr>
          <w:t>https://www.education.gov.au/integrated-data-research/benefits-educational-attainment</w:t>
        </w:r>
      </w:hyperlink>
      <w:r w:rsidR="00045BEC">
        <w:rPr>
          <w:sz w:val="16"/>
          <w:szCs w:val="16"/>
        </w:rPr>
        <w:t xml:space="preserve"> </w:t>
      </w:r>
    </w:p>
  </w:footnote>
  <w:footnote w:id="47">
    <w:p w14:paraId="6D6EEF05" w14:textId="7B0CB115" w:rsidR="006B2809" w:rsidRPr="001661EB" w:rsidRDefault="006B2809" w:rsidP="006B2809">
      <w:pPr>
        <w:pStyle w:val="FootnoteText"/>
        <w:rPr>
          <w:sz w:val="16"/>
          <w:szCs w:val="16"/>
        </w:rPr>
      </w:pPr>
      <w:r w:rsidRPr="00DD4830">
        <w:rPr>
          <w:rStyle w:val="FootnoteReference"/>
          <w:sz w:val="16"/>
          <w:szCs w:val="16"/>
        </w:rPr>
        <w:footnoteRef/>
      </w:r>
      <w:r w:rsidRPr="00DD4830">
        <w:rPr>
          <w:sz w:val="16"/>
          <w:szCs w:val="16"/>
        </w:rPr>
        <w:t xml:space="preserve"> </w:t>
      </w:r>
      <w:r w:rsidR="00002774" w:rsidRPr="00DD4830">
        <w:rPr>
          <w:sz w:val="16"/>
          <w:szCs w:val="16"/>
        </w:rPr>
        <w:t xml:space="preserve">Leigh, A. (2024). Returns to education in Australia (IZA Discussion Paper No. 17025). Institute of Labor Economics (IZA). https://docs.iza.org/dp17025.pdf </w:t>
      </w:r>
    </w:p>
  </w:footnote>
  <w:footnote w:id="48">
    <w:p w14:paraId="6DDFF45B" w14:textId="1C2A8652" w:rsidR="00CD6A80" w:rsidRPr="00DD4830" w:rsidRDefault="00CD6A80">
      <w:pPr>
        <w:pStyle w:val="FootnoteText"/>
        <w:rPr>
          <w:sz w:val="16"/>
          <w:szCs w:val="16"/>
        </w:rPr>
      </w:pPr>
      <w:r w:rsidRPr="00DD4830">
        <w:rPr>
          <w:rStyle w:val="FootnoteReference"/>
          <w:sz w:val="16"/>
          <w:szCs w:val="16"/>
        </w:rPr>
        <w:footnoteRef/>
      </w:r>
      <w:r w:rsidRPr="00DD4830">
        <w:rPr>
          <w:sz w:val="16"/>
          <w:szCs w:val="16"/>
        </w:rPr>
        <w:t xml:space="preserve"> </w:t>
      </w:r>
      <w:r w:rsidR="00EF1EE1" w:rsidRPr="00DD4830">
        <w:rPr>
          <w:sz w:val="16"/>
          <w:szCs w:val="16"/>
        </w:rPr>
        <w:t xml:space="preserve">Marks, G. N. (2018). Do the labour market returns to university degrees differ between high and low achieving youth? Evidence from Australia. Journal of Labour Market Research, 52(1), Article 5. </w:t>
      </w:r>
      <w:hyperlink r:id="rId24" w:history="1">
        <w:r w:rsidR="000B435F" w:rsidRPr="00FB76C7">
          <w:rPr>
            <w:rStyle w:val="Hyperlink"/>
            <w:sz w:val="16"/>
            <w:szCs w:val="16"/>
          </w:rPr>
          <w:t>https://doi.org/10.1186/s12651-018-0241-0</w:t>
        </w:r>
      </w:hyperlink>
      <w:r w:rsidR="000B435F">
        <w:rPr>
          <w:sz w:val="16"/>
          <w:szCs w:val="16"/>
        </w:rPr>
        <w:t xml:space="preserve"> </w:t>
      </w:r>
    </w:p>
  </w:footnote>
  <w:footnote w:id="49">
    <w:p w14:paraId="72600E4D" w14:textId="7B85A4E5" w:rsidR="00CD58E6" w:rsidRPr="00DD4830" w:rsidRDefault="00CD58E6">
      <w:pPr>
        <w:pStyle w:val="FootnoteText"/>
        <w:rPr>
          <w:sz w:val="16"/>
          <w:szCs w:val="16"/>
        </w:rPr>
      </w:pPr>
      <w:r w:rsidRPr="00DD4830">
        <w:rPr>
          <w:rStyle w:val="FootnoteReference"/>
          <w:sz w:val="16"/>
          <w:szCs w:val="16"/>
        </w:rPr>
        <w:footnoteRef/>
      </w:r>
      <w:r w:rsidRPr="00DD4830">
        <w:rPr>
          <w:sz w:val="16"/>
          <w:szCs w:val="16"/>
        </w:rPr>
        <w:t xml:space="preserve"> </w:t>
      </w:r>
      <w:r w:rsidR="005D56B1" w:rsidRPr="00DD4830">
        <w:rPr>
          <w:sz w:val="16"/>
          <w:szCs w:val="16"/>
        </w:rPr>
        <w:t xml:space="preserve">Summers, Anne; Shortridge, Thomas; Sobeck, Kristen (2025). The Cost of Domestic Violence to Women's Employment and Education. University of Technology Sydney. Report. </w:t>
      </w:r>
      <w:hyperlink r:id="rId25" w:history="1">
        <w:r w:rsidR="000B435F" w:rsidRPr="00FB76C7">
          <w:rPr>
            <w:rStyle w:val="Hyperlink"/>
            <w:sz w:val="16"/>
            <w:szCs w:val="16"/>
          </w:rPr>
          <w:t>https://doi.org/10.71741/4pyxmbnjaq.28489736.v2</w:t>
        </w:r>
      </w:hyperlink>
      <w:r w:rsidR="000B435F">
        <w:rPr>
          <w:sz w:val="16"/>
          <w:szCs w:val="16"/>
        </w:rPr>
        <w:t xml:space="preserve"> </w:t>
      </w:r>
    </w:p>
  </w:footnote>
  <w:footnote w:id="50">
    <w:p w14:paraId="25E47ABF" w14:textId="4305C9C9" w:rsidR="00876CA5" w:rsidRPr="00EE409C" w:rsidRDefault="00876CA5">
      <w:pPr>
        <w:pStyle w:val="FootnoteText"/>
        <w:rPr>
          <w:sz w:val="16"/>
          <w:szCs w:val="16"/>
        </w:rPr>
      </w:pPr>
      <w:r w:rsidRPr="00EE409C">
        <w:rPr>
          <w:rStyle w:val="FootnoteReference"/>
          <w:sz w:val="16"/>
          <w:szCs w:val="16"/>
        </w:rPr>
        <w:footnoteRef/>
      </w:r>
      <w:r w:rsidRPr="00EE409C">
        <w:rPr>
          <w:sz w:val="16"/>
          <w:szCs w:val="16"/>
        </w:rPr>
        <w:t xml:space="preserve"> </w:t>
      </w:r>
      <w:r w:rsidRPr="00EE409C">
        <w:rPr>
          <w:rFonts w:eastAsia="Open Sans" w:cs="Open Sans"/>
          <w:color w:val="333333"/>
          <w:sz w:val="16"/>
          <w:szCs w:val="16"/>
        </w:rPr>
        <w:t xml:space="preserve">Smithers, K., Harris, J., Heffernan, T., &amp; Gurr, S. (2025). Decasualisation and the universities accord: an examination of university approaches. </w:t>
      </w:r>
      <w:r w:rsidRPr="00EE409C">
        <w:rPr>
          <w:rFonts w:eastAsia="Open Sans" w:cs="Open Sans"/>
          <w:i/>
          <w:iCs/>
          <w:color w:val="333333"/>
          <w:sz w:val="16"/>
          <w:szCs w:val="16"/>
        </w:rPr>
        <w:t>Journal of Higher Education Policy and Management</w:t>
      </w:r>
      <w:r w:rsidRPr="00EE409C">
        <w:rPr>
          <w:rFonts w:eastAsia="Open Sans" w:cs="Open Sans"/>
          <w:color w:val="333333"/>
          <w:sz w:val="16"/>
          <w:szCs w:val="16"/>
        </w:rPr>
        <w:t xml:space="preserve">, </w:t>
      </w:r>
      <w:r w:rsidRPr="00EE409C">
        <w:rPr>
          <w:rFonts w:eastAsia="Open Sans" w:cs="Open Sans"/>
          <w:i/>
          <w:iCs/>
          <w:color w:val="333333"/>
          <w:sz w:val="16"/>
          <w:szCs w:val="16"/>
        </w:rPr>
        <w:t>47</w:t>
      </w:r>
      <w:r w:rsidRPr="00EE409C">
        <w:rPr>
          <w:rFonts w:eastAsia="Open Sans" w:cs="Open Sans"/>
          <w:color w:val="333333"/>
          <w:sz w:val="16"/>
          <w:szCs w:val="16"/>
        </w:rPr>
        <w:t xml:space="preserve">(3), 282–298. </w:t>
      </w:r>
      <w:hyperlink r:id="rId26" w:history="1">
        <w:r w:rsidR="000B435F" w:rsidRPr="00FB76C7">
          <w:rPr>
            <w:rStyle w:val="Hyperlink"/>
            <w:rFonts w:eastAsia="Open Sans" w:cs="Open Sans"/>
            <w:sz w:val="16"/>
            <w:szCs w:val="16"/>
          </w:rPr>
          <w:t>https://doi.org/10.1080/1360080X.2025.2462128</w:t>
        </w:r>
      </w:hyperlink>
      <w:r w:rsidR="000B435F">
        <w:rPr>
          <w:rFonts w:eastAsia="Open Sans" w:cs="Open Sans"/>
          <w:color w:val="333333"/>
          <w:sz w:val="16"/>
          <w:szCs w:val="16"/>
        </w:rPr>
        <w:t xml:space="preserve"> </w:t>
      </w:r>
    </w:p>
  </w:footnote>
  <w:footnote w:id="51">
    <w:p w14:paraId="7A57374A" w14:textId="3670F980" w:rsidR="00876CA5" w:rsidRPr="00EE409C" w:rsidRDefault="00876CA5" w:rsidP="002C7B6D">
      <w:pPr>
        <w:spacing w:after="0"/>
        <w:rPr>
          <w:sz w:val="16"/>
          <w:szCs w:val="16"/>
        </w:rPr>
      </w:pPr>
      <w:r w:rsidRPr="00EE409C">
        <w:rPr>
          <w:rStyle w:val="FootnoteReference"/>
          <w:sz w:val="16"/>
          <w:szCs w:val="16"/>
        </w:rPr>
        <w:footnoteRef/>
      </w:r>
      <w:r w:rsidR="00705194" w:rsidRPr="00EE409C">
        <w:rPr>
          <w:sz w:val="16"/>
          <w:szCs w:val="16"/>
        </w:rPr>
        <w:t>National Tertiary Education Union. (2023). Sexual harassment survey report.</w:t>
      </w:r>
      <w:r w:rsidR="00126BEC" w:rsidRPr="00EE409C">
        <w:rPr>
          <w:sz w:val="16"/>
          <w:szCs w:val="16"/>
        </w:rPr>
        <w:t xml:space="preserve"> </w:t>
      </w:r>
      <w:hyperlink r:id="rId27" w:history="1">
        <w:r w:rsidR="000B435F" w:rsidRPr="00FB76C7">
          <w:rPr>
            <w:rStyle w:val="Hyperlink"/>
            <w:sz w:val="16"/>
            <w:szCs w:val="16"/>
          </w:rPr>
          <w:t>https://www.nteu.au/News_Articles/Media_Releases/Sexual_Harassment_Survey_Report.aspx</w:t>
        </w:r>
      </w:hyperlink>
      <w:r w:rsidR="000B435F">
        <w:rPr>
          <w:sz w:val="16"/>
          <w:szCs w:val="16"/>
        </w:rPr>
        <w:t xml:space="preserve"> </w:t>
      </w:r>
    </w:p>
  </w:footnote>
  <w:footnote w:id="52">
    <w:p w14:paraId="45C7D025" w14:textId="63680519" w:rsidR="00740506" w:rsidRPr="00EE409C" w:rsidRDefault="00740506">
      <w:pPr>
        <w:pStyle w:val="FootnoteText"/>
        <w:rPr>
          <w:sz w:val="16"/>
          <w:szCs w:val="16"/>
        </w:rPr>
      </w:pPr>
      <w:r w:rsidRPr="00EE409C">
        <w:rPr>
          <w:rStyle w:val="FootnoteReference"/>
          <w:sz w:val="16"/>
          <w:szCs w:val="16"/>
        </w:rPr>
        <w:footnoteRef/>
      </w:r>
      <w:r w:rsidRPr="00EE409C">
        <w:rPr>
          <w:sz w:val="16"/>
          <w:szCs w:val="16"/>
        </w:rPr>
        <w:t xml:space="preserve"> </w:t>
      </w:r>
      <w:r w:rsidR="00AA6E97" w:rsidRPr="00EE409C">
        <w:rPr>
          <w:sz w:val="16"/>
          <w:szCs w:val="16"/>
        </w:rPr>
        <w:t xml:space="preserve">National Tertiary Education Union. (2019). Submission to the Australian Human Rights Commission: National Inquiry into Sexual Harassment in Australian Workplaces [Submission No. 325]. Australian Human Rights Commission. </w:t>
      </w:r>
      <w:hyperlink r:id="rId28" w:history="1">
        <w:r w:rsidR="000B435F" w:rsidRPr="00FB76C7">
          <w:rPr>
            <w:rStyle w:val="Hyperlink"/>
            <w:sz w:val="16"/>
            <w:szCs w:val="16"/>
          </w:rPr>
          <w:t>https://humanrights.gov.au/sites/default/files/2019-07/submission_325_-_national_tertiary_education_union.pdf</w:t>
        </w:r>
      </w:hyperlink>
      <w:r w:rsidR="000B435F">
        <w:rPr>
          <w:sz w:val="16"/>
          <w:szCs w:val="16"/>
        </w:rPr>
        <w:t xml:space="preserve"> </w:t>
      </w:r>
    </w:p>
  </w:footnote>
  <w:footnote w:id="53">
    <w:p w14:paraId="3E7A4F59" w14:textId="3E8104CD" w:rsidR="00705194" w:rsidRPr="001661EB" w:rsidRDefault="00705194">
      <w:pPr>
        <w:pStyle w:val="FootnoteText"/>
        <w:rPr>
          <w:sz w:val="16"/>
          <w:szCs w:val="16"/>
        </w:rPr>
      </w:pPr>
      <w:r w:rsidRPr="00EE409C">
        <w:rPr>
          <w:rStyle w:val="FootnoteReference"/>
          <w:sz w:val="16"/>
          <w:szCs w:val="16"/>
        </w:rPr>
        <w:footnoteRef/>
      </w:r>
      <w:r w:rsidRPr="00EE409C">
        <w:rPr>
          <w:sz w:val="16"/>
          <w:szCs w:val="16"/>
        </w:rPr>
        <w:t xml:space="preserve">National Tertiary Education Union. (2023). Sexual harassment survey report. </w:t>
      </w:r>
      <w:hyperlink r:id="rId29" w:history="1">
        <w:r w:rsidR="000B435F" w:rsidRPr="00FB76C7">
          <w:rPr>
            <w:rStyle w:val="Hyperlink"/>
            <w:sz w:val="16"/>
            <w:szCs w:val="16"/>
          </w:rPr>
          <w:t>https://www.nteu.au/News_Articles/Media_Releases/Sexual_Harassment_Survey_Report.aspx</w:t>
        </w:r>
      </w:hyperlink>
      <w:r w:rsidR="000B435F">
        <w:rPr>
          <w:sz w:val="16"/>
          <w:szCs w:val="16"/>
        </w:rPr>
        <w:t xml:space="preserve"> </w:t>
      </w:r>
    </w:p>
  </w:footnote>
  <w:footnote w:id="54">
    <w:p w14:paraId="20573288" w14:textId="716DE980" w:rsidR="00C35DEA" w:rsidRPr="005D3DBD" w:rsidRDefault="00C35DEA" w:rsidP="00C35DEA">
      <w:pPr>
        <w:pStyle w:val="FootnoteText"/>
        <w:rPr>
          <w:sz w:val="16"/>
          <w:szCs w:val="16"/>
        </w:rPr>
      </w:pPr>
      <w:r w:rsidRPr="005D3DBD">
        <w:rPr>
          <w:rStyle w:val="FootnoteReference"/>
          <w:sz w:val="16"/>
          <w:szCs w:val="16"/>
        </w:rPr>
        <w:footnoteRef/>
      </w:r>
      <w:r w:rsidRPr="005D3DBD">
        <w:rPr>
          <w:sz w:val="16"/>
          <w:szCs w:val="16"/>
        </w:rPr>
        <w:t xml:space="preserve"> </w:t>
      </w:r>
      <w:r w:rsidR="00F971D1" w:rsidRPr="005D3DBD">
        <w:rPr>
          <w:sz w:val="16"/>
          <w:szCs w:val="16"/>
        </w:rPr>
        <w:t xml:space="preserve">Our Watch. (2021). Change the story: A shared framework for the primary prevention of violence against women in Australia (2nd ed.). </w:t>
      </w:r>
      <w:hyperlink r:id="rId30" w:history="1">
        <w:r w:rsidR="00F971D1" w:rsidRPr="005D3DBD">
          <w:rPr>
            <w:rStyle w:val="Hyperlink"/>
            <w:sz w:val="16"/>
            <w:szCs w:val="16"/>
          </w:rPr>
          <w:t>https://www.ourwatch.org.au/resource/change-the-story-framework/</w:t>
        </w:r>
      </w:hyperlink>
    </w:p>
  </w:footnote>
  <w:footnote w:id="55">
    <w:p w14:paraId="538B1007" w14:textId="2797CF55" w:rsidR="00086C57" w:rsidRPr="005D3DBD" w:rsidRDefault="00086C57" w:rsidP="00086C57">
      <w:pPr>
        <w:pStyle w:val="FootnoteText"/>
        <w:rPr>
          <w:sz w:val="16"/>
          <w:szCs w:val="16"/>
        </w:rPr>
      </w:pPr>
      <w:r w:rsidRPr="005D3DBD">
        <w:rPr>
          <w:rStyle w:val="FootnoteReference"/>
          <w:sz w:val="16"/>
          <w:szCs w:val="16"/>
        </w:rPr>
        <w:footnoteRef/>
      </w:r>
      <w:r w:rsidRPr="005D3DBD">
        <w:rPr>
          <w:sz w:val="16"/>
          <w:szCs w:val="16"/>
        </w:rPr>
        <w:t xml:space="preserve"> </w:t>
      </w:r>
      <w:bookmarkStart w:id="44" w:name="_Hlk190269728"/>
      <w:r w:rsidR="004167E5" w:rsidRPr="005D3DBD">
        <w:rPr>
          <w:sz w:val="16"/>
          <w:szCs w:val="16"/>
        </w:rPr>
        <w:t xml:space="preserve">Australian Human Rights Commission. (2017). Change the course: National report on sexual assault and sexual harassment at Australian universities. </w:t>
      </w:r>
      <w:hyperlink r:id="rId31" w:history="1">
        <w:r w:rsidR="004167E5" w:rsidRPr="005D3DBD">
          <w:rPr>
            <w:rStyle w:val="Hyperlink"/>
            <w:sz w:val="16"/>
            <w:szCs w:val="16"/>
          </w:rPr>
          <w:t>https://humanrights.gov.au/our-work/sex-discrimination/publications/change-course-national-report-sexual-assault-and</w:t>
        </w:r>
      </w:hyperlink>
      <w:bookmarkEnd w:id="44"/>
    </w:p>
  </w:footnote>
  <w:footnote w:id="56">
    <w:p w14:paraId="4DC6B669" w14:textId="59F052B2" w:rsidR="00B1396A" w:rsidRPr="005D3DBD" w:rsidRDefault="00B1396A">
      <w:pPr>
        <w:pStyle w:val="FootnoteText"/>
        <w:rPr>
          <w:sz w:val="16"/>
          <w:szCs w:val="16"/>
        </w:rPr>
      </w:pPr>
      <w:r w:rsidRPr="005D3DBD">
        <w:rPr>
          <w:rStyle w:val="FootnoteReference"/>
          <w:sz w:val="16"/>
          <w:szCs w:val="16"/>
        </w:rPr>
        <w:footnoteRef/>
      </w:r>
      <w:r w:rsidRPr="005D3DBD">
        <w:rPr>
          <w:sz w:val="16"/>
          <w:szCs w:val="16"/>
        </w:rPr>
        <w:t xml:space="preserve"> </w:t>
      </w:r>
      <w:bookmarkStart w:id="45" w:name="_Hlk191900872"/>
      <w:r w:rsidR="00926707" w:rsidRPr="005D3DBD">
        <w:rPr>
          <w:sz w:val="16"/>
          <w:szCs w:val="16"/>
        </w:rPr>
        <w:t xml:space="preserve">Social Research Centre. (2022). National Student Safety Survey. </w:t>
      </w:r>
      <w:hyperlink r:id="rId32" w:history="1">
        <w:r w:rsidR="00926707" w:rsidRPr="005D3DBD">
          <w:rPr>
            <w:rStyle w:val="Hyperlink"/>
            <w:sz w:val="16"/>
            <w:szCs w:val="16"/>
          </w:rPr>
          <w:t>https://www.nsss.edu.au/</w:t>
        </w:r>
      </w:hyperlink>
      <w:r w:rsidRPr="005D3DBD">
        <w:rPr>
          <w:sz w:val="16"/>
          <w:szCs w:val="16"/>
        </w:rPr>
        <w:t>.</w:t>
      </w:r>
      <w:bookmarkEnd w:id="45"/>
    </w:p>
  </w:footnote>
  <w:footnote w:id="57">
    <w:p w14:paraId="068C0FB3" w14:textId="0150DDBA" w:rsidR="000868C7" w:rsidRPr="005D3DBD" w:rsidRDefault="000868C7" w:rsidP="000868C7">
      <w:pPr>
        <w:pStyle w:val="FootnoteText"/>
        <w:rPr>
          <w:sz w:val="16"/>
          <w:szCs w:val="16"/>
        </w:rPr>
      </w:pPr>
      <w:r w:rsidRPr="005D3DBD">
        <w:rPr>
          <w:rStyle w:val="FootnoteReference"/>
          <w:sz w:val="16"/>
          <w:szCs w:val="16"/>
        </w:rPr>
        <w:footnoteRef/>
      </w:r>
      <w:r w:rsidRPr="005D3DBD">
        <w:rPr>
          <w:sz w:val="16"/>
          <w:szCs w:val="16"/>
        </w:rPr>
        <w:t xml:space="preserve"> </w:t>
      </w:r>
      <w:r w:rsidR="000B435F" w:rsidRPr="005D3DBD">
        <w:rPr>
          <w:sz w:val="16"/>
          <w:szCs w:val="16"/>
        </w:rPr>
        <w:t xml:space="preserve">Australian Human Rights Commission. (2017). Change the course: National report on sexual assault and sexual harassment at Australian universities. </w:t>
      </w:r>
      <w:hyperlink r:id="rId33" w:history="1">
        <w:r w:rsidR="000B435F" w:rsidRPr="005D3DBD">
          <w:rPr>
            <w:rStyle w:val="Hyperlink"/>
            <w:sz w:val="16"/>
            <w:szCs w:val="16"/>
          </w:rPr>
          <w:t>https://humanrights.gov.au/our-work/sex-discrimination/publications/change-course-national-report-sexual-assault-and</w:t>
        </w:r>
      </w:hyperlink>
    </w:p>
  </w:footnote>
  <w:footnote w:id="58">
    <w:p w14:paraId="4642E7E5" w14:textId="1223ADCD" w:rsidR="000868C7" w:rsidRPr="005D3DBD" w:rsidRDefault="000868C7" w:rsidP="000868C7">
      <w:pPr>
        <w:pStyle w:val="FootnoteText"/>
        <w:rPr>
          <w:sz w:val="16"/>
          <w:szCs w:val="16"/>
        </w:rPr>
      </w:pPr>
      <w:r w:rsidRPr="005D3DBD">
        <w:rPr>
          <w:rStyle w:val="FootnoteReference"/>
          <w:sz w:val="16"/>
          <w:szCs w:val="16"/>
        </w:rPr>
        <w:footnoteRef/>
      </w:r>
      <w:r w:rsidRPr="005D3DBD">
        <w:rPr>
          <w:sz w:val="16"/>
          <w:szCs w:val="16"/>
        </w:rPr>
        <w:t xml:space="preserve"> </w:t>
      </w:r>
      <w:r w:rsidR="00152522" w:rsidRPr="005D3DBD">
        <w:rPr>
          <w:sz w:val="16"/>
          <w:szCs w:val="16"/>
        </w:rPr>
        <w:t xml:space="preserve">Commonwealth of Australia (Department of Social Services). (2022) National Plan to End Violence against Women and Children 2022-2032. </w:t>
      </w:r>
      <w:hyperlink r:id="rId34" w:history="1">
        <w:r w:rsidR="00152522" w:rsidRPr="005D3DBD">
          <w:rPr>
            <w:rStyle w:val="Hyperlink"/>
            <w:sz w:val="16"/>
            <w:szCs w:val="16"/>
          </w:rPr>
          <w:t>https://www.dss.gov.au/system/files/resources/national-plan-end-violence-against-women-and-children-2022-2032.pdf</w:t>
        </w:r>
      </w:hyperlink>
      <w:r w:rsidR="00152522" w:rsidRPr="005D3DBD">
        <w:rPr>
          <w:sz w:val="16"/>
          <w:szCs w:val="16"/>
        </w:rPr>
        <w:t xml:space="preserve"> </w:t>
      </w:r>
    </w:p>
  </w:footnote>
  <w:footnote w:id="59">
    <w:p w14:paraId="0FC719EE" w14:textId="147525DD" w:rsidR="000868C7" w:rsidRPr="001661EB" w:rsidRDefault="000868C7" w:rsidP="000868C7">
      <w:pPr>
        <w:pStyle w:val="FootnoteText"/>
        <w:rPr>
          <w:sz w:val="16"/>
          <w:szCs w:val="16"/>
        </w:rPr>
      </w:pPr>
      <w:r w:rsidRPr="005D3DBD">
        <w:rPr>
          <w:rStyle w:val="FootnoteReference"/>
          <w:sz w:val="16"/>
          <w:szCs w:val="16"/>
        </w:rPr>
        <w:footnoteRef/>
      </w:r>
      <w:r w:rsidRPr="005D3DBD">
        <w:rPr>
          <w:sz w:val="16"/>
          <w:szCs w:val="16"/>
        </w:rPr>
        <w:t xml:space="preserve"> </w:t>
      </w:r>
      <w:r w:rsidR="00152522" w:rsidRPr="005D3DBD">
        <w:rPr>
          <w:sz w:val="16"/>
          <w:szCs w:val="16"/>
        </w:rPr>
        <w:t>Ibid.</w:t>
      </w:r>
      <w:r w:rsidR="00152522">
        <w:rPr>
          <w:sz w:val="16"/>
          <w:szCs w:val="16"/>
        </w:rPr>
        <w:t xml:space="preserve"> </w:t>
      </w:r>
    </w:p>
  </w:footnote>
  <w:footnote w:id="60">
    <w:p w14:paraId="52270DD5" w14:textId="72A0DC29" w:rsidR="00CF1DBC" w:rsidRPr="005D3DBD" w:rsidRDefault="00CF1DBC" w:rsidP="00CF1DBC">
      <w:pPr>
        <w:pStyle w:val="FootnoteText"/>
        <w:rPr>
          <w:sz w:val="16"/>
          <w:szCs w:val="16"/>
        </w:rPr>
      </w:pPr>
      <w:r w:rsidRPr="005D3DBD">
        <w:rPr>
          <w:rStyle w:val="FootnoteReference"/>
          <w:sz w:val="16"/>
          <w:szCs w:val="16"/>
        </w:rPr>
        <w:footnoteRef/>
      </w:r>
      <w:r w:rsidRPr="005D3DBD">
        <w:rPr>
          <w:sz w:val="16"/>
          <w:szCs w:val="16"/>
        </w:rPr>
        <w:t xml:space="preserve"> </w:t>
      </w:r>
      <w:r w:rsidR="00A5405D" w:rsidRPr="005D3DBD">
        <w:rPr>
          <w:sz w:val="16"/>
          <w:szCs w:val="16"/>
        </w:rPr>
        <w:t>Australian Institute of Health and Welfare. (2024). Aboriginal and Torres Strait Islander Health Performance Framework: Educational participation and attainment of adults. https://www.aihw.gov.au/</w:t>
      </w:r>
    </w:p>
  </w:footnote>
  <w:footnote w:id="61">
    <w:p w14:paraId="3F4A753A" w14:textId="51E92C6B" w:rsidR="00CF1DBC" w:rsidRPr="005D3DBD" w:rsidRDefault="00CF1DBC" w:rsidP="00CF1DBC">
      <w:pPr>
        <w:pStyle w:val="FootnoteText"/>
        <w:rPr>
          <w:sz w:val="16"/>
          <w:szCs w:val="16"/>
        </w:rPr>
      </w:pPr>
      <w:r w:rsidRPr="005D3DBD">
        <w:rPr>
          <w:rStyle w:val="FootnoteReference"/>
          <w:sz w:val="16"/>
          <w:szCs w:val="16"/>
        </w:rPr>
        <w:footnoteRef/>
      </w:r>
      <w:r w:rsidRPr="005D3DBD">
        <w:rPr>
          <w:sz w:val="16"/>
          <w:szCs w:val="16"/>
        </w:rPr>
        <w:t xml:space="preserve"> </w:t>
      </w:r>
      <w:bookmarkStart w:id="46" w:name="_Hlk191905633"/>
      <w:r w:rsidR="0039024D" w:rsidRPr="005D3DBD">
        <w:rPr>
          <w:sz w:val="16"/>
          <w:szCs w:val="16"/>
        </w:rPr>
        <w:t>Ibid.</w:t>
      </w:r>
      <w:bookmarkEnd w:id="46"/>
    </w:p>
  </w:footnote>
  <w:footnote w:id="62">
    <w:p w14:paraId="30523D4F" w14:textId="466D6ADB" w:rsidR="00353D7F" w:rsidRPr="005D3DBD" w:rsidRDefault="00353D7F" w:rsidP="00353D7F">
      <w:pPr>
        <w:pStyle w:val="FootnoteText"/>
        <w:rPr>
          <w:sz w:val="16"/>
          <w:szCs w:val="16"/>
        </w:rPr>
      </w:pPr>
      <w:r w:rsidRPr="005D3DBD">
        <w:rPr>
          <w:rStyle w:val="FootnoteReference"/>
          <w:sz w:val="16"/>
          <w:szCs w:val="16"/>
        </w:rPr>
        <w:footnoteRef/>
      </w:r>
      <w:r w:rsidR="001647FF" w:rsidRPr="005D3DBD">
        <w:rPr>
          <w:sz w:val="16"/>
          <w:szCs w:val="16"/>
        </w:rPr>
        <w:t xml:space="preserve">Productivity Commission. (2024). Closing the Gap Annual Data Compilation Report: July 2024. </w:t>
      </w:r>
      <w:hyperlink r:id="rId35" w:history="1">
        <w:r w:rsidR="00CE31B5" w:rsidRPr="005D3DBD">
          <w:rPr>
            <w:rStyle w:val="Hyperlink"/>
            <w:sz w:val="16"/>
            <w:szCs w:val="16"/>
          </w:rPr>
          <w:t>https://www.pc.gov.au/ongoing/closing-the-gap/data</w:t>
        </w:r>
      </w:hyperlink>
      <w:r w:rsidR="00CE31B5" w:rsidRPr="005D3DBD">
        <w:rPr>
          <w:sz w:val="16"/>
          <w:szCs w:val="16"/>
        </w:rPr>
        <w:t>; Department of Education. (2023). </w:t>
      </w:r>
      <w:r w:rsidR="00CE31B5" w:rsidRPr="005D3DBD">
        <w:rPr>
          <w:i/>
          <w:iCs/>
          <w:sz w:val="16"/>
          <w:szCs w:val="16"/>
        </w:rPr>
        <w:t>Universities Accord: Interim Report</w:t>
      </w:r>
      <w:r w:rsidR="00CE31B5" w:rsidRPr="005D3DBD">
        <w:rPr>
          <w:sz w:val="16"/>
          <w:szCs w:val="16"/>
        </w:rPr>
        <w:t>. Australian Government. https://www.education.gov.au/australian-universities-accord/resources/interim-report</w:t>
      </w:r>
    </w:p>
  </w:footnote>
  <w:footnote w:id="63">
    <w:p w14:paraId="5E06CEAC" w14:textId="3BEB045F" w:rsidR="00353D7F" w:rsidRPr="005D3DBD" w:rsidRDefault="00353D7F" w:rsidP="00353D7F">
      <w:pPr>
        <w:pStyle w:val="FootnoteText"/>
        <w:rPr>
          <w:sz w:val="16"/>
          <w:szCs w:val="16"/>
        </w:rPr>
      </w:pPr>
      <w:r w:rsidRPr="005D3DBD">
        <w:rPr>
          <w:rStyle w:val="FootnoteReference"/>
          <w:sz w:val="16"/>
          <w:szCs w:val="16"/>
        </w:rPr>
        <w:footnoteRef/>
      </w:r>
      <w:r w:rsidRPr="005D3DBD">
        <w:rPr>
          <w:sz w:val="16"/>
          <w:szCs w:val="16"/>
        </w:rPr>
        <w:t xml:space="preserve"> </w:t>
      </w:r>
      <w:r w:rsidR="00451007" w:rsidRPr="005D3DBD">
        <w:rPr>
          <w:sz w:val="16"/>
          <w:szCs w:val="16"/>
        </w:rPr>
        <w:t>Universities Australia. (2022). </w:t>
      </w:r>
      <w:r w:rsidR="00451007" w:rsidRPr="005D3DBD">
        <w:rPr>
          <w:i/>
          <w:iCs/>
          <w:sz w:val="16"/>
          <w:szCs w:val="16"/>
        </w:rPr>
        <w:t>Indigenous Strategy 2022–25</w:t>
      </w:r>
      <w:r w:rsidR="00451007" w:rsidRPr="005D3DBD">
        <w:rPr>
          <w:sz w:val="16"/>
          <w:szCs w:val="16"/>
        </w:rPr>
        <w:t>. https://www.universitiesaustralia.edu.au/publications/indigenous-strategy-2022-25/</w:t>
      </w:r>
    </w:p>
  </w:footnote>
  <w:footnote w:id="64">
    <w:p w14:paraId="00CC8D94" w14:textId="16134854" w:rsidR="003B3C85" w:rsidRPr="005D3DBD" w:rsidRDefault="003B3C85">
      <w:pPr>
        <w:pStyle w:val="FootnoteText"/>
        <w:rPr>
          <w:sz w:val="16"/>
          <w:szCs w:val="16"/>
        </w:rPr>
      </w:pPr>
      <w:r w:rsidRPr="005D3DBD">
        <w:rPr>
          <w:rStyle w:val="FootnoteReference"/>
          <w:sz w:val="16"/>
          <w:szCs w:val="16"/>
        </w:rPr>
        <w:footnoteRef/>
      </w:r>
      <w:r w:rsidRPr="005D3DBD">
        <w:rPr>
          <w:sz w:val="16"/>
          <w:szCs w:val="16"/>
        </w:rPr>
        <w:t xml:space="preserve"> </w:t>
      </w:r>
      <w:r w:rsidR="00317E98" w:rsidRPr="005D3DBD">
        <w:rPr>
          <w:sz w:val="16"/>
          <w:szCs w:val="16"/>
        </w:rPr>
        <w:t>Australian Human Rights Commission. (2020). Wiyi Yani U Thangani (Women’s Voices): Securing our rights, securing our future. https://humanrights.gov.au/our-work/aboriginal-and-torres-strait-islander-social-justice/publications/wiyi-yani-u-thangani-womens-voices</w:t>
      </w:r>
    </w:p>
  </w:footnote>
  <w:footnote w:id="65">
    <w:p w14:paraId="10F5A25F" w14:textId="7F445AC4" w:rsidR="009B33D7" w:rsidRPr="005D3DBD" w:rsidRDefault="009B33D7">
      <w:pPr>
        <w:pStyle w:val="FootnoteText"/>
        <w:rPr>
          <w:sz w:val="16"/>
          <w:szCs w:val="16"/>
        </w:rPr>
      </w:pPr>
      <w:r w:rsidRPr="005D3DBD">
        <w:rPr>
          <w:rStyle w:val="FootnoteReference"/>
          <w:sz w:val="16"/>
          <w:szCs w:val="16"/>
        </w:rPr>
        <w:footnoteRef/>
      </w:r>
      <w:r w:rsidRPr="005D3DBD">
        <w:rPr>
          <w:sz w:val="16"/>
          <w:szCs w:val="16"/>
        </w:rPr>
        <w:t xml:space="preserve"> </w:t>
      </w:r>
      <w:r w:rsidR="00317E98" w:rsidRPr="005D3DBD">
        <w:rPr>
          <w:sz w:val="16"/>
          <w:szCs w:val="16"/>
        </w:rPr>
        <w:t>Australian Institute of Health and Welfare. (2024). Aboriginal and Torres Strait Islander Health Performance Framework: Educational participation and attainment of adults. https://www.aihw.gov.au/</w:t>
      </w:r>
    </w:p>
  </w:footnote>
  <w:footnote w:id="66">
    <w:p w14:paraId="795A3546" w14:textId="7C5B1A65" w:rsidR="00B57A7A" w:rsidRPr="005D3DBD" w:rsidRDefault="00B57A7A" w:rsidP="00B57A7A">
      <w:pPr>
        <w:pStyle w:val="FootnoteText"/>
        <w:rPr>
          <w:sz w:val="16"/>
          <w:szCs w:val="16"/>
        </w:rPr>
      </w:pPr>
      <w:r w:rsidRPr="005D3DBD">
        <w:rPr>
          <w:rStyle w:val="FootnoteReference"/>
          <w:sz w:val="16"/>
          <w:szCs w:val="16"/>
        </w:rPr>
        <w:footnoteRef/>
      </w:r>
      <w:r w:rsidRPr="005D3DBD">
        <w:rPr>
          <w:sz w:val="16"/>
          <w:szCs w:val="16"/>
        </w:rPr>
        <w:t xml:space="preserve"> </w:t>
      </w:r>
      <w:r w:rsidR="00E94851" w:rsidRPr="005D3DBD">
        <w:rPr>
          <w:sz w:val="16"/>
          <w:szCs w:val="16"/>
        </w:rPr>
        <w:t>National Indigenous Australians Agency. (2023). </w:t>
      </w:r>
      <w:r w:rsidR="00E94851" w:rsidRPr="005D3DBD">
        <w:rPr>
          <w:i/>
          <w:iCs/>
          <w:sz w:val="16"/>
          <w:szCs w:val="16"/>
        </w:rPr>
        <w:t>Submission to the Australian Universities Accord Panel Discussion Paper</w:t>
      </w:r>
      <w:r w:rsidR="00E94851" w:rsidRPr="005D3DBD">
        <w:rPr>
          <w:sz w:val="16"/>
          <w:szCs w:val="16"/>
        </w:rPr>
        <w:t>.</w:t>
      </w:r>
    </w:p>
  </w:footnote>
  <w:footnote w:id="67">
    <w:p w14:paraId="665FB7ED" w14:textId="4E108502" w:rsidR="00B57A7A" w:rsidRPr="005D3DBD" w:rsidRDefault="00B57A7A">
      <w:pPr>
        <w:pStyle w:val="FootnoteText"/>
        <w:rPr>
          <w:sz w:val="16"/>
          <w:szCs w:val="16"/>
        </w:rPr>
      </w:pPr>
      <w:r w:rsidRPr="005D3DBD">
        <w:rPr>
          <w:rStyle w:val="FootnoteReference"/>
          <w:sz w:val="16"/>
          <w:szCs w:val="16"/>
        </w:rPr>
        <w:footnoteRef/>
      </w:r>
      <w:r w:rsidRPr="005D3DBD">
        <w:rPr>
          <w:sz w:val="16"/>
          <w:szCs w:val="16"/>
        </w:rPr>
        <w:t xml:space="preserve"> </w:t>
      </w:r>
      <w:r w:rsidR="00884C86" w:rsidRPr="005D3DBD">
        <w:rPr>
          <w:sz w:val="16"/>
          <w:szCs w:val="16"/>
        </w:rPr>
        <w:t xml:space="preserve">Social Research Centre. (2022). National Student Safety Survey. </w:t>
      </w:r>
      <w:hyperlink r:id="rId36" w:history="1">
        <w:r w:rsidR="00884C86" w:rsidRPr="005D3DBD">
          <w:rPr>
            <w:rStyle w:val="Hyperlink"/>
            <w:sz w:val="16"/>
            <w:szCs w:val="16"/>
          </w:rPr>
          <w:t>https://www.nsss.edu.au/</w:t>
        </w:r>
      </w:hyperlink>
    </w:p>
  </w:footnote>
  <w:footnote w:id="68">
    <w:p w14:paraId="2EA7AEFD" w14:textId="77777777" w:rsidR="00F02EEF" w:rsidRDefault="00F02EEF" w:rsidP="00F02EEF">
      <w:pPr>
        <w:pStyle w:val="FootnoteText"/>
      </w:pPr>
      <w:r w:rsidRPr="005D3DBD">
        <w:rPr>
          <w:rStyle w:val="FootnoteReference"/>
          <w:sz w:val="16"/>
          <w:szCs w:val="16"/>
        </w:rPr>
        <w:footnoteRef/>
      </w:r>
      <w:r w:rsidRPr="005D3DBD">
        <w:rPr>
          <w:sz w:val="16"/>
          <w:szCs w:val="16"/>
        </w:rPr>
        <w:t xml:space="preserve"> Australian Institute of Health and Welfare. (n.d.). </w:t>
      </w:r>
      <w:r w:rsidRPr="005D3DBD">
        <w:rPr>
          <w:i/>
          <w:iCs/>
          <w:sz w:val="16"/>
          <w:szCs w:val="16"/>
        </w:rPr>
        <w:t>Aboriginal and Torres Strait Islander people</w:t>
      </w:r>
      <w:r w:rsidRPr="005D3DBD">
        <w:rPr>
          <w:sz w:val="16"/>
          <w:szCs w:val="16"/>
        </w:rPr>
        <w:t>. https://www.aihw.gov.au/family-domestic-and-sexual-violence/population-groups/aboriginal-and-torres-strait-islander-people</w:t>
      </w:r>
    </w:p>
  </w:footnote>
  <w:footnote w:id="69">
    <w:p w14:paraId="1CF5287A" w14:textId="1B0D4A70" w:rsidR="00035AF6" w:rsidRPr="0034563B" w:rsidRDefault="00035AF6" w:rsidP="00035AF6">
      <w:pPr>
        <w:pStyle w:val="FootnoteText"/>
        <w:rPr>
          <w:sz w:val="16"/>
          <w:szCs w:val="16"/>
        </w:rPr>
      </w:pPr>
      <w:r w:rsidRPr="00224312">
        <w:rPr>
          <w:rStyle w:val="FootnoteReference"/>
          <w:sz w:val="16"/>
          <w:szCs w:val="16"/>
        </w:rPr>
        <w:footnoteRef/>
      </w:r>
      <w:r w:rsidRPr="00224312">
        <w:rPr>
          <w:sz w:val="16"/>
          <w:szCs w:val="16"/>
        </w:rPr>
        <w:t xml:space="preserve"> </w:t>
      </w:r>
      <w:r w:rsidR="005252A4" w:rsidRPr="0034563B">
        <w:rPr>
          <w:sz w:val="16"/>
          <w:szCs w:val="16"/>
        </w:rPr>
        <w:t>Rainbow Health Australia. (2020). </w:t>
      </w:r>
      <w:r w:rsidR="005252A4" w:rsidRPr="0034563B">
        <w:rPr>
          <w:i/>
          <w:iCs/>
          <w:sz w:val="16"/>
          <w:szCs w:val="16"/>
        </w:rPr>
        <w:t>Pride in Prevention: A guide to primary prevention of family violence experienced by LGBTIQ communities</w:t>
      </w:r>
      <w:r w:rsidR="005252A4" w:rsidRPr="0034563B">
        <w:rPr>
          <w:sz w:val="16"/>
          <w:szCs w:val="16"/>
        </w:rPr>
        <w:t>. La Trobe University. </w:t>
      </w:r>
      <w:hyperlink r:id="rId37" w:history="1">
        <w:r w:rsidR="000B435F" w:rsidRPr="00FB76C7">
          <w:rPr>
            <w:rStyle w:val="Hyperlink"/>
            <w:sz w:val="16"/>
            <w:szCs w:val="16"/>
          </w:rPr>
          <w:t>https://www.latrobe.edu.au/__data/assets/pdf_file/0003/1141833/Pride-in-Prevention-Evidence-Guide.pdf</w:t>
        </w:r>
      </w:hyperlink>
      <w:r w:rsidR="000B435F">
        <w:rPr>
          <w:sz w:val="16"/>
          <w:szCs w:val="16"/>
        </w:rPr>
        <w:t xml:space="preserve"> </w:t>
      </w:r>
    </w:p>
  </w:footnote>
  <w:footnote w:id="70">
    <w:p w14:paraId="4F738795" w14:textId="79DA83BC" w:rsidR="00AC60B2" w:rsidRPr="0034563B" w:rsidRDefault="00AC60B2">
      <w:pPr>
        <w:pStyle w:val="FootnoteText"/>
        <w:rPr>
          <w:sz w:val="16"/>
          <w:szCs w:val="16"/>
        </w:rPr>
      </w:pPr>
      <w:r w:rsidRPr="0034563B">
        <w:rPr>
          <w:rStyle w:val="FootnoteReference"/>
          <w:sz w:val="16"/>
          <w:szCs w:val="16"/>
        </w:rPr>
        <w:footnoteRef/>
      </w:r>
      <w:r w:rsidRPr="0034563B">
        <w:rPr>
          <w:sz w:val="16"/>
          <w:szCs w:val="16"/>
        </w:rPr>
        <w:t xml:space="preserve"> Social Research Centre. (</w:t>
      </w:r>
      <w:r w:rsidR="00506130" w:rsidRPr="0034563B">
        <w:rPr>
          <w:sz w:val="16"/>
          <w:szCs w:val="16"/>
        </w:rPr>
        <w:t>2022</w:t>
      </w:r>
      <w:r w:rsidRPr="0034563B">
        <w:rPr>
          <w:sz w:val="16"/>
          <w:szCs w:val="16"/>
        </w:rPr>
        <w:t xml:space="preserve">). National Student Safety Survey. </w:t>
      </w:r>
      <w:hyperlink r:id="rId38" w:history="1">
        <w:r w:rsidR="000B435F" w:rsidRPr="00FB76C7">
          <w:rPr>
            <w:rStyle w:val="Hyperlink"/>
            <w:sz w:val="16"/>
            <w:szCs w:val="16"/>
          </w:rPr>
          <w:t>https://www.nsss.edu.au/</w:t>
        </w:r>
      </w:hyperlink>
      <w:r w:rsidR="000B435F">
        <w:rPr>
          <w:sz w:val="16"/>
          <w:szCs w:val="16"/>
        </w:rPr>
        <w:t xml:space="preserve"> </w:t>
      </w:r>
    </w:p>
  </w:footnote>
  <w:footnote w:id="71">
    <w:p w14:paraId="01647BAB" w14:textId="5E0A859A" w:rsidR="009539C3" w:rsidRPr="0034563B" w:rsidRDefault="009539C3" w:rsidP="009539C3">
      <w:pPr>
        <w:pStyle w:val="FootnoteText"/>
        <w:rPr>
          <w:sz w:val="16"/>
          <w:szCs w:val="16"/>
        </w:rPr>
      </w:pPr>
      <w:r w:rsidRPr="0034563B">
        <w:rPr>
          <w:rStyle w:val="FootnoteReference"/>
          <w:sz w:val="16"/>
          <w:szCs w:val="16"/>
        </w:rPr>
        <w:footnoteRef/>
      </w:r>
      <w:r w:rsidRPr="0034563B">
        <w:rPr>
          <w:sz w:val="16"/>
          <w:szCs w:val="16"/>
        </w:rPr>
        <w:t xml:space="preserve"> </w:t>
      </w:r>
      <w:r w:rsidR="00506130" w:rsidRPr="0034563B">
        <w:rPr>
          <w:sz w:val="16"/>
          <w:szCs w:val="16"/>
        </w:rPr>
        <w:t>Rainbow Health Australia. (2020). </w:t>
      </w:r>
      <w:r w:rsidR="00506130" w:rsidRPr="0034563B">
        <w:rPr>
          <w:i/>
          <w:iCs/>
          <w:sz w:val="16"/>
          <w:szCs w:val="16"/>
        </w:rPr>
        <w:t>Pride in Prevention: A guide to primary prevention of family violence experienced by LGBTIQ communities</w:t>
      </w:r>
      <w:r w:rsidR="00506130" w:rsidRPr="0034563B">
        <w:rPr>
          <w:sz w:val="16"/>
          <w:szCs w:val="16"/>
        </w:rPr>
        <w:t>. La Trobe University. </w:t>
      </w:r>
      <w:hyperlink r:id="rId39" w:history="1">
        <w:r w:rsidR="000B435F" w:rsidRPr="00FB76C7">
          <w:rPr>
            <w:rStyle w:val="Hyperlink"/>
            <w:sz w:val="16"/>
            <w:szCs w:val="16"/>
          </w:rPr>
          <w:t>https://www.latrobe.edu.au/__data/assets/pdf_file/0003/1141833/Pride-in-Prevention-Evidence-Guide.pdf</w:t>
        </w:r>
      </w:hyperlink>
      <w:r w:rsidR="000B435F">
        <w:rPr>
          <w:sz w:val="16"/>
          <w:szCs w:val="16"/>
        </w:rPr>
        <w:t xml:space="preserve"> </w:t>
      </w:r>
    </w:p>
  </w:footnote>
  <w:footnote w:id="72">
    <w:p w14:paraId="06E91256" w14:textId="36EA6F65" w:rsidR="009539C3" w:rsidRPr="0034563B" w:rsidRDefault="009539C3" w:rsidP="009539C3">
      <w:pPr>
        <w:pStyle w:val="FootnoteText"/>
        <w:rPr>
          <w:sz w:val="16"/>
          <w:szCs w:val="16"/>
        </w:rPr>
      </w:pPr>
      <w:r w:rsidRPr="0034563B">
        <w:rPr>
          <w:rStyle w:val="FootnoteReference"/>
          <w:sz w:val="16"/>
          <w:szCs w:val="16"/>
        </w:rPr>
        <w:footnoteRef/>
      </w:r>
      <w:r w:rsidRPr="0034563B">
        <w:rPr>
          <w:sz w:val="16"/>
          <w:szCs w:val="16"/>
        </w:rPr>
        <w:t xml:space="preserve"> </w:t>
      </w:r>
      <w:r w:rsidR="008259A6" w:rsidRPr="00DD4830">
        <w:rPr>
          <w:sz w:val="16"/>
          <w:szCs w:val="16"/>
        </w:rPr>
        <w:t xml:space="preserve"> </w:t>
      </w:r>
      <w:r w:rsidR="00514F80" w:rsidRPr="00DD4830">
        <w:rPr>
          <w:sz w:val="16"/>
          <w:szCs w:val="16"/>
        </w:rPr>
        <w:t>Australian Institute of Health and Welfare. (n.d</w:t>
      </w:r>
      <w:r w:rsidR="0034563B" w:rsidRPr="00DD4830">
        <w:rPr>
          <w:sz w:val="16"/>
          <w:szCs w:val="16"/>
        </w:rPr>
        <w:t>.</w:t>
      </w:r>
      <w:r w:rsidR="00514F80" w:rsidRPr="00DD4830">
        <w:rPr>
          <w:sz w:val="16"/>
          <w:szCs w:val="16"/>
        </w:rPr>
        <w:t>). </w:t>
      </w:r>
      <w:r w:rsidR="00514F80" w:rsidRPr="00DD4830">
        <w:rPr>
          <w:i/>
          <w:iCs/>
          <w:sz w:val="16"/>
          <w:szCs w:val="16"/>
        </w:rPr>
        <w:t>LGBTIQA+ people: Family, domestic and sexual violence</w:t>
      </w:r>
      <w:r w:rsidR="00514F80" w:rsidRPr="00DD4830">
        <w:rPr>
          <w:sz w:val="16"/>
          <w:szCs w:val="16"/>
        </w:rPr>
        <w:t>. </w:t>
      </w:r>
      <w:hyperlink r:id="rId40" w:history="1">
        <w:r w:rsidR="000B435F" w:rsidRPr="00FB76C7">
          <w:rPr>
            <w:rStyle w:val="Hyperlink"/>
            <w:sz w:val="16"/>
            <w:szCs w:val="16"/>
          </w:rPr>
          <w:t>https://www.aihw.gov.au/family-domestic-and-sexual-violence/population-groups/lgbtiqa-people</w:t>
        </w:r>
      </w:hyperlink>
      <w:r w:rsidR="000B435F">
        <w:rPr>
          <w:sz w:val="16"/>
          <w:szCs w:val="16"/>
        </w:rPr>
        <w:t xml:space="preserve"> </w:t>
      </w:r>
    </w:p>
  </w:footnote>
  <w:footnote w:id="73">
    <w:p w14:paraId="041E8C58" w14:textId="704C70D3" w:rsidR="00035AF6" w:rsidRPr="0034563B" w:rsidRDefault="00035AF6" w:rsidP="00035AF6">
      <w:pPr>
        <w:pStyle w:val="FootnoteText"/>
        <w:rPr>
          <w:sz w:val="16"/>
          <w:szCs w:val="16"/>
        </w:rPr>
      </w:pPr>
      <w:r w:rsidRPr="0034563B">
        <w:rPr>
          <w:rStyle w:val="FootnoteReference"/>
          <w:sz w:val="16"/>
          <w:szCs w:val="16"/>
        </w:rPr>
        <w:footnoteRef/>
      </w:r>
      <w:r w:rsidRPr="0034563B">
        <w:rPr>
          <w:sz w:val="16"/>
          <w:szCs w:val="16"/>
        </w:rPr>
        <w:t xml:space="preserve"> </w:t>
      </w:r>
      <w:r w:rsidR="00CD2D2D" w:rsidRPr="00CD2D2D">
        <w:rPr>
          <w:sz w:val="16"/>
          <w:szCs w:val="16"/>
        </w:rPr>
        <w:t>Australian Institute of Health and Welfare. (2024). </w:t>
      </w:r>
      <w:r w:rsidR="00CD2D2D" w:rsidRPr="00CD2D2D">
        <w:rPr>
          <w:i/>
          <w:iCs/>
          <w:sz w:val="16"/>
          <w:szCs w:val="16"/>
        </w:rPr>
        <w:t>LGBTIQ+ Australians: Suicidal thoughts and behaviours and self-harm</w:t>
      </w:r>
      <w:r w:rsidR="00CD2D2D" w:rsidRPr="00CD2D2D">
        <w:rPr>
          <w:sz w:val="16"/>
          <w:szCs w:val="16"/>
        </w:rPr>
        <w:t>. </w:t>
      </w:r>
      <w:hyperlink r:id="rId41" w:history="1">
        <w:r w:rsidR="000B435F" w:rsidRPr="00FB76C7">
          <w:rPr>
            <w:rStyle w:val="Hyperlink"/>
            <w:sz w:val="16"/>
            <w:szCs w:val="16"/>
          </w:rPr>
          <w:t>https://www.aihw.gov.au/reports/lgbtiq-plus-people/lgbtiq-australians-suicidal-thoughts-behaviours-self-harm</w:t>
        </w:r>
      </w:hyperlink>
      <w:r w:rsidRPr="0034563B">
        <w:rPr>
          <w:sz w:val="16"/>
          <w:szCs w:val="16"/>
        </w:rPr>
        <w:t>.</w:t>
      </w:r>
      <w:r w:rsidR="000B435F">
        <w:rPr>
          <w:sz w:val="16"/>
          <w:szCs w:val="16"/>
        </w:rPr>
        <w:t xml:space="preserve"> </w:t>
      </w:r>
    </w:p>
  </w:footnote>
  <w:footnote w:id="74">
    <w:p w14:paraId="5BD78C8A" w14:textId="050941C5" w:rsidR="00157A8C" w:rsidRPr="005A4D53" w:rsidRDefault="00157A8C">
      <w:pPr>
        <w:pStyle w:val="FootnoteText"/>
        <w:rPr>
          <w:sz w:val="16"/>
          <w:szCs w:val="16"/>
        </w:rPr>
      </w:pPr>
      <w:r w:rsidRPr="005A4D53">
        <w:rPr>
          <w:rStyle w:val="FootnoteReference"/>
          <w:sz w:val="16"/>
          <w:szCs w:val="16"/>
        </w:rPr>
        <w:footnoteRef/>
      </w:r>
      <w:r w:rsidRPr="005A4D53">
        <w:rPr>
          <w:sz w:val="16"/>
          <w:szCs w:val="16"/>
        </w:rPr>
        <w:t xml:space="preserve"> </w:t>
      </w:r>
      <w:r w:rsidR="000D2237" w:rsidRPr="005A4D53">
        <w:rPr>
          <w:sz w:val="16"/>
          <w:szCs w:val="16"/>
        </w:rPr>
        <w:t>Australian Government. (2021). Australia’s Disability Strategy 2021–2031. Australian Government.</w:t>
      </w:r>
    </w:p>
  </w:footnote>
  <w:footnote w:id="75">
    <w:p w14:paraId="23C228AA" w14:textId="35D42410" w:rsidR="005E55B8" w:rsidRPr="005A4D53" w:rsidRDefault="005E55B8" w:rsidP="005E55B8">
      <w:pPr>
        <w:pStyle w:val="FootnoteText"/>
        <w:rPr>
          <w:sz w:val="16"/>
          <w:szCs w:val="16"/>
        </w:rPr>
      </w:pPr>
      <w:r w:rsidRPr="005A4D53">
        <w:rPr>
          <w:rStyle w:val="FootnoteReference"/>
          <w:sz w:val="16"/>
          <w:szCs w:val="16"/>
        </w:rPr>
        <w:footnoteRef/>
      </w:r>
      <w:r w:rsidRPr="005A4D53">
        <w:rPr>
          <w:sz w:val="16"/>
          <w:szCs w:val="16"/>
        </w:rPr>
        <w:t xml:space="preserve"> </w:t>
      </w:r>
      <w:r w:rsidR="00D11008" w:rsidRPr="005A4D53">
        <w:rPr>
          <w:sz w:val="16"/>
          <w:szCs w:val="16"/>
        </w:rPr>
        <w:t xml:space="preserve">Commonwealth of Australia (Department of Social Services). (2022) National Plan to End Violence against Women and Children 2022-2032. </w:t>
      </w:r>
      <w:hyperlink r:id="rId42" w:history="1">
        <w:r w:rsidR="00D11008" w:rsidRPr="005A4D53">
          <w:rPr>
            <w:rStyle w:val="Hyperlink"/>
            <w:sz w:val="16"/>
            <w:szCs w:val="16"/>
          </w:rPr>
          <w:t>https://www.dss.gov.au/system/files/resources/national-plan-end-violence-against-women-and-children-2022-2032.pdf</w:t>
        </w:r>
      </w:hyperlink>
    </w:p>
  </w:footnote>
  <w:footnote w:id="76">
    <w:p w14:paraId="4A38A247" w14:textId="3AA71E2B" w:rsidR="00981080" w:rsidRPr="005A4D53" w:rsidRDefault="00981080" w:rsidP="00981080">
      <w:pPr>
        <w:pStyle w:val="FootnoteText"/>
        <w:rPr>
          <w:sz w:val="16"/>
          <w:szCs w:val="16"/>
        </w:rPr>
      </w:pPr>
      <w:r w:rsidRPr="005A4D53">
        <w:rPr>
          <w:rStyle w:val="FootnoteReference"/>
          <w:sz w:val="16"/>
          <w:szCs w:val="16"/>
        </w:rPr>
        <w:footnoteRef/>
      </w:r>
      <w:r w:rsidRPr="005A4D53">
        <w:rPr>
          <w:sz w:val="16"/>
          <w:szCs w:val="16"/>
        </w:rPr>
        <w:t xml:space="preserve"> </w:t>
      </w:r>
      <w:r w:rsidR="006424C9" w:rsidRPr="005A4D53">
        <w:rPr>
          <w:sz w:val="16"/>
          <w:szCs w:val="16"/>
        </w:rPr>
        <w:t>Royal Commission into Violence, Abuse, Neglect and Exploitation of People with Disability. (2023). Final report – Executive summary, our vision for an inclusive Australia and recommendations. Australian Government.</w:t>
      </w:r>
    </w:p>
  </w:footnote>
  <w:footnote w:id="77">
    <w:p w14:paraId="755A96F4" w14:textId="4F56E9BA" w:rsidR="00E675C6" w:rsidRPr="005A4D53" w:rsidRDefault="00E675C6">
      <w:pPr>
        <w:pStyle w:val="FootnoteText"/>
        <w:rPr>
          <w:sz w:val="16"/>
          <w:szCs w:val="16"/>
        </w:rPr>
      </w:pPr>
      <w:r w:rsidRPr="005A4D53">
        <w:rPr>
          <w:rStyle w:val="FootnoteReference"/>
          <w:sz w:val="16"/>
          <w:szCs w:val="16"/>
        </w:rPr>
        <w:footnoteRef/>
      </w:r>
      <w:r w:rsidRPr="005A4D53">
        <w:rPr>
          <w:sz w:val="16"/>
          <w:szCs w:val="16"/>
        </w:rPr>
        <w:t xml:space="preserve"> </w:t>
      </w:r>
      <w:r w:rsidR="00D9080B" w:rsidRPr="005A4D53">
        <w:rPr>
          <w:sz w:val="16"/>
          <w:szCs w:val="16"/>
        </w:rPr>
        <w:t xml:space="preserve">Commonwealth of Australia (Department of Social Services). (2022) National Plan to End Violence against Women and Children 2022-2032. </w:t>
      </w:r>
      <w:hyperlink r:id="rId43" w:history="1">
        <w:r w:rsidR="00D9080B" w:rsidRPr="005A4D53">
          <w:rPr>
            <w:rStyle w:val="Hyperlink"/>
            <w:sz w:val="16"/>
            <w:szCs w:val="16"/>
          </w:rPr>
          <w:t>https://www.dss.gov.au/system/files/resources/national-plan-end-violence-against-women-and-children-2022-2032.pdf</w:t>
        </w:r>
      </w:hyperlink>
    </w:p>
  </w:footnote>
  <w:footnote w:id="78">
    <w:p w14:paraId="6BBAA446" w14:textId="77777777" w:rsidR="0030658C" w:rsidRPr="005A4D53" w:rsidRDefault="0030658C" w:rsidP="0030658C">
      <w:pPr>
        <w:pStyle w:val="FootnoteText"/>
        <w:rPr>
          <w:sz w:val="16"/>
          <w:szCs w:val="16"/>
        </w:rPr>
      </w:pPr>
      <w:r w:rsidRPr="005A4D53">
        <w:rPr>
          <w:rStyle w:val="FootnoteReference"/>
          <w:sz w:val="16"/>
          <w:szCs w:val="16"/>
        </w:rPr>
        <w:footnoteRef/>
      </w:r>
      <w:r w:rsidRPr="005A4D53">
        <w:rPr>
          <w:sz w:val="16"/>
          <w:szCs w:val="16"/>
        </w:rPr>
        <w:t xml:space="preserve"> Our Watch. (2021). Change the story: A shared framework for the primary prevention of violence against women in Australia (2nd ed.). </w:t>
      </w:r>
      <w:hyperlink r:id="rId44" w:history="1">
        <w:r w:rsidRPr="005A4D53">
          <w:rPr>
            <w:rStyle w:val="Hyperlink"/>
            <w:sz w:val="16"/>
            <w:szCs w:val="16"/>
          </w:rPr>
          <w:t>https://www.ourwatch.org.au/resource/change-the-story-framework/</w:t>
        </w:r>
      </w:hyperlink>
    </w:p>
  </w:footnote>
  <w:footnote w:id="79">
    <w:p w14:paraId="7891F1E3" w14:textId="77777777" w:rsidR="005E55B8" w:rsidRPr="005A4D53" w:rsidRDefault="005E55B8" w:rsidP="005E55B8">
      <w:pPr>
        <w:pStyle w:val="FootnoteText"/>
        <w:rPr>
          <w:sz w:val="16"/>
          <w:szCs w:val="16"/>
        </w:rPr>
      </w:pPr>
      <w:r w:rsidRPr="005A4D53">
        <w:rPr>
          <w:rStyle w:val="FootnoteReference"/>
          <w:sz w:val="16"/>
          <w:szCs w:val="16"/>
        </w:rPr>
        <w:footnoteRef/>
      </w:r>
      <w:r w:rsidRPr="005A4D53">
        <w:rPr>
          <w:sz w:val="16"/>
          <w:szCs w:val="16"/>
        </w:rPr>
        <w:t xml:space="preserve"> People with Disability Australia &amp; Domestic Violence NSW. (2021). Women with disability and domestic and family violence: A guide for policy and practice. People with Disability Australia. </w:t>
      </w:r>
    </w:p>
  </w:footnote>
  <w:footnote w:id="80">
    <w:p w14:paraId="2CE1780C" w14:textId="38FD3A69" w:rsidR="00553D39" w:rsidRPr="005A4D53" w:rsidRDefault="00553D39">
      <w:pPr>
        <w:pStyle w:val="FootnoteText"/>
        <w:rPr>
          <w:sz w:val="16"/>
          <w:szCs w:val="16"/>
        </w:rPr>
      </w:pPr>
      <w:r w:rsidRPr="005A4D53">
        <w:rPr>
          <w:rStyle w:val="FootnoteReference"/>
          <w:sz w:val="16"/>
          <w:szCs w:val="16"/>
        </w:rPr>
        <w:footnoteRef/>
      </w:r>
      <w:r w:rsidRPr="005A4D53">
        <w:rPr>
          <w:sz w:val="16"/>
          <w:szCs w:val="16"/>
        </w:rPr>
        <w:t xml:space="preserve"> </w:t>
      </w:r>
      <w:r w:rsidR="00D11008" w:rsidRPr="005A4D53">
        <w:rPr>
          <w:sz w:val="16"/>
          <w:szCs w:val="16"/>
        </w:rPr>
        <w:t xml:space="preserve">Australian Human Rights Commission. (2020). Respect@Work: Sexual Harassment National Inquiry Report. </w:t>
      </w:r>
      <w:hyperlink r:id="rId45" w:history="1">
        <w:r w:rsidR="00D11008" w:rsidRPr="005A4D53">
          <w:rPr>
            <w:rStyle w:val="Hyperlink"/>
            <w:sz w:val="16"/>
            <w:szCs w:val="16"/>
          </w:rPr>
          <w:t>https://humanrights.gov.au/our-work/sex-discrimination/publications/respectwork-sexual-harassment-national-inquiry-report-2020</w:t>
        </w:r>
      </w:hyperlink>
    </w:p>
  </w:footnote>
  <w:footnote w:id="81">
    <w:p w14:paraId="57573079" w14:textId="28BFA54D" w:rsidR="00981080" w:rsidRPr="005A4D53" w:rsidRDefault="00981080" w:rsidP="00981080">
      <w:pPr>
        <w:pStyle w:val="FootnoteText"/>
        <w:rPr>
          <w:sz w:val="16"/>
          <w:szCs w:val="16"/>
        </w:rPr>
      </w:pPr>
      <w:r w:rsidRPr="005A4D53">
        <w:rPr>
          <w:rStyle w:val="FootnoteReference"/>
          <w:sz w:val="16"/>
          <w:szCs w:val="16"/>
        </w:rPr>
        <w:footnoteRef/>
      </w:r>
      <w:r w:rsidRPr="005A4D53">
        <w:rPr>
          <w:sz w:val="16"/>
          <w:szCs w:val="16"/>
        </w:rPr>
        <w:t xml:space="preserve"> </w:t>
      </w:r>
      <w:r w:rsidR="00A61DA1" w:rsidRPr="005A4D53">
        <w:rPr>
          <w:sz w:val="16"/>
          <w:szCs w:val="16"/>
        </w:rPr>
        <w:t>Cadby, G., Pitman, T., &amp; Koshy, P. (2024). Students with disability in Australian higher education: an overview. Australian Centre for Student Equity and Success (ACSES), Perth: Curtin University.</w:t>
      </w:r>
    </w:p>
  </w:footnote>
  <w:footnote w:id="82">
    <w:p w14:paraId="2D9092D0" w14:textId="6FB43331" w:rsidR="009E4C07" w:rsidRPr="005A4D53" w:rsidRDefault="009E4C07">
      <w:pPr>
        <w:pStyle w:val="FootnoteText"/>
        <w:rPr>
          <w:sz w:val="16"/>
          <w:szCs w:val="16"/>
        </w:rPr>
      </w:pPr>
      <w:r w:rsidRPr="005A4D53">
        <w:rPr>
          <w:rStyle w:val="FootnoteReference"/>
          <w:sz w:val="16"/>
          <w:szCs w:val="16"/>
        </w:rPr>
        <w:footnoteRef/>
      </w:r>
      <w:r w:rsidRPr="005A4D53">
        <w:rPr>
          <w:sz w:val="16"/>
          <w:szCs w:val="16"/>
        </w:rPr>
        <w:t xml:space="preserve"> </w:t>
      </w:r>
      <w:r w:rsidR="00982ABA" w:rsidRPr="005A4D53">
        <w:rPr>
          <w:sz w:val="16"/>
          <w:szCs w:val="16"/>
        </w:rPr>
        <w:t xml:space="preserve">Social Research Centre. (2022). National Student Safety Survey. </w:t>
      </w:r>
      <w:hyperlink r:id="rId46" w:history="1">
        <w:r w:rsidR="00982ABA" w:rsidRPr="005A4D53">
          <w:rPr>
            <w:rStyle w:val="Hyperlink"/>
            <w:sz w:val="16"/>
            <w:szCs w:val="16"/>
          </w:rPr>
          <w:t>https://www.nsss.edu.au/</w:t>
        </w:r>
      </w:hyperlink>
    </w:p>
    <w:p w14:paraId="73F60DC0" w14:textId="00053E5B" w:rsidR="009E4C07" w:rsidRPr="00756EBF" w:rsidRDefault="00982ABA">
      <w:pPr>
        <w:pStyle w:val="FootnoteText"/>
        <w:rPr>
          <w:sz w:val="16"/>
          <w:szCs w:val="16"/>
        </w:rPr>
      </w:pPr>
      <w:r w:rsidRPr="005A4D53">
        <w:rPr>
          <w:sz w:val="16"/>
          <w:szCs w:val="16"/>
        </w:rPr>
        <w:t>Australian Human Rights Commission. (2020). Respect@Work: Sexual Harassment National Inquiry Report. https://humanrights.gov.au/our-work/sex-discrimination/publications/respectwork-sexual-harassment-national-inquiry-report-2020</w:t>
      </w:r>
    </w:p>
  </w:footnote>
  <w:footnote w:id="83">
    <w:p w14:paraId="14C84DE7" w14:textId="77777777" w:rsidR="00F306C6" w:rsidRPr="005A4D53" w:rsidRDefault="00F306C6" w:rsidP="00F306C6">
      <w:pPr>
        <w:pStyle w:val="FootnoteText"/>
        <w:rPr>
          <w:sz w:val="16"/>
          <w:szCs w:val="16"/>
        </w:rPr>
      </w:pPr>
      <w:r w:rsidRPr="005A4D53">
        <w:rPr>
          <w:rStyle w:val="FootnoteReference"/>
          <w:sz w:val="16"/>
          <w:szCs w:val="16"/>
        </w:rPr>
        <w:footnoteRef/>
      </w:r>
      <w:r w:rsidRPr="005A4D53">
        <w:rPr>
          <w:sz w:val="16"/>
          <w:szCs w:val="16"/>
        </w:rPr>
        <w:t xml:space="preserve"> Australian Government. (2021). Australia’s Disability Strategy 2021–2031. Australian Government.</w:t>
      </w:r>
    </w:p>
  </w:footnote>
  <w:footnote w:id="84">
    <w:p w14:paraId="757DA044" w14:textId="6E30DF92" w:rsidR="00C64B6C" w:rsidRPr="005A4D53" w:rsidRDefault="00C64B6C">
      <w:pPr>
        <w:pStyle w:val="FootnoteText"/>
        <w:rPr>
          <w:sz w:val="16"/>
          <w:szCs w:val="16"/>
        </w:rPr>
      </w:pPr>
      <w:r w:rsidRPr="005A4D53">
        <w:rPr>
          <w:rStyle w:val="FootnoteReference"/>
          <w:sz w:val="16"/>
          <w:szCs w:val="16"/>
        </w:rPr>
        <w:footnoteRef/>
      </w:r>
      <w:r w:rsidRPr="005A4D53">
        <w:rPr>
          <w:sz w:val="16"/>
          <w:szCs w:val="16"/>
        </w:rPr>
        <w:t xml:space="preserve"> </w:t>
      </w:r>
      <w:r w:rsidR="004D08BE" w:rsidRPr="005A4D53">
        <w:rPr>
          <w:sz w:val="16"/>
          <w:szCs w:val="16"/>
        </w:rPr>
        <w:t xml:space="preserve">Australian Human Rights Commission. (2017). Change the course: National report on sexual assault and sexual harassment at Australian universities. </w:t>
      </w:r>
      <w:hyperlink r:id="rId47" w:history="1">
        <w:r w:rsidR="004D08BE" w:rsidRPr="005A4D53">
          <w:rPr>
            <w:rStyle w:val="Hyperlink"/>
            <w:sz w:val="16"/>
            <w:szCs w:val="16"/>
          </w:rPr>
          <w:t>https://humanrights.gov.au/our-work/sex-discrimination/publications/change-course-national-report-sexual-assault-and</w:t>
        </w:r>
      </w:hyperlink>
    </w:p>
  </w:footnote>
  <w:footnote w:id="85">
    <w:p w14:paraId="0883CFF6" w14:textId="0DB13D30" w:rsidR="001F78D4" w:rsidRPr="005A4D53" w:rsidRDefault="001F78D4">
      <w:pPr>
        <w:pStyle w:val="FootnoteText"/>
        <w:rPr>
          <w:sz w:val="16"/>
          <w:szCs w:val="16"/>
        </w:rPr>
      </w:pPr>
      <w:r w:rsidRPr="005A4D53">
        <w:rPr>
          <w:rStyle w:val="FootnoteReference"/>
          <w:sz w:val="16"/>
          <w:szCs w:val="16"/>
        </w:rPr>
        <w:footnoteRef/>
      </w:r>
      <w:r w:rsidRPr="005A4D53">
        <w:rPr>
          <w:sz w:val="16"/>
          <w:szCs w:val="16"/>
        </w:rPr>
        <w:t xml:space="preserve"> Australian Institute of Health and Welfare. (2024). People from culturally and linguistically diverse backgrounds.</w:t>
      </w:r>
    </w:p>
  </w:footnote>
  <w:footnote w:id="86">
    <w:p w14:paraId="5136C6EC" w14:textId="4345D33F" w:rsidR="001F78D4" w:rsidRPr="005A4D53" w:rsidRDefault="001F78D4">
      <w:pPr>
        <w:pStyle w:val="FootnoteText"/>
        <w:rPr>
          <w:sz w:val="16"/>
          <w:szCs w:val="16"/>
        </w:rPr>
      </w:pPr>
      <w:r w:rsidRPr="005A4D53">
        <w:rPr>
          <w:rStyle w:val="FootnoteReference"/>
          <w:sz w:val="16"/>
          <w:szCs w:val="16"/>
        </w:rPr>
        <w:footnoteRef/>
      </w:r>
      <w:r w:rsidRPr="005A4D53">
        <w:rPr>
          <w:sz w:val="16"/>
          <w:szCs w:val="16"/>
        </w:rPr>
        <w:t xml:space="preserve"> </w:t>
      </w:r>
      <w:r w:rsidR="00685A95" w:rsidRPr="005A4D53">
        <w:rPr>
          <w:sz w:val="16"/>
          <w:szCs w:val="16"/>
        </w:rPr>
        <w:t>Australian Institute of Family Studies. (2018). Intimate partner violence in Australian refugee communities</w:t>
      </w:r>
      <w:r w:rsidR="0034781E" w:rsidRPr="005A4D53">
        <w:rPr>
          <w:sz w:val="16"/>
          <w:szCs w:val="16"/>
        </w:rPr>
        <w:t xml:space="preserve">: scoping review of issues and service responses. </w:t>
      </w:r>
    </w:p>
  </w:footnote>
  <w:footnote w:id="87">
    <w:p w14:paraId="441EEA2C" w14:textId="6F1CD137" w:rsidR="00667766" w:rsidRPr="005A4D53" w:rsidRDefault="00667766">
      <w:pPr>
        <w:pStyle w:val="FootnoteText"/>
        <w:rPr>
          <w:sz w:val="16"/>
          <w:szCs w:val="16"/>
        </w:rPr>
      </w:pPr>
      <w:r w:rsidRPr="005A4D53">
        <w:rPr>
          <w:rStyle w:val="FootnoteReference"/>
          <w:sz w:val="16"/>
          <w:szCs w:val="16"/>
        </w:rPr>
        <w:footnoteRef/>
      </w:r>
      <w:r w:rsidRPr="005A4D53">
        <w:rPr>
          <w:sz w:val="16"/>
          <w:szCs w:val="16"/>
        </w:rPr>
        <w:t xml:space="preserve"> </w:t>
      </w:r>
      <w:r w:rsidR="00607B23" w:rsidRPr="005A4D53">
        <w:rPr>
          <w:sz w:val="16"/>
          <w:szCs w:val="16"/>
        </w:rPr>
        <w:t>Australia’s National Research Organisation for Women’s Safety. (2023). Migrant and refugee women in Australia: A study of sexual harassment in the workplace</w:t>
      </w:r>
      <w:r w:rsidR="00E42143" w:rsidRPr="005A4D53">
        <w:rPr>
          <w:sz w:val="16"/>
          <w:szCs w:val="16"/>
        </w:rPr>
        <w:t>.</w:t>
      </w:r>
    </w:p>
  </w:footnote>
  <w:footnote w:id="88">
    <w:p w14:paraId="5A70D8E3" w14:textId="084925BA" w:rsidR="00AE72CE" w:rsidRPr="005A4D53" w:rsidRDefault="00AE72CE">
      <w:pPr>
        <w:pStyle w:val="FootnoteText"/>
        <w:rPr>
          <w:sz w:val="16"/>
          <w:szCs w:val="16"/>
        </w:rPr>
      </w:pPr>
      <w:r w:rsidRPr="005A4D53">
        <w:rPr>
          <w:rStyle w:val="FootnoteReference"/>
          <w:sz w:val="16"/>
          <w:szCs w:val="16"/>
        </w:rPr>
        <w:footnoteRef/>
      </w:r>
      <w:r w:rsidRPr="005A4D53">
        <w:rPr>
          <w:sz w:val="16"/>
          <w:szCs w:val="16"/>
        </w:rPr>
        <w:t xml:space="preserve"> </w:t>
      </w:r>
      <w:r w:rsidR="00DA410E" w:rsidRPr="005A4D53">
        <w:rPr>
          <w:sz w:val="16"/>
          <w:szCs w:val="16"/>
        </w:rPr>
        <w:t>Australian Human Rights Commission. (2020). Respect@Work: Sexual Harassment National Inquiry Report. https://humanrights.gov.au/our-work/sex-discrimination/publications/respectwork-sexual-harassment-national-inquiry-report-2020</w:t>
      </w:r>
    </w:p>
  </w:footnote>
  <w:footnote w:id="89">
    <w:p w14:paraId="4A0B5B41" w14:textId="2F14DE38" w:rsidR="00922390" w:rsidRDefault="00922390">
      <w:pPr>
        <w:pStyle w:val="FootnoteText"/>
      </w:pPr>
      <w:r w:rsidRPr="005A4D53">
        <w:rPr>
          <w:rStyle w:val="FootnoteReference"/>
          <w:sz w:val="16"/>
          <w:szCs w:val="16"/>
        </w:rPr>
        <w:footnoteRef/>
      </w:r>
      <w:r w:rsidRPr="005A4D53">
        <w:rPr>
          <w:sz w:val="16"/>
          <w:szCs w:val="16"/>
        </w:rPr>
        <w:t xml:space="preserve"> </w:t>
      </w:r>
      <w:r w:rsidR="00C84EA5" w:rsidRPr="005A4D53">
        <w:rPr>
          <w:sz w:val="16"/>
          <w:szCs w:val="16"/>
        </w:rPr>
        <w:t xml:space="preserve">Australian Human Rights Commission. (2017). Change the course: National report on sexual assault and sexual harassment at Australian universities. </w:t>
      </w:r>
      <w:hyperlink r:id="rId48" w:history="1">
        <w:r w:rsidR="00C84EA5" w:rsidRPr="005A4D53">
          <w:rPr>
            <w:rStyle w:val="Hyperlink"/>
            <w:sz w:val="16"/>
            <w:szCs w:val="16"/>
          </w:rPr>
          <w:t>https://humanrights.gov.au/our-work/sex-discrimination/publications/change-course-national-report-sexual-assault-and</w:t>
        </w:r>
      </w:hyperlink>
    </w:p>
  </w:footnote>
  <w:footnote w:id="90">
    <w:p w14:paraId="39FEC35F" w14:textId="4701FA00" w:rsidR="007A423A" w:rsidRPr="005A4D53" w:rsidRDefault="007A423A" w:rsidP="00DD4830">
      <w:pPr>
        <w:spacing w:after="0" w:line="240" w:lineRule="auto"/>
        <w:rPr>
          <w:sz w:val="16"/>
          <w:szCs w:val="16"/>
        </w:rPr>
      </w:pPr>
      <w:r w:rsidRPr="005A4D53">
        <w:rPr>
          <w:rStyle w:val="FootnoteReference"/>
          <w:sz w:val="16"/>
          <w:szCs w:val="16"/>
        </w:rPr>
        <w:footnoteRef/>
      </w:r>
      <w:r w:rsidRPr="005A4D53">
        <w:rPr>
          <w:sz w:val="16"/>
          <w:szCs w:val="16"/>
        </w:rPr>
        <w:t xml:space="preserve"> </w:t>
      </w:r>
      <w:r w:rsidR="00B7539C" w:rsidRPr="005A4D53">
        <w:rPr>
          <w:kern w:val="0"/>
          <w:sz w:val="16"/>
          <w:szCs w:val="16"/>
          <w14:ligatures w14:val="none"/>
        </w:rPr>
        <w:t>Tarzia, L., Navarro Medel, C., McLindon, E., Ezer, P., Forbes-Mewett, H., Tran, L. T., Murdolo, A., &amp; Hegarty, K. (2025). Experiences of sexual and intimate partner violence among women international students in Australia.</w:t>
      </w:r>
    </w:p>
  </w:footnote>
  <w:footnote w:id="91">
    <w:p w14:paraId="7D99F870" w14:textId="571265F4" w:rsidR="007A423A" w:rsidRPr="005A4D53" w:rsidRDefault="007A423A" w:rsidP="007A423A">
      <w:pPr>
        <w:pStyle w:val="FootnoteText"/>
        <w:rPr>
          <w:sz w:val="16"/>
          <w:szCs w:val="16"/>
        </w:rPr>
      </w:pPr>
      <w:r w:rsidRPr="005A4D53">
        <w:rPr>
          <w:rStyle w:val="FootnoteReference"/>
          <w:sz w:val="16"/>
          <w:szCs w:val="16"/>
        </w:rPr>
        <w:footnoteRef/>
      </w:r>
      <w:r w:rsidRPr="005A4D53">
        <w:rPr>
          <w:sz w:val="16"/>
          <w:szCs w:val="16"/>
        </w:rPr>
        <w:t xml:space="preserve"> </w:t>
      </w:r>
      <w:r w:rsidR="00A052B5" w:rsidRPr="005A4D53">
        <w:rPr>
          <w:sz w:val="16"/>
          <w:szCs w:val="16"/>
        </w:rPr>
        <w:t>Australian Government Department of Education. (2025). International student monthly summary and data tables</w:t>
      </w:r>
      <w:r w:rsidR="00F56776" w:rsidRPr="005A4D53">
        <w:rPr>
          <w:sz w:val="16"/>
          <w:szCs w:val="16"/>
        </w:rPr>
        <w:t xml:space="preserve">. </w:t>
      </w:r>
      <w:hyperlink r:id="rId49" w:history="1">
        <w:r w:rsidR="00B225B8" w:rsidRPr="005A4D53">
          <w:rPr>
            <w:rStyle w:val="Hyperlink"/>
            <w:sz w:val="16"/>
            <w:szCs w:val="16"/>
          </w:rPr>
          <w:t>https://www.education.gov.au/international-education-data-and-research/international-student-monthly-summary-and-data-tables</w:t>
        </w:r>
      </w:hyperlink>
      <w:r w:rsidR="00B225B8" w:rsidRPr="005A4D53">
        <w:rPr>
          <w:sz w:val="16"/>
          <w:szCs w:val="16"/>
        </w:rPr>
        <w:t xml:space="preserve"> </w:t>
      </w:r>
    </w:p>
  </w:footnote>
  <w:footnote w:id="92">
    <w:p w14:paraId="6E914B28" w14:textId="5173B3F9" w:rsidR="008D74C6" w:rsidRPr="005A4D53" w:rsidRDefault="008D74C6">
      <w:pPr>
        <w:pStyle w:val="FootnoteText"/>
        <w:rPr>
          <w:sz w:val="16"/>
          <w:szCs w:val="16"/>
        </w:rPr>
      </w:pPr>
      <w:r w:rsidRPr="005A4D53">
        <w:rPr>
          <w:rStyle w:val="FootnoteReference"/>
          <w:sz w:val="16"/>
          <w:szCs w:val="16"/>
        </w:rPr>
        <w:footnoteRef/>
      </w:r>
      <w:r w:rsidRPr="005A4D53">
        <w:rPr>
          <w:sz w:val="16"/>
          <w:szCs w:val="16"/>
        </w:rPr>
        <w:t xml:space="preserve"> </w:t>
      </w:r>
      <w:r w:rsidR="00524220" w:rsidRPr="005A4D53">
        <w:rPr>
          <w:sz w:val="16"/>
          <w:szCs w:val="16"/>
        </w:rPr>
        <w:t>Tarzia, L., McKenzie, M., Forbes-Mewett, H., Tran, L.T., Murdolo, A., Navarro Medel, C., Ezer, P., Tran, G., Hach, M., McLindon, E. &amp; Hegarty, K. (2025). Preventing and addressing sexual and/or</w:t>
      </w:r>
      <w:r w:rsidR="00A93F0B" w:rsidRPr="005A4D53">
        <w:rPr>
          <w:sz w:val="16"/>
          <w:szCs w:val="16"/>
        </w:rPr>
        <w:t xml:space="preserve"> </w:t>
      </w:r>
      <w:r w:rsidR="00524220" w:rsidRPr="005A4D53">
        <w:rPr>
          <w:sz w:val="16"/>
          <w:szCs w:val="16"/>
        </w:rPr>
        <w:t xml:space="preserve">intimate partner violence against women international students: Practice guide for delivering a whole-of-community response. The University of Melbourne. </w:t>
      </w:r>
      <w:hyperlink r:id="rId50" w:history="1">
        <w:r w:rsidR="00115B12" w:rsidRPr="005A4D53">
          <w:rPr>
            <w:rStyle w:val="Hyperlink"/>
            <w:sz w:val="16"/>
            <w:szCs w:val="16"/>
          </w:rPr>
          <w:t>https://www.restorecentre.org.au/resources/practical-guide-international-students</w:t>
        </w:r>
      </w:hyperlink>
      <w:r w:rsidR="00115B12" w:rsidRPr="005A4D53">
        <w:rPr>
          <w:sz w:val="16"/>
          <w:szCs w:val="16"/>
        </w:rPr>
        <w:t xml:space="preserve"> </w:t>
      </w:r>
    </w:p>
  </w:footnote>
  <w:footnote w:id="93">
    <w:p w14:paraId="054CA9C0" w14:textId="0DD8EEA1" w:rsidR="00436A24" w:rsidRPr="005A4D53" w:rsidRDefault="00436A24" w:rsidP="00436A24">
      <w:pPr>
        <w:pStyle w:val="FootnoteText"/>
        <w:rPr>
          <w:sz w:val="16"/>
          <w:szCs w:val="16"/>
        </w:rPr>
      </w:pPr>
      <w:r w:rsidRPr="005A4D53">
        <w:rPr>
          <w:rStyle w:val="FootnoteReference"/>
          <w:sz w:val="16"/>
          <w:szCs w:val="16"/>
        </w:rPr>
        <w:footnoteRef/>
      </w:r>
      <w:r w:rsidRPr="005A4D53">
        <w:rPr>
          <w:sz w:val="16"/>
          <w:szCs w:val="16"/>
        </w:rPr>
        <w:t xml:space="preserve"> </w:t>
      </w:r>
      <w:r w:rsidR="002F59F0" w:rsidRPr="005A4D53">
        <w:rPr>
          <w:sz w:val="16"/>
          <w:szCs w:val="16"/>
        </w:rPr>
        <w:t>Segrave, M</w:t>
      </w:r>
      <w:r w:rsidR="003A2405" w:rsidRPr="005A4D53">
        <w:rPr>
          <w:sz w:val="16"/>
          <w:szCs w:val="16"/>
        </w:rPr>
        <w:t>.</w:t>
      </w:r>
      <w:r w:rsidR="002F59F0" w:rsidRPr="005A4D53">
        <w:rPr>
          <w:sz w:val="16"/>
          <w:szCs w:val="16"/>
        </w:rPr>
        <w:t xml:space="preserve"> (2017)</w:t>
      </w:r>
      <w:r w:rsidR="003A2405" w:rsidRPr="005A4D53">
        <w:rPr>
          <w:sz w:val="16"/>
          <w:szCs w:val="16"/>
        </w:rPr>
        <w:t>.</w:t>
      </w:r>
      <w:r w:rsidR="002F59F0" w:rsidRPr="005A4D53">
        <w:rPr>
          <w:sz w:val="16"/>
          <w:szCs w:val="16"/>
        </w:rPr>
        <w:t xml:space="preserve"> Temporary migration and family violence: An analysis of victimisation, vulnerability and support. Melbourne: School of Social Sciences, Monash University</w:t>
      </w:r>
      <w:r w:rsidRPr="005A4D53">
        <w:rPr>
          <w:sz w:val="16"/>
          <w:szCs w:val="16"/>
        </w:rPr>
        <w:t>.</w:t>
      </w:r>
    </w:p>
  </w:footnote>
  <w:footnote w:id="94">
    <w:p w14:paraId="2D0827CB" w14:textId="456CE217" w:rsidR="00B44991" w:rsidRPr="005A4D53" w:rsidRDefault="00B44991" w:rsidP="00B44991">
      <w:pPr>
        <w:pStyle w:val="FootnoteText"/>
        <w:rPr>
          <w:sz w:val="16"/>
          <w:szCs w:val="16"/>
        </w:rPr>
      </w:pPr>
      <w:r w:rsidRPr="005A4D53">
        <w:rPr>
          <w:rStyle w:val="FootnoteReference"/>
          <w:sz w:val="16"/>
          <w:szCs w:val="16"/>
        </w:rPr>
        <w:footnoteRef/>
      </w:r>
      <w:r w:rsidRPr="005A4D53">
        <w:rPr>
          <w:sz w:val="16"/>
          <w:szCs w:val="16"/>
        </w:rPr>
        <w:t xml:space="preserve"> Social Research Centre. (</w:t>
      </w:r>
      <w:r w:rsidR="002F59F0" w:rsidRPr="005A4D53">
        <w:rPr>
          <w:sz w:val="16"/>
          <w:szCs w:val="16"/>
        </w:rPr>
        <w:t>2022</w:t>
      </w:r>
      <w:r w:rsidRPr="005A4D53">
        <w:rPr>
          <w:sz w:val="16"/>
          <w:szCs w:val="16"/>
        </w:rPr>
        <w:t xml:space="preserve">). National Student Safety Survey. </w:t>
      </w:r>
      <w:hyperlink r:id="rId51" w:history="1">
        <w:r w:rsidR="003A2405" w:rsidRPr="005A4D53">
          <w:rPr>
            <w:rStyle w:val="Hyperlink"/>
            <w:sz w:val="16"/>
            <w:szCs w:val="16"/>
          </w:rPr>
          <w:t>https://www.nsss.edu.au/</w:t>
        </w:r>
      </w:hyperlink>
      <w:r w:rsidR="003A2405" w:rsidRPr="005A4D53">
        <w:rPr>
          <w:sz w:val="16"/>
          <w:szCs w:val="16"/>
        </w:rPr>
        <w:t xml:space="preserve"> </w:t>
      </w:r>
    </w:p>
  </w:footnote>
  <w:footnote w:id="95">
    <w:p w14:paraId="279BB551" w14:textId="681DDFC2" w:rsidR="002202B5" w:rsidRPr="00DD4830" w:rsidRDefault="002202B5">
      <w:pPr>
        <w:pStyle w:val="FootnoteText"/>
        <w:rPr>
          <w:sz w:val="16"/>
          <w:szCs w:val="16"/>
        </w:rPr>
      </w:pPr>
      <w:r w:rsidRPr="005A4D53">
        <w:rPr>
          <w:rStyle w:val="FootnoteReference"/>
          <w:sz w:val="16"/>
          <w:szCs w:val="16"/>
        </w:rPr>
        <w:footnoteRef/>
      </w:r>
      <w:r w:rsidRPr="005A4D53">
        <w:rPr>
          <w:sz w:val="16"/>
          <w:szCs w:val="16"/>
        </w:rPr>
        <w:t xml:space="preserve"> </w:t>
      </w:r>
      <w:r w:rsidR="001B264B" w:rsidRPr="005A4D53">
        <w:rPr>
          <w:sz w:val="16"/>
          <w:szCs w:val="16"/>
        </w:rPr>
        <w:t xml:space="preserve">Australian Human Rights Commission. (2017). Change the course: National report on sexual assault and sexual harassment at Australian universities. </w:t>
      </w:r>
      <w:hyperlink r:id="rId52" w:history="1">
        <w:r w:rsidR="001B264B" w:rsidRPr="005A4D53">
          <w:rPr>
            <w:rStyle w:val="Hyperlink"/>
            <w:sz w:val="16"/>
            <w:szCs w:val="16"/>
          </w:rPr>
          <w:t>https://humanrights.gov.au/our-work/sex-discrimination/publications/change-course-national-report-sexual-assault-and</w:t>
        </w:r>
      </w:hyperlink>
      <w:r w:rsidR="001B264B" w:rsidRPr="00EE409C" w:rsidDel="001B264B">
        <w:rPr>
          <w:sz w:val="16"/>
          <w:szCs w:val="16"/>
        </w:rPr>
        <w:t xml:space="preserve"> </w:t>
      </w:r>
    </w:p>
  </w:footnote>
  <w:footnote w:id="96">
    <w:p w14:paraId="4CEF4C1C" w14:textId="4F8AA9D1" w:rsidR="007A423A" w:rsidRPr="005A4D53" w:rsidRDefault="007A423A" w:rsidP="007A423A">
      <w:pPr>
        <w:pStyle w:val="FootnoteText"/>
        <w:rPr>
          <w:sz w:val="16"/>
          <w:szCs w:val="16"/>
        </w:rPr>
      </w:pPr>
      <w:r w:rsidRPr="005A4D53">
        <w:rPr>
          <w:rStyle w:val="FootnoteReference"/>
          <w:sz w:val="16"/>
          <w:szCs w:val="16"/>
        </w:rPr>
        <w:footnoteRef/>
      </w:r>
      <w:r w:rsidRPr="005A4D53">
        <w:rPr>
          <w:sz w:val="16"/>
          <w:szCs w:val="16"/>
        </w:rPr>
        <w:t xml:space="preserve"> </w:t>
      </w:r>
      <w:r w:rsidR="00FB4C7C" w:rsidRPr="005A4D53">
        <w:rPr>
          <w:sz w:val="16"/>
          <w:szCs w:val="16"/>
        </w:rPr>
        <w:t xml:space="preserve">Zark, L., Toumbourou, J. W., &amp; Satyen, L. (2023). Help-seeking for intimate partner and family violence among tertiary students in Australia: Nature, extent, and cross-cultural differences. Journal of Family Violence, 38(3), 491–508. </w:t>
      </w:r>
      <w:hyperlink r:id="rId53" w:history="1">
        <w:r w:rsidR="003A2405" w:rsidRPr="005A4D53">
          <w:rPr>
            <w:rStyle w:val="Hyperlink"/>
            <w:sz w:val="16"/>
            <w:szCs w:val="16"/>
          </w:rPr>
          <w:t>https://doi.org/10.1007/s10896-022-00406-5</w:t>
        </w:r>
      </w:hyperlink>
      <w:r w:rsidR="003A2405" w:rsidRPr="005A4D53">
        <w:rPr>
          <w:sz w:val="16"/>
          <w:szCs w:val="16"/>
        </w:rPr>
        <w:t xml:space="preserve"> </w:t>
      </w:r>
    </w:p>
  </w:footnote>
  <w:footnote w:id="97">
    <w:p w14:paraId="6DBDBA0B" w14:textId="6459CD77" w:rsidR="00C560C4" w:rsidRDefault="00C560C4" w:rsidP="00C560C4">
      <w:pPr>
        <w:pStyle w:val="FootnoteText"/>
      </w:pPr>
      <w:r w:rsidRPr="005A4D53">
        <w:rPr>
          <w:rStyle w:val="FootnoteReference"/>
          <w:sz w:val="16"/>
          <w:szCs w:val="16"/>
        </w:rPr>
        <w:footnoteRef/>
      </w:r>
      <w:r w:rsidRPr="005A4D53">
        <w:rPr>
          <w:sz w:val="16"/>
          <w:szCs w:val="16"/>
        </w:rPr>
        <w:t xml:space="preserve"> </w:t>
      </w:r>
      <w:r w:rsidR="00FB4C7C" w:rsidRPr="005A4D53">
        <w:rPr>
          <w:sz w:val="16"/>
          <w:szCs w:val="16"/>
        </w:rPr>
        <w:t>Tarzia, L., Navarro Medel, C., McLindon, E., Ezer, P., Forbes-Mewett, H., Tran, L. T., Murdolo, A., &amp; Hegarty, K. (2025). Experiences of sexual and intimate partner violence among women international students in Australia.</w:t>
      </w:r>
    </w:p>
  </w:footnote>
  <w:footnote w:id="98">
    <w:p w14:paraId="323B9FFE" w14:textId="11067E4E" w:rsidR="00A33A7F" w:rsidRPr="005A4D53" w:rsidRDefault="00A33A7F" w:rsidP="00A33A7F">
      <w:pPr>
        <w:pStyle w:val="FootnoteText"/>
        <w:rPr>
          <w:sz w:val="16"/>
          <w:szCs w:val="16"/>
        </w:rPr>
      </w:pPr>
      <w:r w:rsidRPr="005A4D53">
        <w:rPr>
          <w:rStyle w:val="FootnoteReference"/>
          <w:sz w:val="16"/>
          <w:szCs w:val="16"/>
        </w:rPr>
        <w:footnoteRef/>
      </w:r>
      <w:r w:rsidRPr="005A4D53">
        <w:rPr>
          <w:sz w:val="16"/>
          <w:szCs w:val="16"/>
        </w:rPr>
        <w:t xml:space="preserve"> </w:t>
      </w:r>
      <w:r w:rsidR="00EE5CA0" w:rsidRPr="005A4D53">
        <w:rPr>
          <w:sz w:val="16"/>
          <w:szCs w:val="16"/>
        </w:rPr>
        <w:t xml:space="preserve">Australian Human Rights Commission. (2017). Change the course: National report on sexual assault and sexual harassment at Australian universities. </w:t>
      </w:r>
      <w:hyperlink r:id="rId54" w:history="1">
        <w:r w:rsidR="00EE5CA0" w:rsidRPr="005A4D53">
          <w:rPr>
            <w:rStyle w:val="Hyperlink"/>
            <w:sz w:val="16"/>
            <w:szCs w:val="16"/>
          </w:rPr>
          <w:t>https://humanrights.gov.au/our-work/sex-discrimination/publications/change-course-national-report-sexual-assault-and</w:t>
        </w:r>
      </w:hyperlink>
    </w:p>
  </w:footnote>
  <w:footnote w:id="99">
    <w:p w14:paraId="4F9999F0" w14:textId="1C6B78CE" w:rsidR="007F4022" w:rsidRPr="005A4D53" w:rsidRDefault="007F4022" w:rsidP="007F4022">
      <w:pPr>
        <w:pStyle w:val="FootnoteText"/>
        <w:rPr>
          <w:sz w:val="16"/>
          <w:szCs w:val="16"/>
        </w:rPr>
      </w:pPr>
      <w:r w:rsidRPr="005A4D53">
        <w:rPr>
          <w:rStyle w:val="FootnoteReference"/>
          <w:sz w:val="16"/>
          <w:szCs w:val="16"/>
        </w:rPr>
        <w:footnoteRef/>
      </w:r>
      <w:r w:rsidRPr="005A4D53">
        <w:rPr>
          <w:sz w:val="16"/>
          <w:szCs w:val="16"/>
        </w:rPr>
        <w:t xml:space="preserve"> </w:t>
      </w:r>
      <w:r w:rsidR="00F912A6" w:rsidRPr="005A4D53">
        <w:rPr>
          <w:sz w:val="16"/>
          <w:szCs w:val="16"/>
        </w:rPr>
        <w:t xml:space="preserve">Tertiary Education Quality and Standards Agency (TEQSA). (2023). Report to the Minister for Education: Higher education sector response to the issue of sexual assault and sexual harassment. from </w:t>
      </w:r>
      <w:hyperlink r:id="rId55" w:history="1">
        <w:r w:rsidR="003A2405" w:rsidRPr="005A4D53">
          <w:rPr>
            <w:rStyle w:val="Hyperlink"/>
            <w:sz w:val="16"/>
            <w:szCs w:val="16"/>
          </w:rPr>
          <w:t>https://www.teqsa.gov.au/guides-resources/resources/sector-updates-and-alerts/report-minister-education-higher-education-sector-response-issue-sexual-assault-and-sexual-harassmen</w:t>
        </w:r>
      </w:hyperlink>
      <w:r w:rsidR="003A2405" w:rsidRPr="005A4D53">
        <w:rPr>
          <w:sz w:val="16"/>
          <w:szCs w:val="16"/>
        </w:rPr>
        <w:t xml:space="preserve"> </w:t>
      </w:r>
    </w:p>
  </w:footnote>
  <w:footnote w:id="100">
    <w:p w14:paraId="50FB3720" w14:textId="410DEF30" w:rsidR="00A33A7F" w:rsidRPr="00DD4830" w:rsidRDefault="00A33A7F" w:rsidP="00A33A7F">
      <w:pPr>
        <w:pStyle w:val="FootnoteText"/>
        <w:rPr>
          <w:sz w:val="16"/>
          <w:szCs w:val="16"/>
        </w:rPr>
      </w:pPr>
      <w:r w:rsidRPr="005A4D53">
        <w:rPr>
          <w:rStyle w:val="FootnoteReference"/>
          <w:sz w:val="16"/>
          <w:szCs w:val="16"/>
        </w:rPr>
        <w:footnoteRef/>
      </w:r>
      <w:r w:rsidRPr="005A4D53">
        <w:rPr>
          <w:sz w:val="16"/>
          <w:szCs w:val="16"/>
        </w:rPr>
        <w:t xml:space="preserve"> </w:t>
      </w:r>
      <w:r w:rsidR="000D72CD" w:rsidRPr="005A4D53">
        <w:rPr>
          <w:sz w:val="16"/>
          <w:szCs w:val="16"/>
        </w:rPr>
        <w:t xml:space="preserve">Tertiary Education Quality and Standards Agency (TEQSA). (2023). Report to the Minister for Education: Higher education sector response to the issue of sexual assault and sexual harassment. Retrieved August 1, 2025, from </w:t>
      </w:r>
      <w:hyperlink r:id="rId56" w:history="1">
        <w:r w:rsidR="003A2405" w:rsidRPr="005A4D53">
          <w:rPr>
            <w:rStyle w:val="Hyperlink"/>
            <w:sz w:val="16"/>
            <w:szCs w:val="16"/>
          </w:rPr>
          <w:t>https://www.teqsa.gov.au/guides-resources/resources/sector-updates-and-alerts/report-minister-education-higher-education-sector-response-issue-sexual-assault-and-sexual-harassmen</w:t>
        </w:r>
      </w:hyperlink>
      <w:r w:rsidR="003A2405">
        <w:rPr>
          <w:sz w:val="16"/>
          <w:szCs w:val="16"/>
        </w:rPr>
        <w:t xml:space="preserve"> </w:t>
      </w:r>
    </w:p>
  </w:footnote>
  <w:footnote w:id="101">
    <w:p w14:paraId="259229BC" w14:textId="4E195795" w:rsidR="00A33A7F" w:rsidRPr="00564EFC" w:rsidRDefault="00A33A7F" w:rsidP="00A33A7F">
      <w:pPr>
        <w:pStyle w:val="FootnoteText"/>
        <w:rPr>
          <w:sz w:val="16"/>
          <w:szCs w:val="16"/>
        </w:rPr>
      </w:pPr>
      <w:r w:rsidRPr="00564EFC">
        <w:rPr>
          <w:rStyle w:val="FootnoteReference"/>
          <w:sz w:val="16"/>
          <w:szCs w:val="16"/>
        </w:rPr>
        <w:footnoteRef/>
      </w:r>
      <w:r w:rsidRPr="00564EFC">
        <w:rPr>
          <w:sz w:val="16"/>
          <w:szCs w:val="16"/>
        </w:rPr>
        <w:t xml:space="preserve"> </w:t>
      </w:r>
      <w:r w:rsidR="00CC2EF3" w:rsidRPr="00564EFC">
        <w:rPr>
          <w:sz w:val="16"/>
          <w:szCs w:val="16"/>
        </w:rPr>
        <w:t xml:space="preserve">Social Research Centre. (2022). National Student Safety Survey. </w:t>
      </w:r>
      <w:hyperlink r:id="rId57" w:history="1">
        <w:r w:rsidR="00CC2EF3" w:rsidRPr="00564EFC">
          <w:rPr>
            <w:rStyle w:val="Hyperlink"/>
            <w:sz w:val="16"/>
            <w:szCs w:val="16"/>
          </w:rPr>
          <w:t>https://www.nsss.edu.au/</w:t>
        </w:r>
      </w:hyperlink>
    </w:p>
  </w:footnote>
  <w:footnote w:id="102">
    <w:p w14:paraId="74682DEA" w14:textId="3DBA19EE" w:rsidR="008D3AC0" w:rsidRPr="00564EFC" w:rsidRDefault="008D3AC0">
      <w:pPr>
        <w:pStyle w:val="FootnoteText"/>
        <w:rPr>
          <w:sz w:val="16"/>
          <w:szCs w:val="16"/>
        </w:rPr>
      </w:pPr>
      <w:r w:rsidRPr="00564EFC">
        <w:rPr>
          <w:rStyle w:val="FootnoteReference"/>
          <w:sz w:val="16"/>
          <w:szCs w:val="16"/>
        </w:rPr>
        <w:footnoteRef/>
      </w:r>
      <w:r w:rsidRPr="00564EFC">
        <w:rPr>
          <w:sz w:val="16"/>
          <w:szCs w:val="16"/>
        </w:rPr>
        <w:t xml:space="preserve"> </w:t>
      </w:r>
      <w:r w:rsidR="002F65E1" w:rsidRPr="00564EFC">
        <w:rPr>
          <w:sz w:val="16"/>
          <w:szCs w:val="16"/>
        </w:rPr>
        <w:t>Universities Australia. (2023). </w:t>
      </w:r>
      <w:r w:rsidR="002F65E1" w:rsidRPr="00564EFC">
        <w:rPr>
          <w:i/>
          <w:iCs/>
          <w:sz w:val="16"/>
          <w:szCs w:val="16"/>
        </w:rPr>
        <w:t>Universities Australia Charter on Sexual Harm</w:t>
      </w:r>
      <w:r w:rsidR="002F65E1" w:rsidRPr="00564EFC">
        <w:rPr>
          <w:sz w:val="16"/>
          <w:szCs w:val="16"/>
        </w:rPr>
        <w:t>. </w:t>
      </w:r>
      <w:hyperlink r:id="rId58" w:history="1">
        <w:r w:rsidR="003A2405" w:rsidRPr="00564EFC">
          <w:rPr>
            <w:rStyle w:val="Hyperlink"/>
            <w:sz w:val="16"/>
            <w:szCs w:val="16"/>
          </w:rPr>
          <w:t>https://universitiesaustralia.edu.au/policy-submissions/safety-wellbeing/universities-australia-charter-on-sexual-harm/</w:t>
        </w:r>
      </w:hyperlink>
      <w:r w:rsidR="003A2405" w:rsidRPr="00564EFC">
        <w:rPr>
          <w:sz w:val="16"/>
          <w:szCs w:val="16"/>
        </w:rPr>
        <w:t xml:space="preserve"> </w:t>
      </w:r>
    </w:p>
  </w:footnote>
  <w:footnote w:id="103">
    <w:p w14:paraId="507E9A18" w14:textId="3D41CDB0" w:rsidR="00A33A7F" w:rsidRPr="00564EFC" w:rsidRDefault="00A33A7F" w:rsidP="00A33A7F">
      <w:pPr>
        <w:pStyle w:val="FootnoteText"/>
        <w:rPr>
          <w:sz w:val="16"/>
          <w:szCs w:val="16"/>
        </w:rPr>
      </w:pPr>
      <w:r w:rsidRPr="00564EFC">
        <w:rPr>
          <w:rStyle w:val="FootnoteReference"/>
          <w:sz w:val="16"/>
          <w:szCs w:val="16"/>
        </w:rPr>
        <w:footnoteRef/>
      </w:r>
      <w:r w:rsidRPr="00564EFC">
        <w:rPr>
          <w:sz w:val="16"/>
          <w:szCs w:val="16"/>
        </w:rPr>
        <w:t xml:space="preserve"> </w:t>
      </w:r>
      <w:r w:rsidR="004F6173" w:rsidRPr="00564EFC">
        <w:rPr>
          <w:sz w:val="16"/>
          <w:szCs w:val="16"/>
        </w:rPr>
        <w:t>Senate Legal and Constitutional Affairs References Committee. (2023). Inquiry into current and proposed sexual consent laws in Australia: Final report. Parliament of Australia.</w:t>
      </w:r>
    </w:p>
  </w:footnote>
  <w:footnote w:id="104">
    <w:p w14:paraId="23EA71E6" w14:textId="60B5CA9A" w:rsidR="00A33A7F" w:rsidRPr="00564EFC" w:rsidRDefault="00A33A7F" w:rsidP="00A33A7F">
      <w:pPr>
        <w:pStyle w:val="FootnoteText"/>
        <w:rPr>
          <w:sz w:val="16"/>
          <w:szCs w:val="16"/>
        </w:rPr>
      </w:pPr>
      <w:r w:rsidRPr="00564EFC">
        <w:rPr>
          <w:rStyle w:val="FootnoteReference"/>
          <w:sz w:val="16"/>
          <w:szCs w:val="16"/>
        </w:rPr>
        <w:footnoteRef/>
      </w:r>
      <w:r w:rsidRPr="00564EFC">
        <w:rPr>
          <w:sz w:val="16"/>
          <w:szCs w:val="16"/>
        </w:rPr>
        <w:t xml:space="preserve"> </w:t>
      </w:r>
      <w:r w:rsidR="003A2405" w:rsidRPr="00564EFC">
        <w:rPr>
          <w:sz w:val="16"/>
          <w:szCs w:val="16"/>
        </w:rPr>
        <w:t>Ibid.</w:t>
      </w:r>
      <w:r w:rsidRPr="00564EFC">
        <w:rPr>
          <w:sz w:val="16"/>
          <w:szCs w:val="16"/>
        </w:rPr>
        <w:t xml:space="preserve">  </w:t>
      </w:r>
    </w:p>
  </w:footnote>
  <w:footnote w:id="105">
    <w:p w14:paraId="4E5232BE" w14:textId="44967993" w:rsidR="00490074" w:rsidRPr="00564EFC" w:rsidRDefault="00490074">
      <w:pPr>
        <w:pStyle w:val="FootnoteText"/>
        <w:rPr>
          <w:sz w:val="16"/>
          <w:szCs w:val="16"/>
        </w:rPr>
      </w:pPr>
      <w:r w:rsidRPr="00564EFC">
        <w:rPr>
          <w:rStyle w:val="FootnoteReference"/>
          <w:sz w:val="16"/>
          <w:szCs w:val="16"/>
        </w:rPr>
        <w:footnoteRef/>
      </w:r>
      <w:r w:rsidRPr="00564EFC">
        <w:rPr>
          <w:sz w:val="16"/>
          <w:szCs w:val="16"/>
        </w:rPr>
        <w:t xml:space="preserve"> </w:t>
      </w:r>
      <w:r w:rsidR="001549ED" w:rsidRPr="00564EFC">
        <w:rPr>
          <w:sz w:val="16"/>
          <w:szCs w:val="16"/>
        </w:rPr>
        <w:t>Henry, A. (2024). A snapshot of Australian university responses to campus sexual violence. </w:t>
      </w:r>
      <w:r w:rsidR="001549ED" w:rsidRPr="00564EFC">
        <w:rPr>
          <w:i/>
          <w:iCs/>
          <w:sz w:val="16"/>
          <w:szCs w:val="16"/>
        </w:rPr>
        <w:t>Alternative Law Journal</w:t>
      </w:r>
      <w:r w:rsidR="001549ED" w:rsidRPr="00564EFC">
        <w:rPr>
          <w:sz w:val="16"/>
          <w:szCs w:val="16"/>
        </w:rPr>
        <w:t>, </w:t>
      </w:r>
      <w:r w:rsidR="001549ED" w:rsidRPr="00564EFC">
        <w:rPr>
          <w:i/>
          <w:iCs/>
          <w:sz w:val="16"/>
          <w:szCs w:val="16"/>
        </w:rPr>
        <w:t>49</w:t>
      </w:r>
      <w:r w:rsidR="001549ED" w:rsidRPr="00564EFC">
        <w:rPr>
          <w:sz w:val="16"/>
          <w:szCs w:val="16"/>
        </w:rPr>
        <w:t>(4), 262-268. </w:t>
      </w:r>
      <w:hyperlink r:id="rId59" w:history="1">
        <w:r w:rsidR="001549ED" w:rsidRPr="00564EFC">
          <w:rPr>
            <w:rStyle w:val="Hyperlink"/>
            <w:sz w:val="16"/>
            <w:szCs w:val="16"/>
          </w:rPr>
          <w:t>https://doi.org/10.1177/1037969X241284744</w:t>
        </w:r>
      </w:hyperlink>
      <w:r w:rsidR="001549ED" w:rsidRPr="00564EFC">
        <w:rPr>
          <w:sz w:val="16"/>
          <w:szCs w:val="16"/>
        </w:rPr>
        <w:t> (Original work published 2024)</w:t>
      </w:r>
    </w:p>
  </w:footnote>
  <w:footnote w:id="106">
    <w:p w14:paraId="5B9D4887" w14:textId="5F3B4C4B" w:rsidR="00490074" w:rsidRPr="00564EFC" w:rsidRDefault="00490074">
      <w:pPr>
        <w:pStyle w:val="FootnoteText"/>
        <w:rPr>
          <w:sz w:val="16"/>
          <w:szCs w:val="16"/>
        </w:rPr>
      </w:pPr>
      <w:r w:rsidRPr="00564EFC">
        <w:rPr>
          <w:rStyle w:val="FootnoteReference"/>
          <w:sz w:val="16"/>
          <w:szCs w:val="16"/>
        </w:rPr>
        <w:footnoteRef/>
      </w:r>
      <w:r w:rsidRPr="00564EFC">
        <w:rPr>
          <w:sz w:val="16"/>
          <w:szCs w:val="16"/>
        </w:rPr>
        <w:t xml:space="preserve"> </w:t>
      </w:r>
      <w:r w:rsidR="00897556" w:rsidRPr="00564EFC">
        <w:rPr>
          <w:sz w:val="16"/>
          <w:szCs w:val="16"/>
        </w:rPr>
        <w:t xml:space="preserve">Ibid. </w:t>
      </w:r>
    </w:p>
  </w:footnote>
  <w:footnote w:id="107">
    <w:p w14:paraId="2C43E082" w14:textId="481B96B2" w:rsidR="00490074" w:rsidRPr="00897556" w:rsidRDefault="00490074">
      <w:pPr>
        <w:pStyle w:val="FootnoteText"/>
        <w:rPr>
          <w:sz w:val="16"/>
          <w:szCs w:val="16"/>
        </w:rPr>
      </w:pPr>
      <w:r w:rsidRPr="00564EFC">
        <w:rPr>
          <w:rStyle w:val="FootnoteReference"/>
          <w:sz w:val="16"/>
          <w:szCs w:val="16"/>
        </w:rPr>
        <w:footnoteRef/>
      </w:r>
      <w:r w:rsidRPr="00564EFC">
        <w:rPr>
          <w:sz w:val="16"/>
          <w:szCs w:val="16"/>
        </w:rPr>
        <w:t xml:space="preserve"> </w:t>
      </w:r>
      <w:r w:rsidR="00897556" w:rsidRPr="00564EFC">
        <w:rPr>
          <w:sz w:val="16"/>
          <w:szCs w:val="16"/>
        </w:rPr>
        <w:t>Ibid.</w:t>
      </w:r>
      <w:r w:rsidR="00897556" w:rsidRPr="00DD4830">
        <w:rPr>
          <w:sz w:val="16"/>
          <w:szCs w:val="16"/>
        </w:rPr>
        <w:t xml:space="preserve"> </w:t>
      </w:r>
    </w:p>
  </w:footnote>
  <w:footnote w:id="108">
    <w:p w14:paraId="69DE0A81" w14:textId="3DFFCC65" w:rsidR="00490074" w:rsidRPr="00897556" w:rsidRDefault="00490074">
      <w:pPr>
        <w:pStyle w:val="FootnoteText"/>
        <w:rPr>
          <w:sz w:val="16"/>
          <w:szCs w:val="16"/>
        </w:rPr>
      </w:pPr>
      <w:r w:rsidRPr="00897556">
        <w:rPr>
          <w:rStyle w:val="FootnoteReference"/>
          <w:sz w:val="16"/>
          <w:szCs w:val="16"/>
        </w:rPr>
        <w:footnoteRef/>
      </w:r>
      <w:r w:rsidRPr="00897556">
        <w:rPr>
          <w:sz w:val="16"/>
          <w:szCs w:val="16"/>
        </w:rPr>
        <w:t xml:space="preserve"> </w:t>
      </w:r>
      <w:r w:rsidR="00897556" w:rsidRPr="00897556">
        <w:rPr>
          <w:sz w:val="16"/>
          <w:szCs w:val="16"/>
        </w:rPr>
        <w:t xml:space="preserve">Ibid. </w:t>
      </w:r>
    </w:p>
  </w:footnote>
  <w:footnote w:id="109">
    <w:p w14:paraId="2430A916" w14:textId="54556B8A" w:rsidR="00490074" w:rsidRPr="00B8000B" w:rsidRDefault="00490074">
      <w:pPr>
        <w:pStyle w:val="FootnoteText"/>
        <w:rPr>
          <w:sz w:val="16"/>
          <w:szCs w:val="16"/>
        </w:rPr>
      </w:pPr>
      <w:r w:rsidRPr="00897556">
        <w:rPr>
          <w:rStyle w:val="FootnoteReference"/>
          <w:sz w:val="16"/>
          <w:szCs w:val="16"/>
        </w:rPr>
        <w:footnoteRef/>
      </w:r>
      <w:r w:rsidRPr="00897556">
        <w:rPr>
          <w:sz w:val="16"/>
          <w:szCs w:val="16"/>
        </w:rPr>
        <w:t xml:space="preserve"> </w:t>
      </w:r>
      <w:r w:rsidR="00897556" w:rsidRPr="00897556">
        <w:rPr>
          <w:sz w:val="16"/>
          <w:szCs w:val="16"/>
        </w:rPr>
        <w:t>Ibid.</w:t>
      </w:r>
      <w:r w:rsidR="00897556">
        <w:rPr>
          <w:sz w:val="16"/>
          <w:szCs w:val="16"/>
        </w:rPr>
        <w:t xml:space="preserve"> </w:t>
      </w:r>
    </w:p>
  </w:footnote>
  <w:footnote w:id="110">
    <w:p w14:paraId="33B89C7F" w14:textId="01B4E431" w:rsidR="00A33A7F" w:rsidRDefault="00A33A7F" w:rsidP="00A33A7F">
      <w:pPr>
        <w:pStyle w:val="FootnoteText"/>
      </w:pPr>
      <w:r w:rsidRPr="00B8000B">
        <w:rPr>
          <w:rStyle w:val="FootnoteReference"/>
          <w:sz w:val="16"/>
          <w:szCs w:val="16"/>
        </w:rPr>
        <w:footnoteRef/>
      </w:r>
      <w:r w:rsidRPr="00B8000B">
        <w:rPr>
          <w:sz w:val="16"/>
          <w:szCs w:val="16"/>
        </w:rPr>
        <w:t xml:space="preserve"> </w:t>
      </w:r>
      <w:r w:rsidR="00924B26" w:rsidRPr="00924B26">
        <w:rPr>
          <w:sz w:val="16"/>
          <w:szCs w:val="16"/>
        </w:rPr>
        <w:t xml:space="preserve">National Tertiary Education Union. (2023). Sexual harassment survey report. </w:t>
      </w:r>
      <w:hyperlink r:id="rId60" w:history="1">
        <w:r w:rsidR="00924B26" w:rsidRPr="00924B26">
          <w:rPr>
            <w:rStyle w:val="Hyperlink"/>
            <w:sz w:val="16"/>
            <w:szCs w:val="16"/>
          </w:rPr>
          <w:t>https://www.nteu.au/News_Articles/Media_Releases/Sexual_Harassment_Survey_Report.aspx</w:t>
        </w:r>
      </w:hyperlink>
    </w:p>
  </w:footnote>
  <w:footnote w:id="111">
    <w:p w14:paraId="031E7768" w14:textId="7B7C614B" w:rsidR="00E8541C" w:rsidRDefault="00E8541C">
      <w:pPr>
        <w:pStyle w:val="FootnoteText"/>
      </w:pPr>
      <w:r>
        <w:rPr>
          <w:rStyle w:val="FootnoteReference"/>
        </w:rPr>
        <w:footnoteRef/>
      </w:r>
      <w:r>
        <w:t xml:space="preserve"> </w:t>
      </w:r>
      <w:r w:rsidRPr="00DD4830">
        <w:rPr>
          <w:sz w:val="16"/>
          <w:szCs w:val="16"/>
        </w:rPr>
        <w:t xml:space="preserve">Australian Human Rights Commission. (2017). Change the course: National report on sexual assault and sexual harassment at Australian universities. </w:t>
      </w:r>
      <w:hyperlink r:id="rId61" w:history="1">
        <w:r w:rsidRPr="00DD4830">
          <w:rPr>
            <w:rStyle w:val="Hyperlink"/>
            <w:sz w:val="16"/>
            <w:szCs w:val="16"/>
          </w:rPr>
          <w:t>https://humanrights.gov.au/our-work/sex-discrimination/publications/change-course-national-report-sexual-assault-and</w:t>
        </w:r>
      </w:hyperlink>
    </w:p>
  </w:footnote>
  <w:footnote w:id="112">
    <w:p w14:paraId="7F7735F7" w14:textId="094BD85B" w:rsidR="00A84602" w:rsidRPr="00DD4830" w:rsidRDefault="00A84602">
      <w:pPr>
        <w:pStyle w:val="FootnoteText"/>
        <w:rPr>
          <w:sz w:val="16"/>
          <w:szCs w:val="16"/>
        </w:rPr>
      </w:pPr>
      <w:r w:rsidRPr="00DD4830">
        <w:rPr>
          <w:rStyle w:val="FootnoteReference"/>
          <w:sz w:val="16"/>
          <w:szCs w:val="16"/>
        </w:rPr>
        <w:footnoteRef/>
      </w:r>
      <w:r w:rsidRPr="00DD4830">
        <w:rPr>
          <w:sz w:val="16"/>
          <w:szCs w:val="16"/>
        </w:rPr>
        <w:t xml:space="preserve"> L</w:t>
      </w:r>
      <w:r w:rsidR="00682CDF" w:rsidRPr="00DD4830">
        <w:rPr>
          <w:sz w:val="16"/>
          <w:szCs w:val="16"/>
        </w:rPr>
        <w:t>umby, C. (2017)</w:t>
      </w:r>
      <w:r w:rsidR="0029087E" w:rsidRPr="00DD4830">
        <w:rPr>
          <w:sz w:val="16"/>
          <w:szCs w:val="16"/>
        </w:rPr>
        <w:t>.</w:t>
      </w:r>
      <w:r w:rsidR="00682CDF" w:rsidRPr="00DD4830">
        <w:rPr>
          <w:sz w:val="16"/>
          <w:szCs w:val="16"/>
        </w:rPr>
        <w:t xml:space="preserve"> Connect</w:t>
      </w:r>
      <w:r w:rsidR="0029087E" w:rsidRPr="00DD4830">
        <w:rPr>
          <w:sz w:val="16"/>
          <w:szCs w:val="16"/>
        </w:rPr>
        <w:t xml:space="preserve">ing the dots: Understanding sexual assault in university communities. End Rape </w:t>
      </w:r>
      <w:r w:rsidR="00E35E67" w:rsidRPr="00DD4830">
        <w:rPr>
          <w:sz w:val="16"/>
          <w:szCs w:val="16"/>
        </w:rPr>
        <w:t xml:space="preserve">on Campus Australia. </w:t>
      </w:r>
    </w:p>
  </w:footnote>
  <w:footnote w:id="113">
    <w:p w14:paraId="0F534B46" w14:textId="4AA6C214" w:rsidR="009A2D80" w:rsidRDefault="009A2D80">
      <w:pPr>
        <w:pStyle w:val="FootnoteText"/>
      </w:pPr>
      <w:r w:rsidRPr="00DD4830">
        <w:rPr>
          <w:rStyle w:val="FootnoteReference"/>
          <w:sz w:val="16"/>
          <w:szCs w:val="16"/>
        </w:rPr>
        <w:footnoteRef/>
      </w:r>
      <w:r w:rsidRPr="00DD4830">
        <w:rPr>
          <w:sz w:val="16"/>
          <w:szCs w:val="16"/>
        </w:rPr>
        <w:t xml:space="preserve"> Funnell, N., Hush, A., Bremner, S., &amp; Lumby, C. (2018). </w:t>
      </w:r>
      <w:r w:rsidRPr="00DD4830">
        <w:rPr>
          <w:i/>
          <w:iCs/>
          <w:sz w:val="16"/>
          <w:szCs w:val="16"/>
        </w:rPr>
        <w:t>The Red Zone Report 2018</w:t>
      </w:r>
      <w:r w:rsidRPr="00DD4830">
        <w:rPr>
          <w:sz w:val="16"/>
          <w:szCs w:val="16"/>
        </w:rPr>
        <w:t>. End Rape on Campus.</w:t>
      </w:r>
    </w:p>
  </w:footnote>
  <w:footnote w:id="114">
    <w:p w14:paraId="0CF4E80B" w14:textId="100B2FAA" w:rsidR="004B7323" w:rsidRPr="00DD4830" w:rsidRDefault="004B7323">
      <w:pPr>
        <w:pStyle w:val="FootnoteText"/>
        <w:rPr>
          <w:sz w:val="16"/>
          <w:szCs w:val="16"/>
        </w:rPr>
      </w:pPr>
      <w:r w:rsidRPr="00DD4830">
        <w:rPr>
          <w:rStyle w:val="FootnoteReference"/>
          <w:sz w:val="16"/>
          <w:szCs w:val="16"/>
        </w:rPr>
        <w:footnoteRef/>
      </w:r>
      <w:r w:rsidRPr="00DD4830">
        <w:rPr>
          <w:sz w:val="16"/>
          <w:szCs w:val="16"/>
        </w:rPr>
        <w:t xml:space="preserve"> Schloeffel, C. (</w:t>
      </w:r>
      <w:r w:rsidR="00313767" w:rsidRPr="00DD4830">
        <w:rPr>
          <w:sz w:val="16"/>
          <w:szCs w:val="16"/>
        </w:rPr>
        <w:t>2023). Combative to Collaborative</w:t>
      </w:r>
      <w:r w:rsidR="00D57913" w:rsidRPr="00DD4830">
        <w:rPr>
          <w:sz w:val="16"/>
          <w:szCs w:val="16"/>
        </w:rPr>
        <w:t xml:space="preserve">: International Perspectives </w:t>
      </w:r>
      <w:r w:rsidR="004A57BC" w:rsidRPr="00DD4830">
        <w:rPr>
          <w:sz w:val="16"/>
          <w:szCs w:val="16"/>
        </w:rPr>
        <w:t xml:space="preserve">on Preventing Sexual Violence at Australian Universities. </w:t>
      </w:r>
    </w:p>
  </w:footnote>
  <w:footnote w:id="115">
    <w:p w14:paraId="6207B92A" w14:textId="169FDAE3" w:rsidR="00374E2E" w:rsidRPr="00C46CE8" w:rsidRDefault="00374E2E">
      <w:pPr>
        <w:pStyle w:val="FootnoteText"/>
        <w:rPr>
          <w:sz w:val="16"/>
          <w:szCs w:val="16"/>
        </w:rPr>
      </w:pPr>
      <w:r w:rsidRPr="00C46CE8">
        <w:rPr>
          <w:rStyle w:val="FootnoteReference"/>
          <w:sz w:val="16"/>
          <w:szCs w:val="16"/>
        </w:rPr>
        <w:footnoteRef/>
      </w:r>
      <w:r w:rsidRPr="00C46CE8">
        <w:rPr>
          <w:sz w:val="16"/>
          <w:szCs w:val="16"/>
        </w:rPr>
        <w:t xml:space="preserve"> </w:t>
      </w:r>
      <w:r w:rsidR="00AF09B0">
        <w:rPr>
          <w:sz w:val="16"/>
          <w:szCs w:val="16"/>
        </w:rPr>
        <w:t xml:space="preserve">Commonwealth of Australia (Department of Social Services). (2022) </w:t>
      </w:r>
      <w:r w:rsidRPr="00C46CE8">
        <w:rPr>
          <w:sz w:val="16"/>
          <w:szCs w:val="16"/>
        </w:rPr>
        <w:t>National Plan to End Violence against Women and Children 2022-2032</w:t>
      </w:r>
      <w:r w:rsidR="00AF09B0">
        <w:rPr>
          <w:sz w:val="16"/>
          <w:szCs w:val="16"/>
        </w:rPr>
        <w:t xml:space="preserve">. </w:t>
      </w:r>
      <w:hyperlink r:id="rId62" w:history="1">
        <w:r w:rsidR="003A2405" w:rsidRPr="00FB76C7">
          <w:rPr>
            <w:rStyle w:val="Hyperlink"/>
            <w:sz w:val="16"/>
            <w:szCs w:val="16"/>
          </w:rPr>
          <w:t>https://www.dss.gov.au/system/files/resources/national-plan-end-violence-against-women-and-children-2022-2032.pdf</w:t>
        </w:r>
      </w:hyperlink>
      <w:r w:rsidR="003A2405">
        <w:rPr>
          <w:sz w:val="16"/>
          <w:szCs w:val="16"/>
        </w:rPr>
        <w:t xml:space="preserve"> </w:t>
      </w:r>
    </w:p>
  </w:footnote>
  <w:footnote w:id="116">
    <w:p w14:paraId="60A7877C" w14:textId="713E8C41" w:rsidR="00272514" w:rsidRPr="006B296A" w:rsidRDefault="00272514" w:rsidP="00C46CE8">
      <w:pPr>
        <w:pStyle w:val="FootnoteText"/>
        <w:rPr>
          <w:sz w:val="16"/>
          <w:szCs w:val="16"/>
        </w:rPr>
      </w:pPr>
      <w:r w:rsidRPr="006B296A">
        <w:rPr>
          <w:rStyle w:val="FootnoteReference"/>
          <w:sz w:val="16"/>
          <w:szCs w:val="16"/>
        </w:rPr>
        <w:footnoteRef/>
      </w:r>
      <w:r w:rsidRPr="006B296A">
        <w:rPr>
          <w:sz w:val="16"/>
          <w:szCs w:val="16"/>
        </w:rPr>
        <w:t xml:space="preserve"> </w:t>
      </w:r>
      <w:r w:rsidR="00C46CE8" w:rsidRPr="006B296A">
        <w:rPr>
          <w:sz w:val="16"/>
          <w:szCs w:val="16"/>
        </w:rPr>
        <w:t xml:space="preserve">Australian Human Rights Commission. (2020). Respect@Work: Sexual Harassment National Inquiry Report. </w:t>
      </w:r>
      <w:hyperlink r:id="rId63" w:history="1">
        <w:r w:rsidR="003A2405" w:rsidRPr="00FB76C7">
          <w:rPr>
            <w:rStyle w:val="Hyperlink"/>
            <w:sz w:val="16"/>
            <w:szCs w:val="16"/>
          </w:rPr>
          <w:t>https://humanrights.gov.au/our-work/sex-discrimination/publications/respectwork-sexual-harassment-national-inquiry-report-2020</w:t>
        </w:r>
      </w:hyperlink>
      <w:r w:rsidR="003A2405">
        <w:rPr>
          <w:sz w:val="16"/>
          <w:szCs w:val="16"/>
        </w:rPr>
        <w:t xml:space="preserve"> </w:t>
      </w:r>
    </w:p>
  </w:footnote>
  <w:footnote w:id="117">
    <w:p w14:paraId="0AD6B47C" w14:textId="585F685D" w:rsidR="00C1357F" w:rsidRPr="006B296A" w:rsidRDefault="00C1357F">
      <w:pPr>
        <w:pStyle w:val="FootnoteText"/>
        <w:rPr>
          <w:sz w:val="16"/>
          <w:szCs w:val="16"/>
        </w:rPr>
      </w:pPr>
      <w:r w:rsidRPr="006B296A">
        <w:rPr>
          <w:rStyle w:val="FootnoteReference"/>
          <w:sz w:val="16"/>
          <w:szCs w:val="16"/>
        </w:rPr>
        <w:footnoteRef/>
      </w:r>
      <w:r w:rsidRPr="006B296A">
        <w:rPr>
          <w:sz w:val="16"/>
          <w:szCs w:val="16"/>
        </w:rPr>
        <w:t xml:space="preserve"> </w:t>
      </w:r>
      <w:r w:rsidR="00307D57" w:rsidRPr="006B296A">
        <w:rPr>
          <w:sz w:val="16"/>
          <w:szCs w:val="16"/>
        </w:rPr>
        <w:t xml:space="preserve">Department of Education. 2022. “Higher Education Loan Program (HELP).” Australian Government. 2022. </w:t>
      </w:r>
      <w:hyperlink r:id="rId64" w:history="1">
        <w:r w:rsidR="003A2405" w:rsidRPr="00FB76C7">
          <w:rPr>
            <w:rStyle w:val="Hyperlink"/>
            <w:sz w:val="16"/>
            <w:szCs w:val="16"/>
          </w:rPr>
          <w:t>https://www.education.gov.au/higher-education-loan-program</w:t>
        </w:r>
      </w:hyperlink>
      <w:r w:rsidR="00307D57" w:rsidRPr="006B296A">
        <w:rPr>
          <w:sz w:val="16"/>
          <w:szCs w:val="16"/>
        </w:rPr>
        <w:t>.</w:t>
      </w:r>
      <w:r w:rsidR="003A2405">
        <w:rPr>
          <w:sz w:val="16"/>
          <w:szCs w:val="16"/>
        </w:rPr>
        <w:t xml:space="preserve"> </w:t>
      </w:r>
    </w:p>
  </w:footnote>
  <w:footnote w:id="118">
    <w:p w14:paraId="0DF30A12" w14:textId="07978464" w:rsidR="00F373DC" w:rsidRDefault="00F373DC" w:rsidP="00F373DC">
      <w:pPr>
        <w:pStyle w:val="FootnoteText"/>
      </w:pPr>
      <w:r w:rsidRPr="006B296A">
        <w:rPr>
          <w:rStyle w:val="FootnoteReference"/>
          <w:sz w:val="16"/>
          <w:szCs w:val="16"/>
        </w:rPr>
        <w:footnoteRef/>
      </w:r>
      <w:r w:rsidRPr="006B296A">
        <w:rPr>
          <w:sz w:val="16"/>
          <w:szCs w:val="16"/>
        </w:rPr>
        <w:t xml:space="preserve"> Australian Human Rights Commission. 2020. Respect@Work: Sexual Harassment National Inquiry Report (2020).</w:t>
      </w:r>
    </w:p>
  </w:footnote>
  <w:footnote w:id="119">
    <w:p w14:paraId="203BFC15" w14:textId="77777777" w:rsidR="00F4283F" w:rsidRPr="001F64DA" w:rsidRDefault="00F4283F" w:rsidP="00F4283F">
      <w:pPr>
        <w:pStyle w:val="FootnoteText"/>
        <w:rPr>
          <w:sz w:val="16"/>
          <w:szCs w:val="16"/>
        </w:rPr>
      </w:pPr>
      <w:r w:rsidRPr="001F64DA">
        <w:rPr>
          <w:rStyle w:val="FootnoteReference"/>
          <w:sz w:val="16"/>
          <w:szCs w:val="16"/>
        </w:rPr>
        <w:footnoteRef/>
      </w:r>
      <w:r w:rsidRPr="001F64DA">
        <w:rPr>
          <w:sz w:val="16"/>
          <w:szCs w:val="16"/>
        </w:rPr>
        <w:t xml:space="preserve"> Australia’s National Research Organisation for Women’s Safety. (2024). Evaluation of the Respect@Work Council: Key findings [Fact sheet]. ANROWS.</w:t>
      </w:r>
    </w:p>
  </w:footnote>
  <w:footnote w:id="120">
    <w:p w14:paraId="3842621C" w14:textId="2324030E" w:rsidR="00F4283F" w:rsidRDefault="00F4283F" w:rsidP="00F4283F">
      <w:pPr>
        <w:pStyle w:val="FootnoteText"/>
      </w:pPr>
      <w:r w:rsidRPr="001F64DA">
        <w:rPr>
          <w:rStyle w:val="FootnoteReference"/>
          <w:sz w:val="16"/>
          <w:szCs w:val="16"/>
        </w:rPr>
        <w:footnoteRef/>
      </w:r>
      <w:r w:rsidRPr="001F64DA">
        <w:rPr>
          <w:sz w:val="16"/>
          <w:szCs w:val="16"/>
        </w:rPr>
        <w:t xml:space="preserve"> Allen + Clarke Consulting</w:t>
      </w:r>
      <w:r w:rsidR="009D0E93">
        <w:rPr>
          <w:sz w:val="16"/>
          <w:szCs w:val="16"/>
        </w:rPr>
        <w:t>.</w:t>
      </w:r>
      <w:r w:rsidRPr="001F64DA">
        <w:rPr>
          <w:sz w:val="16"/>
          <w:szCs w:val="16"/>
        </w:rPr>
        <w:t xml:space="preserve"> (2022). </w:t>
      </w:r>
      <w:r w:rsidRPr="00B30954">
        <w:rPr>
          <w:i/>
          <w:iCs/>
          <w:sz w:val="16"/>
          <w:szCs w:val="16"/>
        </w:rPr>
        <w:t>Workplace Gender Audit Evaluation.</w:t>
      </w:r>
      <w:r w:rsidRPr="001F64DA">
        <w:rPr>
          <w:sz w:val="16"/>
          <w:szCs w:val="16"/>
        </w:rPr>
        <w:t xml:space="preserve"> Commission for Gender Equality in the Public Sector.</w:t>
      </w:r>
    </w:p>
  </w:footnote>
  <w:footnote w:id="121">
    <w:p w14:paraId="728B7937" w14:textId="2D24844F" w:rsidR="00AF580F" w:rsidRPr="004676D4" w:rsidRDefault="00F4283F" w:rsidP="00F4283F">
      <w:pPr>
        <w:pStyle w:val="FootnoteText"/>
        <w:rPr>
          <w:sz w:val="16"/>
          <w:szCs w:val="16"/>
        </w:rPr>
      </w:pPr>
      <w:r w:rsidRPr="004676D4">
        <w:rPr>
          <w:rStyle w:val="FootnoteReference"/>
          <w:sz w:val="16"/>
          <w:szCs w:val="16"/>
        </w:rPr>
        <w:footnoteRef/>
      </w:r>
      <w:r w:rsidRPr="004676D4">
        <w:rPr>
          <w:sz w:val="16"/>
          <w:szCs w:val="16"/>
        </w:rPr>
        <w:t xml:space="preserve"> </w:t>
      </w:r>
      <w:r w:rsidR="00AF580F" w:rsidRPr="004676D4">
        <w:rPr>
          <w:sz w:val="16"/>
          <w:szCs w:val="16"/>
        </w:rPr>
        <w:t xml:space="preserve">SafeWork NSW. (2024). </w:t>
      </w:r>
      <w:r w:rsidRPr="004676D4">
        <w:rPr>
          <w:sz w:val="16"/>
          <w:szCs w:val="16"/>
        </w:rPr>
        <w:t xml:space="preserve">Sexual and gender-based harassment: </w:t>
      </w:r>
      <w:r w:rsidR="008743F1" w:rsidRPr="004676D4">
        <w:rPr>
          <w:sz w:val="16"/>
          <w:szCs w:val="16"/>
        </w:rPr>
        <w:t>National Code</w:t>
      </w:r>
      <w:r w:rsidRPr="004676D4">
        <w:rPr>
          <w:sz w:val="16"/>
          <w:szCs w:val="16"/>
        </w:rPr>
        <w:t xml:space="preserve"> of Practic</w:t>
      </w:r>
      <w:r w:rsidR="00AF580F" w:rsidRPr="004676D4">
        <w:rPr>
          <w:sz w:val="16"/>
          <w:szCs w:val="16"/>
        </w:rPr>
        <w:t xml:space="preserve">e. </w:t>
      </w:r>
      <w:r w:rsidRPr="004676D4">
        <w:rPr>
          <w:sz w:val="16"/>
          <w:szCs w:val="16"/>
        </w:rPr>
        <w:t>(</w:t>
      </w:r>
      <w:hyperlink r:id="rId65" w:history="1">
        <w:r w:rsidR="00AF580F" w:rsidRPr="004676D4">
          <w:rPr>
            <w:rStyle w:val="Hyperlink"/>
            <w:sz w:val="16"/>
            <w:szCs w:val="16"/>
          </w:rPr>
          <w:t>https://www.safework.nsw.gov.au/__data/assets/pdf_file/0010/1310131/National Code-of-Practice-Sexual-and-gender-based-harassment.pdf</w:t>
        </w:r>
      </w:hyperlink>
      <w:r w:rsidRPr="004676D4">
        <w:rPr>
          <w:sz w:val="16"/>
          <w:szCs w:val="16"/>
        </w:rPr>
        <w:t>)</w:t>
      </w:r>
      <w:r w:rsidR="00AF580F" w:rsidRPr="004676D4">
        <w:rPr>
          <w:sz w:val="16"/>
          <w:szCs w:val="16"/>
        </w:rPr>
        <w:t xml:space="preserve">. </w:t>
      </w:r>
    </w:p>
    <w:p w14:paraId="601813C7" w14:textId="6CF4903B" w:rsidR="00E06E75" w:rsidRPr="004676D4" w:rsidRDefault="00AF580F" w:rsidP="00F4283F">
      <w:pPr>
        <w:pStyle w:val="FootnoteText"/>
        <w:rPr>
          <w:sz w:val="16"/>
          <w:szCs w:val="16"/>
        </w:rPr>
      </w:pPr>
      <w:r w:rsidRPr="004676D4">
        <w:rPr>
          <w:sz w:val="16"/>
          <w:szCs w:val="16"/>
        </w:rPr>
        <w:t xml:space="preserve">WorkSafe </w:t>
      </w:r>
      <w:r w:rsidR="00E06E75" w:rsidRPr="004676D4">
        <w:rPr>
          <w:sz w:val="16"/>
          <w:szCs w:val="16"/>
        </w:rPr>
        <w:t>Victoria</w:t>
      </w:r>
      <w:r w:rsidRPr="004676D4">
        <w:rPr>
          <w:sz w:val="16"/>
          <w:szCs w:val="16"/>
        </w:rPr>
        <w:t>. (2024)</w:t>
      </w:r>
      <w:r w:rsidR="00E06E75" w:rsidRPr="004676D4">
        <w:rPr>
          <w:sz w:val="16"/>
          <w:szCs w:val="16"/>
        </w:rPr>
        <w:t>.</w:t>
      </w:r>
      <w:r w:rsidRPr="004676D4">
        <w:rPr>
          <w:sz w:val="16"/>
          <w:szCs w:val="16"/>
        </w:rPr>
        <w:t xml:space="preserve"> </w:t>
      </w:r>
      <w:r w:rsidR="00E27FB9" w:rsidRPr="004676D4">
        <w:rPr>
          <w:sz w:val="16"/>
          <w:szCs w:val="16"/>
        </w:rPr>
        <w:t>A guide for employers: Work-related gendered violence including sexual harassment (2022). WorkSafe Victoria. (</w:t>
      </w:r>
      <w:hyperlink r:id="rId66" w:history="1">
        <w:r w:rsidR="00E27FB9" w:rsidRPr="004676D4">
          <w:rPr>
            <w:rStyle w:val="Hyperlink"/>
            <w:sz w:val="16"/>
            <w:szCs w:val="16"/>
          </w:rPr>
          <w:t>https://content-v2.api.worksafe.vic.gov.au/sites/default/files/2022-11/ISBN-Work-related-gendered-violence-including-sexual-harassment-2022-11.pdf</w:t>
        </w:r>
      </w:hyperlink>
      <w:r w:rsidR="00E27FB9" w:rsidRPr="004676D4">
        <w:rPr>
          <w:sz w:val="16"/>
          <w:szCs w:val="16"/>
        </w:rPr>
        <w:t xml:space="preserve">); </w:t>
      </w:r>
    </w:p>
    <w:p w14:paraId="77A82AD2" w14:textId="37CF86EE" w:rsidR="000C1C59" w:rsidRPr="004676D4" w:rsidRDefault="007C7F80" w:rsidP="007C7F80">
      <w:pPr>
        <w:pStyle w:val="FootnoteText"/>
        <w:rPr>
          <w:sz w:val="16"/>
          <w:szCs w:val="16"/>
        </w:rPr>
      </w:pPr>
      <w:r w:rsidRPr="004676D4">
        <w:rPr>
          <w:sz w:val="16"/>
          <w:szCs w:val="16"/>
        </w:rPr>
        <w:t>WorkSafe WA. (2024). S</w:t>
      </w:r>
      <w:r w:rsidR="00E27FB9" w:rsidRPr="004676D4">
        <w:rPr>
          <w:sz w:val="16"/>
          <w:szCs w:val="16"/>
        </w:rPr>
        <w:t>exual harassment at work</w:t>
      </w:r>
      <w:r w:rsidRPr="004676D4">
        <w:rPr>
          <w:sz w:val="16"/>
          <w:szCs w:val="16"/>
        </w:rPr>
        <w:t xml:space="preserve">. </w:t>
      </w:r>
      <w:hyperlink r:id="rId67" w:history="1">
        <w:r w:rsidR="000C1C59" w:rsidRPr="004676D4">
          <w:rPr>
            <w:rStyle w:val="Hyperlink"/>
            <w:sz w:val="16"/>
            <w:szCs w:val="16"/>
          </w:rPr>
          <w:t>https://www.worksafe.wa.gov.au/system/files/migrated/sites/default/files/atoms/files/241244_br_sexual_harassment_at_work.pdf</w:t>
        </w:r>
      </w:hyperlink>
      <w:r w:rsidR="000C1C59" w:rsidRPr="004676D4">
        <w:rPr>
          <w:sz w:val="16"/>
          <w:szCs w:val="16"/>
        </w:rPr>
        <w:t xml:space="preserve"> </w:t>
      </w:r>
    </w:p>
  </w:footnote>
  <w:footnote w:id="122">
    <w:p w14:paraId="716F2DAD" w14:textId="32877620" w:rsidR="00C91E0B" w:rsidRPr="00EB2DBB" w:rsidRDefault="0029176C" w:rsidP="0029176C">
      <w:pPr>
        <w:pStyle w:val="FootnoteText"/>
        <w:rPr>
          <w:sz w:val="16"/>
          <w:szCs w:val="16"/>
        </w:rPr>
      </w:pPr>
      <w:r w:rsidRPr="004676D4">
        <w:rPr>
          <w:rStyle w:val="FootnoteReference"/>
          <w:sz w:val="16"/>
          <w:szCs w:val="16"/>
        </w:rPr>
        <w:footnoteRef/>
      </w:r>
      <w:r w:rsidRPr="004676D4">
        <w:rPr>
          <w:sz w:val="16"/>
          <w:szCs w:val="16"/>
        </w:rPr>
        <w:t xml:space="preserve"> </w:t>
      </w:r>
      <w:r w:rsidR="007469C8" w:rsidRPr="004676D4">
        <w:rPr>
          <w:sz w:val="16"/>
          <w:szCs w:val="16"/>
        </w:rPr>
        <w:t xml:space="preserve">Department of Education and Youth, Government of Ireland. (2020). </w:t>
      </w:r>
      <w:r w:rsidRPr="004676D4">
        <w:rPr>
          <w:sz w:val="16"/>
          <w:szCs w:val="16"/>
        </w:rPr>
        <w:t xml:space="preserve">Framework for Consent in Higher Education Institutions: Safe, Respectful, Supportive and Positive – Ending Sexual Violence and Harassment in Irish Higher Education </w:t>
      </w:r>
      <w:r w:rsidR="0034018A" w:rsidRPr="004676D4">
        <w:rPr>
          <w:sz w:val="16"/>
          <w:szCs w:val="16"/>
        </w:rPr>
        <w:t xml:space="preserve">Institutions. </w:t>
      </w:r>
      <w:hyperlink r:id="rId68" w:history="1">
        <w:r w:rsidR="0034018A" w:rsidRPr="004676D4">
          <w:rPr>
            <w:rStyle w:val="Hyperlink"/>
            <w:sz w:val="16"/>
            <w:szCs w:val="16"/>
          </w:rPr>
          <w:t>https://www.gov.ie/en/department-of-education/publications/framework-for-consent-in-higher-education-institutions-safe-respectful-supportive-and-positive-ending-sexual-violence-and-harassment-in-irish-higher-education-institutions/</w:t>
        </w:r>
      </w:hyperlink>
      <w:r w:rsidR="00C91E0B" w:rsidRPr="00EB2DBB">
        <w:rPr>
          <w:sz w:val="16"/>
          <w:szCs w:val="16"/>
        </w:rPr>
        <w:t xml:space="preserve"> </w:t>
      </w:r>
    </w:p>
  </w:footnote>
  <w:footnote w:id="123">
    <w:p w14:paraId="53360ABC" w14:textId="43901D08" w:rsidR="00021369" w:rsidRDefault="0029176C" w:rsidP="0029176C">
      <w:pPr>
        <w:pStyle w:val="FootnoteText"/>
      </w:pPr>
      <w:r w:rsidRPr="00EB2DBB">
        <w:rPr>
          <w:rStyle w:val="FootnoteReference"/>
          <w:sz w:val="16"/>
          <w:szCs w:val="16"/>
        </w:rPr>
        <w:footnoteRef/>
      </w:r>
      <w:r w:rsidR="00C91E0B" w:rsidRPr="00EB2DBB">
        <w:rPr>
          <w:sz w:val="16"/>
          <w:szCs w:val="16"/>
        </w:rPr>
        <w:t xml:space="preserve"> Office for Students,</w:t>
      </w:r>
      <w:r w:rsidRPr="00EB2DBB">
        <w:rPr>
          <w:sz w:val="16"/>
          <w:szCs w:val="16"/>
        </w:rPr>
        <w:t xml:space="preserve"> </w:t>
      </w:r>
      <w:r w:rsidR="00C91E0B" w:rsidRPr="00EB2DBB">
        <w:rPr>
          <w:sz w:val="16"/>
          <w:szCs w:val="16"/>
        </w:rPr>
        <w:t xml:space="preserve">Department of Education, United Kingdom Government (2021). </w:t>
      </w:r>
      <w:r w:rsidRPr="00EB2DBB">
        <w:rPr>
          <w:sz w:val="16"/>
          <w:szCs w:val="16"/>
        </w:rPr>
        <w:t>Statement of expectations for preventing and addressing harassment in sexual misconduct affecting students in higher education</w:t>
      </w:r>
      <w:r w:rsidR="00021369" w:rsidRPr="00EB2DBB">
        <w:rPr>
          <w:sz w:val="16"/>
          <w:szCs w:val="16"/>
        </w:rPr>
        <w:t xml:space="preserve">. </w:t>
      </w:r>
      <w:hyperlink r:id="rId69" w:history="1">
        <w:r w:rsidR="00021369" w:rsidRPr="00EB2DBB">
          <w:rPr>
            <w:rStyle w:val="Hyperlink"/>
            <w:sz w:val="16"/>
            <w:szCs w:val="16"/>
          </w:rPr>
          <w:t>https://www.officeforstudents.org.uk/media/d4ef58c0-db7c-4fc2-9fae-fcb94b38a7f3/ofs-statement-of-expectations-harassment-and-sexual-misconduct.pdf</w:t>
        </w:r>
      </w:hyperlink>
    </w:p>
  </w:footnote>
  <w:footnote w:id="124">
    <w:p w14:paraId="01812DEC" w14:textId="742F6FB6" w:rsidR="00757EEE" w:rsidRDefault="00757EEE">
      <w:pPr>
        <w:pStyle w:val="FootnoteText"/>
      </w:pPr>
      <w:r>
        <w:rPr>
          <w:rStyle w:val="FootnoteReference"/>
        </w:rPr>
        <w:footnoteRef/>
      </w:r>
      <w:r>
        <w:t xml:space="preserve"> </w:t>
      </w:r>
      <w:r w:rsidRPr="006676C8">
        <w:rPr>
          <w:sz w:val="16"/>
          <w:szCs w:val="16"/>
        </w:rPr>
        <w:t>Albert, Katelin. Perry, Nell. (2024). ‘Provincial policies on campus sexual violence are inconsistent across Canada. (https://theconversation.com/provincial-policies-on-campus-sexual-violence-are-inconsistent-across-canada-218214)</w:t>
      </w:r>
    </w:p>
  </w:footnote>
  <w:footnote w:id="125">
    <w:p w14:paraId="21204CFE" w14:textId="64C5E576" w:rsidR="009B0D2F" w:rsidRPr="006676C8" w:rsidRDefault="009B0D2F">
      <w:pPr>
        <w:pStyle w:val="FootnoteText"/>
        <w:rPr>
          <w:sz w:val="16"/>
          <w:szCs w:val="16"/>
        </w:rPr>
      </w:pPr>
      <w:r w:rsidRPr="006676C8">
        <w:rPr>
          <w:rStyle w:val="FootnoteReference"/>
          <w:sz w:val="16"/>
          <w:szCs w:val="16"/>
        </w:rPr>
        <w:footnoteRef/>
      </w:r>
      <w:r w:rsidRPr="006676C8">
        <w:rPr>
          <w:sz w:val="16"/>
          <w:szCs w:val="16"/>
        </w:rPr>
        <w:t xml:space="preserve"> </w:t>
      </w:r>
      <w:r w:rsidR="00757EEE">
        <w:rPr>
          <w:sz w:val="16"/>
          <w:szCs w:val="16"/>
        </w:rPr>
        <w:t xml:space="preserve">Ibid. </w:t>
      </w:r>
    </w:p>
  </w:footnote>
  <w:footnote w:id="126">
    <w:p w14:paraId="580DF661" w14:textId="1B39E0B3" w:rsidR="00910A34" w:rsidRDefault="00910A34">
      <w:pPr>
        <w:pStyle w:val="FootnoteText"/>
      </w:pPr>
      <w:r w:rsidRPr="003123A1">
        <w:rPr>
          <w:rStyle w:val="FootnoteReference"/>
          <w:sz w:val="16"/>
          <w:szCs w:val="16"/>
        </w:rPr>
        <w:footnoteRef/>
      </w:r>
      <w:r w:rsidRPr="003123A1">
        <w:rPr>
          <w:sz w:val="16"/>
          <w:szCs w:val="16"/>
        </w:rPr>
        <w:t xml:space="preserve"> </w:t>
      </w:r>
      <w:r w:rsidR="005F0DA6" w:rsidRPr="003123A1">
        <w:rPr>
          <w:sz w:val="16"/>
          <w:szCs w:val="16"/>
        </w:rPr>
        <w:t xml:space="preserve">Commonwealth of Australia (Department of Education). (2024) </w:t>
      </w:r>
      <w:r w:rsidR="008E65FB" w:rsidRPr="003123A1">
        <w:rPr>
          <w:sz w:val="16"/>
          <w:szCs w:val="16"/>
        </w:rPr>
        <w:t xml:space="preserve">Action Plan Addressing Gender-based Violence </w:t>
      </w:r>
      <w:r w:rsidR="00160CC2" w:rsidRPr="003123A1">
        <w:rPr>
          <w:sz w:val="16"/>
          <w:szCs w:val="16"/>
        </w:rPr>
        <w:t>in</w:t>
      </w:r>
      <w:r w:rsidR="008E65FB" w:rsidRPr="003123A1">
        <w:rPr>
          <w:sz w:val="16"/>
          <w:szCs w:val="16"/>
        </w:rPr>
        <w:t xml:space="preserve"> </w:t>
      </w:r>
      <w:r w:rsidR="00160CC2" w:rsidRPr="003123A1">
        <w:rPr>
          <w:sz w:val="16"/>
          <w:szCs w:val="16"/>
        </w:rPr>
        <w:t>H</w:t>
      </w:r>
      <w:r w:rsidR="008E65FB" w:rsidRPr="003123A1">
        <w:rPr>
          <w:sz w:val="16"/>
          <w:szCs w:val="16"/>
        </w:rPr>
        <w:t>igher Education</w:t>
      </w:r>
      <w:r w:rsidR="00160CC2" w:rsidRPr="003123A1">
        <w:rPr>
          <w:sz w:val="16"/>
          <w:szCs w:val="16"/>
        </w:rPr>
        <w:t>. https://www.education.gov.au/action-plan-addressing-genderbased-violence-higher-education/resources/action-plan-addressing-genderbased-violence-higher-education</w:t>
      </w:r>
    </w:p>
  </w:footnote>
  <w:footnote w:id="127">
    <w:p w14:paraId="5BCBB822" w14:textId="5E297E4C" w:rsidR="007D7485" w:rsidRPr="00881A80" w:rsidRDefault="007D7485" w:rsidP="007D7485">
      <w:pPr>
        <w:pStyle w:val="FootnoteText"/>
        <w:rPr>
          <w:lang w:val="en-US"/>
        </w:rPr>
      </w:pPr>
      <w:r w:rsidRPr="00731031">
        <w:rPr>
          <w:rStyle w:val="FootnoteReference"/>
        </w:rPr>
        <w:footnoteRef/>
      </w:r>
      <w:r w:rsidRPr="00731031">
        <w:t xml:space="preserve"> </w:t>
      </w:r>
      <w:r w:rsidRPr="00FB0712">
        <w:rPr>
          <w:sz w:val="16"/>
          <w:szCs w:val="16"/>
        </w:rPr>
        <w:t xml:space="preserve">Increased reporting and therefore service utilisation may have implications for the existing workforce that currently works with people experiencing </w:t>
      </w:r>
      <w:r w:rsidR="00C20DA6" w:rsidRPr="00FB0712">
        <w:rPr>
          <w:sz w:val="16"/>
          <w:szCs w:val="16"/>
        </w:rPr>
        <w:t>GBV</w:t>
      </w:r>
      <w:r w:rsidRPr="00FB0712">
        <w:rPr>
          <w:sz w:val="16"/>
          <w:szCs w:val="16"/>
        </w:rPr>
        <w:t>. This may include specialist workforce as well as mainstream workforce such as general practitioners.</w:t>
      </w:r>
      <w:r w:rsidRPr="008014FC">
        <w:t xml:space="preserve"> </w:t>
      </w:r>
    </w:p>
  </w:footnote>
  <w:footnote w:id="128">
    <w:p w14:paraId="79383FAA" w14:textId="5EBBF48A" w:rsidR="0019753D" w:rsidRPr="006B296A" w:rsidRDefault="0019753D">
      <w:pPr>
        <w:pStyle w:val="FootnoteText"/>
        <w:rPr>
          <w:sz w:val="16"/>
          <w:szCs w:val="16"/>
        </w:rPr>
      </w:pPr>
      <w:r w:rsidRPr="006B296A">
        <w:rPr>
          <w:rStyle w:val="FootnoteReference"/>
          <w:sz w:val="16"/>
          <w:szCs w:val="16"/>
        </w:rPr>
        <w:footnoteRef/>
      </w:r>
      <w:r w:rsidR="000B46CC" w:rsidRPr="006B296A">
        <w:rPr>
          <w:sz w:val="16"/>
          <w:szCs w:val="16"/>
        </w:rPr>
        <w:t xml:space="preserve"> Australian Child Maltreatment Study </w:t>
      </w:r>
      <w:r w:rsidR="00E443F6" w:rsidRPr="006B296A">
        <w:rPr>
          <w:sz w:val="16"/>
          <w:szCs w:val="16"/>
        </w:rPr>
        <w:t>(</w:t>
      </w:r>
      <w:r w:rsidR="000B46CC" w:rsidRPr="006B296A">
        <w:rPr>
          <w:sz w:val="16"/>
          <w:szCs w:val="16"/>
        </w:rPr>
        <w:t>2023</w:t>
      </w:r>
      <w:r w:rsidR="00E443F6" w:rsidRPr="006B296A">
        <w:rPr>
          <w:sz w:val="16"/>
          <w:szCs w:val="16"/>
        </w:rPr>
        <w:t>). </w:t>
      </w:r>
      <w:r w:rsidR="00E443F6" w:rsidRPr="006B296A">
        <w:rPr>
          <w:i/>
          <w:iCs/>
          <w:sz w:val="16"/>
          <w:szCs w:val="16"/>
        </w:rPr>
        <w:t>Final Report</w:t>
      </w:r>
      <w:r w:rsidR="00E443F6" w:rsidRPr="006B296A">
        <w:rPr>
          <w:sz w:val="16"/>
          <w:szCs w:val="16"/>
        </w:rPr>
        <w:t>. Queensland University of Technology. Retrieved from https://www.acms.au</w:t>
      </w:r>
    </w:p>
  </w:footnote>
  <w:footnote w:id="129">
    <w:p w14:paraId="0D330D04" w14:textId="3DBE8F5C" w:rsidR="00CF68DA" w:rsidRPr="006B296A" w:rsidRDefault="00CF68DA">
      <w:pPr>
        <w:pStyle w:val="FootnoteText"/>
        <w:rPr>
          <w:sz w:val="16"/>
          <w:szCs w:val="16"/>
        </w:rPr>
      </w:pPr>
      <w:r w:rsidRPr="006B296A">
        <w:rPr>
          <w:rStyle w:val="FootnoteReference"/>
          <w:sz w:val="16"/>
          <w:szCs w:val="16"/>
        </w:rPr>
        <w:footnoteRef/>
      </w:r>
      <w:r w:rsidRPr="006B296A">
        <w:rPr>
          <w:sz w:val="16"/>
          <w:szCs w:val="16"/>
        </w:rPr>
        <w:t xml:space="preserve"> </w:t>
      </w:r>
      <w:r w:rsidR="00665DF1" w:rsidRPr="00665DF1">
        <w:rPr>
          <w:sz w:val="16"/>
          <w:szCs w:val="16"/>
        </w:rPr>
        <w:t>eSafety Commissioner. (2022). </w:t>
      </w:r>
      <w:r w:rsidR="00665DF1" w:rsidRPr="00665DF1">
        <w:rPr>
          <w:i/>
          <w:iCs/>
          <w:sz w:val="16"/>
          <w:szCs w:val="16"/>
        </w:rPr>
        <w:t>Adolescent encounters with online pornography</w:t>
      </w:r>
      <w:r w:rsidR="00665DF1" w:rsidRPr="00665DF1">
        <w:rPr>
          <w:sz w:val="16"/>
          <w:szCs w:val="16"/>
        </w:rPr>
        <w:t xml:space="preserve">. </w:t>
      </w:r>
      <w:hyperlink r:id="rId70" w:history="1">
        <w:r w:rsidR="001F2020" w:rsidRPr="001F2020">
          <w:rPr>
            <w:rStyle w:val="Hyperlink"/>
            <w:sz w:val="16"/>
            <w:szCs w:val="16"/>
          </w:rPr>
          <w:t>https://www.esafety.gov.au/research/adolescent-encounters-with-online-pornography</w:t>
        </w:r>
      </w:hyperlink>
      <w:r w:rsidR="00665DF1">
        <w:rPr>
          <w:sz w:val="16"/>
          <w:szCs w:val="16"/>
        </w:rPr>
        <w:t xml:space="preserve"> </w:t>
      </w:r>
    </w:p>
  </w:footnote>
  <w:footnote w:id="130">
    <w:p w14:paraId="5B1AA29D" w14:textId="528E82EE" w:rsidR="002A5D2A" w:rsidRDefault="002A5D2A">
      <w:pPr>
        <w:pStyle w:val="FootnoteText"/>
      </w:pPr>
      <w:r w:rsidRPr="006B296A">
        <w:rPr>
          <w:rStyle w:val="FootnoteReference"/>
          <w:sz w:val="16"/>
          <w:szCs w:val="16"/>
        </w:rPr>
        <w:footnoteRef/>
      </w:r>
      <w:r w:rsidRPr="006B296A">
        <w:rPr>
          <w:sz w:val="16"/>
          <w:szCs w:val="16"/>
        </w:rPr>
        <w:t xml:space="preserve"> </w:t>
      </w:r>
      <w:r w:rsidR="001F2020" w:rsidRPr="001F2020">
        <w:rPr>
          <w:sz w:val="16"/>
          <w:szCs w:val="16"/>
        </w:rPr>
        <w:t>eSafety Commissioner. (2025). </w:t>
      </w:r>
      <w:r w:rsidR="001F2020" w:rsidRPr="001F2020">
        <w:rPr>
          <w:i/>
          <w:iCs/>
          <w:sz w:val="16"/>
          <w:szCs w:val="16"/>
        </w:rPr>
        <w:t>Track, harass, repeat: Attitudes that normalise tech-based coercive control</w:t>
      </w:r>
      <w:r w:rsidR="001F2020" w:rsidRPr="001F2020">
        <w:rPr>
          <w:sz w:val="16"/>
          <w:szCs w:val="16"/>
        </w:rPr>
        <w:t xml:space="preserve">. </w:t>
      </w:r>
      <w:hyperlink r:id="rId71" w:history="1">
        <w:r w:rsidR="001F2020" w:rsidRPr="00FB76C7">
          <w:rPr>
            <w:rStyle w:val="Hyperlink"/>
            <w:sz w:val="16"/>
            <w:szCs w:val="16"/>
          </w:rPr>
          <w:t>https://www.esafety.gov.au/research/attitudes-that-normalise-tech-based-coercive-control</w:t>
        </w:r>
      </w:hyperlink>
      <w:r w:rsidR="001F2020">
        <w:rPr>
          <w:sz w:val="16"/>
          <w:szCs w:val="16"/>
        </w:rPr>
        <w:t xml:space="preserve"> </w:t>
      </w:r>
    </w:p>
  </w:footnote>
  <w:footnote w:id="131">
    <w:p w14:paraId="2F351EE8" w14:textId="6D03F25D" w:rsidR="00F12E1B" w:rsidRPr="00DD4830" w:rsidRDefault="00F12E1B" w:rsidP="00F12E1B">
      <w:pPr>
        <w:pStyle w:val="FootnoteText"/>
        <w:rPr>
          <w:sz w:val="16"/>
          <w:szCs w:val="16"/>
          <w:lang w:val="en-US"/>
        </w:rPr>
      </w:pPr>
      <w:r w:rsidRPr="00DD4830">
        <w:rPr>
          <w:rStyle w:val="FootnoteReference"/>
          <w:sz w:val="16"/>
          <w:szCs w:val="16"/>
        </w:rPr>
        <w:footnoteRef/>
      </w:r>
      <w:r w:rsidRPr="00DD4830">
        <w:rPr>
          <w:sz w:val="16"/>
          <w:szCs w:val="16"/>
        </w:rPr>
        <w:t xml:space="preserve"> </w:t>
      </w:r>
      <w:r w:rsidRPr="00DD4830">
        <w:rPr>
          <w:sz w:val="16"/>
          <w:szCs w:val="16"/>
          <w:lang w:val="en-US"/>
        </w:rPr>
        <w:t>Office of Impact Analysis</w:t>
      </w:r>
      <w:r w:rsidR="00F07F26">
        <w:rPr>
          <w:sz w:val="16"/>
          <w:szCs w:val="16"/>
          <w:lang w:val="en-US"/>
        </w:rPr>
        <w:t xml:space="preserve"> (2023)</w:t>
      </w:r>
      <w:r w:rsidR="009B50BE">
        <w:rPr>
          <w:sz w:val="16"/>
          <w:szCs w:val="16"/>
          <w:lang w:val="en-US"/>
        </w:rPr>
        <w:t>.</w:t>
      </w:r>
      <w:r w:rsidRPr="00DD4830">
        <w:rPr>
          <w:sz w:val="16"/>
          <w:szCs w:val="16"/>
          <w:lang w:val="en-US"/>
        </w:rPr>
        <w:t xml:space="preserve"> Australian Government Guide to Policy Impact Analysis</w:t>
      </w:r>
      <w:r w:rsidR="009B50BE">
        <w:rPr>
          <w:sz w:val="16"/>
          <w:szCs w:val="16"/>
          <w:lang w:val="en-US"/>
        </w:rPr>
        <w:t xml:space="preserve">. </w:t>
      </w:r>
    </w:p>
  </w:footnote>
  <w:footnote w:id="132">
    <w:p w14:paraId="23EF75F6" w14:textId="77777777" w:rsidR="00F12E1B" w:rsidRPr="00DD4830" w:rsidRDefault="00F12E1B" w:rsidP="00F12E1B">
      <w:pPr>
        <w:pStyle w:val="FootnoteText"/>
        <w:rPr>
          <w:sz w:val="16"/>
          <w:szCs w:val="16"/>
          <w:lang w:val="en-US"/>
        </w:rPr>
      </w:pPr>
      <w:r w:rsidRPr="00DD4830">
        <w:rPr>
          <w:rStyle w:val="FootnoteReference"/>
          <w:sz w:val="16"/>
          <w:szCs w:val="16"/>
        </w:rPr>
        <w:footnoteRef/>
      </w:r>
      <w:r w:rsidRPr="00DD4830">
        <w:rPr>
          <w:sz w:val="16"/>
          <w:szCs w:val="16"/>
        </w:rPr>
        <w:t xml:space="preserve"> </w:t>
      </w:r>
      <w:r w:rsidRPr="00DD4830">
        <w:rPr>
          <w:sz w:val="16"/>
          <w:szCs w:val="16"/>
          <w:lang w:val="en-US"/>
        </w:rPr>
        <w:t>Ibid.</w:t>
      </w:r>
    </w:p>
  </w:footnote>
  <w:footnote w:id="133">
    <w:p w14:paraId="348D2361" w14:textId="77777777" w:rsidR="00F12E1B" w:rsidRPr="00DD4830" w:rsidRDefault="00F12E1B" w:rsidP="00F12E1B">
      <w:pPr>
        <w:pStyle w:val="FootnoteText"/>
        <w:rPr>
          <w:sz w:val="16"/>
          <w:szCs w:val="16"/>
          <w:lang w:val="en-US"/>
        </w:rPr>
      </w:pPr>
      <w:r w:rsidRPr="00DD4830">
        <w:rPr>
          <w:rStyle w:val="FootnoteReference"/>
          <w:sz w:val="16"/>
          <w:szCs w:val="16"/>
        </w:rPr>
        <w:footnoteRef/>
      </w:r>
      <w:r w:rsidRPr="00DD4830">
        <w:rPr>
          <w:sz w:val="16"/>
          <w:szCs w:val="16"/>
        </w:rPr>
        <w:t xml:space="preserve"> </w:t>
      </w:r>
      <w:r w:rsidRPr="00DD4830">
        <w:rPr>
          <w:sz w:val="16"/>
          <w:szCs w:val="16"/>
          <w:lang w:val="en-US"/>
        </w:rPr>
        <w:t>Ibid.</w:t>
      </w:r>
    </w:p>
  </w:footnote>
  <w:footnote w:id="134">
    <w:p w14:paraId="2592FEE1" w14:textId="77777777" w:rsidR="00F12E1B" w:rsidRPr="00DD4830" w:rsidRDefault="00F12E1B" w:rsidP="00F12E1B">
      <w:pPr>
        <w:pStyle w:val="FootnoteText"/>
        <w:rPr>
          <w:sz w:val="16"/>
          <w:szCs w:val="16"/>
          <w:lang w:val="en-US"/>
        </w:rPr>
      </w:pPr>
      <w:r w:rsidRPr="00DD4830">
        <w:rPr>
          <w:rStyle w:val="FootnoteReference"/>
          <w:sz w:val="16"/>
          <w:szCs w:val="16"/>
        </w:rPr>
        <w:footnoteRef/>
      </w:r>
      <w:r w:rsidRPr="00DD4830">
        <w:rPr>
          <w:sz w:val="16"/>
          <w:szCs w:val="16"/>
        </w:rPr>
        <w:t xml:space="preserve"> </w:t>
      </w:r>
      <w:r w:rsidRPr="00DD4830">
        <w:rPr>
          <w:sz w:val="16"/>
          <w:szCs w:val="16"/>
          <w:lang w:val="en-US"/>
        </w:rPr>
        <w:t>Ibid.</w:t>
      </w:r>
    </w:p>
  </w:footnote>
  <w:footnote w:id="135">
    <w:p w14:paraId="1F6ADBB0" w14:textId="2D270B57" w:rsidR="00BA35CD" w:rsidRDefault="00BA35CD">
      <w:pPr>
        <w:pStyle w:val="FootnoteText"/>
      </w:pPr>
      <w:r w:rsidRPr="00DD4830">
        <w:rPr>
          <w:rStyle w:val="FootnoteReference"/>
          <w:sz w:val="16"/>
          <w:szCs w:val="16"/>
        </w:rPr>
        <w:footnoteRef/>
      </w:r>
      <w:r w:rsidRPr="00DD4830">
        <w:rPr>
          <w:sz w:val="16"/>
          <w:szCs w:val="16"/>
        </w:rPr>
        <w:t xml:space="preserve"> </w:t>
      </w:r>
      <w:r w:rsidR="00987E10" w:rsidRPr="00023398">
        <w:rPr>
          <w:sz w:val="16"/>
          <w:szCs w:val="16"/>
        </w:rPr>
        <w:t xml:space="preserve">Deloitte Access Economics. (2025). </w:t>
      </w:r>
      <w:r w:rsidR="00987E10" w:rsidRPr="00023398">
        <w:rPr>
          <w:i/>
          <w:iCs/>
          <w:sz w:val="16"/>
          <w:szCs w:val="16"/>
        </w:rPr>
        <w:t>Cost Benefit Analysis of the Proposed National Higher Education Code to Prevent and Respond to Gender-based Violence</w:t>
      </w:r>
      <w:r w:rsidR="00987E10" w:rsidRPr="00023398">
        <w:rPr>
          <w:sz w:val="16"/>
          <w:szCs w:val="16"/>
        </w:rPr>
        <w:t>, prepared for the Commonwealth Department of Education</w:t>
      </w:r>
      <w:r w:rsidR="00F93A58">
        <w:rPr>
          <w:sz w:val="16"/>
          <w:szCs w:val="16"/>
        </w:rPr>
        <w:t xml:space="preserve">, p. </w:t>
      </w:r>
      <w:r w:rsidR="006E381A" w:rsidRPr="00DD4830">
        <w:rPr>
          <w:sz w:val="16"/>
          <w:szCs w:val="16"/>
        </w:rPr>
        <w:t>71</w:t>
      </w:r>
      <w:r w:rsidR="00F93A58">
        <w:rPr>
          <w:sz w:val="16"/>
          <w:szCs w:val="16"/>
        </w:rPr>
        <w:t>.</w:t>
      </w:r>
    </w:p>
  </w:footnote>
  <w:footnote w:id="136">
    <w:p w14:paraId="0CDC1BF9" w14:textId="37C6D4BA" w:rsidR="004C705C" w:rsidRPr="006B296A" w:rsidRDefault="004C705C">
      <w:pPr>
        <w:pStyle w:val="FootnoteText"/>
        <w:rPr>
          <w:sz w:val="16"/>
          <w:szCs w:val="16"/>
        </w:rPr>
      </w:pPr>
      <w:r w:rsidRPr="006B296A">
        <w:rPr>
          <w:rStyle w:val="FootnoteReference"/>
          <w:sz w:val="16"/>
          <w:szCs w:val="16"/>
        </w:rPr>
        <w:footnoteRef/>
      </w:r>
      <w:r w:rsidRPr="006B296A">
        <w:rPr>
          <w:sz w:val="16"/>
          <w:szCs w:val="16"/>
        </w:rPr>
        <w:t xml:space="preserve"> </w:t>
      </w:r>
      <w:r w:rsidR="001B05DF" w:rsidRPr="001B05DF">
        <w:rPr>
          <w:sz w:val="16"/>
          <w:szCs w:val="16"/>
        </w:rPr>
        <w:t>Deloitte Access Economics. (2025). </w:t>
      </w:r>
      <w:r w:rsidR="001B05DF" w:rsidRPr="001B05DF">
        <w:rPr>
          <w:i/>
          <w:iCs/>
          <w:sz w:val="16"/>
          <w:szCs w:val="16"/>
        </w:rPr>
        <w:t>Cost Benefit Analysis of the Proposed National Higher Education Code to Prevent and Respond to Gender-based Violence</w:t>
      </w:r>
      <w:r w:rsidR="001B05DF" w:rsidRPr="001B05DF">
        <w:rPr>
          <w:sz w:val="16"/>
          <w:szCs w:val="16"/>
        </w:rPr>
        <w:t>, prepared for the Commonwealth Department of Education, p</w:t>
      </w:r>
      <w:r w:rsidR="001B05DF">
        <w:rPr>
          <w:sz w:val="16"/>
          <w:szCs w:val="16"/>
        </w:rPr>
        <w:t>.</w:t>
      </w:r>
      <w:r w:rsidR="001B05DF" w:rsidRPr="001B05DF" w:rsidDel="00F93A58">
        <w:rPr>
          <w:sz w:val="16"/>
          <w:szCs w:val="16"/>
        </w:rPr>
        <w:t xml:space="preserve"> </w:t>
      </w:r>
      <w:r w:rsidR="0008448D" w:rsidRPr="006B296A">
        <w:rPr>
          <w:sz w:val="16"/>
          <w:szCs w:val="16"/>
        </w:rPr>
        <w:t>26</w:t>
      </w:r>
      <w:r w:rsidR="001B05DF">
        <w:rPr>
          <w:sz w:val="16"/>
          <w:szCs w:val="16"/>
        </w:rPr>
        <w:t xml:space="preserve">. </w:t>
      </w:r>
    </w:p>
  </w:footnote>
  <w:footnote w:id="137">
    <w:p w14:paraId="78C3E740" w14:textId="432F9726" w:rsidR="00014C13" w:rsidRPr="006B296A" w:rsidRDefault="00014C13">
      <w:pPr>
        <w:pStyle w:val="FootnoteText"/>
        <w:rPr>
          <w:sz w:val="16"/>
          <w:szCs w:val="16"/>
        </w:rPr>
      </w:pPr>
      <w:r w:rsidRPr="006B296A">
        <w:rPr>
          <w:rStyle w:val="FootnoteReference"/>
          <w:sz w:val="16"/>
          <w:szCs w:val="16"/>
        </w:rPr>
        <w:footnoteRef/>
      </w:r>
      <w:r w:rsidRPr="006B296A">
        <w:rPr>
          <w:sz w:val="16"/>
          <w:szCs w:val="16"/>
        </w:rPr>
        <w:t xml:space="preserve"> Ibid</w:t>
      </w:r>
      <w:r w:rsidR="00F93A58">
        <w:rPr>
          <w:sz w:val="16"/>
          <w:szCs w:val="16"/>
        </w:rPr>
        <w:t>, p.</w:t>
      </w:r>
      <w:r w:rsidRPr="006B296A">
        <w:rPr>
          <w:sz w:val="16"/>
          <w:szCs w:val="16"/>
        </w:rPr>
        <w:t xml:space="preserve"> 2</w:t>
      </w:r>
      <w:r w:rsidR="001B05DF">
        <w:rPr>
          <w:sz w:val="16"/>
          <w:szCs w:val="16"/>
        </w:rPr>
        <w:t>7.</w:t>
      </w:r>
    </w:p>
  </w:footnote>
  <w:footnote w:id="138">
    <w:p w14:paraId="72782403" w14:textId="22F77A02" w:rsidR="006D6178" w:rsidRPr="006B296A" w:rsidRDefault="006D6178">
      <w:pPr>
        <w:pStyle w:val="FootnoteText"/>
        <w:rPr>
          <w:sz w:val="16"/>
          <w:szCs w:val="16"/>
        </w:rPr>
      </w:pPr>
      <w:r w:rsidRPr="006B296A">
        <w:rPr>
          <w:rStyle w:val="FootnoteReference"/>
          <w:sz w:val="16"/>
          <w:szCs w:val="16"/>
        </w:rPr>
        <w:footnoteRef/>
      </w:r>
      <w:r w:rsidR="001B06C0">
        <w:rPr>
          <w:sz w:val="16"/>
          <w:szCs w:val="16"/>
        </w:rPr>
        <w:t xml:space="preserve"> </w:t>
      </w:r>
      <w:r w:rsidR="001B06C0" w:rsidRPr="001B06C0">
        <w:rPr>
          <w:sz w:val="16"/>
          <w:szCs w:val="16"/>
        </w:rPr>
        <w:t>Deloitte Access Economics. (2025). </w:t>
      </w:r>
      <w:r w:rsidR="001B06C0" w:rsidRPr="001B06C0">
        <w:rPr>
          <w:i/>
          <w:iCs/>
          <w:sz w:val="16"/>
          <w:szCs w:val="16"/>
        </w:rPr>
        <w:t>Cost Benefit Analysis of the Proposed National Higher Education Code to Prevent and Respond to Gender-based Violence</w:t>
      </w:r>
      <w:r w:rsidR="001B06C0" w:rsidRPr="001B06C0">
        <w:rPr>
          <w:sz w:val="16"/>
          <w:szCs w:val="16"/>
        </w:rPr>
        <w:t>, prepared for the Commonwealth Department of Education, p.</w:t>
      </w:r>
      <w:r w:rsidR="001B06C0">
        <w:rPr>
          <w:sz w:val="16"/>
          <w:szCs w:val="16"/>
        </w:rPr>
        <w:t xml:space="preserve"> </w:t>
      </w:r>
      <w:r w:rsidR="00A74192" w:rsidRPr="006B296A">
        <w:rPr>
          <w:sz w:val="16"/>
          <w:szCs w:val="16"/>
        </w:rPr>
        <w:t>28</w:t>
      </w:r>
      <w:r w:rsidR="001B06C0">
        <w:rPr>
          <w:sz w:val="16"/>
          <w:szCs w:val="16"/>
        </w:rPr>
        <w:t>.</w:t>
      </w:r>
    </w:p>
  </w:footnote>
  <w:footnote w:id="139">
    <w:p w14:paraId="3DE4A9A3" w14:textId="3CEDCA38" w:rsidR="004E33D7" w:rsidRPr="006B296A" w:rsidRDefault="004E33D7">
      <w:pPr>
        <w:pStyle w:val="FootnoteText"/>
        <w:rPr>
          <w:sz w:val="16"/>
          <w:szCs w:val="16"/>
        </w:rPr>
      </w:pPr>
      <w:r w:rsidRPr="00921780">
        <w:rPr>
          <w:rStyle w:val="FootnoteReference"/>
          <w:sz w:val="16"/>
          <w:szCs w:val="16"/>
        </w:rPr>
        <w:footnoteRef/>
      </w:r>
      <w:r w:rsidRPr="00921780">
        <w:rPr>
          <w:sz w:val="16"/>
          <w:szCs w:val="16"/>
        </w:rPr>
        <w:t xml:space="preserve"> </w:t>
      </w:r>
      <w:r w:rsidR="007E1B9C" w:rsidRPr="007E1B9C">
        <w:rPr>
          <w:sz w:val="16"/>
          <w:szCs w:val="16"/>
        </w:rPr>
        <w:t>Deloitte Access Economics. (2025). </w:t>
      </w:r>
      <w:r w:rsidR="007E1B9C" w:rsidRPr="007E1B9C">
        <w:rPr>
          <w:i/>
          <w:iCs/>
          <w:sz w:val="16"/>
          <w:szCs w:val="16"/>
        </w:rPr>
        <w:t>Cost Benefit Analysis of the Proposed National Higher Education Code to Prevent and Respond to Gender-based Violence</w:t>
      </w:r>
      <w:r w:rsidR="007E1B9C" w:rsidRPr="007E1B9C">
        <w:rPr>
          <w:sz w:val="16"/>
          <w:szCs w:val="16"/>
        </w:rPr>
        <w:t>, prepared for the Commonwealth Department of Education, p.</w:t>
      </w:r>
      <w:r w:rsidR="007E1B9C">
        <w:rPr>
          <w:sz w:val="16"/>
          <w:szCs w:val="16"/>
        </w:rPr>
        <w:t xml:space="preserve"> </w:t>
      </w:r>
      <w:r w:rsidRPr="006B296A">
        <w:rPr>
          <w:sz w:val="16"/>
          <w:szCs w:val="16"/>
        </w:rPr>
        <w:t>30</w:t>
      </w:r>
      <w:r w:rsidR="007E1B9C">
        <w:rPr>
          <w:sz w:val="16"/>
          <w:szCs w:val="16"/>
        </w:rPr>
        <w:t xml:space="preserve">. </w:t>
      </w:r>
    </w:p>
  </w:footnote>
  <w:footnote w:id="140">
    <w:p w14:paraId="0D35E6B4" w14:textId="77777777" w:rsidR="00423A78" w:rsidRDefault="00423A78" w:rsidP="00423A78">
      <w:pPr>
        <w:pStyle w:val="FootnoteText"/>
      </w:pPr>
      <w:r>
        <w:rPr>
          <w:rStyle w:val="FootnoteReference"/>
        </w:rPr>
        <w:footnoteRef/>
      </w:r>
      <w:r>
        <w:t xml:space="preserve"> </w:t>
      </w:r>
      <w:r w:rsidRPr="00ED1492">
        <w:rPr>
          <w:sz w:val="16"/>
          <w:szCs w:val="16"/>
        </w:rPr>
        <w:t xml:space="preserve">See chapter 4.3.3 </w:t>
      </w:r>
      <w:r>
        <w:rPr>
          <w:sz w:val="16"/>
          <w:szCs w:val="16"/>
        </w:rPr>
        <w:t xml:space="preserve">higher education </w:t>
      </w:r>
      <w:r w:rsidRPr="00ED1492">
        <w:rPr>
          <w:sz w:val="16"/>
          <w:szCs w:val="16"/>
        </w:rPr>
        <w:t xml:space="preserve">sector-wide expenses </w:t>
      </w:r>
      <w:r>
        <w:rPr>
          <w:sz w:val="16"/>
          <w:szCs w:val="16"/>
        </w:rPr>
        <w:t xml:space="preserve">were </w:t>
      </w:r>
      <w:r w:rsidRPr="00ED1492">
        <w:rPr>
          <w:sz w:val="16"/>
          <w:szCs w:val="16"/>
        </w:rPr>
        <w:t xml:space="preserve">$39.8 billion </w:t>
      </w:r>
      <w:r>
        <w:rPr>
          <w:sz w:val="16"/>
          <w:szCs w:val="16"/>
        </w:rPr>
        <w:t>for the year of 2023-2024</w:t>
      </w:r>
      <w:r w:rsidRPr="00ED1492">
        <w:rPr>
          <w:sz w:val="16"/>
          <w:szCs w:val="16"/>
        </w:rPr>
        <w:t xml:space="preserve"> </w:t>
      </w:r>
      <w:r>
        <w:rPr>
          <w:sz w:val="16"/>
          <w:szCs w:val="16"/>
        </w:rPr>
        <w:t xml:space="preserve">based on </w:t>
      </w:r>
      <w:r w:rsidRPr="00ED1492">
        <w:rPr>
          <w:sz w:val="16"/>
          <w:szCs w:val="16"/>
        </w:rPr>
        <w:t>internal reporting data from the department</w:t>
      </w:r>
      <w:r>
        <w:t xml:space="preserve">. </w:t>
      </w:r>
    </w:p>
  </w:footnote>
  <w:footnote w:id="141">
    <w:p w14:paraId="27A730D5" w14:textId="40AC4514" w:rsidR="00893ED6" w:rsidRPr="00ED1492" w:rsidRDefault="00893ED6">
      <w:pPr>
        <w:pStyle w:val="FootnoteText"/>
        <w:rPr>
          <w:sz w:val="16"/>
          <w:szCs w:val="16"/>
        </w:rPr>
      </w:pPr>
      <w:r w:rsidRPr="00ED1492">
        <w:rPr>
          <w:rStyle w:val="FootnoteReference"/>
          <w:sz w:val="16"/>
          <w:szCs w:val="16"/>
        </w:rPr>
        <w:footnoteRef/>
      </w:r>
      <w:r w:rsidRPr="00ED1492">
        <w:rPr>
          <w:sz w:val="16"/>
          <w:szCs w:val="16"/>
        </w:rPr>
        <w:t xml:space="preserve"> </w:t>
      </w:r>
      <w:r w:rsidR="007E1B9C" w:rsidRPr="00ED1492">
        <w:rPr>
          <w:sz w:val="16"/>
          <w:szCs w:val="16"/>
        </w:rPr>
        <w:t>Deloitte Access Economics. (2025). </w:t>
      </w:r>
      <w:r w:rsidR="007E1B9C" w:rsidRPr="00ED1492">
        <w:rPr>
          <w:i/>
          <w:iCs/>
          <w:sz w:val="16"/>
          <w:szCs w:val="16"/>
        </w:rPr>
        <w:t>Cost Benefit Analysis of the Proposed National Higher Education Code to Prevent and Respond to Gender-based Violence</w:t>
      </w:r>
      <w:r w:rsidR="007E1B9C" w:rsidRPr="00ED1492">
        <w:rPr>
          <w:sz w:val="16"/>
          <w:szCs w:val="16"/>
        </w:rPr>
        <w:t>, prepared for the Commonwealth Department of Education, p. 29.</w:t>
      </w:r>
      <w:r w:rsidR="007E1B9C" w:rsidRPr="00ED1492" w:rsidDel="007E1B9C">
        <w:rPr>
          <w:sz w:val="16"/>
          <w:szCs w:val="16"/>
        </w:rPr>
        <w:t xml:space="preserve"> </w:t>
      </w:r>
    </w:p>
  </w:footnote>
  <w:footnote w:id="142">
    <w:p w14:paraId="7E107BD1" w14:textId="62A87D3D" w:rsidR="006C59B6" w:rsidRPr="006B296A" w:rsidRDefault="006C59B6">
      <w:pPr>
        <w:pStyle w:val="FootnoteText"/>
        <w:rPr>
          <w:sz w:val="16"/>
          <w:szCs w:val="16"/>
        </w:rPr>
      </w:pPr>
      <w:r w:rsidRPr="006B296A">
        <w:rPr>
          <w:rStyle w:val="FootnoteReference"/>
          <w:sz w:val="16"/>
          <w:szCs w:val="16"/>
        </w:rPr>
        <w:footnoteRef/>
      </w:r>
      <w:r w:rsidRPr="006B296A">
        <w:rPr>
          <w:sz w:val="16"/>
          <w:szCs w:val="16"/>
        </w:rPr>
        <w:t xml:space="preserve"> </w:t>
      </w:r>
      <w:r w:rsidR="00E528E1">
        <w:rPr>
          <w:sz w:val="16"/>
          <w:szCs w:val="16"/>
        </w:rPr>
        <w:t>Ibid.</w:t>
      </w:r>
      <w:r w:rsidRPr="006B296A">
        <w:rPr>
          <w:sz w:val="16"/>
          <w:szCs w:val="16"/>
        </w:rPr>
        <w:t xml:space="preserve"> p</w:t>
      </w:r>
      <w:r w:rsidR="001C0E02">
        <w:rPr>
          <w:sz w:val="16"/>
          <w:szCs w:val="16"/>
        </w:rPr>
        <w:t xml:space="preserve">. </w:t>
      </w:r>
      <w:r w:rsidRPr="006B296A">
        <w:rPr>
          <w:sz w:val="16"/>
          <w:szCs w:val="16"/>
        </w:rPr>
        <w:t>30</w:t>
      </w:r>
      <w:r w:rsidR="001C0E02">
        <w:rPr>
          <w:sz w:val="16"/>
          <w:szCs w:val="16"/>
        </w:rPr>
        <w:t>.</w:t>
      </w:r>
    </w:p>
  </w:footnote>
  <w:footnote w:id="143">
    <w:p w14:paraId="2C1B96EC" w14:textId="4D3F6ED2" w:rsidR="00D41533" w:rsidRDefault="00D41533">
      <w:pPr>
        <w:pStyle w:val="FootnoteText"/>
      </w:pPr>
      <w:r>
        <w:rPr>
          <w:rStyle w:val="FootnoteReference"/>
        </w:rPr>
        <w:footnoteRef/>
      </w:r>
      <w:r>
        <w:t xml:space="preserve"> </w:t>
      </w:r>
      <w:r w:rsidR="00016B04" w:rsidRPr="003123A1">
        <w:rPr>
          <w:sz w:val="16"/>
          <w:szCs w:val="16"/>
        </w:rPr>
        <w:t>Tertiary Education Quality and Standards Agency. (</w:t>
      </w:r>
      <w:r w:rsidR="00447F8B">
        <w:rPr>
          <w:sz w:val="16"/>
          <w:szCs w:val="16"/>
        </w:rPr>
        <w:t>2025</w:t>
      </w:r>
      <w:r w:rsidR="00016B04" w:rsidRPr="003123A1">
        <w:rPr>
          <w:sz w:val="16"/>
          <w:szCs w:val="16"/>
        </w:rPr>
        <w:t>). </w:t>
      </w:r>
      <w:r w:rsidR="00016B04" w:rsidRPr="003123A1">
        <w:rPr>
          <w:i/>
          <w:iCs/>
          <w:sz w:val="16"/>
          <w:szCs w:val="16"/>
        </w:rPr>
        <w:t>National Register</w:t>
      </w:r>
      <w:r w:rsidR="00016B04" w:rsidRPr="003123A1">
        <w:rPr>
          <w:sz w:val="16"/>
          <w:szCs w:val="16"/>
        </w:rPr>
        <w:t>. https://www.teqsa.gov.au/national-register</w:t>
      </w:r>
    </w:p>
  </w:footnote>
  <w:footnote w:id="144">
    <w:p w14:paraId="1EB2926B" w14:textId="29AFAD9B" w:rsidR="003D3FCF" w:rsidRPr="006B296A" w:rsidRDefault="003D3FCF" w:rsidP="003D3FCF">
      <w:pPr>
        <w:pStyle w:val="FootnoteText"/>
        <w:rPr>
          <w:sz w:val="16"/>
          <w:szCs w:val="16"/>
          <w:lang w:val="en-US"/>
        </w:rPr>
      </w:pPr>
      <w:r w:rsidRPr="006B296A">
        <w:rPr>
          <w:rStyle w:val="FootnoteReference"/>
          <w:sz w:val="16"/>
          <w:szCs w:val="16"/>
        </w:rPr>
        <w:footnoteRef/>
      </w:r>
      <w:r w:rsidRPr="006B296A">
        <w:rPr>
          <w:sz w:val="16"/>
          <w:szCs w:val="16"/>
        </w:rPr>
        <w:t xml:space="preserve"> </w:t>
      </w:r>
      <w:r w:rsidRPr="006B296A">
        <w:rPr>
          <w:sz w:val="16"/>
          <w:szCs w:val="16"/>
          <w:lang w:val="en-US"/>
        </w:rPr>
        <w:t xml:space="preserve">Commonwealth </w:t>
      </w:r>
      <w:r w:rsidRPr="006B296A">
        <w:rPr>
          <w:sz w:val="16"/>
          <w:szCs w:val="16"/>
        </w:rPr>
        <w:t>Department of Education</w:t>
      </w:r>
      <w:r w:rsidR="000C167A">
        <w:rPr>
          <w:sz w:val="16"/>
          <w:szCs w:val="16"/>
        </w:rPr>
        <w:t>. (202</w:t>
      </w:r>
      <w:r w:rsidR="00EA3610">
        <w:rPr>
          <w:sz w:val="16"/>
          <w:szCs w:val="16"/>
        </w:rPr>
        <w:t>4).</w:t>
      </w:r>
      <w:r w:rsidRPr="006B296A">
        <w:rPr>
          <w:sz w:val="16"/>
          <w:szCs w:val="16"/>
        </w:rPr>
        <w:t xml:space="preserve"> </w:t>
      </w:r>
      <w:r w:rsidRPr="00BB0DE0">
        <w:rPr>
          <w:i/>
          <w:iCs/>
          <w:sz w:val="16"/>
          <w:szCs w:val="16"/>
        </w:rPr>
        <w:t xml:space="preserve">National Higher Education </w:t>
      </w:r>
      <w:r w:rsidR="008743F1" w:rsidRPr="00BB0DE0">
        <w:rPr>
          <w:i/>
          <w:iCs/>
          <w:sz w:val="16"/>
          <w:szCs w:val="16"/>
        </w:rPr>
        <w:t>National Code</w:t>
      </w:r>
      <w:r w:rsidRPr="00BB0DE0">
        <w:rPr>
          <w:i/>
          <w:iCs/>
          <w:sz w:val="16"/>
          <w:szCs w:val="16"/>
        </w:rPr>
        <w:t xml:space="preserve"> to Prevent and Respond to Gender-based Violence: Issues Paper.</w:t>
      </w:r>
    </w:p>
  </w:footnote>
  <w:footnote w:id="145">
    <w:p w14:paraId="1D902C64" w14:textId="4EB61F7C" w:rsidR="00EA3610" w:rsidRPr="00A163B7" w:rsidRDefault="00E85ABE" w:rsidP="00E85ABE">
      <w:pPr>
        <w:pStyle w:val="FootnoteText"/>
        <w:rPr>
          <w:sz w:val="16"/>
          <w:szCs w:val="16"/>
        </w:rPr>
      </w:pPr>
      <w:r w:rsidRPr="00A163B7">
        <w:rPr>
          <w:rStyle w:val="FootnoteReference"/>
          <w:sz w:val="16"/>
          <w:szCs w:val="16"/>
        </w:rPr>
        <w:footnoteRef/>
      </w:r>
      <w:r w:rsidRPr="00A163B7">
        <w:rPr>
          <w:sz w:val="16"/>
          <w:szCs w:val="16"/>
        </w:rPr>
        <w:t xml:space="preserve"> Universities Australia</w:t>
      </w:r>
      <w:r w:rsidR="00EA3610" w:rsidRPr="00A163B7">
        <w:rPr>
          <w:sz w:val="16"/>
          <w:szCs w:val="16"/>
        </w:rPr>
        <w:t xml:space="preserve">. (2022). </w:t>
      </w:r>
      <w:r w:rsidRPr="00A163B7">
        <w:rPr>
          <w:sz w:val="16"/>
          <w:szCs w:val="16"/>
        </w:rPr>
        <w:t>Gender inclusive practices and work-life balance in Australian Universities.</w:t>
      </w:r>
    </w:p>
    <w:p w14:paraId="6E8FC62E" w14:textId="52D9C510" w:rsidR="00E85ABE" w:rsidRPr="00A163B7" w:rsidRDefault="00E85ABE" w:rsidP="00E85ABE">
      <w:pPr>
        <w:pStyle w:val="FootnoteText"/>
        <w:rPr>
          <w:sz w:val="16"/>
          <w:szCs w:val="16"/>
          <w:lang w:val="en-US"/>
        </w:rPr>
      </w:pPr>
      <w:r w:rsidRPr="00A163B7">
        <w:rPr>
          <w:sz w:val="16"/>
          <w:szCs w:val="16"/>
        </w:rPr>
        <w:t xml:space="preserve"> </w:t>
      </w:r>
      <w:r w:rsidR="00E0611C" w:rsidRPr="00A163B7">
        <w:rPr>
          <w:sz w:val="16"/>
          <w:szCs w:val="16"/>
        </w:rPr>
        <w:t>Workplace Gender Equality Agency</w:t>
      </w:r>
      <w:r w:rsidR="00EA3610" w:rsidRPr="00A163B7">
        <w:rPr>
          <w:sz w:val="16"/>
          <w:szCs w:val="16"/>
        </w:rPr>
        <w:t xml:space="preserve">. (2019). </w:t>
      </w:r>
      <w:r w:rsidR="00E0611C" w:rsidRPr="00A163B7">
        <w:rPr>
          <w:sz w:val="16"/>
          <w:szCs w:val="16"/>
        </w:rPr>
        <w:t>Higher education enrolments and graduate labour market statistics</w:t>
      </w:r>
      <w:r w:rsidR="00EA3610" w:rsidRPr="00A163B7">
        <w:rPr>
          <w:sz w:val="16"/>
          <w:szCs w:val="16"/>
        </w:rPr>
        <w:t>.</w:t>
      </w:r>
    </w:p>
  </w:footnote>
  <w:footnote w:id="146">
    <w:p w14:paraId="23C32B64" w14:textId="77777777" w:rsidR="00EA3610" w:rsidRPr="00A163B7" w:rsidRDefault="00207212" w:rsidP="00EA3610">
      <w:pPr>
        <w:pStyle w:val="FootnoteText"/>
        <w:rPr>
          <w:sz w:val="16"/>
          <w:szCs w:val="16"/>
        </w:rPr>
      </w:pPr>
      <w:r w:rsidRPr="00A163B7">
        <w:rPr>
          <w:rStyle w:val="FootnoteReference"/>
          <w:sz w:val="16"/>
          <w:szCs w:val="16"/>
        </w:rPr>
        <w:footnoteRef/>
      </w:r>
      <w:r w:rsidRPr="00A163B7">
        <w:rPr>
          <w:sz w:val="16"/>
          <w:szCs w:val="16"/>
        </w:rPr>
        <w:t xml:space="preserve"> </w:t>
      </w:r>
      <w:r w:rsidR="00EA3610" w:rsidRPr="00A163B7">
        <w:rPr>
          <w:sz w:val="16"/>
          <w:szCs w:val="16"/>
        </w:rPr>
        <w:t xml:space="preserve">Social Research Centre. (2022). National Student Safety Survey. </w:t>
      </w:r>
      <w:hyperlink r:id="rId72" w:history="1">
        <w:r w:rsidR="00EA3610" w:rsidRPr="00A163B7">
          <w:rPr>
            <w:rStyle w:val="Hyperlink"/>
            <w:sz w:val="16"/>
            <w:szCs w:val="16"/>
          </w:rPr>
          <w:t>https://www.nsss.edu.au/</w:t>
        </w:r>
      </w:hyperlink>
    </w:p>
    <w:p w14:paraId="11645148" w14:textId="4AAD1E1F" w:rsidR="00EA3610" w:rsidRPr="00A163B7" w:rsidRDefault="00EA3610" w:rsidP="00EA3610">
      <w:pPr>
        <w:pStyle w:val="FootnoteText"/>
        <w:rPr>
          <w:sz w:val="16"/>
          <w:szCs w:val="16"/>
        </w:rPr>
      </w:pPr>
      <w:r w:rsidRPr="00A163B7">
        <w:rPr>
          <w:sz w:val="16"/>
          <w:szCs w:val="16"/>
        </w:rPr>
        <w:t>National Tertiary Education Union. (2023). Sexual harassment survey report. https://www.nteu.au/News_Articles/Media_Releases/Sexual_Harassment_Survey_Report.aspx</w:t>
      </w:r>
    </w:p>
    <w:p w14:paraId="4EA943A3" w14:textId="7FCFDB59" w:rsidR="00803804" w:rsidRPr="00A163B7" w:rsidRDefault="00EA3610" w:rsidP="00EA3610">
      <w:pPr>
        <w:pStyle w:val="FootnoteText"/>
        <w:rPr>
          <w:sz w:val="16"/>
          <w:szCs w:val="16"/>
        </w:rPr>
      </w:pPr>
      <w:r w:rsidRPr="00A163B7">
        <w:rPr>
          <w:rStyle w:val="FootnoteReference"/>
          <w:sz w:val="16"/>
          <w:szCs w:val="16"/>
        </w:rPr>
        <w:footnoteRef/>
      </w:r>
      <w:r w:rsidRPr="00A163B7">
        <w:rPr>
          <w:sz w:val="16"/>
          <w:szCs w:val="16"/>
        </w:rPr>
        <w:t xml:space="preserve"> </w:t>
      </w:r>
      <w:r w:rsidR="00803804" w:rsidRPr="00A163B7">
        <w:rPr>
          <w:sz w:val="16"/>
          <w:szCs w:val="16"/>
        </w:rPr>
        <w:t>Rapid Review Expert Panel. (2024). </w:t>
      </w:r>
      <w:r w:rsidR="00803804" w:rsidRPr="00A163B7">
        <w:rPr>
          <w:i/>
          <w:iCs/>
          <w:sz w:val="16"/>
          <w:szCs w:val="16"/>
        </w:rPr>
        <w:t>Unlocking the prevention potential: Accelerating action to end domestic, family and sexual violence</w:t>
      </w:r>
      <w:r w:rsidR="00803804" w:rsidRPr="00A163B7">
        <w:rPr>
          <w:sz w:val="16"/>
          <w:szCs w:val="16"/>
        </w:rPr>
        <w:t>. Department of the Prime Minister and Cabinet. Retrieved from https://www.pmc.gov.au/sites/default/files/resource/download/unlocking-prevention-potential.pdf</w:t>
      </w:r>
      <w:r w:rsidR="00803804" w:rsidRPr="00A163B7" w:rsidDel="00EA3610">
        <w:rPr>
          <w:sz w:val="16"/>
          <w:szCs w:val="16"/>
        </w:rPr>
        <w:t xml:space="preserve"> </w:t>
      </w:r>
    </w:p>
  </w:footnote>
  <w:footnote w:id="147">
    <w:p w14:paraId="24214010" w14:textId="77777777" w:rsidR="00A05898" w:rsidRDefault="00A05898" w:rsidP="00A05898">
      <w:pPr>
        <w:pStyle w:val="FootnoteText"/>
      </w:pPr>
      <w:r w:rsidRPr="00A163B7">
        <w:rPr>
          <w:rStyle w:val="FootnoteReference"/>
          <w:sz w:val="16"/>
          <w:szCs w:val="16"/>
        </w:rPr>
        <w:footnoteRef/>
      </w:r>
      <w:r w:rsidRPr="00A163B7">
        <w:rPr>
          <w:sz w:val="16"/>
          <w:szCs w:val="16"/>
        </w:rPr>
        <w:t xml:space="preserve"> Department of Education. (2023). Adjusted statement of financial performance for each HEP, 2023.</w:t>
      </w:r>
      <w:r>
        <w:rPr>
          <w:sz w:val="16"/>
          <w:szCs w:val="16"/>
        </w:rPr>
        <w:t xml:space="preserve"> </w:t>
      </w:r>
    </w:p>
  </w:footnote>
  <w:footnote w:id="148">
    <w:p w14:paraId="26269D8C" w14:textId="26080D2F" w:rsidR="00A40E62" w:rsidRPr="00E4396D" w:rsidRDefault="00A40E62" w:rsidP="00A40E62">
      <w:pPr>
        <w:pStyle w:val="FootnoteText"/>
        <w:rPr>
          <w:sz w:val="16"/>
          <w:szCs w:val="16"/>
          <w:lang w:val="en-US"/>
        </w:rPr>
      </w:pPr>
      <w:r w:rsidRPr="00E4396D">
        <w:rPr>
          <w:rStyle w:val="FootnoteReference"/>
          <w:sz w:val="16"/>
          <w:szCs w:val="16"/>
        </w:rPr>
        <w:footnoteRef/>
      </w:r>
      <w:r w:rsidRPr="00E4396D">
        <w:rPr>
          <w:sz w:val="16"/>
          <w:szCs w:val="16"/>
        </w:rPr>
        <w:t xml:space="preserve"> Australian Institute of Health and Welfare</w:t>
      </w:r>
      <w:r w:rsidR="00045BB8" w:rsidRPr="00E4396D">
        <w:rPr>
          <w:sz w:val="16"/>
          <w:szCs w:val="16"/>
        </w:rPr>
        <w:t xml:space="preserve">. (2025). </w:t>
      </w:r>
      <w:r w:rsidRPr="00E4396D">
        <w:rPr>
          <w:i/>
          <w:iCs/>
          <w:sz w:val="16"/>
          <w:szCs w:val="16"/>
        </w:rPr>
        <w:t>Family, domestic and sexual violence: Health services.</w:t>
      </w:r>
    </w:p>
  </w:footnote>
  <w:footnote w:id="149">
    <w:p w14:paraId="3276BB15" w14:textId="65949288" w:rsidR="00A40E62" w:rsidRPr="000D5CD9" w:rsidRDefault="00A40E62" w:rsidP="00A40E62">
      <w:pPr>
        <w:pStyle w:val="FootnoteText"/>
        <w:rPr>
          <w:lang w:val="en-US"/>
        </w:rPr>
      </w:pPr>
      <w:r w:rsidRPr="00E4396D">
        <w:rPr>
          <w:rStyle w:val="FootnoteReference"/>
          <w:sz w:val="16"/>
          <w:szCs w:val="16"/>
        </w:rPr>
        <w:footnoteRef/>
      </w:r>
      <w:r w:rsidRPr="00E4396D">
        <w:rPr>
          <w:sz w:val="16"/>
          <w:szCs w:val="16"/>
        </w:rPr>
        <w:t xml:space="preserve"> Australian Institute of Health and Welfar</w:t>
      </w:r>
      <w:r w:rsidR="00045BB8" w:rsidRPr="00E4396D">
        <w:rPr>
          <w:sz w:val="16"/>
          <w:szCs w:val="16"/>
        </w:rPr>
        <w:t xml:space="preserve">e. (2025). </w:t>
      </w:r>
      <w:r w:rsidRPr="00E4396D">
        <w:rPr>
          <w:i/>
          <w:iCs/>
          <w:sz w:val="16"/>
          <w:szCs w:val="16"/>
        </w:rPr>
        <w:t>Family, domestic and sexual violence: Economic and financial impacts.</w:t>
      </w:r>
    </w:p>
  </w:footnote>
  <w:footnote w:id="150">
    <w:p w14:paraId="710E51B5" w14:textId="059117D5" w:rsidR="002444A7" w:rsidRPr="00E4396D" w:rsidRDefault="002444A7">
      <w:pPr>
        <w:pStyle w:val="FootnoteText"/>
        <w:rPr>
          <w:sz w:val="16"/>
          <w:szCs w:val="16"/>
        </w:rPr>
      </w:pPr>
      <w:r w:rsidRPr="00E4396D">
        <w:rPr>
          <w:rStyle w:val="FootnoteReference"/>
          <w:sz w:val="16"/>
          <w:szCs w:val="16"/>
        </w:rPr>
        <w:footnoteRef/>
      </w:r>
      <w:r w:rsidRPr="00E4396D">
        <w:rPr>
          <w:sz w:val="16"/>
          <w:szCs w:val="16"/>
        </w:rPr>
        <w:t xml:space="preserve"> </w:t>
      </w:r>
      <w:r w:rsidR="000A4BA5" w:rsidRPr="00E4396D">
        <w:rPr>
          <w:sz w:val="16"/>
          <w:szCs w:val="16"/>
        </w:rPr>
        <w:t xml:space="preserve">Cahill, H., et al. (2023). </w:t>
      </w:r>
      <w:r w:rsidR="000A4BA5" w:rsidRPr="00E4396D">
        <w:rPr>
          <w:i/>
          <w:iCs/>
          <w:sz w:val="16"/>
          <w:szCs w:val="16"/>
        </w:rPr>
        <w:t>A social network analysis and implementation study of an intervention designed to advance social and emotional learning and respectful relationships in secondary schools</w:t>
      </w:r>
      <w:r w:rsidR="000A4BA5" w:rsidRPr="00E4396D">
        <w:rPr>
          <w:sz w:val="16"/>
          <w:szCs w:val="16"/>
        </w:rPr>
        <w:t>. Australia's National Research Organisation for Women's Safety (ANROWS), p. 95.</w:t>
      </w:r>
    </w:p>
  </w:footnote>
  <w:footnote w:id="151">
    <w:p w14:paraId="29C71C66" w14:textId="660A0B95" w:rsidR="009C7E92" w:rsidRPr="004B0BB1" w:rsidRDefault="009C7E92" w:rsidP="009C7E92">
      <w:pPr>
        <w:pStyle w:val="FootnoteText"/>
        <w:rPr>
          <w:lang w:val="en-US"/>
        </w:rPr>
      </w:pPr>
      <w:r>
        <w:rPr>
          <w:rStyle w:val="FootnoteReference"/>
        </w:rPr>
        <w:footnoteRef/>
      </w:r>
      <w:r>
        <w:t xml:space="preserve"> </w:t>
      </w:r>
      <w:r w:rsidRPr="00B71000">
        <w:rPr>
          <w:sz w:val="16"/>
          <w:szCs w:val="16"/>
        </w:rPr>
        <w:t>The Australian Bureau of Statistics (ABS) suggests that approximately one third of the working population has or has had a mental health condition. ABS, ‘Mental Health Statistics.’ (2018); CBA page 73</w:t>
      </w:r>
    </w:p>
  </w:footnote>
  <w:footnote w:id="152">
    <w:p w14:paraId="433EBE42" w14:textId="77777777" w:rsidR="000418C3" w:rsidRPr="006B296A" w:rsidRDefault="000418C3" w:rsidP="000418C3">
      <w:pPr>
        <w:pStyle w:val="FootnoteText"/>
        <w:rPr>
          <w:sz w:val="16"/>
          <w:szCs w:val="16"/>
          <w:lang w:val="en-US"/>
        </w:rPr>
      </w:pPr>
      <w:r w:rsidRPr="006B296A">
        <w:rPr>
          <w:rStyle w:val="FootnoteReference"/>
          <w:sz w:val="16"/>
          <w:szCs w:val="16"/>
        </w:rPr>
        <w:footnoteRef/>
      </w:r>
      <w:r w:rsidRPr="006B296A">
        <w:rPr>
          <w:sz w:val="16"/>
          <w:szCs w:val="16"/>
        </w:rPr>
        <w:t xml:space="preserve"> Girija </w:t>
      </w:r>
      <w:r w:rsidRPr="006B296A">
        <w:rPr>
          <w:sz w:val="16"/>
          <w:szCs w:val="16"/>
          <w:lang w:val="en-US"/>
        </w:rPr>
        <w:t>Borked, ‘Safety First: Perceived Risk of Street Harassment and Educational Choices of Women.’ (2018)</w:t>
      </w:r>
    </w:p>
  </w:footnote>
  <w:footnote w:id="153">
    <w:p w14:paraId="6CADA169" w14:textId="77777777" w:rsidR="00D87323" w:rsidRPr="006B296A" w:rsidRDefault="00D87323" w:rsidP="00D87323">
      <w:pPr>
        <w:pStyle w:val="FootnoteText"/>
        <w:rPr>
          <w:sz w:val="16"/>
          <w:szCs w:val="16"/>
        </w:rPr>
      </w:pPr>
      <w:r w:rsidRPr="006B296A">
        <w:rPr>
          <w:rStyle w:val="FootnoteReference"/>
          <w:sz w:val="16"/>
          <w:szCs w:val="16"/>
        </w:rPr>
        <w:footnoteRef/>
      </w:r>
      <w:r w:rsidRPr="006B296A">
        <w:rPr>
          <w:sz w:val="16"/>
          <w:szCs w:val="16"/>
        </w:rPr>
        <w:t>Jerome Lim, ‘Why Chief Executive Women is calling for 40:40:20 targets.’ (2024) &lt;</w:t>
      </w:r>
      <w:hyperlink r:id="rId73" w:anchor=":~:text=%22Research%20in%20Australia%20and%20around,%2C%20and%20better%20credit%20ratings.%22" w:history="1">
        <w:r w:rsidRPr="006B296A">
          <w:rPr>
            <w:rStyle w:val="Hyperlink"/>
            <w:sz w:val="16"/>
            <w:szCs w:val="16"/>
          </w:rPr>
          <w:t>https://mbs.edu/news/why-chief-executive-women-is-calling-for-40-40-20-targets#:~:text=%22Research%20in%20Australia%20and%20around,%2C%20and%20better%20credit%20ratings.%22</w:t>
        </w:r>
      </w:hyperlink>
      <w:r w:rsidRPr="006B296A">
        <w:rPr>
          <w:sz w:val="16"/>
          <w:szCs w:val="16"/>
        </w:rPr>
        <w:t>&gt;.</w:t>
      </w:r>
    </w:p>
  </w:footnote>
  <w:footnote w:id="154">
    <w:p w14:paraId="62EAABC9" w14:textId="77777777" w:rsidR="004E27C9" w:rsidRPr="006B296A" w:rsidRDefault="004E27C9" w:rsidP="004E27C9">
      <w:pPr>
        <w:pStyle w:val="FootnoteText"/>
        <w:rPr>
          <w:sz w:val="16"/>
          <w:szCs w:val="16"/>
        </w:rPr>
      </w:pPr>
      <w:r w:rsidRPr="006B296A">
        <w:rPr>
          <w:rStyle w:val="FootnoteReference"/>
          <w:sz w:val="16"/>
          <w:szCs w:val="16"/>
        </w:rPr>
        <w:footnoteRef/>
      </w:r>
      <w:r w:rsidRPr="006B296A">
        <w:rPr>
          <w:sz w:val="16"/>
          <w:szCs w:val="16"/>
        </w:rPr>
        <w:t xml:space="preserve"> Ahmed Elsayed</w:t>
      </w:r>
      <w:r w:rsidRPr="006B296A" w:rsidDel="007609BF">
        <w:rPr>
          <w:sz w:val="16"/>
          <w:szCs w:val="16"/>
        </w:rPr>
        <w:t xml:space="preserve"> </w:t>
      </w:r>
      <w:r w:rsidRPr="006B296A">
        <w:rPr>
          <w:sz w:val="16"/>
          <w:szCs w:val="16"/>
        </w:rPr>
        <w:t>and Alina Shirshikova. ‘The women-empowering effect of higher education.’ (2023)</w:t>
      </w:r>
    </w:p>
  </w:footnote>
  <w:footnote w:id="155">
    <w:p w14:paraId="10FEFAFD" w14:textId="77777777" w:rsidR="006A77EF" w:rsidRPr="006B296A" w:rsidRDefault="006A77EF" w:rsidP="006A77EF">
      <w:pPr>
        <w:pStyle w:val="FootnoteText"/>
        <w:rPr>
          <w:sz w:val="16"/>
          <w:szCs w:val="16"/>
          <w:lang w:val="en-US"/>
        </w:rPr>
      </w:pPr>
      <w:r w:rsidRPr="006B296A">
        <w:rPr>
          <w:rStyle w:val="FootnoteReference"/>
          <w:sz w:val="16"/>
          <w:szCs w:val="16"/>
        </w:rPr>
        <w:footnoteRef/>
      </w:r>
      <w:r w:rsidRPr="006B296A">
        <w:rPr>
          <w:sz w:val="16"/>
          <w:szCs w:val="16"/>
        </w:rPr>
        <w:t xml:space="preserve"> Girija </w:t>
      </w:r>
      <w:r w:rsidRPr="006B296A">
        <w:rPr>
          <w:sz w:val="16"/>
          <w:szCs w:val="16"/>
          <w:lang w:val="en-US"/>
        </w:rPr>
        <w:t>Borked, ‘Safety First: Perceived Risk of Street Harassment and Educational Choices of Women.’ (2018)</w:t>
      </w:r>
    </w:p>
  </w:footnote>
  <w:footnote w:id="156">
    <w:p w14:paraId="5DFBE271" w14:textId="56933F7C" w:rsidR="0067568F" w:rsidRPr="00045E57" w:rsidRDefault="0067568F" w:rsidP="0067568F">
      <w:pPr>
        <w:pStyle w:val="FootnoteText"/>
        <w:rPr>
          <w:lang w:val="en-US"/>
        </w:rPr>
      </w:pPr>
      <w:r w:rsidRPr="006B296A">
        <w:rPr>
          <w:rStyle w:val="FootnoteReference"/>
          <w:sz w:val="16"/>
          <w:szCs w:val="16"/>
        </w:rPr>
        <w:footnoteRef/>
      </w:r>
      <w:r w:rsidRPr="006B296A">
        <w:rPr>
          <w:sz w:val="16"/>
          <w:szCs w:val="16"/>
        </w:rPr>
        <w:t xml:space="preserve"> </w:t>
      </w:r>
      <w:r w:rsidR="00D56573" w:rsidRPr="00D56573">
        <w:rPr>
          <w:sz w:val="16"/>
          <w:szCs w:val="16"/>
        </w:rPr>
        <w:t>Villardón-Gallego, L., García-Cid, A., Estévez, A. &amp; García-Carrión, R. (2023). Early educational interventions to prevent gender-based violence: A systematic review. </w:t>
      </w:r>
      <w:r w:rsidR="00D56573" w:rsidRPr="00D56573">
        <w:rPr>
          <w:i/>
          <w:iCs/>
          <w:sz w:val="16"/>
          <w:szCs w:val="16"/>
        </w:rPr>
        <w:t>Healthcare (Basel)</w:t>
      </w:r>
      <w:r w:rsidR="00D56573" w:rsidRPr="00D56573">
        <w:rPr>
          <w:sz w:val="16"/>
          <w:szCs w:val="16"/>
        </w:rPr>
        <w:t>, 11(1), 142. https://doi.org/10.3390/healthcare11010142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D5922" w14:textId="4441F7AC" w:rsidR="00C76E5C" w:rsidRDefault="00C76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591F6" w14:textId="7186323B" w:rsidR="00C76E5C" w:rsidRDefault="00C76E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88E14" w14:textId="27473342" w:rsidR="00C76E5C" w:rsidRDefault="00C76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5A6A3224"/>
    <w:lvl w:ilvl="0">
      <w:start w:val="1"/>
      <w:numFmt w:val="bullet"/>
      <w:pStyle w:val="ListBullet4"/>
      <w:lvlText w:val=""/>
      <w:lvlJc w:val="left"/>
      <w:pPr>
        <w:tabs>
          <w:tab w:val="num" w:pos="-15374"/>
        </w:tabs>
        <w:ind w:left="-15374" w:hanging="360"/>
      </w:pPr>
      <w:rPr>
        <w:rFonts w:ascii="Symbol" w:hAnsi="Symbol" w:hint="default"/>
      </w:rPr>
    </w:lvl>
  </w:abstractNum>
  <w:abstractNum w:abstractNumId="1" w15:restartNumberingAfterBreak="0">
    <w:nsid w:val="FFFFFF83"/>
    <w:multiLevelType w:val="singleLevel"/>
    <w:tmpl w:val="B8981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D7031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5E520F"/>
    <w:multiLevelType w:val="multilevel"/>
    <w:tmpl w:val="A35E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F90224"/>
    <w:multiLevelType w:val="multilevel"/>
    <w:tmpl w:val="B37E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81649C"/>
    <w:multiLevelType w:val="hybridMultilevel"/>
    <w:tmpl w:val="F5E4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FA07C9"/>
    <w:multiLevelType w:val="multilevel"/>
    <w:tmpl w:val="025E0A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8D575A"/>
    <w:multiLevelType w:val="hybridMultilevel"/>
    <w:tmpl w:val="EE026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A43002"/>
    <w:multiLevelType w:val="multilevel"/>
    <w:tmpl w:val="0DBA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1F1A6C"/>
    <w:multiLevelType w:val="multilevel"/>
    <w:tmpl w:val="C72C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C04B64"/>
    <w:multiLevelType w:val="multilevel"/>
    <w:tmpl w:val="0DBE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017883"/>
    <w:multiLevelType w:val="multilevel"/>
    <w:tmpl w:val="0EB4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616230"/>
    <w:multiLevelType w:val="multilevel"/>
    <w:tmpl w:val="098C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BC679B"/>
    <w:multiLevelType w:val="hybridMultilevel"/>
    <w:tmpl w:val="E8CA1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3A5C25"/>
    <w:multiLevelType w:val="multilevel"/>
    <w:tmpl w:val="7318D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8E151F2"/>
    <w:multiLevelType w:val="multilevel"/>
    <w:tmpl w:val="FA30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90545A8"/>
    <w:multiLevelType w:val="hybridMultilevel"/>
    <w:tmpl w:val="E11C8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97B5E50"/>
    <w:multiLevelType w:val="hybridMultilevel"/>
    <w:tmpl w:val="CDBEA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9CE5FAA"/>
    <w:multiLevelType w:val="multilevel"/>
    <w:tmpl w:val="4AFCF404"/>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412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09DC6973"/>
    <w:multiLevelType w:val="multilevel"/>
    <w:tmpl w:val="4888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A1D20FA"/>
    <w:multiLevelType w:val="multilevel"/>
    <w:tmpl w:val="9186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A3A750B"/>
    <w:multiLevelType w:val="hybridMultilevel"/>
    <w:tmpl w:val="E4D8E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A5D5218"/>
    <w:multiLevelType w:val="hybridMultilevel"/>
    <w:tmpl w:val="FFFFFFFF"/>
    <w:lvl w:ilvl="0" w:tplc="8380292A">
      <w:start w:val="1"/>
      <w:numFmt w:val="bullet"/>
      <w:lvlText w:val=""/>
      <w:lvlJc w:val="left"/>
      <w:pPr>
        <w:ind w:left="720" w:hanging="360"/>
      </w:pPr>
      <w:rPr>
        <w:rFonts w:ascii="Symbol" w:hAnsi="Symbol" w:hint="default"/>
      </w:rPr>
    </w:lvl>
    <w:lvl w:ilvl="1" w:tplc="AC1097A6">
      <w:start w:val="1"/>
      <w:numFmt w:val="bullet"/>
      <w:lvlText w:val="o"/>
      <w:lvlJc w:val="left"/>
      <w:pPr>
        <w:ind w:left="1440" w:hanging="360"/>
      </w:pPr>
      <w:rPr>
        <w:rFonts w:ascii="Courier New" w:hAnsi="Courier New" w:hint="default"/>
      </w:rPr>
    </w:lvl>
    <w:lvl w:ilvl="2" w:tplc="4A54F892">
      <w:start w:val="1"/>
      <w:numFmt w:val="bullet"/>
      <w:lvlText w:val=""/>
      <w:lvlJc w:val="left"/>
      <w:pPr>
        <w:ind w:left="2160" w:hanging="360"/>
      </w:pPr>
      <w:rPr>
        <w:rFonts w:ascii="Wingdings" w:hAnsi="Wingdings" w:hint="default"/>
      </w:rPr>
    </w:lvl>
    <w:lvl w:ilvl="3" w:tplc="88EEB782">
      <w:start w:val="1"/>
      <w:numFmt w:val="bullet"/>
      <w:lvlText w:val=""/>
      <w:lvlJc w:val="left"/>
      <w:pPr>
        <w:ind w:left="2880" w:hanging="360"/>
      </w:pPr>
      <w:rPr>
        <w:rFonts w:ascii="Symbol" w:hAnsi="Symbol" w:hint="default"/>
      </w:rPr>
    </w:lvl>
    <w:lvl w:ilvl="4" w:tplc="9FA4D26E">
      <w:start w:val="1"/>
      <w:numFmt w:val="bullet"/>
      <w:lvlText w:val="o"/>
      <w:lvlJc w:val="left"/>
      <w:pPr>
        <w:ind w:left="3600" w:hanging="360"/>
      </w:pPr>
      <w:rPr>
        <w:rFonts w:ascii="Courier New" w:hAnsi="Courier New" w:hint="default"/>
      </w:rPr>
    </w:lvl>
    <w:lvl w:ilvl="5" w:tplc="809C859E">
      <w:start w:val="1"/>
      <w:numFmt w:val="bullet"/>
      <w:lvlText w:val=""/>
      <w:lvlJc w:val="left"/>
      <w:pPr>
        <w:ind w:left="4320" w:hanging="360"/>
      </w:pPr>
      <w:rPr>
        <w:rFonts w:ascii="Wingdings" w:hAnsi="Wingdings" w:hint="default"/>
      </w:rPr>
    </w:lvl>
    <w:lvl w:ilvl="6" w:tplc="81D07486">
      <w:start w:val="1"/>
      <w:numFmt w:val="bullet"/>
      <w:lvlText w:val=""/>
      <w:lvlJc w:val="left"/>
      <w:pPr>
        <w:ind w:left="5040" w:hanging="360"/>
      </w:pPr>
      <w:rPr>
        <w:rFonts w:ascii="Symbol" w:hAnsi="Symbol" w:hint="default"/>
      </w:rPr>
    </w:lvl>
    <w:lvl w:ilvl="7" w:tplc="AE30F7A8">
      <w:start w:val="1"/>
      <w:numFmt w:val="bullet"/>
      <w:lvlText w:val="o"/>
      <w:lvlJc w:val="left"/>
      <w:pPr>
        <w:ind w:left="5760" w:hanging="360"/>
      </w:pPr>
      <w:rPr>
        <w:rFonts w:ascii="Courier New" w:hAnsi="Courier New" w:hint="default"/>
      </w:rPr>
    </w:lvl>
    <w:lvl w:ilvl="8" w:tplc="6D585D0A">
      <w:start w:val="1"/>
      <w:numFmt w:val="bullet"/>
      <w:lvlText w:val=""/>
      <w:lvlJc w:val="left"/>
      <w:pPr>
        <w:ind w:left="6480" w:hanging="360"/>
      </w:pPr>
      <w:rPr>
        <w:rFonts w:ascii="Wingdings" w:hAnsi="Wingdings" w:hint="default"/>
      </w:rPr>
    </w:lvl>
  </w:abstractNum>
  <w:abstractNum w:abstractNumId="23"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B6F40E9"/>
    <w:multiLevelType w:val="hybridMultilevel"/>
    <w:tmpl w:val="B2E6A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B946CA4"/>
    <w:multiLevelType w:val="hybridMultilevel"/>
    <w:tmpl w:val="0DBC52D8"/>
    <w:lvl w:ilvl="0" w:tplc="090EC5D4">
      <w:numFmt w:val="bullet"/>
      <w:lvlText w:val="-"/>
      <w:lvlJc w:val="left"/>
      <w:pPr>
        <w:ind w:left="720" w:hanging="360"/>
      </w:pPr>
      <w:rPr>
        <w:rFonts w:ascii="Segoe UI Symbol" w:eastAsiaTheme="minorEastAsia" w:hAnsi="Segoe UI 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BFA2876"/>
    <w:multiLevelType w:val="hybridMultilevel"/>
    <w:tmpl w:val="D1763F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C19423E"/>
    <w:multiLevelType w:val="hybridMultilevel"/>
    <w:tmpl w:val="FCD28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C484730"/>
    <w:multiLevelType w:val="multilevel"/>
    <w:tmpl w:val="6598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192955"/>
    <w:multiLevelType w:val="multilevel"/>
    <w:tmpl w:val="9CB4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D97109A"/>
    <w:multiLevelType w:val="hybridMultilevel"/>
    <w:tmpl w:val="52ECA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E2B4791"/>
    <w:multiLevelType w:val="hybridMultilevel"/>
    <w:tmpl w:val="AFB06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E3E18F4"/>
    <w:multiLevelType w:val="multilevel"/>
    <w:tmpl w:val="FCA6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E9522E0"/>
    <w:multiLevelType w:val="multilevel"/>
    <w:tmpl w:val="5824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EB150E1"/>
    <w:multiLevelType w:val="multilevel"/>
    <w:tmpl w:val="2210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EDC44CD"/>
    <w:multiLevelType w:val="multilevel"/>
    <w:tmpl w:val="4C6E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F155C63"/>
    <w:multiLevelType w:val="multilevel"/>
    <w:tmpl w:val="19A8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9" w15:restartNumberingAfterBreak="0">
    <w:nsid w:val="103B4F14"/>
    <w:multiLevelType w:val="hybridMultilevel"/>
    <w:tmpl w:val="F3940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1767EB7"/>
    <w:multiLevelType w:val="hybridMultilevel"/>
    <w:tmpl w:val="F692E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1EC2C77"/>
    <w:multiLevelType w:val="hybridMultilevel"/>
    <w:tmpl w:val="B394C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24057D1"/>
    <w:multiLevelType w:val="hybridMultilevel"/>
    <w:tmpl w:val="607A7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3277C72"/>
    <w:multiLevelType w:val="hybridMultilevel"/>
    <w:tmpl w:val="0CC06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45" w15:restartNumberingAfterBreak="0">
    <w:nsid w:val="14A377C3"/>
    <w:multiLevelType w:val="hybridMultilevel"/>
    <w:tmpl w:val="9C8670C6"/>
    <w:lvl w:ilvl="0" w:tplc="B67AE93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51C0DF5"/>
    <w:multiLevelType w:val="hybridMultilevel"/>
    <w:tmpl w:val="6AB62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579747A"/>
    <w:multiLevelType w:val="multilevel"/>
    <w:tmpl w:val="CA68867A"/>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48" w15:restartNumberingAfterBreak="0">
    <w:nsid w:val="15D37DFD"/>
    <w:multiLevelType w:val="hybridMultilevel"/>
    <w:tmpl w:val="6D860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7CC2ACD"/>
    <w:multiLevelType w:val="hybridMultilevel"/>
    <w:tmpl w:val="56382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8E00FF6"/>
    <w:multiLevelType w:val="multilevel"/>
    <w:tmpl w:val="1114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9190C48"/>
    <w:multiLevelType w:val="hybridMultilevel"/>
    <w:tmpl w:val="379A8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53" w15:restartNumberingAfterBreak="0">
    <w:nsid w:val="1BA1D1C1"/>
    <w:multiLevelType w:val="hybridMultilevel"/>
    <w:tmpl w:val="0FA47196"/>
    <w:lvl w:ilvl="0" w:tplc="1AC4338A">
      <w:start w:val="1"/>
      <w:numFmt w:val="bullet"/>
      <w:lvlText w:val="·"/>
      <w:lvlJc w:val="left"/>
      <w:pPr>
        <w:ind w:left="720" w:hanging="360"/>
      </w:pPr>
      <w:rPr>
        <w:rFonts w:ascii="Symbol" w:hAnsi="Symbol" w:hint="default"/>
      </w:rPr>
    </w:lvl>
    <w:lvl w:ilvl="1" w:tplc="9352506A">
      <w:start w:val="1"/>
      <w:numFmt w:val="bullet"/>
      <w:lvlText w:val="o"/>
      <w:lvlJc w:val="left"/>
      <w:pPr>
        <w:ind w:left="1440" w:hanging="360"/>
      </w:pPr>
      <w:rPr>
        <w:rFonts w:ascii="Courier New" w:hAnsi="Courier New" w:hint="default"/>
      </w:rPr>
    </w:lvl>
    <w:lvl w:ilvl="2" w:tplc="77C8A820">
      <w:start w:val="1"/>
      <w:numFmt w:val="bullet"/>
      <w:lvlText w:val=""/>
      <w:lvlJc w:val="left"/>
      <w:pPr>
        <w:ind w:left="2160" w:hanging="360"/>
      </w:pPr>
      <w:rPr>
        <w:rFonts w:ascii="Wingdings" w:hAnsi="Wingdings" w:hint="default"/>
      </w:rPr>
    </w:lvl>
    <w:lvl w:ilvl="3" w:tplc="845658D6">
      <w:start w:val="1"/>
      <w:numFmt w:val="bullet"/>
      <w:lvlText w:val=""/>
      <w:lvlJc w:val="left"/>
      <w:pPr>
        <w:ind w:left="643" w:hanging="360"/>
      </w:pPr>
      <w:rPr>
        <w:rFonts w:ascii="Symbol" w:hAnsi="Symbol" w:hint="default"/>
      </w:rPr>
    </w:lvl>
    <w:lvl w:ilvl="4" w:tplc="67AA61C4">
      <w:start w:val="1"/>
      <w:numFmt w:val="bullet"/>
      <w:lvlText w:val="o"/>
      <w:lvlJc w:val="left"/>
      <w:pPr>
        <w:ind w:left="3600" w:hanging="360"/>
      </w:pPr>
      <w:rPr>
        <w:rFonts w:ascii="Courier New" w:hAnsi="Courier New" w:hint="default"/>
      </w:rPr>
    </w:lvl>
    <w:lvl w:ilvl="5" w:tplc="0B6ED324">
      <w:start w:val="1"/>
      <w:numFmt w:val="bullet"/>
      <w:lvlText w:val=""/>
      <w:lvlJc w:val="left"/>
      <w:pPr>
        <w:ind w:left="4320" w:hanging="360"/>
      </w:pPr>
      <w:rPr>
        <w:rFonts w:ascii="Wingdings" w:hAnsi="Wingdings" w:hint="default"/>
      </w:rPr>
    </w:lvl>
    <w:lvl w:ilvl="6" w:tplc="A192C7F2">
      <w:start w:val="1"/>
      <w:numFmt w:val="bullet"/>
      <w:lvlText w:val=""/>
      <w:lvlJc w:val="left"/>
      <w:pPr>
        <w:ind w:left="5040" w:hanging="360"/>
      </w:pPr>
      <w:rPr>
        <w:rFonts w:ascii="Symbol" w:hAnsi="Symbol" w:hint="default"/>
      </w:rPr>
    </w:lvl>
    <w:lvl w:ilvl="7" w:tplc="451A4BBC">
      <w:start w:val="1"/>
      <w:numFmt w:val="bullet"/>
      <w:lvlText w:val="o"/>
      <w:lvlJc w:val="left"/>
      <w:pPr>
        <w:ind w:left="5760" w:hanging="360"/>
      </w:pPr>
      <w:rPr>
        <w:rFonts w:ascii="Courier New" w:hAnsi="Courier New" w:hint="default"/>
      </w:rPr>
    </w:lvl>
    <w:lvl w:ilvl="8" w:tplc="CEE47D36">
      <w:start w:val="1"/>
      <w:numFmt w:val="bullet"/>
      <w:lvlText w:val=""/>
      <w:lvlJc w:val="left"/>
      <w:pPr>
        <w:ind w:left="6480" w:hanging="360"/>
      </w:pPr>
      <w:rPr>
        <w:rFonts w:ascii="Wingdings" w:hAnsi="Wingdings" w:hint="default"/>
      </w:rPr>
    </w:lvl>
  </w:abstractNum>
  <w:abstractNum w:abstractNumId="54" w15:restartNumberingAfterBreak="0">
    <w:nsid w:val="1C0A64C4"/>
    <w:multiLevelType w:val="multilevel"/>
    <w:tmpl w:val="F4C2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C220C40"/>
    <w:multiLevelType w:val="hybridMultilevel"/>
    <w:tmpl w:val="4978D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C9D674B"/>
    <w:multiLevelType w:val="multilevel"/>
    <w:tmpl w:val="C5BA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D4B093F"/>
    <w:multiLevelType w:val="multilevel"/>
    <w:tmpl w:val="C90441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DE92B0A"/>
    <w:multiLevelType w:val="multilevel"/>
    <w:tmpl w:val="D958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E3E7A64"/>
    <w:multiLevelType w:val="multilevel"/>
    <w:tmpl w:val="30E2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EF42947"/>
    <w:multiLevelType w:val="hybridMultilevel"/>
    <w:tmpl w:val="DC5C4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2" w15:restartNumberingAfterBreak="0">
    <w:nsid w:val="1F6D4934"/>
    <w:multiLevelType w:val="multilevel"/>
    <w:tmpl w:val="4DC6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0D41E0E"/>
    <w:multiLevelType w:val="hybridMultilevel"/>
    <w:tmpl w:val="6D548B14"/>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64" w15:restartNumberingAfterBreak="0">
    <w:nsid w:val="20E064A0"/>
    <w:multiLevelType w:val="multilevel"/>
    <w:tmpl w:val="1B16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1555FD7"/>
    <w:multiLevelType w:val="hybridMultilevel"/>
    <w:tmpl w:val="2780E6C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6" w15:restartNumberingAfterBreak="0">
    <w:nsid w:val="21A6049B"/>
    <w:multiLevelType w:val="multilevel"/>
    <w:tmpl w:val="CCD4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221034D"/>
    <w:multiLevelType w:val="hybridMultilevel"/>
    <w:tmpl w:val="BE600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2CC33B0"/>
    <w:multiLevelType w:val="multilevel"/>
    <w:tmpl w:val="601E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3C60ECA"/>
    <w:multiLevelType w:val="hybridMultilevel"/>
    <w:tmpl w:val="FFFFFFFF"/>
    <w:lvl w:ilvl="0" w:tplc="10A628B6">
      <w:start w:val="1"/>
      <w:numFmt w:val="bullet"/>
      <w:pStyle w:val="MBPoint"/>
      <w:lvlText w:val=""/>
      <w:lvlJc w:val="left"/>
      <w:pPr>
        <w:ind w:left="360" w:hanging="360"/>
      </w:pPr>
      <w:rPr>
        <w:rFonts w:ascii="Symbol" w:hAnsi="Symbol" w:hint="default"/>
      </w:rPr>
    </w:lvl>
    <w:lvl w:ilvl="1" w:tplc="4052EEF4">
      <w:start w:val="1"/>
      <w:numFmt w:val="bullet"/>
      <w:lvlText w:val="o"/>
      <w:lvlJc w:val="left"/>
      <w:pPr>
        <w:ind w:left="1080" w:hanging="360"/>
      </w:pPr>
      <w:rPr>
        <w:rFonts w:ascii="Courier New" w:hAnsi="Courier New" w:hint="default"/>
      </w:rPr>
    </w:lvl>
    <w:lvl w:ilvl="2" w:tplc="ADAC3970">
      <w:start w:val="1"/>
      <w:numFmt w:val="bullet"/>
      <w:lvlText w:val=""/>
      <w:lvlJc w:val="left"/>
      <w:pPr>
        <w:ind w:left="1800" w:hanging="360"/>
      </w:pPr>
      <w:rPr>
        <w:rFonts w:ascii="Wingdings" w:hAnsi="Wingdings" w:hint="default"/>
      </w:rPr>
    </w:lvl>
    <w:lvl w:ilvl="3" w:tplc="F558D5B0">
      <w:start w:val="1"/>
      <w:numFmt w:val="bullet"/>
      <w:lvlText w:val=""/>
      <w:lvlJc w:val="left"/>
      <w:pPr>
        <w:ind w:left="2520" w:hanging="360"/>
      </w:pPr>
      <w:rPr>
        <w:rFonts w:ascii="Symbol" w:hAnsi="Symbol" w:hint="default"/>
      </w:rPr>
    </w:lvl>
    <w:lvl w:ilvl="4" w:tplc="510000D4">
      <w:start w:val="1"/>
      <w:numFmt w:val="bullet"/>
      <w:lvlText w:val="o"/>
      <w:lvlJc w:val="left"/>
      <w:pPr>
        <w:ind w:left="3240" w:hanging="360"/>
      </w:pPr>
      <w:rPr>
        <w:rFonts w:ascii="Courier New" w:hAnsi="Courier New" w:hint="default"/>
      </w:rPr>
    </w:lvl>
    <w:lvl w:ilvl="5" w:tplc="080E61D6">
      <w:start w:val="1"/>
      <w:numFmt w:val="bullet"/>
      <w:lvlText w:val=""/>
      <w:lvlJc w:val="left"/>
      <w:pPr>
        <w:ind w:left="3960" w:hanging="360"/>
      </w:pPr>
      <w:rPr>
        <w:rFonts w:ascii="Wingdings" w:hAnsi="Wingdings" w:hint="default"/>
      </w:rPr>
    </w:lvl>
    <w:lvl w:ilvl="6" w:tplc="D3DE8ECE">
      <w:start w:val="1"/>
      <w:numFmt w:val="bullet"/>
      <w:lvlText w:val=""/>
      <w:lvlJc w:val="left"/>
      <w:pPr>
        <w:ind w:left="4680" w:hanging="360"/>
      </w:pPr>
      <w:rPr>
        <w:rFonts w:ascii="Symbol" w:hAnsi="Symbol" w:hint="default"/>
      </w:rPr>
    </w:lvl>
    <w:lvl w:ilvl="7" w:tplc="08E47A48">
      <w:start w:val="1"/>
      <w:numFmt w:val="bullet"/>
      <w:lvlText w:val="o"/>
      <w:lvlJc w:val="left"/>
      <w:pPr>
        <w:ind w:left="5400" w:hanging="360"/>
      </w:pPr>
      <w:rPr>
        <w:rFonts w:ascii="Courier New" w:hAnsi="Courier New" w:hint="default"/>
      </w:rPr>
    </w:lvl>
    <w:lvl w:ilvl="8" w:tplc="903CEBEE">
      <w:start w:val="1"/>
      <w:numFmt w:val="bullet"/>
      <w:lvlText w:val=""/>
      <w:lvlJc w:val="left"/>
      <w:pPr>
        <w:ind w:left="6120" w:hanging="360"/>
      </w:pPr>
      <w:rPr>
        <w:rFonts w:ascii="Wingdings" w:hAnsi="Wingdings" w:hint="default"/>
      </w:rPr>
    </w:lvl>
  </w:abstractNum>
  <w:abstractNum w:abstractNumId="70" w15:restartNumberingAfterBreak="0">
    <w:nsid w:val="243A0934"/>
    <w:multiLevelType w:val="multilevel"/>
    <w:tmpl w:val="6B34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4C136BF"/>
    <w:multiLevelType w:val="multilevel"/>
    <w:tmpl w:val="F8DA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65253DC"/>
    <w:multiLevelType w:val="multilevel"/>
    <w:tmpl w:val="D0D0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6D6274C"/>
    <w:multiLevelType w:val="multilevel"/>
    <w:tmpl w:val="6FE06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6E25614"/>
    <w:multiLevelType w:val="hybridMultilevel"/>
    <w:tmpl w:val="1410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6F843A4"/>
    <w:multiLevelType w:val="multilevel"/>
    <w:tmpl w:val="4172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7786E9E"/>
    <w:multiLevelType w:val="hybridMultilevel"/>
    <w:tmpl w:val="FC9EF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7854A54"/>
    <w:multiLevelType w:val="hybridMultilevel"/>
    <w:tmpl w:val="CC28D348"/>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80D84B3C">
      <w:numFmt w:val="bullet"/>
      <w:lvlText w:val="•"/>
      <w:lvlJc w:val="left"/>
      <w:pPr>
        <w:ind w:left="3098" w:hanging="720"/>
      </w:pPr>
      <w:rPr>
        <w:rFonts w:ascii="Aptos" w:eastAsiaTheme="minorEastAsia" w:hAnsi="Aptos" w:cstheme="minorBidi"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78" w15:restartNumberingAfterBreak="0">
    <w:nsid w:val="28F56882"/>
    <w:multiLevelType w:val="hybridMultilevel"/>
    <w:tmpl w:val="0D5C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98F12BD"/>
    <w:multiLevelType w:val="multilevel"/>
    <w:tmpl w:val="01BA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99B5DF0"/>
    <w:multiLevelType w:val="hybridMultilevel"/>
    <w:tmpl w:val="F2DEBD20"/>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2A8C7464"/>
    <w:multiLevelType w:val="hybridMultilevel"/>
    <w:tmpl w:val="A104A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B6E4735"/>
    <w:multiLevelType w:val="hybridMultilevel"/>
    <w:tmpl w:val="1D06D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C4049C3"/>
    <w:multiLevelType w:val="hybridMultilevel"/>
    <w:tmpl w:val="E436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D165493"/>
    <w:multiLevelType w:val="multilevel"/>
    <w:tmpl w:val="8F16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D6E22AC"/>
    <w:multiLevelType w:val="hybridMultilevel"/>
    <w:tmpl w:val="B39A9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D974411"/>
    <w:multiLevelType w:val="multilevel"/>
    <w:tmpl w:val="17D6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DA96ACB"/>
    <w:multiLevelType w:val="multilevel"/>
    <w:tmpl w:val="79B8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DF54F76"/>
    <w:multiLevelType w:val="multilevel"/>
    <w:tmpl w:val="6F72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DF71749"/>
    <w:multiLevelType w:val="multilevel"/>
    <w:tmpl w:val="1E5C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F1D2161"/>
    <w:multiLevelType w:val="hybridMultilevel"/>
    <w:tmpl w:val="F280D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F773588"/>
    <w:multiLevelType w:val="hybridMultilevel"/>
    <w:tmpl w:val="D25E0E7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2" w15:restartNumberingAfterBreak="0">
    <w:nsid w:val="306C49DC"/>
    <w:multiLevelType w:val="hybridMultilevel"/>
    <w:tmpl w:val="5518D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1152715"/>
    <w:multiLevelType w:val="hybridMultilevel"/>
    <w:tmpl w:val="9592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1F30416"/>
    <w:multiLevelType w:val="hybridMultilevel"/>
    <w:tmpl w:val="C7E05466"/>
    <w:lvl w:ilvl="0" w:tplc="FFFFFFFF">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95" w15:restartNumberingAfterBreak="0">
    <w:nsid w:val="31F41CB4"/>
    <w:multiLevelType w:val="multilevel"/>
    <w:tmpl w:val="CF84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3B85EF3"/>
    <w:multiLevelType w:val="hybridMultilevel"/>
    <w:tmpl w:val="9DD21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4794B57"/>
    <w:multiLevelType w:val="hybridMultilevel"/>
    <w:tmpl w:val="25F48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5CE61BF"/>
    <w:multiLevelType w:val="hybridMultilevel"/>
    <w:tmpl w:val="D816697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00" w15:restartNumberingAfterBreak="0">
    <w:nsid w:val="37EC24CD"/>
    <w:multiLevelType w:val="multilevel"/>
    <w:tmpl w:val="039A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84910C2"/>
    <w:multiLevelType w:val="hybridMultilevel"/>
    <w:tmpl w:val="2110E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8A12B75"/>
    <w:multiLevelType w:val="multilevel"/>
    <w:tmpl w:val="EBA2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90950F7"/>
    <w:multiLevelType w:val="hybridMultilevel"/>
    <w:tmpl w:val="D766F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91525B8"/>
    <w:multiLevelType w:val="multilevel"/>
    <w:tmpl w:val="6724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399B3388"/>
    <w:multiLevelType w:val="multilevel"/>
    <w:tmpl w:val="6F60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39CC78DE"/>
    <w:multiLevelType w:val="multilevel"/>
    <w:tmpl w:val="8436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3AB60873"/>
    <w:multiLevelType w:val="multilevel"/>
    <w:tmpl w:val="88BE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AF86E0E"/>
    <w:multiLevelType w:val="hybridMultilevel"/>
    <w:tmpl w:val="528EA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AFF76C1"/>
    <w:multiLevelType w:val="hybridMultilevel"/>
    <w:tmpl w:val="4BF43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B4C0E16"/>
    <w:multiLevelType w:val="multilevel"/>
    <w:tmpl w:val="41B4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BBB4575"/>
    <w:multiLevelType w:val="multilevel"/>
    <w:tmpl w:val="1F38328A"/>
    <w:lvl w:ilvl="0">
      <w:start w:val="1"/>
      <w:numFmt w:val="decimal"/>
      <w:lvlText w:val="%1"/>
      <w:lvlJc w:val="left"/>
      <w:pPr>
        <w:ind w:left="360" w:hanging="360"/>
      </w:pPr>
      <w:rPr>
        <w:rFonts w:hint="default"/>
        <w:sz w:val="28"/>
      </w:rPr>
    </w:lvl>
    <w:lvl w:ilvl="1">
      <w:start w:val="1"/>
      <w:numFmt w:val="decimal"/>
      <w:pStyle w:val="CABNumberedParagraph"/>
      <w:lvlText w:val="%1.%2"/>
      <w:lvlJc w:val="left"/>
      <w:pPr>
        <w:tabs>
          <w:tab w:val="num" w:pos="340"/>
        </w:tabs>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BC94BCB"/>
    <w:multiLevelType w:val="hybridMultilevel"/>
    <w:tmpl w:val="EE387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C041D30"/>
    <w:multiLevelType w:val="multilevel"/>
    <w:tmpl w:val="BF80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C8C0434"/>
    <w:multiLevelType w:val="hybridMultilevel"/>
    <w:tmpl w:val="FCD08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DCC776F"/>
    <w:multiLevelType w:val="multilevel"/>
    <w:tmpl w:val="4808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F3C1BD2"/>
    <w:multiLevelType w:val="hybridMultilevel"/>
    <w:tmpl w:val="F30A6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3FE57B68"/>
    <w:multiLevelType w:val="multilevel"/>
    <w:tmpl w:val="3140C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00B3542"/>
    <w:multiLevelType w:val="multilevel"/>
    <w:tmpl w:val="C744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05822C6"/>
    <w:multiLevelType w:val="hybridMultilevel"/>
    <w:tmpl w:val="918AE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0ED7BF6"/>
    <w:multiLevelType w:val="hybridMultilevel"/>
    <w:tmpl w:val="D2524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36C4CB7"/>
    <w:multiLevelType w:val="hybridMultilevel"/>
    <w:tmpl w:val="8138B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36D7CA7"/>
    <w:multiLevelType w:val="multilevel"/>
    <w:tmpl w:val="AD5E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45705D4"/>
    <w:multiLevelType w:val="hybridMultilevel"/>
    <w:tmpl w:val="872AC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49A006F"/>
    <w:multiLevelType w:val="multilevel"/>
    <w:tmpl w:val="83B0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4B062D4"/>
    <w:multiLevelType w:val="multilevel"/>
    <w:tmpl w:val="72BA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4D13F87"/>
    <w:multiLevelType w:val="multilevel"/>
    <w:tmpl w:val="BC96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5AB64AC"/>
    <w:multiLevelType w:val="hybridMultilevel"/>
    <w:tmpl w:val="C92AC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80100E6"/>
    <w:multiLevelType w:val="multilevel"/>
    <w:tmpl w:val="2F02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80249A2"/>
    <w:multiLevelType w:val="multilevel"/>
    <w:tmpl w:val="3B30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842477B"/>
    <w:multiLevelType w:val="multilevel"/>
    <w:tmpl w:val="1EB6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8AF2EF9"/>
    <w:multiLevelType w:val="hybridMultilevel"/>
    <w:tmpl w:val="7A4A0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496C7FF6"/>
    <w:multiLevelType w:val="hybridMultilevel"/>
    <w:tmpl w:val="F8126FE8"/>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33" w15:restartNumberingAfterBreak="0">
    <w:nsid w:val="496F785A"/>
    <w:multiLevelType w:val="multilevel"/>
    <w:tmpl w:val="E622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49B55F79"/>
    <w:multiLevelType w:val="hybridMultilevel"/>
    <w:tmpl w:val="87CC2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A6E221A"/>
    <w:multiLevelType w:val="multilevel"/>
    <w:tmpl w:val="101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4AC7694B"/>
    <w:multiLevelType w:val="multilevel"/>
    <w:tmpl w:val="7370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BA676A3"/>
    <w:multiLevelType w:val="hybridMultilevel"/>
    <w:tmpl w:val="2A323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C8C66F8"/>
    <w:multiLevelType w:val="multilevel"/>
    <w:tmpl w:val="F742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4D945F72"/>
    <w:multiLevelType w:val="hybridMultilevel"/>
    <w:tmpl w:val="C1845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DD66195"/>
    <w:multiLevelType w:val="multilevel"/>
    <w:tmpl w:val="D3BE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E1C4732"/>
    <w:multiLevelType w:val="hybridMultilevel"/>
    <w:tmpl w:val="F808D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F566EE1"/>
    <w:multiLevelType w:val="hybridMultilevel"/>
    <w:tmpl w:val="06CAD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4FFC2E8B"/>
    <w:multiLevelType w:val="hybridMultilevel"/>
    <w:tmpl w:val="D8DE6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10E58EF"/>
    <w:multiLevelType w:val="hybridMultilevel"/>
    <w:tmpl w:val="F3D6DC7E"/>
    <w:lvl w:ilvl="0" w:tplc="646E416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27E01E9"/>
    <w:multiLevelType w:val="multilevel"/>
    <w:tmpl w:val="F8E4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53467A0E"/>
    <w:multiLevelType w:val="hybridMultilevel"/>
    <w:tmpl w:val="88548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3AC25A2"/>
    <w:multiLevelType w:val="hybridMultilevel"/>
    <w:tmpl w:val="ED463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4F63568"/>
    <w:multiLevelType w:val="hybridMultilevel"/>
    <w:tmpl w:val="18A4A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55BC6049"/>
    <w:multiLevelType w:val="hybridMultilevel"/>
    <w:tmpl w:val="25FA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5C7753B"/>
    <w:multiLevelType w:val="multilevel"/>
    <w:tmpl w:val="35A8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5DC1201"/>
    <w:multiLevelType w:val="hybridMultilevel"/>
    <w:tmpl w:val="9FB6B9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65306D0"/>
    <w:multiLevelType w:val="multilevel"/>
    <w:tmpl w:val="031E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6C9245A"/>
    <w:multiLevelType w:val="multilevel"/>
    <w:tmpl w:val="8FEC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8201DD2"/>
    <w:multiLevelType w:val="hybridMultilevel"/>
    <w:tmpl w:val="7C6EE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594B4A6E"/>
    <w:multiLevelType w:val="hybridMultilevel"/>
    <w:tmpl w:val="2CB0B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594E5EFC"/>
    <w:multiLevelType w:val="multilevel"/>
    <w:tmpl w:val="5558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5A2039F4"/>
    <w:multiLevelType w:val="multilevel"/>
    <w:tmpl w:val="F234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A9244B8"/>
    <w:multiLevelType w:val="hybridMultilevel"/>
    <w:tmpl w:val="02E446C4"/>
    <w:lvl w:ilvl="0" w:tplc="36A4863C">
      <w:start w:val="1"/>
      <w:numFmt w:val="bullet"/>
      <w:lvlText w:val=""/>
      <w:lvlJc w:val="left"/>
      <w:pPr>
        <w:ind w:left="720" w:hanging="360"/>
      </w:pPr>
      <w:rPr>
        <w:rFonts w:ascii="Symbol" w:hAnsi="Symbol" w:hint="default"/>
      </w:rPr>
    </w:lvl>
    <w:lvl w:ilvl="1" w:tplc="0E681FC0">
      <w:start w:val="1"/>
      <w:numFmt w:val="bullet"/>
      <w:lvlText w:val="o"/>
      <w:lvlJc w:val="left"/>
      <w:pPr>
        <w:ind w:left="1440" w:hanging="360"/>
      </w:pPr>
      <w:rPr>
        <w:rFonts w:ascii="Courier New" w:hAnsi="Courier New" w:hint="default"/>
      </w:rPr>
    </w:lvl>
    <w:lvl w:ilvl="2" w:tplc="4B5EB564">
      <w:start w:val="1"/>
      <w:numFmt w:val="bullet"/>
      <w:lvlText w:val=""/>
      <w:lvlJc w:val="left"/>
      <w:pPr>
        <w:ind w:left="2160" w:hanging="360"/>
      </w:pPr>
      <w:rPr>
        <w:rFonts w:ascii="Wingdings" w:hAnsi="Wingdings" w:hint="default"/>
      </w:rPr>
    </w:lvl>
    <w:lvl w:ilvl="3" w:tplc="49605A40">
      <w:start w:val="1"/>
      <w:numFmt w:val="bullet"/>
      <w:lvlText w:val=""/>
      <w:lvlJc w:val="left"/>
      <w:pPr>
        <w:ind w:left="2880" w:hanging="360"/>
      </w:pPr>
      <w:rPr>
        <w:rFonts w:ascii="Symbol" w:hAnsi="Symbol" w:hint="default"/>
      </w:rPr>
    </w:lvl>
    <w:lvl w:ilvl="4" w:tplc="BF36FD3A">
      <w:start w:val="1"/>
      <w:numFmt w:val="bullet"/>
      <w:lvlText w:val="o"/>
      <w:lvlJc w:val="left"/>
      <w:pPr>
        <w:ind w:left="3600" w:hanging="360"/>
      </w:pPr>
      <w:rPr>
        <w:rFonts w:ascii="Courier New" w:hAnsi="Courier New" w:hint="default"/>
      </w:rPr>
    </w:lvl>
    <w:lvl w:ilvl="5" w:tplc="4B6014E6">
      <w:start w:val="1"/>
      <w:numFmt w:val="bullet"/>
      <w:lvlText w:val=""/>
      <w:lvlJc w:val="left"/>
      <w:pPr>
        <w:ind w:left="4320" w:hanging="360"/>
      </w:pPr>
      <w:rPr>
        <w:rFonts w:ascii="Wingdings" w:hAnsi="Wingdings" w:hint="default"/>
      </w:rPr>
    </w:lvl>
    <w:lvl w:ilvl="6" w:tplc="41F00378">
      <w:start w:val="1"/>
      <w:numFmt w:val="bullet"/>
      <w:lvlText w:val=""/>
      <w:lvlJc w:val="left"/>
      <w:pPr>
        <w:ind w:left="5040" w:hanging="360"/>
      </w:pPr>
      <w:rPr>
        <w:rFonts w:ascii="Symbol" w:hAnsi="Symbol" w:hint="default"/>
      </w:rPr>
    </w:lvl>
    <w:lvl w:ilvl="7" w:tplc="8BB671C8">
      <w:start w:val="1"/>
      <w:numFmt w:val="bullet"/>
      <w:lvlText w:val="o"/>
      <w:lvlJc w:val="left"/>
      <w:pPr>
        <w:ind w:left="5760" w:hanging="360"/>
      </w:pPr>
      <w:rPr>
        <w:rFonts w:ascii="Courier New" w:hAnsi="Courier New" w:hint="default"/>
      </w:rPr>
    </w:lvl>
    <w:lvl w:ilvl="8" w:tplc="8728904E">
      <w:start w:val="1"/>
      <w:numFmt w:val="bullet"/>
      <w:lvlText w:val=""/>
      <w:lvlJc w:val="left"/>
      <w:pPr>
        <w:ind w:left="6480" w:hanging="360"/>
      </w:pPr>
      <w:rPr>
        <w:rFonts w:ascii="Wingdings" w:hAnsi="Wingdings" w:hint="default"/>
      </w:rPr>
    </w:lvl>
  </w:abstractNum>
  <w:abstractNum w:abstractNumId="159" w15:restartNumberingAfterBreak="0">
    <w:nsid w:val="5AFB1326"/>
    <w:multiLevelType w:val="hybridMultilevel"/>
    <w:tmpl w:val="877E7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5B3D0F54"/>
    <w:multiLevelType w:val="hybridMultilevel"/>
    <w:tmpl w:val="CCAC6EC8"/>
    <w:lvl w:ilvl="0" w:tplc="513E109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5C1600FB"/>
    <w:multiLevelType w:val="multilevel"/>
    <w:tmpl w:val="947E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5CA4574B"/>
    <w:multiLevelType w:val="hybridMultilevel"/>
    <w:tmpl w:val="DE3C6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5D611FDA"/>
    <w:multiLevelType w:val="hybridMultilevel"/>
    <w:tmpl w:val="4EF0A7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DAB257C"/>
    <w:multiLevelType w:val="multilevel"/>
    <w:tmpl w:val="92F0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E662BC1"/>
    <w:multiLevelType w:val="hybridMultilevel"/>
    <w:tmpl w:val="6F462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5F1B4CFB"/>
    <w:multiLevelType w:val="hybridMultilevel"/>
    <w:tmpl w:val="50F89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5F946FAC"/>
    <w:multiLevelType w:val="multilevel"/>
    <w:tmpl w:val="AE02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0474965"/>
    <w:multiLevelType w:val="multilevel"/>
    <w:tmpl w:val="D5B6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0513E6C"/>
    <w:multiLevelType w:val="hybridMultilevel"/>
    <w:tmpl w:val="FEE0A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627E49F9"/>
    <w:multiLevelType w:val="hybridMultilevel"/>
    <w:tmpl w:val="6FFE0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63034225"/>
    <w:multiLevelType w:val="hybridMultilevel"/>
    <w:tmpl w:val="68143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351724C"/>
    <w:multiLevelType w:val="multilevel"/>
    <w:tmpl w:val="2D82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4211B7B"/>
    <w:multiLevelType w:val="multilevel"/>
    <w:tmpl w:val="C378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4A37ADC"/>
    <w:multiLevelType w:val="multilevel"/>
    <w:tmpl w:val="2452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56B10C6"/>
    <w:multiLevelType w:val="multilevel"/>
    <w:tmpl w:val="4F6C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56D45FA"/>
    <w:multiLevelType w:val="multilevel"/>
    <w:tmpl w:val="909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65DA22A0"/>
    <w:multiLevelType w:val="multilevel"/>
    <w:tmpl w:val="0ADA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65E00551"/>
    <w:multiLevelType w:val="multilevel"/>
    <w:tmpl w:val="5FCC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669411B0"/>
    <w:multiLevelType w:val="hybridMultilevel"/>
    <w:tmpl w:val="6324F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676B52CC"/>
    <w:multiLevelType w:val="multilevel"/>
    <w:tmpl w:val="2190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7C94E49"/>
    <w:multiLevelType w:val="multilevel"/>
    <w:tmpl w:val="1282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8C2327E"/>
    <w:multiLevelType w:val="hybridMultilevel"/>
    <w:tmpl w:val="B7FA6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69DA1756"/>
    <w:multiLevelType w:val="hybridMultilevel"/>
    <w:tmpl w:val="013803B4"/>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84" w15:restartNumberingAfterBreak="0">
    <w:nsid w:val="6A9D5746"/>
    <w:multiLevelType w:val="hybridMultilevel"/>
    <w:tmpl w:val="B432862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5" w15:restartNumberingAfterBreak="0">
    <w:nsid w:val="6B4C11AA"/>
    <w:multiLevelType w:val="hybridMultilevel"/>
    <w:tmpl w:val="1BF4E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6B7063CB"/>
    <w:multiLevelType w:val="multilevel"/>
    <w:tmpl w:val="4C1C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6D0102D2"/>
    <w:multiLevelType w:val="hybridMultilevel"/>
    <w:tmpl w:val="D0BE7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6D11045F"/>
    <w:multiLevelType w:val="multilevel"/>
    <w:tmpl w:val="D60E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6D937B57"/>
    <w:multiLevelType w:val="hybridMultilevel"/>
    <w:tmpl w:val="145C6A6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90" w15:restartNumberingAfterBreak="0">
    <w:nsid w:val="6E307EA4"/>
    <w:multiLevelType w:val="multilevel"/>
    <w:tmpl w:val="4CD2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6F446452"/>
    <w:multiLevelType w:val="multilevel"/>
    <w:tmpl w:val="B79A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6F5E283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700B17B3"/>
    <w:multiLevelType w:val="hybridMultilevel"/>
    <w:tmpl w:val="CC0C7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702049F8"/>
    <w:multiLevelType w:val="multilevel"/>
    <w:tmpl w:val="C74A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703B450C"/>
    <w:multiLevelType w:val="multilevel"/>
    <w:tmpl w:val="2438DA1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6" w15:restartNumberingAfterBreak="0">
    <w:nsid w:val="71063415"/>
    <w:multiLevelType w:val="hybridMultilevel"/>
    <w:tmpl w:val="7AE06E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71367D01"/>
    <w:multiLevelType w:val="multilevel"/>
    <w:tmpl w:val="CD14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71617360"/>
    <w:multiLevelType w:val="hybridMultilevel"/>
    <w:tmpl w:val="E326E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71702269"/>
    <w:multiLevelType w:val="hybridMultilevel"/>
    <w:tmpl w:val="9378C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71CD1C9A"/>
    <w:multiLevelType w:val="hybridMultilevel"/>
    <w:tmpl w:val="CCC67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721F53B2"/>
    <w:multiLevelType w:val="hybridMultilevel"/>
    <w:tmpl w:val="3732F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72807A58"/>
    <w:multiLevelType w:val="hybridMultilevel"/>
    <w:tmpl w:val="A1584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736075F7"/>
    <w:multiLevelType w:val="multilevel"/>
    <w:tmpl w:val="B220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05" w15:restartNumberingAfterBreak="0">
    <w:nsid w:val="74A36B31"/>
    <w:multiLevelType w:val="multilevel"/>
    <w:tmpl w:val="246A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757974C5"/>
    <w:multiLevelType w:val="hybridMultilevel"/>
    <w:tmpl w:val="38CC62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75894F93"/>
    <w:multiLevelType w:val="hybridMultilevel"/>
    <w:tmpl w:val="F1A4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75980B0D"/>
    <w:multiLevelType w:val="hybridMultilevel"/>
    <w:tmpl w:val="48C8AE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9" w15:restartNumberingAfterBreak="0">
    <w:nsid w:val="75C853D9"/>
    <w:multiLevelType w:val="multilevel"/>
    <w:tmpl w:val="DA92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77486A3C"/>
    <w:multiLevelType w:val="hybridMultilevel"/>
    <w:tmpl w:val="8C7E5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7774728E"/>
    <w:multiLevelType w:val="hybridMultilevel"/>
    <w:tmpl w:val="2042C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78A10536"/>
    <w:multiLevelType w:val="hybridMultilevel"/>
    <w:tmpl w:val="360E2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7903339E"/>
    <w:multiLevelType w:val="multilevel"/>
    <w:tmpl w:val="53D6CE6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A446090"/>
    <w:multiLevelType w:val="hybridMultilevel"/>
    <w:tmpl w:val="89FE6B7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6" w15:restartNumberingAfterBreak="0">
    <w:nsid w:val="7A68491D"/>
    <w:multiLevelType w:val="multilevel"/>
    <w:tmpl w:val="556C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7AE56C02"/>
    <w:multiLevelType w:val="multilevel"/>
    <w:tmpl w:val="D426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7B247766"/>
    <w:multiLevelType w:val="hybridMultilevel"/>
    <w:tmpl w:val="B3042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7BAE0EDA"/>
    <w:multiLevelType w:val="hybridMultilevel"/>
    <w:tmpl w:val="F5F425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0" w15:restartNumberingAfterBreak="0">
    <w:nsid w:val="7BCE6040"/>
    <w:multiLevelType w:val="hybridMultilevel"/>
    <w:tmpl w:val="54F6F786"/>
    <w:lvl w:ilvl="0" w:tplc="0C09000F">
      <w:start w:val="1"/>
      <w:numFmt w:val="decimal"/>
      <w:lvlText w:val="%1."/>
      <w:lvlJc w:val="left"/>
      <w:pPr>
        <w:ind w:left="720" w:hanging="360"/>
      </w:pPr>
    </w:lvl>
    <w:lvl w:ilvl="1" w:tplc="0C09000F">
      <w:start w:val="1"/>
      <w:numFmt w:val="decimal"/>
      <w:lvlText w:val="%2."/>
      <w:lvlJc w:val="left"/>
      <w:pPr>
        <w:ind w:left="72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7C76072E"/>
    <w:multiLevelType w:val="hybridMultilevel"/>
    <w:tmpl w:val="64048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7D7679AE"/>
    <w:multiLevelType w:val="hybridMultilevel"/>
    <w:tmpl w:val="74DCA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7D770399"/>
    <w:multiLevelType w:val="hybridMultilevel"/>
    <w:tmpl w:val="8ABCF4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4" w15:restartNumberingAfterBreak="0">
    <w:nsid w:val="7E0612D8"/>
    <w:multiLevelType w:val="multilevel"/>
    <w:tmpl w:val="12F4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7ED4543C"/>
    <w:multiLevelType w:val="hybridMultilevel"/>
    <w:tmpl w:val="A4746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F5A023B"/>
    <w:multiLevelType w:val="multilevel"/>
    <w:tmpl w:val="5CD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7F9133DB"/>
    <w:multiLevelType w:val="multilevel"/>
    <w:tmpl w:val="1AEA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4"/>
  </w:num>
  <w:num w:numId="2">
    <w:abstractNumId w:val="192"/>
  </w:num>
  <w:num w:numId="3">
    <w:abstractNumId w:val="18"/>
  </w:num>
  <w:num w:numId="4">
    <w:abstractNumId w:val="63"/>
  </w:num>
  <w:num w:numId="5">
    <w:abstractNumId w:val="69"/>
  </w:num>
  <w:num w:numId="6">
    <w:abstractNumId w:val="24"/>
  </w:num>
  <w:num w:numId="7">
    <w:abstractNumId w:val="23"/>
  </w:num>
  <w:num w:numId="8">
    <w:abstractNumId w:val="77"/>
  </w:num>
  <w:num w:numId="9">
    <w:abstractNumId w:val="212"/>
  </w:num>
  <w:num w:numId="10">
    <w:abstractNumId w:val="52"/>
  </w:num>
  <w:num w:numId="11">
    <w:abstractNumId w:val="132"/>
  </w:num>
  <w:num w:numId="12">
    <w:abstractNumId w:val="44"/>
  </w:num>
  <w:num w:numId="13">
    <w:abstractNumId w:val="61"/>
  </w:num>
  <w:num w:numId="14">
    <w:abstractNumId w:val="38"/>
  </w:num>
  <w:num w:numId="15">
    <w:abstractNumId w:val="204"/>
  </w:num>
  <w:num w:numId="16">
    <w:abstractNumId w:val="99"/>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abstractNumId w:val="2"/>
  </w:num>
  <w:num w:numId="18">
    <w:abstractNumId w:val="111"/>
  </w:num>
  <w:num w:numId="19">
    <w:abstractNumId w:val="55"/>
  </w:num>
  <w:num w:numId="20">
    <w:abstractNumId w:val="184"/>
  </w:num>
  <w:num w:numId="21">
    <w:abstractNumId w:val="98"/>
  </w:num>
  <w:num w:numId="22">
    <w:abstractNumId w:val="47"/>
  </w:num>
  <w:num w:numId="23">
    <w:abstractNumId w:val="206"/>
  </w:num>
  <w:num w:numId="24">
    <w:abstractNumId w:val="148"/>
  </w:num>
  <w:num w:numId="25">
    <w:abstractNumId w:val="28"/>
  </w:num>
  <w:num w:numId="26">
    <w:abstractNumId w:val="83"/>
  </w:num>
  <w:num w:numId="27">
    <w:abstractNumId w:val="41"/>
  </w:num>
  <w:num w:numId="28">
    <w:abstractNumId w:val="146"/>
  </w:num>
  <w:num w:numId="29">
    <w:abstractNumId w:val="6"/>
  </w:num>
  <w:num w:numId="30">
    <w:abstractNumId w:val="27"/>
  </w:num>
  <w:num w:numId="31">
    <w:abstractNumId w:val="48"/>
  </w:num>
  <w:num w:numId="32">
    <w:abstractNumId w:val="137"/>
  </w:num>
  <w:num w:numId="33">
    <w:abstractNumId w:val="16"/>
  </w:num>
  <w:num w:numId="34">
    <w:abstractNumId w:val="199"/>
  </w:num>
  <w:num w:numId="35">
    <w:abstractNumId w:val="40"/>
  </w:num>
  <w:num w:numId="36">
    <w:abstractNumId w:val="141"/>
  </w:num>
  <w:num w:numId="37">
    <w:abstractNumId w:val="101"/>
  </w:num>
  <w:num w:numId="38">
    <w:abstractNumId w:val="67"/>
  </w:num>
  <w:num w:numId="39">
    <w:abstractNumId w:val="5"/>
  </w:num>
  <w:num w:numId="40">
    <w:abstractNumId w:val="194"/>
  </w:num>
  <w:num w:numId="41">
    <w:abstractNumId w:val="53"/>
  </w:num>
  <w:num w:numId="42">
    <w:abstractNumId w:val="214"/>
  </w:num>
  <w:num w:numId="43">
    <w:abstractNumId w:val="45"/>
  </w:num>
  <w:num w:numId="44">
    <w:abstractNumId w:val="109"/>
  </w:num>
  <w:num w:numId="45">
    <w:abstractNumId w:val="119"/>
  </w:num>
  <w:num w:numId="46">
    <w:abstractNumId w:val="112"/>
  </w:num>
  <w:num w:numId="47">
    <w:abstractNumId w:val="144"/>
  </w:num>
  <w:num w:numId="48">
    <w:abstractNumId w:val="183"/>
  </w:num>
  <w:num w:numId="49">
    <w:abstractNumId w:val="50"/>
  </w:num>
  <w:num w:numId="50">
    <w:abstractNumId w:val="224"/>
  </w:num>
  <w:num w:numId="51">
    <w:abstractNumId w:val="86"/>
  </w:num>
  <w:num w:numId="52">
    <w:abstractNumId w:val="167"/>
  </w:num>
  <w:num w:numId="53">
    <w:abstractNumId w:val="66"/>
  </w:num>
  <w:num w:numId="54">
    <w:abstractNumId w:val="59"/>
  </w:num>
  <w:num w:numId="55">
    <w:abstractNumId w:val="71"/>
  </w:num>
  <w:num w:numId="56">
    <w:abstractNumId w:val="129"/>
  </w:num>
  <w:num w:numId="57">
    <w:abstractNumId w:val="110"/>
  </w:num>
  <w:num w:numId="58">
    <w:abstractNumId w:val="164"/>
  </w:num>
  <w:num w:numId="59">
    <w:abstractNumId w:val="172"/>
  </w:num>
  <w:num w:numId="60">
    <w:abstractNumId w:val="136"/>
  </w:num>
  <w:num w:numId="61">
    <w:abstractNumId w:val="37"/>
  </w:num>
  <w:num w:numId="62">
    <w:abstractNumId w:val="3"/>
  </w:num>
  <w:num w:numId="63">
    <w:abstractNumId w:val="178"/>
  </w:num>
  <w:num w:numId="64">
    <w:abstractNumId w:val="89"/>
  </w:num>
  <w:num w:numId="65">
    <w:abstractNumId w:val="68"/>
  </w:num>
  <w:num w:numId="66">
    <w:abstractNumId w:val="64"/>
  </w:num>
  <w:num w:numId="67">
    <w:abstractNumId w:val="135"/>
  </w:num>
  <w:num w:numId="68">
    <w:abstractNumId w:val="122"/>
  </w:num>
  <w:num w:numId="69">
    <w:abstractNumId w:val="30"/>
  </w:num>
  <w:num w:numId="70">
    <w:abstractNumId w:val="95"/>
  </w:num>
  <w:num w:numId="71">
    <w:abstractNumId w:val="216"/>
  </w:num>
  <w:num w:numId="72">
    <w:abstractNumId w:val="176"/>
  </w:num>
  <w:num w:numId="73">
    <w:abstractNumId w:val="227"/>
  </w:num>
  <w:num w:numId="74">
    <w:abstractNumId w:val="4"/>
  </w:num>
  <w:num w:numId="75">
    <w:abstractNumId w:val="100"/>
  </w:num>
  <w:num w:numId="76">
    <w:abstractNumId w:val="106"/>
  </w:num>
  <w:num w:numId="77">
    <w:abstractNumId w:val="9"/>
  </w:num>
  <w:num w:numId="78">
    <w:abstractNumId w:val="175"/>
  </w:num>
  <w:num w:numId="79">
    <w:abstractNumId w:val="115"/>
  </w:num>
  <w:num w:numId="80">
    <w:abstractNumId w:val="126"/>
  </w:num>
  <w:num w:numId="81">
    <w:abstractNumId w:val="197"/>
  </w:num>
  <w:num w:numId="82">
    <w:abstractNumId w:val="157"/>
  </w:num>
  <w:num w:numId="83">
    <w:abstractNumId w:val="56"/>
  </w:num>
  <w:num w:numId="84">
    <w:abstractNumId w:val="203"/>
  </w:num>
  <w:num w:numId="85">
    <w:abstractNumId w:val="54"/>
  </w:num>
  <w:num w:numId="86">
    <w:abstractNumId w:val="138"/>
  </w:num>
  <w:num w:numId="87">
    <w:abstractNumId w:val="79"/>
  </w:num>
  <w:num w:numId="88">
    <w:abstractNumId w:val="140"/>
  </w:num>
  <w:num w:numId="89">
    <w:abstractNumId w:val="62"/>
  </w:num>
  <w:num w:numId="90">
    <w:abstractNumId w:val="105"/>
  </w:num>
  <w:num w:numId="91">
    <w:abstractNumId w:val="156"/>
  </w:num>
  <w:num w:numId="92">
    <w:abstractNumId w:val="32"/>
  </w:num>
  <w:num w:numId="93">
    <w:abstractNumId w:val="154"/>
  </w:num>
  <w:num w:numId="94">
    <w:abstractNumId w:val="225"/>
  </w:num>
  <w:num w:numId="95">
    <w:abstractNumId w:val="198"/>
  </w:num>
  <w:num w:numId="96">
    <w:abstractNumId w:val="103"/>
  </w:num>
  <w:num w:numId="97">
    <w:abstractNumId w:val="114"/>
  </w:num>
  <w:num w:numId="98">
    <w:abstractNumId w:val="76"/>
  </w:num>
  <w:num w:numId="99">
    <w:abstractNumId w:val="131"/>
  </w:num>
  <w:num w:numId="100">
    <w:abstractNumId w:val="26"/>
  </w:num>
  <w:num w:numId="101">
    <w:abstractNumId w:val="74"/>
  </w:num>
  <w:num w:numId="102">
    <w:abstractNumId w:val="60"/>
  </w:num>
  <w:num w:numId="103">
    <w:abstractNumId w:val="202"/>
  </w:num>
  <w:num w:numId="104">
    <w:abstractNumId w:val="78"/>
  </w:num>
  <w:num w:numId="105">
    <w:abstractNumId w:val="187"/>
  </w:num>
  <w:num w:numId="106">
    <w:abstractNumId w:val="142"/>
  </w:num>
  <w:num w:numId="107">
    <w:abstractNumId w:val="149"/>
  </w:num>
  <w:num w:numId="108">
    <w:abstractNumId w:val="215"/>
  </w:num>
  <w:num w:numId="109">
    <w:abstractNumId w:val="93"/>
  </w:num>
  <w:num w:numId="110">
    <w:abstractNumId w:val="213"/>
  </w:num>
  <w:num w:numId="111">
    <w:abstractNumId w:val="165"/>
  </w:num>
  <w:num w:numId="112">
    <w:abstractNumId w:val="179"/>
  </w:num>
  <w:num w:numId="113">
    <w:abstractNumId w:val="0"/>
  </w:num>
  <w:num w:numId="114">
    <w:abstractNumId w:val="13"/>
  </w:num>
  <w:num w:numId="115">
    <w:abstractNumId w:val="51"/>
  </w:num>
  <w:num w:numId="116">
    <w:abstractNumId w:val="81"/>
  </w:num>
  <w:num w:numId="117">
    <w:abstractNumId w:val="147"/>
  </w:num>
  <w:num w:numId="118">
    <w:abstractNumId w:val="222"/>
  </w:num>
  <w:num w:numId="119">
    <w:abstractNumId w:val="166"/>
  </w:num>
  <w:num w:numId="120">
    <w:abstractNumId w:val="185"/>
  </w:num>
  <w:num w:numId="121">
    <w:abstractNumId w:val="92"/>
  </w:num>
  <w:num w:numId="122">
    <w:abstractNumId w:val="108"/>
  </w:num>
  <w:num w:numId="123">
    <w:abstractNumId w:val="134"/>
  </w:num>
  <w:num w:numId="124">
    <w:abstractNumId w:val="162"/>
  </w:num>
  <w:num w:numId="125">
    <w:abstractNumId w:val="120"/>
  </w:num>
  <w:num w:numId="126">
    <w:abstractNumId w:val="143"/>
  </w:num>
  <w:num w:numId="127">
    <w:abstractNumId w:val="90"/>
  </w:num>
  <w:num w:numId="128">
    <w:abstractNumId w:val="155"/>
  </w:num>
  <w:num w:numId="129">
    <w:abstractNumId w:val="7"/>
  </w:num>
  <w:num w:numId="130">
    <w:abstractNumId w:val="196"/>
  </w:num>
  <w:num w:numId="131">
    <w:abstractNumId w:val="160"/>
  </w:num>
  <w:num w:numId="132">
    <w:abstractNumId w:val="130"/>
  </w:num>
  <w:num w:numId="133">
    <w:abstractNumId w:val="118"/>
  </w:num>
  <w:num w:numId="134">
    <w:abstractNumId w:val="145"/>
  </w:num>
  <w:num w:numId="135">
    <w:abstractNumId w:val="31"/>
  </w:num>
  <w:num w:numId="136">
    <w:abstractNumId w:val="116"/>
  </w:num>
  <w:num w:numId="137">
    <w:abstractNumId w:val="82"/>
  </w:num>
  <w:num w:numId="138">
    <w:abstractNumId w:val="182"/>
  </w:num>
  <w:num w:numId="139">
    <w:abstractNumId w:val="15"/>
  </w:num>
  <w:num w:numId="140">
    <w:abstractNumId w:val="8"/>
  </w:num>
  <w:num w:numId="141">
    <w:abstractNumId w:val="73"/>
  </w:num>
  <w:num w:numId="142">
    <w:abstractNumId w:val="161"/>
  </w:num>
  <w:num w:numId="143">
    <w:abstractNumId w:val="133"/>
  </w:num>
  <w:num w:numId="144">
    <w:abstractNumId w:val="173"/>
  </w:num>
  <w:num w:numId="145">
    <w:abstractNumId w:val="209"/>
  </w:num>
  <w:num w:numId="146">
    <w:abstractNumId w:val="177"/>
  </w:num>
  <w:num w:numId="147">
    <w:abstractNumId w:val="217"/>
  </w:num>
  <w:num w:numId="148">
    <w:abstractNumId w:val="20"/>
  </w:num>
  <w:num w:numId="149">
    <w:abstractNumId w:val="14"/>
  </w:num>
  <w:num w:numId="150">
    <w:abstractNumId w:val="180"/>
  </w:num>
  <w:num w:numId="151">
    <w:abstractNumId w:val="80"/>
  </w:num>
  <w:num w:numId="152">
    <w:abstractNumId w:val="65"/>
  </w:num>
  <w:num w:numId="153">
    <w:abstractNumId w:val="181"/>
  </w:num>
  <w:num w:numId="154">
    <w:abstractNumId w:val="226"/>
  </w:num>
  <w:num w:numId="155">
    <w:abstractNumId w:val="117"/>
  </w:num>
  <w:num w:numId="156">
    <w:abstractNumId w:val="153"/>
  </w:num>
  <w:num w:numId="157">
    <w:abstractNumId w:val="124"/>
  </w:num>
  <w:num w:numId="158">
    <w:abstractNumId w:val="174"/>
  </w:num>
  <w:num w:numId="159">
    <w:abstractNumId w:val="113"/>
  </w:num>
  <w:num w:numId="160">
    <w:abstractNumId w:val="191"/>
  </w:num>
  <w:num w:numId="161">
    <w:abstractNumId w:val="107"/>
  </w:num>
  <w:num w:numId="162">
    <w:abstractNumId w:val="205"/>
  </w:num>
  <w:num w:numId="163">
    <w:abstractNumId w:val="33"/>
  </w:num>
  <w:num w:numId="164">
    <w:abstractNumId w:val="102"/>
  </w:num>
  <w:num w:numId="165">
    <w:abstractNumId w:val="186"/>
  </w:num>
  <w:num w:numId="166">
    <w:abstractNumId w:val="104"/>
  </w:num>
  <w:num w:numId="167">
    <w:abstractNumId w:val="34"/>
  </w:num>
  <w:num w:numId="168">
    <w:abstractNumId w:val="10"/>
  </w:num>
  <w:num w:numId="169">
    <w:abstractNumId w:val="29"/>
  </w:num>
  <w:num w:numId="170">
    <w:abstractNumId w:val="84"/>
  </w:num>
  <w:num w:numId="171">
    <w:abstractNumId w:val="19"/>
  </w:num>
  <w:num w:numId="172">
    <w:abstractNumId w:val="152"/>
  </w:num>
  <w:num w:numId="173">
    <w:abstractNumId w:val="125"/>
  </w:num>
  <w:num w:numId="174">
    <w:abstractNumId w:val="168"/>
  </w:num>
  <w:num w:numId="175">
    <w:abstractNumId w:val="190"/>
  </w:num>
  <w:num w:numId="176">
    <w:abstractNumId w:val="39"/>
  </w:num>
  <w:num w:numId="177">
    <w:abstractNumId w:val="208"/>
  </w:num>
  <w:num w:numId="178">
    <w:abstractNumId w:val="96"/>
  </w:num>
  <w:num w:numId="179">
    <w:abstractNumId w:val="201"/>
  </w:num>
  <w:num w:numId="180">
    <w:abstractNumId w:val="139"/>
  </w:num>
  <w:num w:numId="181">
    <w:abstractNumId w:val="211"/>
  </w:num>
  <w:num w:numId="182">
    <w:abstractNumId w:val="49"/>
  </w:num>
  <w:num w:numId="183">
    <w:abstractNumId w:val="193"/>
  </w:num>
  <w:num w:numId="184">
    <w:abstractNumId w:val="25"/>
  </w:num>
  <w:num w:numId="185">
    <w:abstractNumId w:val="169"/>
  </w:num>
  <w:num w:numId="186">
    <w:abstractNumId w:val="22"/>
  </w:num>
  <w:num w:numId="187">
    <w:abstractNumId w:val="171"/>
  </w:num>
  <w:num w:numId="188">
    <w:abstractNumId w:val="188"/>
  </w:num>
  <w:num w:numId="189">
    <w:abstractNumId w:val="159"/>
  </w:num>
  <w:num w:numId="190">
    <w:abstractNumId w:val="121"/>
  </w:num>
  <w:num w:numId="191">
    <w:abstractNumId w:val="128"/>
  </w:num>
  <w:num w:numId="192">
    <w:abstractNumId w:val="158"/>
  </w:num>
  <w:num w:numId="193">
    <w:abstractNumId w:val="151"/>
  </w:num>
  <w:num w:numId="194">
    <w:abstractNumId w:val="200"/>
  </w:num>
  <w:num w:numId="195">
    <w:abstractNumId w:val="72"/>
  </w:num>
  <w:num w:numId="196">
    <w:abstractNumId w:val="88"/>
  </w:num>
  <w:num w:numId="197">
    <w:abstractNumId w:val="58"/>
  </w:num>
  <w:num w:numId="198">
    <w:abstractNumId w:val="170"/>
  </w:num>
  <w:num w:numId="199">
    <w:abstractNumId w:val="123"/>
  </w:num>
  <w:num w:numId="200">
    <w:abstractNumId w:val="35"/>
  </w:num>
  <w:num w:numId="201">
    <w:abstractNumId w:val="70"/>
  </w:num>
  <w:num w:numId="202">
    <w:abstractNumId w:val="87"/>
  </w:num>
  <w:num w:numId="203">
    <w:abstractNumId w:val="12"/>
  </w:num>
  <w:num w:numId="204">
    <w:abstractNumId w:val="11"/>
  </w:num>
  <w:num w:numId="205">
    <w:abstractNumId w:val="75"/>
  </w:num>
  <w:num w:numId="206">
    <w:abstractNumId w:val="150"/>
  </w:num>
  <w:num w:numId="207">
    <w:abstractNumId w:val="85"/>
  </w:num>
  <w:num w:numId="208">
    <w:abstractNumId w:val="189"/>
  </w:num>
  <w:num w:numId="209">
    <w:abstractNumId w:val="218"/>
  </w:num>
  <w:num w:numId="210">
    <w:abstractNumId w:val="21"/>
  </w:num>
  <w:num w:numId="211">
    <w:abstractNumId w:val="46"/>
  </w:num>
  <w:num w:numId="212">
    <w:abstractNumId w:val="163"/>
  </w:num>
  <w:num w:numId="213">
    <w:abstractNumId w:val="57"/>
  </w:num>
  <w:num w:numId="214">
    <w:abstractNumId w:val="42"/>
  </w:num>
  <w:num w:numId="215">
    <w:abstractNumId w:val="210"/>
  </w:num>
  <w:num w:numId="216">
    <w:abstractNumId w:val="43"/>
  </w:num>
  <w:num w:numId="217">
    <w:abstractNumId w:val="220"/>
  </w:num>
  <w:num w:numId="218">
    <w:abstractNumId w:val="223"/>
  </w:num>
  <w:num w:numId="219">
    <w:abstractNumId w:val="219"/>
  </w:num>
  <w:num w:numId="220">
    <w:abstractNumId w:val="127"/>
  </w:num>
  <w:num w:numId="221">
    <w:abstractNumId w:val="91"/>
  </w:num>
  <w:num w:numId="222">
    <w:abstractNumId w:val="17"/>
  </w:num>
  <w:num w:numId="223">
    <w:abstractNumId w:val="36"/>
  </w:num>
  <w:num w:numId="224">
    <w:abstractNumId w:val="221"/>
  </w:num>
  <w:num w:numId="225">
    <w:abstractNumId w:val="207"/>
  </w:num>
  <w:num w:numId="226">
    <w:abstractNumId w:val="1"/>
  </w:num>
  <w:num w:numId="227">
    <w:abstractNumId w:val="97"/>
  </w:num>
  <w:num w:numId="228">
    <w:abstractNumId w:val="195"/>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9CC"/>
    <w:rsid w:val="00000407"/>
    <w:rsid w:val="0000047B"/>
    <w:rsid w:val="0000096C"/>
    <w:rsid w:val="00000F45"/>
    <w:rsid w:val="00001586"/>
    <w:rsid w:val="0000176E"/>
    <w:rsid w:val="0000182B"/>
    <w:rsid w:val="0000195C"/>
    <w:rsid w:val="00001A8C"/>
    <w:rsid w:val="00001E3C"/>
    <w:rsid w:val="00001E45"/>
    <w:rsid w:val="0000219C"/>
    <w:rsid w:val="00002347"/>
    <w:rsid w:val="000024B5"/>
    <w:rsid w:val="00002774"/>
    <w:rsid w:val="000028FF"/>
    <w:rsid w:val="00002CB9"/>
    <w:rsid w:val="00002EB4"/>
    <w:rsid w:val="00003048"/>
    <w:rsid w:val="0000309B"/>
    <w:rsid w:val="00003352"/>
    <w:rsid w:val="0000342F"/>
    <w:rsid w:val="00003652"/>
    <w:rsid w:val="00003EE2"/>
    <w:rsid w:val="00003FFE"/>
    <w:rsid w:val="0000408A"/>
    <w:rsid w:val="00004344"/>
    <w:rsid w:val="0000438C"/>
    <w:rsid w:val="0000449F"/>
    <w:rsid w:val="00004503"/>
    <w:rsid w:val="00004C04"/>
    <w:rsid w:val="00004EFA"/>
    <w:rsid w:val="000051BB"/>
    <w:rsid w:val="000054B1"/>
    <w:rsid w:val="0000563D"/>
    <w:rsid w:val="00005D14"/>
    <w:rsid w:val="00005DF2"/>
    <w:rsid w:val="000067A3"/>
    <w:rsid w:val="00006801"/>
    <w:rsid w:val="00007030"/>
    <w:rsid w:val="0000713A"/>
    <w:rsid w:val="000071D0"/>
    <w:rsid w:val="000074D0"/>
    <w:rsid w:val="00007573"/>
    <w:rsid w:val="0000764F"/>
    <w:rsid w:val="00007E4A"/>
    <w:rsid w:val="00010129"/>
    <w:rsid w:val="00010705"/>
    <w:rsid w:val="00010766"/>
    <w:rsid w:val="00010D44"/>
    <w:rsid w:val="00011160"/>
    <w:rsid w:val="00011960"/>
    <w:rsid w:val="00011F31"/>
    <w:rsid w:val="00012375"/>
    <w:rsid w:val="000127AD"/>
    <w:rsid w:val="000127EA"/>
    <w:rsid w:val="00012AB9"/>
    <w:rsid w:val="00012DE2"/>
    <w:rsid w:val="000130F0"/>
    <w:rsid w:val="00013144"/>
    <w:rsid w:val="000135B3"/>
    <w:rsid w:val="00013899"/>
    <w:rsid w:val="00013C45"/>
    <w:rsid w:val="00013F9B"/>
    <w:rsid w:val="00013F9F"/>
    <w:rsid w:val="000143F1"/>
    <w:rsid w:val="00014422"/>
    <w:rsid w:val="0001454A"/>
    <w:rsid w:val="0001461C"/>
    <w:rsid w:val="00014B9A"/>
    <w:rsid w:val="00014C13"/>
    <w:rsid w:val="00014DEE"/>
    <w:rsid w:val="0001512D"/>
    <w:rsid w:val="00015155"/>
    <w:rsid w:val="000151F1"/>
    <w:rsid w:val="0001555C"/>
    <w:rsid w:val="00015695"/>
    <w:rsid w:val="00015A14"/>
    <w:rsid w:val="00015A8C"/>
    <w:rsid w:val="000163FB"/>
    <w:rsid w:val="0001660A"/>
    <w:rsid w:val="0001682D"/>
    <w:rsid w:val="0001692B"/>
    <w:rsid w:val="0001699A"/>
    <w:rsid w:val="00016B04"/>
    <w:rsid w:val="00017117"/>
    <w:rsid w:val="000173C6"/>
    <w:rsid w:val="000176BC"/>
    <w:rsid w:val="00017757"/>
    <w:rsid w:val="0001789F"/>
    <w:rsid w:val="00017A1A"/>
    <w:rsid w:val="00017BDE"/>
    <w:rsid w:val="00017C61"/>
    <w:rsid w:val="00017D7B"/>
    <w:rsid w:val="00017E97"/>
    <w:rsid w:val="0002005C"/>
    <w:rsid w:val="00020266"/>
    <w:rsid w:val="000202F6"/>
    <w:rsid w:val="000203C1"/>
    <w:rsid w:val="0002071A"/>
    <w:rsid w:val="000207D3"/>
    <w:rsid w:val="00020926"/>
    <w:rsid w:val="00020EE1"/>
    <w:rsid w:val="00020F6E"/>
    <w:rsid w:val="00021074"/>
    <w:rsid w:val="00021369"/>
    <w:rsid w:val="00021A0A"/>
    <w:rsid w:val="00021BC7"/>
    <w:rsid w:val="00021DF5"/>
    <w:rsid w:val="00021F3B"/>
    <w:rsid w:val="00022529"/>
    <w:rsid w:val="00022757"/>
    <w:rsid w:val="00022CD5"/>
    <w:rsid w:val="00022DBD"/>
    <w:rsid w:val="00023028"/>
    <w:rsid w:val="00023208"/>
    <w:rsid w:val="00023375"/>
    <w:rsid w:val="0002372E"/>
    <w:rsid w:val="0002379A"/>
    <w:rsid w:val="000238D9"/>
    <w:rsid w:val="00023B90"/>
    <w:rsid w:val="00023F9D"/>
    <w:rsid w:val="00024311"/>
    <w:rsid w:val="000247AA"/>
    <w:rsid w:val="000248ED"/>
    <w:rsid w:val="00024AA3"/>
    <w:rsid w:val="00024B63"/>
    <w:rsid w:val="000250E9"/>
    <w:rsid w:val="000251C9"/>
    <w:rsid w:val="000251E4"/>
    <w:rsid w:val="00025F43"/>
    <w:rsid w:val="00025FBA"/>
    <w:rsid w:val="00025FE0"/>
    <w:rsid w:val="000261AB"/>
    <w:rsid w:val="00027921"/>
    <w:rsid w:val="0002792F"/>
    <w:rsid w:val="00027B78"/>
    <w:rsid w:val="00027D78"/>
    <w:rsid w:val="000303D2"/>
    <w:rsid w:val="0003040D"/>
    <w:rsid w:val="00030492"/>
    <w:rsid w:val="00030599"/>
    <w:rsid w:val="0003070B"/>
    <w:rsid w:val="00030765"/>
    <w:rsid w:val="0003078D"/>
    <w:rsid w:val="000309BE"/>
    <w:rsid w:val="00030B76"/>
    <w:rsid w:val="00030BAC"/>
    <w:rsid w:val="00030C26"/>
    <w:rsid w:val="00030DC7"/>
    <w:rsid w:val="00030ECD"/>
    <w:rsid w:val="0003165F"/>
    <w:rsid w:val="00031902"/>
    <w:rsid w:val="00031DDB"/>
    <w:rsid w:val="00032208"/>
    <w:rsid w:val="0003222D"/>
    <w:rsid w:val="00032468"/>
    <w:rsid w:val="0003294E"/>
    <w:rsid w:val="000329A6"/>
    <w:rsid w:val="00032D8D"/>
    <w:rsid w:val="000330E5"/>
    <w:rsid w:val="00033439"/>
    <w:rsid w:val="00033473"/>
    <w:rsid w:val="00033540"/>
    <w:rsid w:val="00033876"/>
    <w:rsid w:val="00033C6C"/>
    <w:rsid w:val="00033DED"/>
    <w:rsid w:val="00033FB7"/>
    <w:rsid w:val="00034220"/>
    <w:rsid w:val="00034629"/>
    <w:rsid w:val="00034699"/>
    <w:rsid w:val="000347EC"/>
    <w:rsid w:val="00034B26"/>
    <w:rsid w:val="00034C24"/>
    <w:rsid w:val="00034F04"/>
    <w:rsid w:val="000350AD"/>
    <w:rsid w:val="00035106"/>
    <w:rsid w:val="0003518B"/>
    <w:rsid w:val="00035480"/>
    <w:rsid w:val="00035634"/>
    <w:rsid w:val="0003593F"/>
    <w:rsid w:val="00035AF6"/>
    <w:rsid w:val="00035C4A"/>
    <w:rsid w:val="00035E80"/>
    <w:rsid w:val="00036230"/>
    <w:rsid w:val="00036278"/>
    <w:rsid w:val="0003628A"/>
    <w:rsid w:val="0003650E"/>
    <w:rsid w:val="00036791"/>
    <w:rsid w:val="000367A7"/>
    <w:rsid w:val="00037367"/>
    <w:rsid w:val="00037D96"/>
    <w:rsid w:val="00037FC5"/>
    <w:rsid w:val="0004016C"/>
    <w:rsid w:val="000404EB"/>
    <w:rsid w:val="000408D8"/>
    <w:rsid w:val="000409EF"/>
    <w:rsid w:val="00041675"/>
    <w:rsid w:val="000418C3"/>
    <w:rsid w:val="00041B69"/>
    <w:rsid w:val="00041C04"/>
    <w:rsid w:val="000421AA"/>
    <w:rsid w:val="00042298"/>
    <w:rsid w:val="00042324"/>
    <w:rsid w:val="000423BD"/>
    <w:rsid w:val="00042445"/>
    <w:rsid w:val="00042E6C"/>
    <w:rsid w:val="00042F3D"/>
    <w:rsid w:val="00043009"/>
    <w:rsid w:val="00043267"/>
    <w:rsid w:val="000432C5"/>
    <w:rsid w:val="0004358D"/>
    <w:rsid w:val="000435CD"/>
    <w:rsid w:val="000438FA"/>
    <w:rsid w:val="00043948"/>
    <w:rsid w:val="00043A2F"/>
    <w:rsid w:val="00043CD0"/>
    <w:rsid w:val="00043EFC"/>
    <w:rsid w:val="00044442"/>
    <w:rsid w:val="00044600"/>
    <w:rsid w:val="00044C01"/>
    <w:rsid w:val="00044C7D"/>
    <w:rsid w:val="00044D79"/>
    <w:rsid w:val="00044D99"/>
    <w:rsid w:val="00045285"/>
    <w:rsid w:val="000456EB"/>
    <w:rsid w:val="00045779"/>
    <w:rsid w:val="00045AE2"/>
    <w:rsid w:val="00045AF2"/>
    <w:rsid w:val="00045BB8"/>
    <w:rsid w:val="00045BEC"/>
    <w:rsid w:val="00045EB1"/>
    <w:rsid w:val="00046203"/>
    <w:rsid w:val="0004698E"/>
    <w:rsid w:val="00046A43"/>
    <w:rsid w:val="00046DD5"/>
    <w:rsid w:val="00046E86"/>
    <w:rsid w:val="0004732B"/>
    <w:rsid w:val="000473E0"/>
    <w:rsid w:val="000475F6"/>
    <w:rsid w:val="00047744"/>
    <w:rsid w:val="000500FD"/>
    <w:rsid w:val="000501C8"/>
    <w:rsid w:val="00050D8A"/>
    <w:rsid w:val="00050E2D"/>
    <w:rsid w:val="00050E8A"/>
    <w:rsid w:val="00050EFA"/>
    <w:rsid w:val="00050FCA"/>
    <w:rsid w:val="000512AE"/>
    <w:rsid w:val="000517E2"/>
    <w:rsid w:val="00051DC6"/>
    <w:rsid w:val="00051F7E"/>
    <w:rsid w:val="00052129"/>
    <w:rsid w:val="00052390"/>
    <w:rsid w:val="00052872"/>
    <w:rsid w:val="00052A78"/>
    <w:rsid w:val="00052BF4"/>
    <w:rsid w:val="00052C49"/>
    <w:rsid w:val="00052DC2"/>
    <w:rsid w:val="00052E0E"/>
    <w:rsid w:val="00052E9C"/>
    <w:rsid w:val="00052F62"/>
    <w:rsid w:val="00052FF9"/>
    <w:rsid w:val="0005332B"/>
    <w:rsid w:val="0005337D"/>
    <w:rsid w:val="00053966"/>
    <w:rsid w:val="00053A5B"/>
    <w:rsid w:val="00053CAB"/>
    <w:rsid w:val="00053EE8"/>
    <w:rsid w:val="00054121"/>
    <w:rsid w:val="00054314"/>
    <w:rsid w:val="00054700"/>
    <w:rsid w:val="00054790"/>
    <w:rsid w:val="00054A41"/>
    <w:rsid w:val="00054CAE"/>
    <w:rsid w:val="00054F69"/>
    <w:rsid w:val="00055031"/>
    <w:rsid w:val="0005563C"/>
    <w:rsid w:val="000557C7"/>
    <w:rsid w:val="00055825"/>
    <w:rsid w:val="00055CCB"/>
    <w:rsid w:val="00055EDA"/>
    <w:rsid w:val="00056343"/>
    <w:rsid w:val="0005646C"/>
    <w:rsid w:val="00056618"/>
    <w:rsid w:val="00056655"/>
    <w:rsid w:val="00056763"/>
    <w:rsid w:val="000568F8"/>
    <w:rsid w:val="00056A50"/>
    <w:rsid w:val="00056A59"/>
    <w:rsid w:val="00056E5E"/>
    <w:rsid w:val="00056E8A"/>
    <w:rsid w:val="000570F4"/>
    <w:rsid w:val="00057501"/>
    <w:rsid w:val="000576C9"/>
    <w:rsid w:val="0005774B"/>
    <w:rsid w:val="0005786A"/>
    <w:rsid w:val="00057950"/>
    <w:rsid w:val="0006045B"/>
    <w:rsid w:val="0006176A"/>
    <w:rsid w:val="000617E9"/>
    <w:rsid w:val="0006196E"/>
    <w:rsid w:val="00061993"/>
    <w:rsid w:val="00062111"/>
    <w:rsid w:val="0006224F"/>
    <w:rsid w:val="00062511"/>
    <w:rsid w:val="00062887"/>
    <w:rsid w:val="00062941"/>
    <w:rsid w:val="00062C43"/>
    <w:rsid w:val="00062D3B"/>
    <w:rsid w:val="000635AE"/>
    <w:rsid w:val="00063B58"/>
    <w:rsid w:val="00063D68"/>
    <w:rsid w:val="000641AD"/>
    <w:rsid w:val="0006422B"/>
    <w:rsid w:val="000646BF"/>
    <w:rsid w:val="0006473B"/>
    <w:rsid w:val="000647B4"/>
    <w:rsid w:val="00064A7A"/>
    <w:rsid w:val="00064B3F"/>
    <w:rsid w:val="00064C75"/>
    <w:rsid w:val="00065393"/>
    <w:rsid w:val="0006552C"/>
    <w:rsid w:val="00065D78"/>
    <w:rsid w:val="000663F2"/>
    <w:rsid w:val="00066A71"/>
    <w:rsid w:val="00066BBA"/>
    <w:rsid w:val="00066EC8"/>
    <w:rsid w:val="00066EFE"/>
    <w:rsid w:val="00067177"/>
    <w:rsid w:val="00067234"/>
    <w:rsid w:val="0006732C"/>
    <w:rsid w:val="00067582"/>
    <w:rsid w:val="00067770"/>
    <w:rsid w:val="000678C5"/>
    <w:rsid w:val="00067988"/>
    <w:rsid w:val="00067A47"/>
    <w:rsid w:val="00067B21"/>
    <w:rsid w:val="0007019B"/>
    <w:rsid w:val="00071326"/>
    <w:rsid w:val="0007136D"/>
    <w:rsid w:val="000713C5"/>
    <w:rsid w:val="00071C73"/>
    <w:rsid w:val="000720BA"/>
    <w:rsid w:val="00072401"/>
    <w:rsid w:val="000724F8"/>
    <w:rsid w:val="00072A4A"/>
    <w:rsid w:val="00072F72"/>
    <w:rsid w:val="0007305E"/>
    <w:rsid w:val="00073274"/>
    <w:rsid w:val="000733F2"/>
    <w:rsid w:val="000736D6"/>
    <w:rsid w:val="00073989"/>
    <w:rsid w:val="000743B6"/>
    <w:rsid w:val="000743E6"/>
    <w:rsid w:val="0007454F"/>
    <w:rsid w:val="00074878"/>
    <w:rsid w:val="0007487A"/>
    <w:rsid w:val="00074D92"/>
    <w:rsid w:val="0007552B"/>
    <w:rsid w:val="00075743"/>
    <w:rsid w:val="00075BCB"/>
    <w:rsid w:val="00075D1C"/>
    <w:rsid w:val="00075DF8"/>
    <w:rsid w:val="00075EA2"/>
    <w:rsid w:val="000760F6"/>
    <w:rsid w:val="00076410"/>
    <w:rsid w:val="0007696B"/>
    <w:rsid w:val="00076C48"/>
    <w:rsid w:val="00077399"/>
    <w:rsid w:val="00077423"/>
    <w:rsid w:val="000777BA"/>
    <w:rsid w:val="000778D8"/>
    <w:rsid w:val="00077A1F"/>
    <w:rsid w:val="00077E5A"/>
    <w:rsid w:val="00077ED6"/>
    <w:rsid w:val="0008016B"/>
    <w:rsid w:val="00080458"/>
    <w:rsid w:val="0008059D"/>
    <w:rsid w:val="000807A5"/>
    <w:rsid w:val="000808C4"/>
    <w:rsid w:val="000809E8"/>
    <w:rsid w:val="00080CF7"/>
    <w:rsid w:val="000814A0"/>
    <w:rsid w:val="000814DD"/>
    <w:rsid w:val="000816C1"/>
    <w:rsid w:val="00081BE7"/>
    <w:rsid w:val="00081CE4"/>
    <w:rsid w:val="000820E1"/>
    <w:rsid w:val="00082126"/>
    <w:rsid w:val="0008291E"/>
    <w:rsid w:val="00082B79"/>
    <w:rsid w:val="00082DC2"/>
    <w:rsid w:val="00082E76"/>
    <w:rsid w:val="00082FCD"/>
    <w:rsid w:val="00083379"/>
    <w:rsid w:val="00083AF3"/>
    <w:rsid w:val="00083AF6"/>
    <w:rsid w:val="00083B67"/>
    <w:rsid w:val="00083BD7"/>
    <w:rsid w:val="00083E23"/>
    <w:rsid w:val="00083FD2"/>
    <w:rsid w:val="00084132"/>
    <w:rsid w:val="0008448D"/>
    <w:rsid w:val="0008451F"/>
    <w:rsid w:val="000845C0"/>
    <w:rsid w:val="000845F0"/>
    <w:rsid w:val="000850A3"/>
    <w:rsid w:val="0008518E"/>
    <w:rsid w:val="00085353"/>
    <w:rsid w:val="0008558D"/>
    <w:rsid w:val="000856B1"/>
    <w:rsid w:val="00085ACC"/>
    <w:rsid w:val="00085ADF"/>
    <w:rsid w:val="00085AFB"/>
    <w:rsid w:val="00085D1B"/>
    <w:rsid w:val="00085DA6"/>
    <w:rsid w:val="000861B1"/>
    <w:rsid w:val="000861FF"/>
    <w:rsid w:val="000865D4"/>
    <w:rsid w:val="000868C7"/>
    <w:rsid w:val="000868E3"/>
    <w:rsid w:val="00086B3E"/>
    <w:rsid w:val="00086C14"/>
    <w:rsid w:val="00086C57"/>
    <w:rsid w:val="00086CA0"/>
    <w:rsid w:val="00086E36"/>
    <w:rsid w:val="00086FC5"/>
    <w:rsid w:val="00087034"/>
    <w:rsid w:val="0008720B"/>
    <w:rsid w:val="0008723E"/>
    <w:rsid w:val="00087276"/>
    <w:rsid w:val="00087782"/>
    <w:rsid w:val="00087E7B"/>
    <w:rsid w:val="00087FE7"/>
    <w:rsid w:val="0009063D"/>
    <w:rsid w:val="000907CE"/>
    <w:rsid w:val="00090834"/>
    <w:rsid w:val="000909B8"/>
    <w:rsid w:val="00090AEF"/>
    <w:rsid w:val="00090E66"/>
    <w:rsid w:val="00090FD3"/>
    <w:rsid w:val="0009125B"/>
    <w:rsid w:val="000913C3"/>
    <w:rsid w:val="0009158F"/>
    <w:rsid w:val="000915BB"/>
    <w:rsid w:val="00091791"/>
    <w:rsid w:val="000922F1"/>
    <w:rsid w:val="000923EA"/>
    <w:rsid w:val="0009323F"/>
    <w:rsid w:val="000933E9"/>
    <w:rsid w:val="000934F8"/>
    <w:rsid w:val="000937AE"/>
    <w:rsid w:val="0009393B"/>
    <w:rsid w:val="00093CC3"/>
    <w:rsid w:val="00093D64"/>
    <w:rsid w:val="00094587"/>
    <w:rsid w:val="00094600"/>
    <w:rsid w:val="00094C37"/>
    <w:rsid w:val="000950C0"/>
    <w:rsid w:val="00095177"/>
    <w:rsid w:val="000953A9"/>
    <w:rsid w:val="00095432"/>
    <w:rsid w:val="000957F5"/>
    <w:rsid w:val="00095F08"/>
    <w:rsid w:val="00095F6D"/>
    <w:rsid w:val="000960EE"/>
    <w:rsid w:val="000961FE"/>
    <w:rsid w:val="0009626F"/>
    <w:rsid w:val="0009638C"/>
    <w:rsid w:val="0009661F"/>
    <w:rsid w:val="00096AB0"/>
    <w:rsid w:val="00096C4B"/>
    <w:rsid w:val="00096D29"/>
    <w:rsid w:val="000972BF"/>
    <w:rsid w:val="00097348"/>
    <w:rsid w:val="000979FD"/>
    <w:rsid w:val="00097A13"/>
    <w:rsid w:val="00097A28"/>
    <w:rsid w:val="00097BCA"/>
    <w:rsid w:val="00097BEB"/>
    <w:rsid w:val="000A0053"/>
    <w:rsid w:val="000A05D7"/>
    <w:rsid w:val="000A06D2"/>
    <w:rsid w:val="000A07B9"/>
    <w:rsid w:val="000A0840"/>
    <w:rsid w:val="000A0B12"/>
    <w:rsid w:val="000A0B70"/>
    <w:rsid w:val="000A0C1A"/>
    <w:rsid w:val="000A0C3C"/>
    <w:rsid w:val="000A0E10"/>
    <w:rsid w:val="000A1210"/>
    <w:rsid w:val="000A12EA"/>
    <w:rsid w:val="000A130D"/>
    <w:rsid w:val="000A15C3"/>
    <w:rsid w:val="000A1637"/>
    <w:rsid w:val="000A1875"/>
    <w:rsid w:val="000A1C67"/>
    <w:rsid w:val="000A1E23"/>
    <w:rsid w:val="000A1F16"/>
    <w:rsid w:val="000A1F5B"/>
    <w:rsid w:val="000A297F"/>
    <w:rsid w:val="000A2EF2"/>
    <w:rsid w:val="000A30F5"/>
    <w:rsid w:val="000A379D"/>
    <w:rsid w:val="000A4053"/>
    <w:rsid w:val="000A41C6"/>
    <w:rsid w:val="000A42BE"/>
    <w:rsid w:val="000A46F8"/>
    <w:rsid w:val="000A4BA5"/>
    <w:rsid w:val="000A4C21"/>
    <w:rsid w:val="000A4E40"/>
    <w:rsid w:val="000A4E95"/>
    <w:rsid w:val="000A4F0E"/>
    <w:rsid w:val="000A5C2E"/>
    <w:rsid w:val="000A5D16"/>
    <w:rsid w:val="000A5D79"/>
    <w:rsid w:val="000A5FF3"/>
    <w:rsid w:val="000A61D3"/>
    <w:rsid w:val="000A6273"/>
    <w:rsid w:val="000A6B29"/>
    <w:rsid w:val="000A6C96"/>
    <w:rsid w:val="000A6FC2"/>
    <w:rsid w:val="000A749E"/>
    <w:rsid w:val="000A7702"/>
    <w:rsid w:val="000A7AAC"/>
    <w:rsid w:val="000A7BE0"/>
    <w:rsid w:val="000A7CFF"/>
    <w:rsid w:val="000A7D41"/>
    <w:rsid w:val="000A7DB1"/>
    <w:rsid w:val="000A7FF9"/>
    <w:rsid w:val="000B0004"/>
    <w:rsid w:val="000B0283"/>
    <w:rsid w:val="000B05E3"/>
    <w:rsid w:val="000B0AEA"/>
    <w:rsid w:val="000B0C79"/>
    <w:rsid w:val="000B10D8"/>
    <w:rsid w:val="000B18D4"/>
    <w:rsid w:val="000B1AE5"/>
    <w:rsid w:val="000B1B3F"/>
    <w:rsid w:val="000B205D"/>
    <w:rsid w:val="000B22CB"/>
    <w:rsid w:val="000B236B"/>
    <w:rsid w:val="000B243E"/>
    <w:rsid w:val="000B2479"/>
    <w:rsid w:val="000B249A"/>
    <w:rsid w:val="000B24F0"/>
    <w:rsid w:val="000B29CF"/>
    <w:rsid w:val="000B3054"/>
    <w:rsid w:val="000B306B"/>
    <w:rsid w:val="000B3168"/>
    <w:rsid w:val="000B3931"/>
    <w:rsid w:val="000B3C51"/>
    <w:rsid w:val="000B435F"/>
    <w:rsid w:val="000B4469"/>
    <w:rsid w:val="000B45B5"/>
    <w:rsid w:val="000B467B"/>
    <w:rsid w:val="000B46CC"/>
    <w:rsid w:val="000B4A44"/>
    <w:rsid w:val="000B4FB1"/>
    <w:rsid w:val="000B508E"/>
    <w:rsid w:val="000B51BA"/>
    <w:rsid w:val="000B52A0"/>
    <w:rsid w:val="000B53E1"/>
    <w:rsid w:val="000B5444"/>
    <w:rsid w:val="000B546A"/>
    <w:rsid w:val="000B55E4"/>
    <w:rsid w:val="000B57F9"/>
    <w:rsid w:val="000B5803"/>
    <w:rsid w:val="000B5C05"/>
    <w:rsid w:val="000B5C0D"/>
    <w:rsid w:val="000B61C9"/>
    <w:rsid w:val="000B6414"/>
    <w:rsid w:val="000B650A"/>
    <w:rsid w:val="000B6728"/>
    <w:rsid w:val="000B68C0"/>
    <w:rsid w:val="000B69D3"/>
    <w:rsid w:val="000B728F"/>
    <w:rsid w:val="000B7422"/>
    <w:rsid w:val="000B7B6C"/>
    <w:rsid w:val="000B7C30"/>
    <w:rsid w:val="000B7D18"/>
    <w:rsid w:val="000B7F96"/>
    <w:rsid w:val="000C0024"/>
    <w:rsid w:val="000C00BC"/>
    <w:rsid w:val="000C076C"/>
    <w:rsid w:val="000C0A6D"/>
    <w:rsid w:val="000C0B4C"/>
    <w:rsid w:val="000C0F12"/>
    <w:rsid w:val="000C1167"/>
    <w:rsid w:val="000C13A9"/>
    <w:rsid w:val="000C167A"/>
    <w:rsid w:val="000C177C"/>
    <w:rsid w:val="000C1C59"/>
    <w:rsid w:val="000C1E73"/>
    <w:rsid w:val="000C2302"/>
    <w:rsid w:val="000C2375"/>
    <w:rsid w:val="000C29DD"/>
    <w:rsid w:val="000C2C17"/>
    <w:rsid w:val="000C2C36"/>
    <w:rsid w:val="000C300C"/>
    <w:rsid w:val="000C336F"/>
    <w:rsid w:val="000C3598"/>
    <w:rsid w:val="000C35E8"/>
    <w:rsid w:val="000C39B2"/>
    <w:rsid w:val="000C47BF"/>
    <w:rsid w:val="000C4AF4"/>
    <w:rsid w:val="000C4D8D"/>
    <w:rsid w:val="000C52BD"/>
    <w:rsid w:val="000C52C2"/>
    <w:rsid w:val="000C55BA"/>
    <w:rsid w:val="000C5A5D"/>
    <w:rsid w:val="000C5AD9"/>
    <w:rsid w:val="000C5B93"/>
    <w:rsid w:val="000C5C6A"/>
    <w:rsid w:val="000C5DF1"/>
    <w:rsid w:val="000C5E7F"/>
    <w:rsid w:val="000C6033"/>
    <w:rsid w:val="000C6571"/>
    <w:rsid w:val="000C697F"/>
    <w:rsid w:val="000C6BEB"/>
    <w:rsid w:val="000C6BFF"/>
    <w:rsid w:val="000C6EC1"/>
    <w:rsid w:val="000C6FC6"/>
    <w:rsid w:val="000C72F7"/>
    <w:rsid w:val="000C76AD"/>
    <w:rsid w:val="000C79ED"/>
    <w:rsid w:val="000C7B50"/>
    <w:rsid w:val="000C7C43"/>
    <w:rsid w:val="000C7F2F"/>
    <w:rsid w:val="000D0051"/>
    <w:rsid w:val="000D011E"/>
    <w:rsid w:val="000D068B"/>
    <w:rsid w:val="000D09F0"/>
    <w:rsid w:val="000D0A3B"/>
    <w:rsid w:val="000D0ABA"/>
    <w:rsid w:val="000D0B54"/>
    <w:rsid w:val="000D0FD3"/>
    <w:rsid w:val="000D10EE"/>
    <w:rsid w:val="000D12FD"/>
    <w:rsid w:val="000D132C"/>
    <w:rsid w:val="000D1609"/>
    <w:rsid w:val="000D180A"/>
    <w:rsid w:val="000D1814"/>
    <w:rsid w:val="000D1ED5"/>
    <w:rsid w:val="000D20ED"/>
    <w:rsid w:val="000D21A9"/>
    <w:rsid w:val="000D2237"/>
    <w:rsid w:val="000D27F6"/>
    <w:rsid w:val="000D2AB1"/>
    <w:rsid w:val="000D309B"/>
    <w:rsid w:val="000D34E6"/>
    <w:rsid w:val="000D3518"/>
    <w:rsid w:val="000D3688"/>
    <w:rsid w:val="000D3881"/>
    <w:rsid w:val="000D3938"/>
    <w:rsid w:val="000D3F17"/>
    <w:rsid w:val="000D41E0"/>
    <w:rsid w:val="000D4345"/>
    <w:rsid w:val="000D43A3"/>
    <w:rsid w:val="000D4884"/>
    <w:rsid w:val="000D4D32"/>
    <w:rsid w:val="000D4E51"/>
    <w:rsid w:val="000D5039"/>
    <w:rsid w:val="000D50A1"/>
    <w:rsid w:val="000D57CE"/>
    <w:rsid w:val="000D57DE"/>
    <w:rsid w:val="000D5E3D"/>
    <w:rsid w:val="000D5EAB"/>
    <w:rsid w:val="000D66D7"/>
    <w:rsid w:val="000D72CD"/>
    <w:rsid w:val="000D7856"/>
    <w:rsid w:val="000D7964"/>
    <w:rsid w:val="000D7AB7"/>
    <w:rsid w:val="000D7AC9"/>
    <w:rsid w:val="000D7BEA"/>
    <w:rsid w:val="000E0514"/>
    <w:rsid w:val="000E075A"/>
    <w:rsid w:val="000E1014"/>
    <w:rsid w:val="000E11BD"/>
    <w:rsid w:val="000E13C1"/>
    <w:rsid w:val="000E1643"/>
    <w:rsid w:val="000E173B"/>
    <w:rsid w:val="000E1A84"/>
    <w:rsid w:val="000E1A98"/>
    <w:rsid w:val="000E1AA5"/>
    <w:rsid w:val="000E1ADA"/>
    <w:rsid w:val="000E223F"/>
    <w:rsid w:val="000E23FD"/>
    <w:rsid w:val="000E2549"/>
    <w:rsid w:val="000E2577"/>
    <w:rsid w:val="000E2761"/>
    <w:rsid w:val="000E280F"/>
    <w:rsid w:val="000E2A1E"/>
    <w:rsid w:val="000E2C31"/>
    <w:rsid w:val="000E2FFC"/>
    <w:rsid w:val="000E342D"/>
    <w:rsid w:val="000E3434"/>
    <w:rsid w:val="000E378B"/>
    <w:rsid w:val="000E3835"/>
    <w:rsid w:val="000E3A4E"/>
    <w:rsid w:val="000E3B68"/>
    <w:rsid w:val="000E3B90"/>
    <w:rsid w:val="000E3FFE"/>
    <w:rsid w:val="000E4889"/>
    <w:rsid w:val="000E48A6"/>
    <w:rsid w:val="000E48CE"/>
    <w:rsid w:val="000E4E7E"/>
    <w:rsid w:val="000E526B"/>
    <w:rsid w:val="000E5481"/>
    <w:rsid w:val="000E5625"/>
    <w:rsid w:val="000E5AA8"/>
    <w:rsid w:val="000E5C07"/>
    <w:rsid w:val="000E5DDF"/>
    <w:rsid w:val="000E6146"/>
    <w:rsid w:val="000E66DE"/>
    <w:rsid w:val="000E66FD"/>
    <w:rsid w:val="000E68D7"/>
    <w:rsid w:val="000E6CDB"/>
    <w:rsid w:val="000E6D1D"/>
    <w:rsid w:val="000E7311"/>
    <w:rsid w:val="000E73EA"/>
    <w:rsid w:val="000E790C"/>
    <w:rsid w:val="000F0164"/>
    <w:rsid w:val="000F0224"/>
    <w:rsid w:val="000F0461"/>
    <w:rsid w:val="000F0915"/>
    <w:rsid w:val="000F0A4A"/>
    <w:rsid w:val="000F0A6E"/>
    <w:rsid w:val="000F0D49"/>
    <w:rsid w:val="000F0E64"/>
    <w:rsid w:val="000F114B"/>
    <w:rsid w:val="000F137B"/>
    <w:rsid w:val="000F1C37"/>
    <w:rsid w:val="000F242B"/>
    <w:rsid w:val="000F2552"/>
    <w:rsid w:val="000F2618"/>
    <w:rsid w:val="000F3142"/>
    <w:rsid w:val="000F31EB"/>
    <w:rsid w:val="000F33F6"/>
    <w:rsid w:val="000F3448"/>
    <w:rsid w:val="000F3800"/>
    <w:rsid w:val="000F3904"/>
    <w:rsid w:val="000F3AC8"/>
    <w:rsid w:val="000F3DC5"/>
    <w:rsid w:val="000F3FED"/>
    <w:rsid w:val="000F48DF"/>
    <w:rsid w:val="000F4949"/>
    <w:rsid w:val="000F51AA"/>
    <w:rsid w:val="000F574E"/>
    <w:rsid w:val="000F6343"/>
    <w:rsid w:val="000F6473"/>
    <w:rsid w:val="000F65D9"/>
    <w:rsid w:val="000F75DE"/>
    <w:rsid w:val="000F7610"/>
    <w:rsid w:val="000F7ADF"/>
    <w:rsid w:val="000F7B5C"/>
    <w:rsid w:val="001002DC"/>
    <w:rsid w:val="001004BF"/>
    <w:rsid w:val="00100688"/>
    <w:rsid w:val="00100696"/>
    <w:rsid w:val="00100DD6"/>
    <w:rsid w:val="001010DE"/>
    <w:rsid w:val="001013FE"/>
    <w:rsid w:val="001015C1"/>
    <w:rsid w:val="0010166C"/>
    <w:rsid w:val="001018D1"/>
    <w:rsid w:val="001019AA"/>
    <w:rsid w:val="00101AD5"/>
    <w:rsid w:val="00101CBB"/>
    <w:rsid w:val="00101F23"/>
    <w:rsid w:val="00102399"/>
    <w:rsid w:val="001027C2"/>
    <w:rsid w:val="0010284D"/>
    <w:rsid w:val="00102BB3"/>
    <w:rsid w:val="00102CCE"/>
    <w:rsid w:val="00102EB4"/>
    <w:rsid w:val="00102EB8"/>
    <w:rsid w:val="00102FFF"/>
    <w:rsid w:val="00103609"/>
    <w:rsid w:val="0010366C"/>
    <w:rsid w:val="001038F1"/>
    <w:rsid w:val="00103901"/>
    <w:rsid w:val="0010396A"/>
    <w:rsid w:val="001039BC"/>
    <w:rsid w:val="001041AC"/>
    <w:rsid w:val="001044D8"/>
    <w:rsid w:val="00104E08"/>
    <w:rsid w:val="0010504A"/>
    <w:rsid w:val="001051CF"/>
    <w:rsid w:val="001051D9"/>
    <w:rsid w:val="001051E8"/>
    <w:rsid w:val="00105564"/>
    <w:rsid w:val="0010567B"/>
    <w:rsid w:val="0010572F"/>
    <w:rsid w:val="00105AC8"/>
    <w:rsid w:val="00105F9C"/>
    <w:rsid w:val="00106026"/>
    <w:rsid w:val="0010662C"/>
    <w:rsid w:val="00106AD5"/>
    <w:rsid w:val="00106CF6"/>
    <w:rsid w:val="00106F22"/>
    <w:rsid w:val="0010722B"/>
    <w:rsid w:val="001078CA"/>
    <w:rsid w:val="00107ED4"/>
    <w:rsid w:val="001100EA"/>
    <w:rsid w:val="00110AF8"/>
    <w:rsid w:val="00110DB9"/>
    <w:rsid w:val="00110DCA"/>
    <w:rsid w:val="00111348"/>
    <w:rsid w:val="001114C0"/>
    <w:rsid w:val="00111692"/>
    <w:rsid w:val="0011187F"/>
    <w:rsid w:val="001118FA"/>
    <w:rsid w:val="00111935"/>
    <w:rsid w:val="00111D39"/>
    <w:rsid w:val="00111F2E"/>
    <w:rsid w:val="001120CD"/>
    <w:rsid w:val="00112428"/>
    <w:rsid w:val="0011258F"/>
    <w:rsid w:val="001129C7"/>
    <w:rsid w:val="00112C60"/>
    <w:rsid w:val="001135BC"/>
    <w:rsid w:val="001136BC"/>
    <w:rsid w:val="00113B66"/>
    <w:rsid w:val="00113C39"/>
    <w:rsid w:val="00113E95"/>
    <w:rsid w:val="0011452E"/>
    <w:rsid w:val="001145B0"/>
    <w:rsid w:val="001146B1"/>
    <w:rsid w:val="0011473B"/>
    <w:rsid w:val="00114A3C"/>
    <w:rsid w:val="00114CC3"/>
    <w:rsid w:val="00114D71"/>
    <w:rsid w:val="00114D9B"/>
    <w:rsid w:val="00114F71"/>
    <w:rsid w:val="001155F1"/>
    <w:rsid w:val="001157D8"/>
    <w:rsid w:val="00115B12"/>
    <w:rsid w:val="00116324"/>
    <w:rsid w:val="00116378"/>
    <w:rsid w:val="0011650A"/>
    <w:rsid w:val="00116547"/>
    <w:rsid w:val="0011660F"/>
    <w:rsid w:val="00116865"/>
    <w:rsid w:val="0011693E"/>
    <w:rsid w:val="001169BB"/>
    <w:rsid w:val="0011755D"/>
    <w:rsid w:val="00117597"/>
    <w:rsid w:val="00117945"/>
    <w:rsid w:val="00117ABD"/>
    <w:rsid w:val="00120167"/>
    <w:rsid w:val="0012035E"/>
    <w:rsid w:val="0012072C"/>
    <w:rsid w:val="00120D69"/>
    <w:rsid w:val="001215CA"/>
    <w:rsid w:val="00121B59"/>
    <w:rsid w:val="00121F2A"/>
    <w:rsid w:val="00122610"/>
    <w:rsid w:val="0012280E"/>
    <w:rsid w:val="00122AB1"/>
    <w:rsid w:val="00122AC5"/>
    <w:rsid w:val="00122CF8"/>
    <w:rsid w:val="00122F4F"/>
    <w:rsid w:val="00123236"/>
    <w:rsid w:val="001235E1"/>
    <w:rsid w:val="00123E1A"/>
    <w:rsid w:val="00124110"/>
    <w:rsid w:val="00124455"/>
    <w:rsid w:val="00124533"/>
    <w:rsid w:val="0012468B"/>
    <w:rsid w:val="0012493D"/>
    <w:rsid w:val="00124AB5"/>
    <w:rsid w:val="00124D83"/>
    <w:rsid w:val="00124FA1"/>
    <w:rsid w:val="00124FB0"/>
    <w:rsid w:val="00125451"/>
    <w:rsid w:val="001258CF"/>
    <w:rsid w:val="0012592A"/>
    <w:rsid w:val="00125B80"/>
    <w:rsid w:val="00125B85"/>
    <w:rsid w:val="00125EF7"/>
    <w:rsid w:val="0012621C"/>
    <w:rsid w:val="001262C2"/>
    <w:rsid w:val="00126342"/>
    <w:rsid w:val="001269BC"/>
    <w:rsid w:val="00126BEC"/>
    <w:rsid w:val="00126D7E"/>
    <w:rsid w:val="00126DEF"/>
    <w:rsid w:val="00126FE1"/>
    <w:rsid w:val="00127388"/>
    <w:rsid w:val="001274E7"/>
    <w:rsid w:val="00127782"/>
    <w:rsid w:val="00127842"/>
    <w:rsid w:val="00127C13"/>
    <w:rsid w:val="00127D54"/>
    <w:rsid w:val="0013007A"/>
    <w:rsid w:val="0013033A"/>
    <w:rsid w:val="0013064D"/>
    <w:rsid w:val="00130874"/>
    <w:rsid w:val="00130DFE"/>
    <w:rsid w:val="00131174"/>
    <w:rsid w:val="00131185"/>
    <w:rsid w:val="001312B3"/>
    <w:rsid w:val="001315F4"/>
    <w:rsid w:val="001316DD"/>
    <w:rsid w:val="00131726"/>
    <w:rsid w:val="00131B75"/>
    <w:rsid w:val="00131E60"/>
    <w:rsid w:val="00131E6C"/>
    <w:rsid w:val="00131E8E"/>
    <w:rsid w:val="00132D5D"/>
    <w:rsid w:val="00133267"/>
    <w:rsid w:val="00133299"/>
    <w:rsid w:val="001338FB"/>
    <w:rsid w:val="00133C46"/>
    <w:rsid w:val="00133C74"/>
    <w:rsid w:val="00133F10"/>
    <w:rsid w:val="001347B9"/>
    <w:rsid w:val="00134AA9"/>
    <w:rsid w:val="00134B07"/>
    <w:rsid w:val="00134E66"/>
    <w:rsid w:val="00135124"/>
    <w:rsid w:val="0013583A"/>
    <w:rsid w:val="0013595C"/>
    <w:rsid w:val="001359C2"/>
    <w:rsid w:val="00135A7D"/>
    <w:rsid w:val="00135E48"/>
    <w:rsid w:val="00135F87"/>
    <w:rsid w:val="00136361"/>
    <w:rsid w:val="0013642E"/>
    <w:rsid w:val="00136B84"/>
    <w:rsid w:val="00136DCA"/>
    <w:rsid w:val="00137DCB"/>
    <w:rsid w:val="00137EBA"/>
    <w:rsid w:val="001401AF"/>
    <w:rsid w:val="001402F1"/>
    <w:rsid w:val="001403E0"/>
    <w:rsid w:val="001404EE"/>
    <w:rsid w:val="00140B31"/>
    <w:rsid w:val="00140C37"/>
    <w:rsid w:val="0014105F"/>
    <w:rsid w:val="00141133"/>
    <w:rsid w:val="00141463"/>
    <w:rsid w:val="001420E9"/>
    <w:rsid w:val="00142205"/>
    <w:rsid w:val="0014235E"/>
    <w:rsid w:val="00142925"/>
    <w:rsid w:val="0014311E"/>
    <w:rsid w:val="001435B4"/>
    <w:rsid w:val="001441C3"/>
    <w:rsid w:val="0014442E"/>
    <w:rsid w:val="001445F5"/>
    <w:rsid w:val="00144930"/>
    <w:rsid w:val="001449F6"/>
    <w:rsid w:val="00144BEB"/>
    <w:rsid w:val="001450D5"/>
    <w:rsid w:val="00145517"/>
    <w:rsid w:val="00145743"/>
    <w:rsid w:val="00145A1B"/>
    <w:rsid w:val="001462B7"/>
    <w:rsid w:val="00146B97"/>
    <w:rsid w:val="00146C66"/>
    <w:rsid w:val="001472A9"/>
    <w:rsid w:val="0014737E"/>
    <w:rsid w:val="001476A5"/>
    <w:rsid w:val="00147773"/>
    <w:rsid w:val="00147CEA"/>
    <w:rsid w:val="001500F3"/>
    <w:rsid w:val="0015038B"/>
    <w:rsid w:val="00150521"/>
    <w:rsid w:val="0015080E"/>
    <w:rsid w:val="00150881"/>
    <w:rsid w:val="00151189"/>
    <w:rsid w:val="001511D0"/>
    <w:rsid w:val="00151648"/>
    <w:rsid w:val="00151910"/>
    <w:rsid w:val="00151A5F"/>
    <w:rsid w:val="00151B86"/>
    <w:rsid w:val="00151DB9"/>
    <w:rsid w:val="0015216D"/>
    <w:rsid w:val="0015222A"/>
    <w:rsid w:val="0015231E"/>
    <w:rsid w:val="001523D9"/>
    <w:rsid w:val="00152445"/>
    <w:rsid w:val="00152463"/>
    <w:rsid w:val="00152522"/>
    <w:rsid w:val="00152563"/>
    <w:rsid w:val="0015272E"/>
    <w:rsid w:val="00153051"/>
    <w:rsid w:val="00153452"/>
    <w:rsid w:val="00153821"/>
    <w:rsid w:val="00153B7E"/>
    <w:rsid w:val="00153C29"/>
    <w:rsid w:val="00153FBD"/>
    <w:rsid w:val="001541C3"/>
    <w:rsid w:val="001542EA"/>
    <w:rsid w:val="00154656"/>
    <w:rsid w:val="00154877"/>
    <w:rsid w:val="00154986"/>
    <w:rsid w:val="001549ED"/>
    <w:rsid w:val="00154C2E"/>
    <w:rsid w:val="00154C74"/>
    <w:rsid w:val="00154DB5"/>
    <w:rsid w:val="0015518F"/>
    <w:rsid w:val="00155371"/>
    <w:rsid w:val="001558AE"/>
    <w:rsid w:val="00155C1F"/>
    <w:rsid w:val="00155E05"/>
    <w:rsid w:val="00155FA8"/>
    <w:rsid w:val="00156018"/>
    <w:rsid w:val="00156AD9"/>
    <w:rsid w:val="00157A8C"/>
    <w:rsid w:val="00157AC3"/>
    <w:rsid w:val="00157E02"/>
    <w:rsid w:val="00157F0C"/>
    <w:rsid w:val="00157F99"/>
    <w:rsid w:val="001600B1"/>
    <w:rsid w:val="0016013B"/>
    <w:rsid w:val="00160445"/>
    <w:rsid w:val="00160AB5"/>
    <w:rsid w:val="00160B3E"/>
    <w:rsid w:val="00160CC2"/>
    <w:rsid w:val="00160E5C"/>
    <w:rsid w:val="001610DD"/>
    <w:rsid w:val="0016123E"/>
    <w:rsid w:val="00161686"/>
    <w:rsid w:val="00161760"/>
    <w:rsid w:val="00161963"/>
    <w:rsid w:val="00161A97"/>
    <w:rsid w:val="00161D34"/>
    <w:rsid w:val="00161D4C"/>
    <w:rsid w:val="00161F83"/>
    <w:rsid w:val="00161FA9"/>
    <w:rsid w:val="00162373"/>
    <w:rsid w:val="001623D6"/>
    <w:rsid w:val="0016274D"/>
    <w:rsid w:val="001628FD"/>
    <w:rsid w:val="00162C7D"/>
    <w:rsid w:val="00162D9B"/>
    <w:rsid w:val="00163216"/>
    <w:rsid w:val="00163764"/>
    <w:rsid w:val="001637E7"/>
    <w:rsid w:val="00163864"/>
    <w:rsid w:val="00163933"/>
    <w:rsid w:val="00163B71"/>
    <w:rsid w:val="00163C1C"/>
    <w:rsid w:val="00163F00"/>
    <w:rsid w:val="00164057"/>
    <w:rsid w:val="00164139"/>
    <w:rsid w:val="0016420A"/>
    <w:rsid w:val="0016434A"/>
    <w:rsid w:val="00164360"/>
    <w:rsid w:val="001647FF"/>
    <w:rsid w:val="0016484D"/>
    <w:rsid w:val="00164A35"/>
    <w:rsid w:val="00164A65"/>
    <w:rsid w:val="00164ACB"/>
    <w:rsid w:val="00164B09"/>
    <w:rsid w:val="00164CED"/>
    <w:rsid w:val="00164FD2"/>
    <w:rsid w:val="00165369"/>
    <w:rsid w:val="0016536C"/>
    <w:rsid w:val="001656F6"/>
    <w:rsid w:val="0016586E"/>
    <w:rsid w:val="00165C53"/>
    <w:rsid w:val="001661EB"/>
    <w:rsid w:val="0016638F"/>
    <w:rsid w:val="00166398"/>
    <w:rsid w:val="001664C1"/>
    <w:rsid w:val="0016658D"/>
    <w:rsid w:val="001669A8"/>
    <w:rsid w:val="00166A5A"/>
    <w:rsid w:val="00166ABF"/>
    <w:rsid w:val="00167075"/>
    <w:rsid w:val="00167609"/>
    <w:rsid w:val="00167629"/>
    <w:rsid w:val="00167986"/>
    <w:rsid w:val="00167E20"/>
    <w:rsid w:val="00167E83"/>
    <w:rsid w:val="00167EAC"/>
    <w:rsid w:val="00170152"/>
    <w:rsid w:val="0017016D"/>
    <w:rsid w:val="00170512"/>
    <w:rsid w:val="001706DC"/>
    <w:rsid w:val="001708E0"/>
    <w:rsid w:val="001709EC"/>
    <w:rsid w:val="00170A06"/>
    <w:rsid w:val="00170B97"/>
    <w:rsid w:val="00170D9F"/>
    <w:rsid w:val="00170E79"/>
    <w:rsid w:val="00171BEF"/>
    <w:rsid w:val="00171EDD"/>
    <w:rsid w:val="00172522"/>
    <w:rsid w:val="00172B2E"/>
    <w:rsid w:val="00172C37"/>
    <w:rsid w:val="00172D5B"/>
    <w:rsid w:val="00173116"/>
    <w:rsid w:val="00173335"/>
    <w:rsid w:val="0017379D"/>
    <w:rsid w:val="001738C0"/>
    <w:rsid w:val="00173AD5"/>
    <w:rsid w:val="00173ADA"/>
    <w:rsid w:val="00173F2F"/>
    <w:rsid w:val="00174126"/>
    <w:rsid w:val="001742A5"/>
    <w:rsid w:val="00174680"/>
    <w:rsid w:val="00174B75"/>
    <w:rsid w:val="00174D01"/>
    <w:rsid w:val="00174F77"/>
    <w:rsid w:val="0017514D"/>
    <w:rsid w:val="00175522"/>
    <w:rsid w:val="00175B3B"/>
    <w:rsid w:val="00175C45"/>
    <w:rsid w:val="00176071"/>
    <w:rsid w:val="001766CD"/>
    <w:rsid w:val="00176BA4"/>
    <w:rsid w:val="00177097"/>
    <w:rsid w:val="00177159"/>
    <w:rsid w:val="001771CB"/>
    <w:rsid w:val="00177607"/>
    <w:rsid w:val="001778DA"/>
    <w:rsid w:val="00177BCC"/>
    <w:rsid w:val="00177C21"/>
    <w:rsid w:val="00177D4C"/>
    <w:rsid w:val="00177FAB"/>
    <w:rsid w:val="001802B3"/>
    <w:rsid w:val="001802C8"/>
    <w:rsid w:val="00180704"/>
    <w:rsid w:val="00180825"/>
    <w:rsid w:val="001809F3"/>
    <w:rsid w:val="00180DDD"/>
    <w:rsid w:val="00180EA3"/>
    <w:rsid w:val="00180F9F"/>
    <w:rsid w:val="00181003"/>
    <w:rsid w:val="001812F6"/>
    <w:rsid w:val="00181386"/>
    <w:rsid w:val="001813FB"/>
    <w:rsid w:val="001814AB"/>
    <w:rsid w:val="001815D6"/>
    <w:rsid w:val="00181608"/>
    <w:rsid w:val="001817D1"/>
    <w:rsid w:val="00181BFF"/>
    <w:rsid w:val="001820AB"/>
    <w:rsid w:val="00182197"/>
    <w:rsid w:val="0018247C"/>
    <w:rsid w:val="001824C9"/>
    <w:rsid w:val="00182509"/>
    <w:rsid w:val="00182870"/>
    <w:rsid w:val="00182887"/>
    <w:rsid w:val="00182906"/>
    <w:rsid w:val="00182C4F"/>
    <w:rsid w:val="0018310D"/>
    <w:rsid w:val="00183401"/>
    <w:rsid w:val="00183471"/>
    <w:rsid w:val="00183BDE"/>
    <w:rsid w:val="00183D57"/>
    <w:rsid w:val="001841DC"/>
    <w:rsid w:val="00184521"/>
    <w:rsid w:val="0018483F"/>
    <w:rsid w:val="001849D7"/>
    <w:rsid w:val="00184D14"/>
    <w:rsid w:val="00185068"/>
    <w:rsid w:val="001850F4"/>
    <w:rsid w:val="0018520B"/>
    <w:rsid w:val="001856A7"/>
    <w:rsid w:val="001859EE"/>
    <w:rsid w:val="00185B3C"/>
    <w:rsid w:val="0018607D"/>
    <w:rsid w:val="00186116"/>
    <w:rsid w:val="001861B3"/>
    <w:rsid w:val="00186314"/>
    <w:rsid w:val="00186438"/>
    <w:rsid w:val="001867B2"/>
    <w:rsid w:val="001867C6"/>
    <w:rsid w:val="001869B3"/>
    <w:rsid w:val="00186BCD"/>
    <w:rsid w:val="00186C1E"/>
    <w:rsid w:val="00186CC8"/>
    <w:rsid w:val="00187031"/>
    <w:rsid w:val="001873A5"/>
    <w:rsid w:val="0018752C"/>
    <w:rsid w:val="0018782D"/>
    <w:rsid w:val="00187CEB"/>
    <w:rsid w:val="00190083"/>
    <w:rsid w:val="00190121"/>
    <w:rsid w:val="001908F8"/>
    <w:rsid w:val="00190FC4"/>
    <w:rsid w:val="0019113C"/>
    <w:rsid w:val="0019146F"/>
    <w:rsid w:val="00191887"/>
    <w:rsid w:val="00191A60"/>
    <w:rsid w:val="00191C79"/>
    <w:rsid w:val="00191CFC"/>
    <w:rsid w:val="001926DC"/>
    <w:rsid w:val="00192733"/>
    <w:rsid w:val="0019294F"/>
    <w:rsid w:val="00193016"/>
    <w:rsid w:val="0019346B"/>
    <w:rsid w:val="00193510"/>
    <w:rsid w:val="00193A22"/>
    <w:rsid w:val="00193ECB"/>
    <w:rsid w:val="00193F73"/>
    <w:rsid w:val="001944B4"/>
    <w:rsid w:val="00194588"/>
    <w:rsid w:val="0019497D"/>
    <w:rsid w:val="00194F08"/>
    <w:rsid w:val="001952C1"/>
    <w:rsid w:val="001958DF"/>
    <w:rsid w:val="00195CF9"/>
    <w:rsid w:val="00195E7C"/>
    <w:rsid w:val="00195F57"/>
    <w:rsid w:val="00195FB0"/>
    <w:rsid w:val="0019619B"/>
    <w:rsid w:val="001961A5"/>
    <w:rsid w:val="00196563"/>
    <w:rsid w:val="0019668A"/>
    <w:rsid w:val="00196718"/>
    <w:rsid w:val="00196A59"/>
    <w:rsid w:val="00197467"/>
    <w:rsid w:val="0019753D"/>
    <w:rsid w:val="00197648"/>
    <w:rsid w:val="001976D9"/>
    <w:rsid w:val="0019789B"/>
    <w:rsid w:val="00197F4A"/>
    <w:rsid w:val="00197F8A"/>
    <w:rsid w:val="001A0562"/>
    <w:rsid w:val="001A06A1"/>
    <w:rsid w:val="001A070A"/>
    <w:rsid w:val="001A08C2"/>
    <w:rsid w:val="001A0923"/>
    <w:rsid w:val="001A0B1B"/>
    <w:rsid w:val="001A0C34"/>
    <w:rsid w:val="001A0D2F"/>
    <w:rsid w:val="001A0E6E"/>
    <w:rsid w:val="001A10C3"/>
    <w:rsid w:val="001A1267"/>
    <w:rsid w:val="001A16F5"/>
    <w:rsid w:val="001A1781"/>
    <w:rsid w:val="001A193A"/>
    <w:rsid w:val="001A1AB6"/>
    <w:rsid w:val="001A1CC2"/>
    <w:rsid w:val="001A2337"/>
    <w:rsid w:val="001A275E"/>
    <w:rsid w:val="001A29A3"/>
    <w:rsid w:val="001A3219"/>
    <w:rsid w:val="001A3256"/>
    <w:rsid w:val="001A370B"/>
    <w:rsid w:val="001A3CA0"/>
    <w:rsid w:val="001A3CE0"/>
    <w:rsid w:val="001A3D8D"/>
    <w:rsid w:val="001A3F90"/>
    <w:rsid w:val="001A42B6"/>
    <w:rsid w:val="001A433C"/>
    <w:rsid w:val="001A449F"/>
    <w:rsid w:val="001A47F9"/>
    <w:rsid w:val="001A4811"/>
    <w:rsid w:val="001A4813"/>
    <w:rsid w:val="001A4899"/>
    <w:rsid w:val="001A49DA"/>
    <w:rsid w:val="001A4B45"/>
    <w:rsid w:val="001A5162"/>
    <w:rsid w:val="001A5354"/>
    <w:rsid w:val="001A543A"/>
    <w:rsid w:val="001A54CB"/>
    <w:rsid w:val="001A552B"/>
    <w:rsid w:val="001A5753"/>
    <w:rsid w:val="001A590F"/>
    <w:rsid w:val="001A592D"/>
    <w:rsid w:val="001A5AA4"/>
    <w:rsid w:val="001A5ADE"/>
    <w:rsid w:val="001A5B6A"/>
    <w:rsid w:val="001A62D6"/>
    <w:rsid w:val="001A62FC"/>
    <w:rsid w:val="001A6784"/>
    <w:rsid w:val="001A6793"/>
    <w:rsid w:val="001A6CF1"/>
    <w:rsid w:val="001A6DE8"/>
    <w:rsid w:val="001A6E03"/>
    <w:rsid w:val="001A6F59"/>
    <w:rsid w:val="001A7352"/>
    <w:rsid w:val="001A7815"/>
    <w:rsid w:val="001A7DA7"/>
    <w:rsid w:val="001B031E"/>
    <w:rsid w:val="001B0593"/>
    <w:rsid w:val="001B05DF"/>
    <w:rsid w:val="001B0641"/>
    <w:rsid w:val="001B06C0"/>
    <w:rsid w:val="001B09B8"/>
    <w:rsid w:val="001B0D94"/>
    <w:rsid w:val="001B118B"/>
    <w:rsid w:val="001B124E"/>
    <w:rsid w:val="001B130A"/>
    <w:rsid w:val="001B17C4"/>
    <w:rsid w:val="001B2001"/>
    <w:rsid w:val="001B20E4"/>
    <w:rsid w:val="001B264B"/>
    <w:rsid w:val="001B299E"/>
    <w:rsid w:val="001B29DF"/>
    <w:rsid w:val="001B2B45"/>
    <w:rsid w:val="001B2B9B"/>
    <w:rsid w:val="001B2C65"/>
    <w:rsid w:val="001B2F8D"/>
    <w:rsid w:val="001B358B"/>
    <w:rsid w:val="001B3F23"/>
    <w:rsid w:val="001B436F"/>
    <w:rsid w:val="001B4376"/>
    <w:rsid w:val="001B44A5"/>
    <w:rsid w:val="001B47FB"/>
    <w:rsid w:val="001B4AED"/>
    <w:rsid w:val="001B506C"/>
    <w:rsid w:val="001B52B1"/>
    <w:rsid w:val="001B52DE"/>
    <w:rsid w:val="001B5A63"/>
    <w:rsid w:val="001B5C7F"/>
    <w:rsid w:val="001B5DC7"/>
    <w:rsid w:val="001B5F2B"/>
    <w:rsid w:val="001B6095"/>
    <w:rsid w:val="001B6097"/>
    <w:rsid w:val="001B632D"/>
    <w:rsid w:val="001B6507"/>
    <w:rsid w:val="001B6B98"/>
    <w:rsid w:val="001B6C7F"/>
    <w:rsid w:val="001B6E5B"/>
    <w:rsid w:val="001B6ED1"/>
    <w:rsid w:val="001B7705"/>
    <w:rsid w:val="001B7767"/>
    <w:rsid w:val="001B786F"/>
    <w:rsid w:val="001B7A74"/>
    <w:rsid w:val="001B7B10"/>
    <w:rsid w:val="001B7B34"/>
    <w:rsid w:val="001B7E1E"/>
    <w:rsid w:val="001B7FEF"/>
    <w:rsid w:val="001C019A"/>
    <w:rsid w:val="001C02C9"/>
    <w:rsid w:val="001C0314"/>
    <w:rsid w:val="001C0561"/>
    <w:rsid w:val="001C05C5"/>
    <w:rsid w:val="001C08FC"/>
    <w:rsid w:val="001C0B14"/>
    <w:rsid w:val="001C0E02"/>
    <w:rsid w:val="001C0EC1"/>
    <w:rsid w:val="001C11DB"/>
    <w:rsid w:val="001C182B"/>
    <w:rsid w:val="001C19A2"/>
    <w:rsid w:val="001C1A35"/>
    <w:rsid w:val="001C1D82"/>
    <w:rsid w:val="001C216C"/>
    <w:rsid w:val="001C2419"/>
    <w:rsid w:val="001C247A"/>
    <w:rsid w:val="001C2611"/>
    <w:rsid w:val="001C2908"/>
    <w:rsid w:val="001C2994"/>
    <w:rsid w:val="001C2B7D"/>
    <w:rsid w:val="001C2DBB"/>
    <w:rsid w:val="001C2F7C"/>
    <w:rsid w:val="001C30BA"/>
    <w:rsid w:val="001C31C5"/>
    <w:rsid w:val="001C36F6"/>
    <w:rsid w:val="001C39F8"/>
    <w:rsid w:val="001C3E29"/>
    <w:rsid w:val="001C419E"/>
    <w:rsid w:val="001C4610"/>
    <w:rsid w:val="001C4C46"/>
    <w:rsid w:val="001C4C53"/>
    <w:rsid w:val="001C4DCC"/>
    <w:rsid w:val="001C510A"/>
    <w:rsid w:val="001C51D2"/>
    <w:rsid w:val="001C559B"/>
    <w:rsid w:val="001C570E"/>
    <w:rsid w:val="001C581D"/>
    <w:rsid w:val="001C5979"/>
    <w:rsid w:val="001C5CA2"/>
    <w:rsid w:val="001C6877"/>
    <w:rsid w:val="001C6D9C"/>
    <w:rsid w:val="001C6DB7"/>
    <w:rsid w:val="001C70A6"/>
    <w:rsid w:val="001C7791"/>
    <w:rsid w:val="001C7B10"/>
    <w:rsid w:val="001C7FFC"/>
    <w:rsid w:val="001D012C"/>
    <w:rsid w:val="001D0472"/>
    <w:rsid w:val="001D079C"/>
    <w:rsid w:val="001D07AE"/>
    <w:rsid w:val="001D08FD"/>
    <w:rsid w:val="001D08FE"/>
    <w:rsid w:val="001D0966"/>
    <w:rsid w:val="001D0A3C"/>
    <w:rsid w:val="001D0E67"/>
    <w:rsid w:val="001D0EF5"/>
    <w:rsid w:val="001D1087"/>
    <w:rsid w:val="001D1634"/>
    <w:rsid w:val="001D1679"/>
    <w:rsid w:val="001D198E"/>
    <w:rsid w:val="001D19E8"/>
    <w:rsid w:val="001D1D34"/>
    <w:rsid w:val="001D1DA2"/>
    <w:rsid w:val="001D20E4"/>
    <w:rsid w:val="001D22A6"/>
    <w:rsid w:val="001D24BE"/>
    <w:rsid w:val="001D2A88"/>
    <w:rsid w:val="001D2CBA"/>
    <w:rsid w:val="001D2DF6"/>
    <w:rsid w:val="001D2FA0"/>
    <w:rsid w:val="001D3CD5"/>
    <w:rsid w:val="001D3D55"/>
    <w:rsid w:val="001D4548"/>
    <w:rsid w:val="001D45B9"/>
    <w:rsid w:val="001D4EEC"/>
    <w:rsid w:val="001D5238"/>
    <w:rsid w:val="001D52A2"/>
    <w:rsid w:val="001D52B3"/>
    <w:rsid w:val="001D5429"/>
    <w:rsid w:val="001D54EC"/>
    <w:rsid w:val="001D554C"/>
    <w:rsid w:val="001D5930"/>
    <w:rsid w:val="001D6073"/>
    <w:rsid w:val="001D6585"/>
    <w:rsid w:val="001D670D"/>
    <w:rsid w:val="001D6787"/>
    <w:rsid w:val="001D6975"/>
    <w:rsid w:val="001D69E3"/>
    <w:rsid w:val="001D6B48"/>
    <w:rsid w:val="001D6D5E"/>
    <w:rsid w:val="001D6E3A"/>
    <w:rsid w:val="001D71DC"/>
    <w:rsid w:val="001D74E2"/>
    <w:rsid w:val="001D7899"/>
    <w:rsid w:val="001D78E5"/>
    <w:rsid w:val="001D7BE6"/>
    <w:rsid w:val="001D7C46"/>
    <w:rsid w:val="001D7D76"/>
    <w:rsid w:val="001E0270"/>
    <w:rsid w:val="001E035E"/>
    <w:rsid w:val="001E03D5"/>
    <w:rsid w:val="001E06D2"/>
    <w:rsid w:val="001E09BC"/>
    <w:rsid w:val="001E0A0E"/>
    <w:rsid w:val="001E114C"/>
    <w:rsid w:val="001E1595"/>
    <w:rsid w:val="001E1610"/>
    <w:rsid w:val="001E1700"/>
    <w:rsid w:val="001E18EA"/>
    <w:rsid w:val="001E1AEF"/>
    <w:rsid w:val="001E26EE"/>
    <w:rsid w:val="001E2769"/>
    <w:rsid w:val="001E27B1"/>
    <w:rsid w:val="001E2867"/>
    <w:rsid w:val="001E291A"/>
    <w:rsid w:val="001E3370"/>
    <w:rsid w:val="001E33E5"/>
    <w:rsid w:val="001E34EB"/>
    <w:rsid w:val="001E35EF"/>
    <w:rsid w:val="001E3C2C"/>
    <w:rsid w:val="001E3E38"/>
    <w:rsid w:val="001E401E"/>
    <w:rsid w:val="001E49D4"/>
    <w:rsid w:val="001E52D3"/>
    <w:rsid w:val="001E542C"/>
    <w:rsid w:val="001E5CA6"/>
    <w:rsid w:val="001E5CAF"/>
    <w:rsid w:val="001E5EB7"/>
    <w:rsid w:val="001E603F"/>
    <w:rsid w:val="001E61CA"/>
    <w:rsid w:val="001E6229"/>
    <w:rsid w:val="001E647B"/>
    <w:rsid w:val="001E6C95"/>
    <w:rsid w:val="001E6CE6"/>
    <w:rsid w:val="001E717E"/>
    <w:rsid w:val="001E7284"/>
    <w:rsid w:val="001E74B5"/>
    <w:rsid w:val="001E78E3"/>
    <w:rsid w:val="001E7A42"/>
    <w:rsid w:val="001E7F71"/>
    <w:rsid w:val="001EA7D6"/>
    <w:rsid w:val="001F02CF"/>
    <w:rsid w:val="001F02EB"/>
    <w:rsid w:val="001F02EC"/>
    <w:rsid w:val="001F047F"/>
    <w:rsid w:val="001F0605"/>
    <w:rsid w:val="001F084F"/>
    <w:rsid w:val="001F1234"/>
    <w:rsid w:val="001F12E1"/>
    <w:rsid w:val="001F1327"/>
    <w:rsid w:val="001F16C1"/>
    <w:rsid w:val="001F1A5F"/>
    <w:rsid w:val="001F1E55"/>
    <w:rsid w:val="001F2020"/>
    <w:rsid w:val="001F21EB"/>
    <w:rsid w:val="001F2325"/>
    <w:rsid w:val="001F2A4F"/>
    <w:rsid w:val="001F2A83"/>
    <w:rsid w:val="001F2AE3"/>
    <w:rsid w:val="001F2CCF"/>
    <w:rsid w:val="001F2F50"/>
    <w:rsid w:val="001F2F57"/>
    <w:rsid w:val="001F3334"/>
    <w:rsid w:val="001F3854"/>
    <w:rsid w:val="001F3BD0"/>
    <w:rsid w:val="001F3FE6"/>
    <w:rsid w:val="001F40BE"/>
    <w:rsid w:val="001F40E1"/>
    <w:rsid w:val="001F4388"/>
    <w:rsid w:val="001F457C"/>
    <w:rsid w:val="001F4627"/>
    <w:rsid w:val="001F463F"/>
    <w:rsid w:val="001F4F6F"/>
    <w:rsid w:val="001F5008"/>
    <w:rsid w:val="001F50E7"/>
    <w:rsid w:val="001F52D4"/>
    <w:rsid w:val="001F56A4"/>
    <w:rsid w:val="001F56FC"/>
    <w:rsid w:val="001F5991"/>
    <w:rsid w:val="001F5C59"/>
    <w:rsid w:val="001F6483"/>
    <w:rsid w:val="001F68C4"/>
    <w:rsid w:val="001F6C3C"/>
    <w:rsid w:val="001F6D9C"/>
    <w:rsid w:val="001F78D4"/>
    <w:rsid w:val="001F78F0"/>
    <w:rsid w:val="001F7AD7"/>
    <w:rsid w:val="001F7CE4"/>
    <w:rsid w:val="0020033F"/>
    <w:rsid w:val="00201732"/>
    <w:rsid w:val="002018C1"/>
    <w:rsid w:val="002021B4"/>
    <w:rsid w:val="002025C0"/>
    <w:rsid w:val="00202670"/>
    <w:rsid w:val="002026F0"/>
    <w:rsid w:val="00202824"/>
    <w:rsid w:val="00202837"/>
    <w:rsid w:val="00202850"/>
    <w:rsid w:val="00202B20"/>
    <w:rsid w:val="00202B66"/>
    <w:rsid w:val="0020303B"/>
    <w:rsid w:val="0020309B"/>
    <w:rsid w:val="00203299"/>
    <w:rsid w:val="002035DD"/>
    <w:rsid w:val="0020380B"/>
    <w:rsid w:val="002039F2"/>
    <w:rsid w:val="00203B26"/>
    <w:rsid w:val="00203F46"/>
    <w:rsid w:val="00204081"/>
    <w:rsid w:val="00204092"/>
    <w:rsid w:val="002044DF"/>
    <w:rsid w:val="0020465F"/>
    <w:rsid w:val="002047E3"/>
    <w:rsid w:val="0020481B"/>
    <w:rsid w:val="002048B9"/>
    <w:rsid w:val="00204CA0"/>
    <w:rsid w:val="00204D71"/>
    <w:rsid w:val="00204EA4"/>
    <w:rsid w:val="00205224"/>
    <w:rsid w:val="002055EC"/>
    <w:rsid w:val="0020597E"/>
    <w:rsid w:val="002059AE"/>
    <w:rsid w:val="00205D72"/>
    <w:rsid w:val="002060CE"/>
    <w:rsid w:val="00206331"/>
    <w:rsid w:val="002063EB"/>
    <w:rsid w:val="002065A8"/>
    <w:rsid w:val="00206823"/>
    <w:rsid w:val="00206BD0"/>
    <w:rsid w:val="00207212"/>
    <w:rsid w:val="0020750B"/>
    <w:rsid w:val="002077F5"/>
    <w:rsid w:val="00207AB5"/>
    <w:rsid w:val="00207CAA"/>
    <w:rsid w:val="00207CED"/>
    <w:rsid w:val="00207F0A"/>
    <w:rsid w:val="00207FDD"/>
    <w:rsid w:val="0021072A"/>
    <w:rsid w:val="002109ED"/>
    <w:rsid w:val="00210A36"/>
    <w:rsid w:val="00210DD8"/>
    <w:rsid w:val="00210F1E"/>
    <w:rsid w:val="00211046"/>
    <w:rsid w:val="00211350"/>
    <w:rsid w:val="002116BC"/>
    <w:rsid w:val="00211821"/>
    <w:rsid w:val="002118F0"/>
    <w:rsid w:val="00211A46"/>
    <w:rsid w:val="00211AB7"/>
    <w:rsid w:val="002121A3"/>
    <w:rsid w:val="0021245B"/>
    <w:rsid w:val="00212562"/>
    <w:rsid w:val="00212A7D"/>
    <w:rsid w:val="002132CB"/>
    <w:rsid w:val="0021371D"/>
    <w:rsid w:val="00213A7F"/>
    <w:rsid w:val="00213C6C"/>
    <w:rsid w:val="00213E67"/>
    <w:rsid w:val="00213FA8"/>
    <w:rsid w:val="0021483D"/>
    <w:rsid w:val="0021516B"/>
    <w:rsid w:val="0021556C"/>
    <w:rsid w:val="002160F9"/>
    <w:rsid w:val="0021676D"/>
    <w:rsid w:val="00216779"/>
    <w:rsid w:val="00216C2B"/>
    <w:rsid w:val="00217273"/>
    <w:rsid w:val="002177CB"/>
    <w:rsid w:val="00217A57"/>
    <w:rsid w:val="00220042"/>
    <w:rsid w:val="00220196"/>
    <w:rsid w:val="00220292"/>
    <w:rsid w:val="002202B5"/>
    <w:rsid w:val="00220699"/>
    <w:rsid w:val="00220756"/>
    <w:rsid w:val="0022078D"/>
    <w:rsid w:val="00220B1E"/>
    <w:rsid w:val="00220B5F"/>
    <w:rsid w:val="00220CD9"/>
    <w:rsid w:val="00220ED3"/>
    <w:rsid w:val="002213A0"/>
    <w:rsid w:val="002217AA"/>
    <w:rsid w:val="00221D2F"/>
    <w:rsid w:val="00221D89"/>
    <w:rsid w:val="00221DFF"/>
    <w:rsid w:val="00221E47"/>
    <w:rsid w:val="002220A9"/>
    <w:rsid w:val="00222482"/>
    <w:rsid w:val="002226BD"/>
    <w:rsid w:val="002226CC"/>
    <w:rsid w:val="00222860"/>
    <w:rsid w:val="00222F30"/>
    <w:rsid w:val="00222FE5"/>
    <w:rsid w:val="002231F1"/>
    <w:rsid w:val="002233DE"/>
    <w:rsid w:val="00223ABC"/>
    <w:rsid w:val="00223BB2"/>
    <w:rsid w:val="00224281"/>
    <w:rsid w:val="00224312"/>
    <w:rsid w:val="0022458C"/>
    <w:rsid w:val="002248A6"/>
    <w:rsid w:val="0022492A"/>
    <w:rsid w:val="00224D02"/>
    <w:rsid w:val="00224EA5"/>
    <w:rsid w:val="002250D0"/>
    <w:rsid w:val="00225402"/>
    <w:rsid w:val="00225971"/>
    <w:rsid w:val="002259F2"/>
    <w:rsid w:val="00225A37"/>
    <w:rsid w:val="00225BB0"/>
    <w:rsid w:val="00225C09"/>
    <w:rsid w:val="00225C34"/>
    <w:rsid w:val="00225CF6"/>
    <w:rsid w:val="0022605D"/>
    <w:rsid w:val="00226104"/>
    <w:rsid w:val="00226902"/>
    <w:rsid w:val="00226C11"/>
    <w:rsid w:val="00226CA2"/>
    <w:rsid w:val="00226CD3"/>
    <w:rsid w:val="00226D95"/>
    <w:rsid w:val="00226E15"/>
    <w:rsid w:val="0022708F"/>
    <w:rsid w:val="002274A7"/>
    <w:rsid w:val="00227600"/>
    <w:rsid w:val="00227A47"/>
    <w:rsid w:val="00227BB4"/>
    <w:rsid w:val="002301CA"/>
    <w:rsid w:val="002302EF"/>
    <w:rsid w:val="0023035A"/>
    <w:rsid w:val="00230E2F"/>
    <w:rsid w:val="00230F22"/>
    <w:rsid w:val="002314EA"/>
    <w:rsid w:val="00231572"/>
    <w:rsid w:val="00231BA5"/>
    <w:rsid w:val="00231C74"/>
    <w:rsid w:val="00231E5F"/>
    <w:rsid w:val="00232520"/>
    <w:rsid w:val="002330DD"/>
    <w:rsid w:val="002332D5"/>
    <w:rsid w:val="00233467"/>
    <w:rsid w:val="00233D27"/>
    <w:rsid w:val="002342A7"/>
    <w:rsid w:val="0023458B"/>
    <w:rsid w:val="002348F4"/>
    <w:rsid w:val="00234AE3"/>
    <w:rsid w:val="00234ECA"/>
    <w:rsid w:val="002350BB"/>
    <w:rsid w:val="00235145"/>
    <w:rsid w:val="002358E0"/>
    <w:rsid w:val="00235B3E"/>
    <w:rsid w:val="00235C0B"/>
    <w:rsid w:val="00235D33"/>
    <w:rsid w:val="00235E25"/>
    <w:rsid w:val="00236095"/>
    <w:rsid w:val="00236546"/>
    <w:rsid w:val="00236776"/>
    <w:rsid w:val="00236793"/>
    <w:rsid w:val="00236C74"/>
    <w:rsid w:val="00236E20"/>
    <w:rsid w:val="002370BE"/>
    <w:rsid w:val="002376E9"/>
    <w:rsid w:val="00237825"/>
    <w:rsid w:val="002378CD"/>
    <w:rsid w:val="00237CF6"/>
    <w:rsid w:val="002404F2"/>
    <w:rsid w:val="0024077E"/>
    <w:rsid w:val="002407E5"/>
    <w:rsid w:val="00240930"/>
    <w:rsid w:val="00240B6A"/>
    <w:rsid w:val="00240C2F"/>
    <w:rsid w:val="002416D8"/>
    <w:rsid w:val="002418EF"/>
    <w:rsid w:val="00241928"/>
    <w:rsid w:val="00241B47"/>
    <w:rsid w:val="00241B48"/>
    <w:rsid w:val="00241FB9"/>
    <w:rsid w:val="002421E2"/>
    <w:rsid w:val="00242220"/>
    <w:rsid w:val="00242666"/>
    <w:rsid w:val="00242C52"/>
    <w:rsid w:val="00242D37"/>
    <w:rsid w:val="00242E16"/>
    <w:rsid w:val="00242E8C"/>
    <w:rsid w:val="00242EEF"/>
    <w:rsid w:val="00243000"/>
    <w:rsid w:val="002432FC"/>
    <w:rsid w:val="00243409"/>
    <w:rsid w:val="0024361D"/>
    <w:rsid w:val="00243748"/>
    <w:rsid w:val="00243769"/>
    <w:rsid w:val="00243940"/>
    <w:rsid w:val="00243D67"/>
    <w:rsid w:val="00243FD1"/>
    <w:rsid w:val="002442C5"/>
    <w:rsid w:val="00244370"/>
    <w:rsid w:val="00244423"/>
    <w:rsid w:val="002444A7"/>
    <w:rsid w:val="00244636"/>
    <w:rsid w:val="00244A33"/>
    <w:rsid w:val="00244A56"/>
    <w:rsid w:val="00244A64"/>
    <w:rsid w:val="00244ADD"/>
    <w:rsid w:val="00244C5D"/>
    <w:rsid w:val="002450AA"/>
    <w:rsid w:val="00245131"/>
    <w:rsid w:val="0024532E"/>
    <w:rsid w:val="002458D2"/>
    <w:rsid w:val="00245916"/>
    <w:rsid w:val="00245E12"/>
    <w:rsid w:val="00245EE7"/>
    <w:rsid w:val="00246240"/>
    <w:rsid w:val="00246691"/>
    <w:rsid w:val="002466FF"/>
    <w:rsid w:val="002467A7"/>
    <w:rsid w:val="002467AE"/>
    <w:rsid w:val="002469B0"/>
    <w:rsid w:val="00246DAE"/>
    <w:rsid w:val="00247535"/>
    <w:rsid w:val="002475F0"/>
    <w:rsid w:val="00247922"/>
    <w:rsid w:val="00247C59"/>
    <w:rsid w:val="00247D8E"/>
    <w:rsid w:val="00250133"/>
    <w:rsid w:val="00250326"/>
    <w:rsid w:val="002503D8"/>
    <w:rsid w:val="00250494"/>
    <w:rsid w:val="002504B6"/>
    <w:rsid w:val="00250779"/>
    <w:rsid w:val="00250810"/>
    <w:rsid w:val="00250871"/>
    <w:rsid w:val="00250886"/>
    <w:rsid w:val="002509F2"/>
    <w:rsid w:val="00250B01"/>
    <w:rsid w:val="00250B60"/>
    <w:rsid w:val="00250D89"/>
    <w:rsid w:val="00250E72"/>
    <w:rsid w:val="00250F73"/>
    <w:rsid w:val="002516D2"/>
    <w:rsid w:val="00251B24"/>
    <w:rsid w:val="00251C43"/>
    <w:rsid w:val="0025269A"/>
    <w:rsid w:val="00252B1B"/>
    <w:rsid w:val="00252B31"/>
    <w:rsid w:val="00252C0D"/>
    <w:rsid w:val="002538AC"/>
    <w:rsid w:val="00253B9C"/>
    <w:rsid w:val="00253C41"/>
    <w:rsid w:val="00253F47"/>
    <w:rsid w:val="002541CE"/>
    <w:rsid w:val="00254251"/>
    <w:rsid w:val="0025436E"/>
    <w:rsid w:val="0025463F"/>
    <w:rsid w:val="0025478A"/>
    <w:rsid w:val="002548CA"/>
    <w:rsid w:val="002549AD"/>
    <w:rsid w:val="00254B3C"/>
    <w:rsid w:val="00254C40"/>
    <w:rsid w:val="00255161"/>
    <w:rsid w:val="00255CC6"/>
    <w:rsid w:val="00255D07"/>
    <w:rsid w:val="00255F73"/>
    <w:rsid w:val="0025610F"/>
    <w:rsid w:val="00256186"/>
    <w:rsid w:val="00256DA3"/>
    <w:rsid w:val="00256F1D"/>
    <w:rsid w:val="00256F9B"/>
    <w:rsid w:val="002575ED"/>
    <w:rsid w:val="00257ABD"/>
    <w:rsid w:val="00257BA4"/>
    <w:rsid w:val="00257D84"/>
    <w:rsid w:val="00260328"/>
    <w:rsid w:val="00260927"/>
    <w:rsid w:val="00260B2E"/>
    <w:rsid w:val="00260D35"/>
    <w:rsid w:val="00260DCE"/>
    <w:rsid w:val="002612A5"/>
    <w:rsid w:val="00261655"/>
    <w:rsid w:val="00261D60"/>
    <w:rsid w:val="0026218E"/>
    <w:rsid w:val="00262454"/>
    <w:rsid w:val="00262DD5"/>
    <w:rsid w:val="00262E4B"/>
    <w:rsid w:val="002634C7"/>
    <w:rsid w:val="002634C8"/>
    <w:rsid w:val="00263744"/>
    <w:rsid w:val="00263981"/>
    <w:rsid w:val="00263E18"/>
    <w:rsid w:val="00263EDD"/>
    <w:rsid w:val="0026418C"/>
    <w:rsid w:val="00264384"/>
    <w:rsid w:val="002645F2"/>
    <w:rsid w:val="00264626"/>
    <w:rsid w:val="002648CF"/>
    <w:rsid w:val="00264AEC"/>
    <w:rsid w:val="00264BE2"/>
    <w:rsid w:val="00264CDE"/>
    <w:rsid w:val="00265477"/>
    <w:rsid w:val="0026578B"/>
    <w:rsid w:val="00265810"/>
    <w:rsid w:val="00265811"/>
    <w:rsid w:val="00265911"/>
    <w:rsid w:val="00265E93"/>
    <w:rsid w:val="0026605F"/>
    <w:rsid w:val="00266110"/>
    <w:rsid w:val="00266140"/>
    <w:rsid w:val="0026619D"/>
    <w:rsid w:val="00266348"/>
    <w:rsid w:val="0026656D"/>
    <w:rsid w:val="0026683B"/>
    <w:rsid w:val="00266A5D"/>
    <w:rsid w:val="00266FCD"/>
    <w:rsid w:val="00267035"/>
    <w:rsid w:val="0026737B"/>
    <w:rsid w:val="0026755A"/>
    <w:rsid w:val="00267861"/>
    <w:rsid w:val="00270912"/>
    <w:rsid w:val="00270938"/>
    <w:rsid w:val="00270BA1"/>
    <w:rsid w:val="00271D9B"/>
    <w:rsid w:val="00271DA3"/>
    <w:rsid w:val="00271F26"/>
    <w:rsid w:val="002720FC"/>
    <w:rsid w:val="0027217C"/>
    <w:rsid w:val="002721D5"/>
    <w:rsid w:val="0027248C"/>
    <w:rsid w:val="00272514"/>
    <w:rsid w:val="002725BC"/>
    <w:rsid w:val="00272A37"/>
    <w:rsid w:val="00272B2B"/>
    <w:rsid w:val="00272DCA"/>
    <w:rsid w:val="00272DD4"/>
    <w:rsid w:val="0027314D"/>
    <w:rsid w:val="002731B5"/>
    <w:rsid w:val="002734E0"/>
    <w:rsid w:val="002735AF"/>
    <w:rsid w:val="002736B1"/>
    <w:rsid w:val="00273781"/>
    <w:rsid w:val="00273786"/>
    <w:rsid w:val="00273988"/>
    <w:rsid w:val="002739FD"/>
    <w:rsid w:val="00273C86"/>
    <w:rsid w:val="00273CC0"/>
    <w:rsid w:val="00273EFC"/>
    <w:rsid w:val="00274C01"/>
    <w:rsid w:val="0027529D"/>
    <w:rsid w:val="002752FC"/>
    <w:rsid w:val="0027557C"/>
    <w:rsid w:val="0027573A"/>
    <w:rsid w:val="00275C1D"/>
    <w:rsid w:val="00275CDA"/>
    <w:rsid w:val="00275DC0"/>
    <w:rsid w:val="00275E62"/>
    <w:rsid w:val="002761C3"/>
    <w:rsid w:val="00276246"/>
    <w:rsid w:val="002762EE"/>
    <w:rsid w:val="0027647B"/>
    <w:rsid w:val="00276687"/>
    <w:rsid w:val="00276A37"/>
    <w:rsid w:val="00276CDE"/>
    <w:rsid w:val="00276EA6"/>
    <w:rsid w:val="00277567"/>
    <w:rsid w:val="0027785F"/>
    <w:rsid w:val="00277A06"/>
    <w:rsid w:val="00277CC9"/>
    <w:rsid w:val="00277CF1"/>
    <w:rsid w:val="00277DE4"/>
    <w:rsid w:val="00280450"/>
    <w:rsid w:val="00280704"/>
    <w:rsid w:val="00280CFE"/>
    <w:rsid w:val="00281438"/>
    <w:rsid w:val="00281450"/>
    <w:rsid w:val="00281589"/>
    <w:rsid w:val="002819D8"/>
    <w:rsid w:val="00281D26"/>
    <w:rsid w:val="002820D1"/>
    <w:rsid w:val="00282138"/>
    <w:rsid w:val="00282171"/>
    <w:rsid w:val="002829CB"/>
    <w:rsid w:val="00282AA2"/>
    <w:rsid w:val="00282B55"/>
    <w:rsid w:val="00282E45"/>
    <w:rsid w:val="002832D4"/>
    <w:rsid w:val="0028337D"/>
    <w:rsid w:val="00283470"/>
    <w:rsid w:val="0028363C"/>
    <w:rsid w:val="00283984"/>
    <w:rsid w:val="002839B2"/>
    <w:rsid w:val="00283ABA"/>
    <w:rsid w:val="002841C9"/>
    <w:rsid w:val="00284898"/>
    <w:rsid w:val="00284B8A"/>
    <w:rsid w:val="00284FE6"/>
    <w:rsid w:val="00285082"/>
    <w:rsid w:val="002850D2"/>
    <w:rsid w:val="0028511A"/>
    <w:rsid w:val="002851D9"/>
    <w:rsid w:val="0028530B"/>
    <w:rsid w:val="002855C1"/>
    <w:rsid w:val="002856B3"/>
    <w:rsid w:val="00285838"/>
    <w:rsid w:val="00285E06"/>
    <w:rsid w:val="0028610B"/>
    <w:rsid w:val="0028623F"/>
    <w:rsid w:val="00286389"/>
    <w:rsid w:val="0028668C"/>
    <w:rsid w:val="0028675A"/>
    <w:rsid w:val="002868EB"/>
    <w:rsid w:val="00286B07"/>
    <w:rsid w:val="00286ECC"/>
    <w:rsid w:val="00286F23"/>
    <w:rsid w:val="00286F6F"/>
    <w:rsid w:val="002870E0"/>
    <w:rsid w:val="00287243"/>
    <w:rsid w:val="0028730B"/>
    <w:rsid w:val="002875D4"/>
    <w:rsid w:val="00287934"/>
    <w:rsid w:val="00287B94"/>
    <w:rsid w:val="00287BC9"/>
    <w:rsid w:val="00287CB8"/>
    <w:rsid w:val="00287CE5"/>
    <w:rsid w:val="00290442"/>
    <w:rsid w:val="00290551"/>
    <w:rsid w:val="0029087E"/>
    <w:rsid w:val="00290B74"/>
    <w:rsid w:val="00290C3F"/>
    <w:rsid w:val="00290CF2"/>
    <w:rsid w:val="00290E91"/>
    <w:rsid w:val="00290EB6"/>
    <w:rsid w:val="00290F14"/>
    <w:rsid w:val="00290FB3"/>
    <w:rsid w:val="00291207"/>
    <w:rsid w:val="00291265"/>
    <w:rsid w:val="002913FB"/>
    <w:rsid w:val="00291475"/>
    <w:rsid w:val="00291635"/>
    <w:rsid w:val="00291743"/>
    <w:rsid w:val="0029176C"/>
    <w:rsid w:val="00291795"/>
    <w:rsid w:val="002918D8"/>
    <w:rsid w:val="00291E2F"/>
    <w:rsid w:val="00291F26"/>
    <w:rsid w:val="002920A5"/>
    <w:rsid w:val="002921F7"/>
    <w:rsid w:val="002925F7"/>
    <w:rsid w:val="00292CF1"/>
    <w:rsid w:val="00292D30"/>
    <w:rsid w:val="00293B19"/>
    <w:rsid w:val="002940B3"/>
    <w:rsid w:val="0029415A"/>
    <w:rsid w:val="0029429C"/>
    <w:rsid w:val="0029446A"/>
    <w:rsid w:val="00294A41"/>
    <w:rsid w:val="00294D63"/>
    <w:rsid w:val="00294DF3"/>
    <w:rsid w:val="0029504B"/>
    <w:rsid w:val="0029575A"/>
    <w:rsid w:val="0029578C"/>
    <w:rsid w:val="002957E0"/>
    <w:rsid w:val="0029596C"/>
    <w:rsid w:val="00295A2C"/>
    <w:rsid w:val="00295FC9"/>
    <w:rsid w:val="00296097"/>
    <w:rsid w:val="00296560"/>
    <w:rsid w:val="00296FC6"/>
    <w:rsid w:val="002972FA"/>
    <w:rsid w:val="002973DE"/>
    <w:rsid w:val="00297487"/>
    <w:rsid w:val="0029749A"/>
    <w:rsid w:val="00297A89"/>
    <w:rsid w:val="00297C16"/>
    <w:rsid w:val="00297CB3"/>
    <w:rsid w:val="002A01D2"/>
    <w:rsid w:val="002A0450"/>
    <w:rsid w:val="002A0BDF"/>
    <w:rsid w:val="002A0C8E"/>
    <w:rsid w:val="002A0EBC"/>
    <w:rsid w:val="002A0F24"/>
    <w:rsid w:val="002A0F7C"/>
    <w:rsid w:val="002A0FA9"/>
    <w:rsid w:val="002A108A"/>
    <w:rsid w:val="002A12CD"/>
    <w:rsid w:val="002A1590"/>
    <w:rsid w:val="002A1833"/>
    <w:rsid w:val="002A258A"/>
    <w:rsid w:val="002A2623"/>
    <w:rsid w:val="002A26F2"/>
    <w:rsid w:val="002A27F5"/>
    <w:rsid w:val="002A284F"/>
    <w:rsid w:val="002A2A0F"/>
    <w:rsid w:val="002A2A61"/>
    <w:rsid w:val="002A2A86"/>
    <w:rsid w:val="002A307B"/>
    <w:rsid w:val="002A32B4"/>
    <w:rsid w:val="002A39C7"/>
    <w:rsid w:val="002A3ABE"/>
    <w:rsid w:val="002A3B8C"/>
    <w:rsid w:val="002A3C1F"/>
    <w:rsid w:val="002A4EF9"/>
    <w:rsid w:val="002A513A"/>
    <w:rsid w:val="002A520E"/>
    <w:rsid w:val="002A52DB"/>
    <w:rsid w:val="002A547F"/>
    <w:rsid w:val="002A5732"/>
    <w:rsid w:val="002A5936"/>
    <w:rsid w:val="002A5BF2"/>
    <w:rsid w:val="002A5CA6"/>
    <w:rsid w:val="002A5D2A"/>
    <w:rsid w:val="002A5E43"/>
    <w:rsid w:val="002A5EAB"/>
    <w:rsid w:val="002A60A8"/>
    <w:rsid w:val="002A620E"/>
    <w:rsid w:val="002A66DF"/>
    <w:rsid w:val="002A696C"/>
    <w:rsid w:val="002A6B5C"/>
    <w:rsid w:val="002A6B7E"/>
    <w:rsid w:val="002A6CDC"/>
    <w:rsid w:val="002A73B8"/>
    <w:rsid w:val="002A7447"/>
    <w:rsid w:val="002A78FE"/>
    <w:rsid w:val="002A7E43"/>
    <w:rsid w:val="002A7F3C"/>
    <w:rsid w:val="002B0175"/>
    <w:rsid w:val="002B0179"/>
    <w:rsid w:val="002B0184"/>
    <w:rsid w:val="002B090F"/>
    <w:rsid w:val="002B0D82"/>
    <w:rsid w:val="002B10E6"/>
    <w:rsid w:val="002B1196"/>
    <w:rsid w:val="002B1233"/>
    <w:rsid w:val="002B17A9"/>
    <w:rsid w:val="002B1CBE"/>
    <w:rsid w:val="002B1D9B"/>
    <w:rsid w:val="002B1EB6"/>
    <w:rsid w:val="002B2116"/>
    <w:rsid w:val="002B2336"/>
    <w:rsid w:val="002B2360"/>
    <w:rsid w:val="002B2946"/>
    <w:rsid w:val="002B2FFA"/>
    <w:rsid w:val="002B3491"/>
    <w:rsid w:val="002B34C7"/>
    <w:rsid w:val="002B37F6"/>
    <w:rsid w:val="002B397C"/>
    <w:rsid w:val="002B397F"/>
    <w:rsid w:val="002B4084"/>
    <w:rsid w:val="002B42F9"/>
    <w:rsid w:val="002B470E"/>
    <w:rsid w:val="002B49B5"/>
    <w:rsid w:val="002B49BA"/>
    <w:rsid w:val="002B4A1B"/>
    <w:rsid w:val="002B4AFF"/>
    <w:rsid w:val="002B4E90"/>
    <w:rsid w:val="002B506E"/>
    <w:rsid w:val="002B5102"/>
    <w:rsid w:val="002B51C8"/>
    <w:rsid w:val="002B51D5"/>
    <w:rsid w:val="002B564D"/>
    <w:rsid w:val="002B5844"/>
    <w:rsid w:val="002B5B34"/>
    <w:rsid w:val="002B5F3D"/>
    <w:rsid w:val="002B612A"/>
    <w:rsid w:val="002B6550"/>
    <w:rsid w:val="002B68DC"/>
    <w:rsid w:val="002B6DEB"/>
    <w:rsid w:val="002B6EE5"/>
    <w:rsid w:val="002B7355"/>
    <w:rsid w:val="002B75C1"/>
    <w:rsid w:val="002B768D"/>
    <w:rsid w:val="002B7ACF"/>
    <w:rsid w:val="002B7AFF"/>
    <w:rsid w:val="002B7F67"/>
    <w:rsid w:val="002C0C80"/>
    <w:rsid w:val="002C0DB5"/>
    <w:rsid w:val="002C1398"/>
    <w:rsid w:val="002C160B"/>
    <w:rsid w:val="002C1F00"/>
    <w:rsid w:val="002C2893"/>
    <w:rsid w:val="002C2C00"/>
    <w:rsid w:val="002C2F58"/>
    <w:rsid w:val="002C38E4"/>
    <w:rsid w:val="002C3C0D"/>
    <w:rsid w:val="002C3EC4"/>
    <w:rsid w:val="002C3F4B"/>
    <w:rsid w:val="002C4040"/>
    <w:rsid w:val="002C40BB"/>
    <w:rsid w:val="002C41DA"/>
    <w:rsid w:val="002C4292"/>
    <w:rsid w:val="002C42DA"/>
    <w:rsid w:val="002C4441"/>
    <w:rsid w:val="002C447E"/>
    <w:rsid w:val="002C4648"/>
    <w:rsid w:val="002C47A2"/>
    <w:rsid w:val="002C49AC"/>
    <w:rsid w:val="002C4AE7"/>
    <w:rsid w:val="002C4B0D"/>
    <w:rsid w:val="002C4CB4"/>
    <w:rsid w:val="002C4DC4"/>
    <w:rsid w:val="002C5360"/>
    <w:rsid w:val="002C54A3"/>
    <w:rsid w:val="002C5685"/>
    <w:rsid w:val="002C57F1"/>
    <w:rsid w:val="002C5A06"/>
    <w:rsid w:val="002C5BED"/>
    <w:rsid w:val="002C5D38"/>
    <w:rsid w:val="002C5E78"/>
    <w:rsid w:val="002C5E89"/>
    <w:rsid w:val="002C638D"/>
    <w:rsid w:val="002C6642"/>
    <w:rsid w:val="002C6704"/>
    <w:rsid w:val="002C6DF4"/>
    <w:rsid w:val="002C6FED"/>
    <w:rsid w:val="002C71E3"/>
    <w:rsid w:val="002C7499"/>
    <w:rsid w:val="002C74A6"/>
    <w:rsid w:val="002C7B6D"/>
    <w:rsid w:val="002C7D33"/>
    <w:rsid w:val="002C7D4F"/>
    <w:rsid w:val="002C7E8B"/>
    <w:rsid w:val="002D02F8"/>
    <w:rsid w:val="002D0434"/>
    <w:rsid w:val="002D050D"/>
    <w:rsid w:val="002D06EA"/>
    <w:rsid w:val="002D0791"/>
    <w:rsid w:val="002D0B06"/>
    <w:rsid w:val="002D12C4"/>
    <w:rsid w:val="002D13DA"/>
    <w:rsid w:val="002D146F"/>
    <w:rsid w:val="002D161E"/>
    <w:rsid w:val="002D1773"/>
    <w:rsid w:val="002D1B85"/>
    <w:rsid w:val="002D1D18"/>
    <w:rsid w:val="002D20D2"/>
    <w:rsid w:val="002D23D5"/>
    <w:rsid w:val="002D276A"/>
    <w:rsid w:val="002D2822"/>
    <w:rsid w:val="002D2BAE"/>
    <w:rsid w:val="002D382A"/>
    <w:rsid w:val="002D3BC2"/>
    <w:rsid w:val="002D4366"/>
    <w:rsid w:val="002D451F"/>
    <w:rsid w:val="002D4C3E"/>
    <w:rsid w:val="002D4CCD"/>
    <w:rsid w:val="002D504B"/>
    <w:rsid w:val="002D52BC"/>
    <w:rsid w:val="002D52BE"/>
    <w:rsid w:val="002D56AD"/>
    <w:rsid w:val="002D5703"/>
    <w:rsid w:val="002D5831"/>
    <w:rsid w:val="002D5855"/>
    <w:rsid w:val="002D59BF"/>
    <w:rsid w:val="002D5F10"/>
    <w:rsid w:val="002D60E0"/>
    <w:rsid w:val="002D683E"/>
    <w:rsid w:val="002D69A7"/>
    <w:rsid w:val="002D6CE5"/>
    <w:rsid w:val="002D734C"/>
    <w:rsid w:val="002D737D"/>
    <w:rsid w:val="002D7643"/>
    <w:rsid w:val="002D7D5F"/>
    <w:rsid w:val="002D7DBA"/>
    <w:rsid w:val="002D7E3C"/>
    <w:rsid w:val="002D7FBD"/>
    <w:rsid w:val="002D7FF2"/>
    <w:rsid w:val="002E02C9"/>
    <w:rsid w:val="002E0CE4"/>
    <w:rsid w:val="002E0F03"/>
    <w:rsid w:val="002E1033"/>
    <w:rsid w:val="002E10C4"/>
    <w:rsid w:val="002E155B"/>
    <w:rsid w:val="002E1679"/>
    <w:rsid w:val="002E1685"/>
    <w:rsid w:val="002E17A5"/>
    <w:rsid w:val="002E1D3D"/>
    <w:rsid w:val="002E1FBF"/>
    <w:rsid w:val="002E209E"/>
    <w:rsid w:val="002E2668"/>
    <w:rsid w:val="002E27B8"/>
    <w:rsid w:val="002E27D8"/>
    <w:rsid w:val="002E2902"/>
    <w:rsid w:val="002E2C74"/>
    <w:rsid w:val="002E2E7C"/>
    <w:rsid w:val="002E2FB2"/>
    <w:rsid w:val="002E2FE8"/>
    <w:rsid w:val="002E3212"/>
    <w:rsid w:val="002E3359"/>
    <w:rsid w:val="002E3972"/>
    <w:rsid w:val="002E405D"/>
    <w:rsid w:val="002E442B"/>
    <w:rsid w:val="002E452F"/>
    <w:rsid w:val="002E4D47"/>
    <w:rsid w:val="002E518C"/>
    <w:rsid w:val="002E51FD"/>
    <w:rsid w:val="002E52EE"/>
    <w:rsid w:val="002E54D1"/>
    <w:rsid w:val="002E59E9"/>
    <w:rsid w:val="002E5D6D"/>
    <w:rsid w:val="002E5D7B"/>
    <w:rsid w:val="002E6722"/>
    <w:rsid w:val="002E69C8"/>
    <w:rsid w:val="002E6D48"/>
    <w:rsid w:val="002E6F43"/>
    <w:rsid w:val="002E7027"/>
    <w:rsid w:val="002E7BDE"/>
    <w:rsid w:val="002E7ED5"/>
    <w:rsid w:val="002EE62C"/>
    <w:rsid w:val="002F000B"/>
    <w:rsid w:val="002F057D"/>
    <w:rsid w:val="002F08CE"/>
    <w:rsid w:val="002F0CCC"/>
    <w:rsid w:val="002F14AB"/>
    <w:rsid w:val="002F16FF"/>
    <w:rsid w:val="002F1769"/>
    <w:rsid w:val="002F18F5"/>
    <w:rsid w:val="002F1FB1"/>
    <w:rsid w:val="002F22FF"/>
    <w:rsid w:val="002F27F7"/>
    <w:rsid w:val="002F2AC7"/>
    <w:rsid w:val="002F2BC8"/>
    <w:rsid w:val="002F2D2B"/>
    <w:rsid w:val="002F2FC5"/>
    <w:rsid w:val="002F3062"/>
    <w:rsid w:val="002F3167"/>
    <w:rsid w:val="002F3917"/>
    <w:rsid w:val="002F3919"/>
    <w:rsid w:val="002F3963"/>
    <w:rsid w:val="002F3EA1"/>
    <w:rsid w:val="002F4320"/>
    <w:rsid w:val="002F4392"/>
    <w:rsid w:val="002F43F9"/>
    <w:rsid w:val="002F478E"/>
    <w:rsid w:val="002F4864"/>
    <w:rsid w:val="002F4964"/>
    <w:rsid w:val="002F4CE4"/>
    <w:rsid w:val="002F4E06"/>
    <w:rsid w:val="002F4E26"/>
    <w:rsid w:val="002F4F96"/>
    <w:rsid w:val="002F55A0"/>
    <w:rsid w:val="002F59F0"/>
    <w:rsid w:val="002F5FC8"/>
    <w:rsid w:val="002F6091"/>
    <w:rsid w:val="002F623B"/>
    <w:rsid w:val="002F65E1"/>
    <w:rsid w:val="002F6B92"/>
    <w:rsid w:val="002F6C85"/>
    <w:rsid w:val="002F745C"/>
    <w:rsid w:val="002F7971"/>
    <w:rsid w:val="002F79D1"/>
    <w:rsid w:val="002F7B02"/>
    <w:rsid w:val="002F7B9E"/>
    <w:rsid w:val="002F7E05"/>
    <w:rsid w:val="002F7E16"/>
    <w:rsid w:val="002F7FF7"/>
    <w:rsid w:val="003003EF"/>
    <w:rsid w:val="003005F5"/>
    <w:rsid w:val="003009C0"/>
    <w:rsid w:val="00300F74"/>
    <w:rsid w:val="003016DB"/>
    <w:rsid w:val="003019F7"/>
    <w:rsid w:val="003021AE"/>
    <w:rsid w:val="003024BB"/>
    <w:rsid w:val="0030272B"/>
    <w:rsid w:val="0030277E"/>
    <w:rsid w:val="00302A2C"/>
    <w:rsid w:val="00302B61"/>
    <w:rsid w:val="00302CFE"/>
    <w:rsid w:val="00302D33"/>
    <w:rsid w:val="00302DB5"/>
    <w:rsid w:val="00303216"/>
    <w:rsid w:val="003033B6"/>
    <w:rsid w:val="00303B28"/>
    <w:rsid w:val="00303C72"/>
    <w:rsid w:val="00303CB9"/>
    <w:rsid w:val="00303D59"/>
    <w:rsid w:val="00304735"/>
    <w:rsid w:val="00304D49"/>
    <w:rsid w:val="00304D86"/>
    <w:rsid w:val="003050A8"/>
    <w:rsid w:val="003051A0"/>
    <w:rsid w:val="003053BA"/>
    <w:rsid w:val="003054F3"/>
    <w:rsid w:val="00305629"/>
    <w:rsid w:val="00305760"/>
    <w:rsid w:val="00305852"/>
    <w:rsid w:val="00305C6B"/>
    <w:rsid w:val="00305E2E"/>
    <w:rsid w:val="00305F6B"/>
    <w:rsid w:val="003064FE"/>
    <w:rsid w:val="0030658C"/>
    <w:rsid w:val="00306692"/>
    <w:rsid w:val="003067B5"/>
    <w:rsid w:val="00306BDC"/>
    <w:rsid w:val="00306ECD"/>
    <w:rsid w:val="00306F1B"/>
    <w:rsid w:val="00306FA5"/>
    <w:rsid w:val="00307D57"/>
    <w:rsid w:val="00307ED9"/>
    <w:rsid w:val="00310101"/>
    <w:rsid w:val="003103EA"/>
    <w:rsid w:val="00310465"/>
    <w:rsid w:val="003104DA"/>
    <w:rsid w:val="003106E9"/>
    <w:rsid w:val="00310907"/>
    <w:rsid w:val="003109BA"/>
    <w:rsid w:val="00310A5E"/>
    <w:rsid w:val="00310C62"/>
    <w:rsid w:val="003111CD"/>
    <w:rsid w:val="003112FF"/>
    <w:rsid w:val="003115C3"/>
    <w:rsid w:val="003122E0"/>
    <w:rsid w:val="003122F8"/>
    <w:rsid w:val="00312377"/>
    <w:rsid w:val="003123A1"/>
    <w:rsid w:val="003124B8"/>
    <w:rsid w:val="0031268E"/>
    <w:rsid w:val="00312803"/>
    <w:rsid w:val="00312875"/>
    <w:rsid w:val="00312B40"/>
    <w:rsid w:val="00312C86"/>
    <w:rsid w:val="00312CBE"/>
    <w:rsid w:val="0031314C"/>
    <w:rsid w:val="003134F8"/>
    <w:rsid w:val="0031351A"/>
    <w:rsid w:val="00313767"/>
    <w:rsid w:val="00313DE6"/>
    <w:rsid w:val="00314024"/>
    <w:rsid w:val="00314052"/>
    <w:rsid w:val="003140A2"/>
    <w:rsid w:val="003140CD"/>
    <w:rsid w:val="0031455C"/>
    <w:rsid w:val="0031457D"/>
    <w:rsid w:val="00314738"/>
    <w:rsid w:val="003148A5"/>
    <w:rsid w:val="00314AE9"/>
    <w:rsid w:val="00314B6A"/>
    <w:rsid w:val="0031504E"/>
    <w:rsid w:val="003151CA"/>
    <w:rsid w:val="00315248"/>
    <w:rsid w:val="00315297"/>
    <w:rsid w:val="0031529E"/>
    <w:rsid w:val="0031578F"/>
    <w:rsid w:val="00315F62"/>
    <w:rsid w:val="0031613A"/>
    <w:rsid w:val="003161D6"/>
    <w:rsid w:val="00316757"/>
    <w:rsid w:val="00316A32"/>
    <w:rsid w:val="00316CC5"/>
    <w:rsid w:val="00316CCE"/>
    <w:rsid w:val="00316D30"/>
    <w:rsid w:val="00316F59"/>
    <w:rsid w:val="00316FB4"/>
    <w:rsid w:val="003173CC"/>
    <w:rsid w:val="003173DE"/>
    <w:rsid w:val="003176DB"/>
    <w:rsid w:val="00317E98"/>
    <w:rsid w:val="00317F10"/>
    <w:rsid w:val="00317FAA"/>
    <w:rsid w:val="00320347"/>
    <w:rsid w:val="00320487"/>
    <w:rsid w:val="0032078C"/>
    <w:rsid w:val="00320AFF"/>
    <w:rsid w:val="00320B6C"/>
    <w:rsid w:val="00320C50"/>
    <w:rsid w:val="00320CF4"/>
    <w:rsid w:val="00321D7D"/>
    <w:rsid w:val="00321F35"/>
    <w:rsid w:val="00322012"/>
    <w:rsid w:val="003222A0"/>
    <w:rsid w:val="003227A8"/>
    <w:rsid w:val="0032297B"/>
    <w:rsid w:val="00324245"/>
    <w:rsid w:val="00324302"/>
    <w:rsid w:val="003243DB"/>
    <w:rsid w:val="00324BC9"/>
    <w:rsid w:val="00324F2B"/>
    <w:rsid w:val="00324FA4"/>
    <w:rsid w:val="0032500F"/>
    <w:rsid w:val="00325118"/>
    <w:rsid w:val="00325445"/>
    <w:rsid w:val="00325ABE"/>
    <w:rsid w:val="00325AC2"/>
    <w:rsid w:val="00325B18"/>
    <w:rsid w:val="00325B71"/>
    <w:rsid w:val="00325B72"/>
    <w:rsid w:val="00325CCE"/>
    <w:rsid w:val="00326005"/>
    <w:rsid w:val="0032664D"/>
    <w:rsid w:val="00326667"/>
    <w:rsid w:val="003268A8"/>
    <w:rsid w:val="00326AB8"/>
    <w:rsid w:val="00326E51"/>
    <w:rsid w:val="00326E89"/>
    <w:rsid w:val="00326E9A"/>
    <w:rsid w:val="00326F3D"/>
    <w:rsid w:val="003271CC"/>
    <w:rsid w:val="003275AE"/>
    <w:rsid w:val="0032765F"/>
    <w:rsid w:val="003277B7"/>
    <w:rsid w:val="003277B8"/>
    <w:rsid w:val="00327890"/>
    <w:rsid w:val="00327932"/>
    <w:rsid w:val="00327996"/>
    <w:rsid w:val="0033074E"/>
    <w:rsid w:val="00330D07"/>
    <w:rsid w:val="00330D52"/>
    <w:rsid w:val="00330DBC"/>
    <w:rsid w:val="003310E8"/>
    <w:rsid w:val="00331170"/>
    <w:rsid w:val="003312EF"/>
    <w:rsid w:val="00331DCD"/>
    <w:rsid w:val="00332208"/>
    <w:rsid w:val="003326B9"/>
    <w:rsid w:val="003327F2"/>
    <w:rsid w:val="00333332"/>
    <w:rsid w:val="00333A4A"/>
    <w:rsid w:val="00333A5D"/>
    <w:rsid w:val="00334295"/>
    <w:rsid w:val="003343E3"/>
    <w:rsid w:val="0033447B"/>
    <w:rsid w:val="003345EF"/>
    <w:rsid w:val="00334782"/>
    <w:rsid w:val="00334C6C"/>
    <w:rsid w:val="00334FC1"/>
    <w:rsid w:val="0033523D"/>
    <w:rsid w:val="0033541E"/>
    <w:rsid w:val="0033548C"/>
    <w:rsid w:val="00335853"/>
    <w:rsid w:val="00335AD1"/>
    <w:rsid w:val="00335F7A"/>
    <w:rsid w:val="003366A3"/>
    <w:rsid w:val="003366DA"/>
    <w:rsid w:val="00336748"/>
    <w:rsid w:val="00336B34"/>
    <w:rsid w:val="003370C9"/>
    <w:rsid w:val="0033767F"/>
    <w:rsid w:val="003378D0"/>
    <w:rsid w:val="00337AEA"/>
    <w:rsid w:val="0034018A"/>
    <w:rsid w:val="00340298"/>
    <w:rsid w:val="00340750"/>
    <w:rsid w:val="00340CE5"/>
    <w:rsid w:val="00340DB9"/>
    <w:rsid w:val="00340EF2"/>
    <w:rsid w:val="0034162F"/>
    <w:rsid w:val="00341D51"/>
    <w:rsid w:val="00341ED0"/>
    <w:rsid w:val="00342332"/>
    <w:rsid w:val="003423BB"/>
    <w:rsid w:val="003427B3"/>
    <w:rsid w:val="00342A81"/>
    <w:rsid w:val="00342E18"/>
    <w:rsid w:val="00343558"/>
    <w:rsid w:val="003436A8"/>
    <w:rsid w:val="00343980"/>
    <w:rsid w:val="00343A86"/>
    <w:rsid w:val="00343B9C"/>
    <w:rsid w:val="00343EAA"/>
    <w:rsid w:val="00343FFD"/>
    <w:rsid w:val="00344773"/>
    <w:rsid w:val="00344A2E"/>
    <w:rsid w:val="00344DCD"/>
    <w:rsid w:val="00344DEE"/>
    <w:rsid w:val="00344E82"/>
    <w:rsid w:val="00344FFE"/>
    <w:rsid w:val="00345263"/>
    <w:rsid w:val="003453F5"/>
    <w:rsid w:val="0034563B"/>
    <w:rsid w:val="00345796"/>
    <w:rsid w:val="00345D39"/>
    <w:rsid w:val="00346091"/>
    <w:rsid w:val="00346ECA"/>
    <w:rsid w:val="00346F48"/>
    <w:rsid w:val="00346FAB"/>
    <w:rsid w:val="00347485"/>
    <w:rsid w:val="0034753A"/>
    <w:rsid w:val="0034767A"/>
    <w:rsid w:val="0034781E"/>
    <w:rsid w:val="00347AF6"/>
    <w:rsid w:val="00347EC8"/>
    <w:rsid w:val="00350203"/>
    <w:rsid w:val="00350322"/>
    <w:rsid w:val="00350768"/>
    <w:rsid w:val="003508CC"/>
    <w:rsid w:val="00350ACC"/>
    <w:rsid w:val="00350D54"/>
    <w:rsid w:val="00350E3A"/>
    <w:rsid w:val="0035136F"/>
    <w:rsid w:val="003519D7"/>
    <w:rsid w:val="00351C08"/>
    <w:rsid w:val="00351F22"/>
    <w:rsid w:val="00352009"/>
    <w:rsid w:val="003520F0"/>
    <w:rsid w:val="003524A0"/>
    <w:rsid w:val="00352602"/>
    <w:rsid w:val="003527D5"/>
    <w:rsid w:val="00352882"/>
    <w:rsid w:val="00352B13"/>
    <w:rsid w:val="003533F4"/>
    <w:rsid w:val="0035350F"/>
    <w:rsid w:val="00353735"/>
    <w:rsid w:val="00353A97"/>
    <w:rsid w:val="00353D7F"/>
    <w:rsid w:val="00353FBD"/>
    <w:rsid w:val="0035442B"/>
    <w:rsid w:val="00354EB3"/>
    <w:rsid w:val="00355B8D"/>
    <w:rsid w:val="00356279"/>
    <w:rsid w:val="00356681"/>
    <w:rsid w:val="00356B92"/>
    <w:rsid w:val="00356C32"/>
    <w:rsid w:val="00356F4B"/>
    <w:rsid w:val="003570EF"/>
    <w:rsid w:val="003574F0"/>
    <w:rsid w:val="003576EE"/>
    <w:rsid w:val="00357A46"/>
    <w:rsid w:val="0036011E"/>
    <w:rsid w:val="003602C4"/>
    <w:rsid w:val="003604D6"/>
    <w:rsid w:val="0036055F"/>
    <w:rsid w:val="00360906"/>
    <w:rsid w:val="00360FBC"/>
    <w:rsid w:val="0036101B"/>
    <w:rsid w:val="00361667"/>
    <w:rsid w:val="00361749"/>
    <w:rsid w:val="00361795"/>
    <w:rsid w:val="0036182B"/>
    <w:rsid w:val="00361DF3"/>
    <w:rsid w:val="00361EB1"/>
    <w:rsid w:val="003622A0"/>
    <w:rsid w:val="003623BA"/>
    <w:rsid w:val="003625F7"/>
    <w:rsid w:val="003628A9"/>
    <w:rsid w:val="00362A1E"/>
    <w:rsid w:val="00362AAD"/>
    <w:rsid w:val="0036323F"/>
    <w:rsid w:val="00363F58"/>
    <w:rsid w:val="003642B1"/>
    <w:rsid w:val="003644D9"/>
    <w:rsid w:val="003644F0"/>
    <w:rsid w:val="00364985"/>
    <w:rsid w:val="00364C17"/>
    <w:rsid w:val="00364D4F"/>
    <w:rsid w:val="00364FEE"/>
    <w:rsid w:val="003653E4"/>
    <w:rsid w:val="00365488"/>
    <w:rsid w:val="003654AF"/>
    <w:rsid w:val="00365805"/>
    <w:rsid w:val="00365BD3"/>
    <w:rsid w:val="00366287"/>
    <w:rsid w:val="00366B22"/>
    <w:rsid w:val="00366E1E"/>
    <w:rsid w:val="00367032"/>
    <w:rsid w:val="00367186"/>
    <w:rsid w:val="0036723E"/>
    <w:rsid w:val="003675C4"/>
    <w:rsid w:val="0036775A"/>
    <w:rsid w:val="003677F2"/>
    <w:rsid w:val="00367996"/>
    <w:rsid w:val="00367D5A"/>
    <w:rsid w:val="00367F5D"/>
    <w:rsid w:val="00367FE7"/>
    <w:rsid w:val="003702E0"/>
    <w:rsid w:val="00370431"/>
    <w:rsid w:val="0037070F"/>
    <w:rsid w:val="00370DFE"/>
    <w:rsid w:val="00371009"/>
    <w:rsid w:val="0037118D"/>
    <w:rsid w:val="003713CB"/>
    <w:rsid w:val="0037155B"/>
    <w:rsid w:val="00371774"/>
    <w:rsid w:val="0037198E"/>
    <w:rsid w:val="00371BE3"/>
    <w:rsid w:val="00371CD2"/>
    <w:rsid w:val="00372477"/>
    <w:rsid w:val="003725C8"/>
    <w:rsid w:val="00372789"/>
    <w:rsid w:val="0037291D"/>
    <w:rsid w:val="00372975"/>
    <w:rsid w:val="00372B27"/>
    <w:rsid w:val="00372C04"/>
    <w:rsid w:val="00372C91"/>
    <w:rsid w:val="00372D8C"/>
    <w:rsid w:val="00372EB7"/>
    <w:rsid w:val="0037306E"/>
    <w:rsid w:val="00373A57"/>
    <w:rsid w:val="00373E9E"/>
    <w:rsid w:val="00373F92"/>
    <w:rsid w:val="003741EF"/>
    <w:rsid w:val="003742E2"/>
    <w:rsid w:val="0037431D"/>
    <w:rsid w:val="003743EE"/>
    <w:rsid w:val="003744BD"/>
    <w:rsid w:val="00374716"/>
    <w:rsid w:val="00374CBD"/>
    <w:rsid w:val="00374DCA"/>
    <w:rsid w:val="00374E2E"/>
    <w:rsid w:val="00375167"/>
    <w:rsid w:val="00375431"/>
    <w:rsid w:val="00375553"/>
    <w:rsid w:val="003757C2"/>
    <w:rsid w:val="00376303"/>
    <w:rsid w:val="00376912"/>
    <w:rsid w:val="00376ABA"/>
    <w:rsid w:val="00377064"/>
    <w:rsid w:val="003770EF"/>
    <w:rsid w:val="0037729B"/>
    <w:rsid w:val="00377449"/>
    <w:rsid w:val="003775F7"/>
    <w:rsid w:val="00377656"/>
    <w:rsid w:val="00377674"/>
    <w:rsid w:val="003777E6"/>
    <w:rsid w:val="00377F9E"/>
    <w:rsid w:val="0038047C"/>
    <w:rsid w:val="00380B2E"/>
    <w:rsid w:val="00380D5D"/>
    <w:rsid w:val="00380DC6"/>
    <w:rsid w:val="003818B0"/>
    <w:rsid w:val="00381A4B"/>
    <w:rsid w:val="00381B34"/>
    <w:rsid w:val="00381C67"/>
    <w:rsid w:val="00381F03"/>
    <w:rsid w:val="003824D0"/>
    <w:rsid w:val="003827A1"/>
    <w:rsid w:val="00382955"/>
    <w:rsid w:val="00382C9F"/>
    <w:rsid w:val="00382D13"/>
    <w:rsid w:val="00382E9D"/>
    <w:rsid w:val="00382E9E"/>
    <w:rsid w:val="00382F9E"/>
    <w:rsid w:val="0038322B"/>
    <w:rsid w:val="00383291"/>
    <w:rsid w:val="0038338E"/>
    <w:rsid w:val="00383666"/>
    <w:rsid w:val="00383EAB"/>
    <w:rsid w:val="0038414C"/>
    <w:rsid w:val="003841B5"/>
    <w:rsid w:val="00384205"/>
    <w:rsid w:val="003844DB"/>
    <w:rsid w:val="00384DAB"/>
    <w:rsid w:val="00384E8B"/>
    <w:rsid w:val="0038515F"/>
    <w:rsid w:val="003851E7"/>
    <w:rsid w:val="00385281"/>
    <w:rsid w:val="00385340"/>
    <w:rsid w:val="0038566D"/>
    <w:rsid w:val="00385680"/>
    <w:rsid w:val="0038591B"/>
    <w:rsid w:val="00385C09"/>
    <w:rsid w:val="00385C88"/>
    <w:rsid w:val="00385D46"/>
    <w:rsid w:val="00385FB2"/>
    <w:rsid w:val="00386268"/>
    <w:rsid w:val="003863D4"/>
    <w:rsid w:val="003869BD"/>
    <w:rsid w:val="00386B9A"/>
    <w:rsid w:val="00386C3F"/>
    <w:rsid w:val="00386F34"/>
    <w:rsid w:val="0038723F"/>
    <w:rsid w:val="0039024D"/>
    <w:rsid w:val="0039040D"/>
    <w:rsid w:val="0039073C"/>
    <w:rsid w:val="003907D1"/>
    <w:rsid w:val="0039094A"/>
    <w:rsid w:val="0039097F"/>
    <w:rsid w:val="003912B0"/>
    <w:rsid w:val="0039164F"/>
    <w:rsid w:val="00391825"/>
    <w:rsid w:val="00391EFD"/>
    <w:rsid w:val="0039224B"/>
    <w:rsid w:val="00392E17"/>
    <w:rsid w:val="00392EB6"/>
    <w:rsid w:val="0039308A"/>
    <w:rsid w:val="00393254"/>
    <w:rsid w:val="00393264"/>
    <w:rsid w:val="00393723"/>
    <w:rsid w:val="00393AA7"/>
    <w:rsid w:val="00393CA7"/>
    <w:rsid w:val="00393E54"/>
    <w:rsid w:val="00393E6C"/>
    <w:rsid w:val="00393F3B"/>
    <w:rsid w:val="003942D8"/>
    <w:rsid w:val="00394D8A"/>
    <w:rsid w:val="00395313"/>
    <w:rsid w:val="00395355"/>
    <w:rsid w:val="00395442"/>
    <w:rsid w:val="00395A8F"/>
    <w:rsid w:val="00395CF2"/>
    <w:rsid w:val="003961FC"/>
    <w:rsid w:val="00396392"/>
    <w:rsid w:val="0039665F"/>
    <w:rsid w:val="00396778"/>
    <w:rsid w:val="00396B90"/>
    <w:rsid w:val="00396D30"/>
    <w:rsid w:val="00396E2D"/>
    <w:rsid w:val="00396F4C"/>
    <w:rsid w:val="00397370"/>
    <w:rsid w:val="003973F9"/>
    <w:rsid w:val="00397BFD"/>
    <w:rsid w:val="003A00E0"/>
    <w:rsid w:val="003A010B"/>
    <w:rsid w:val="003A011D"/>
    <w:rsid w:val="003A069B"/>
    <w:rsid w:val="003A0758"/>
    <w:rsid w:val="003A0C90"/>
    <w:rsid w:val="003A0DDF"/>
    <w:rsid w:val="003A0E53"/>
    <w:rsid w:val="003A1108"/>
    <w:rsid w:val="003A111B"/>
    <w:rsid w:val="003A138A"/>
    <w:rsid w:val="003A15AF"/>
    <w:rsid w:val="003A15F6"/>
    <w:rsid w:val="003A1769"/>
    <w:rsid w:val="003A199C"/>
    <w:rsid w:val="003A1C21"/>
    <w:rsid w:val="003A1D0A"/>
    <w:rsid w:val="003A2177"/>
    <w:rsid w:val="003A2242"/>
    <w:rsid w:val="003A2308"/>
    <w:rsid w:val="003A2405"/>
    <w:rsid w:val="003A2417"/>
    <w:rsid w:val="003A2CFE"/>
    <w:rsid w:val="003A328A"/>
    <w:rsid w:val="003A3309"/>
    <w:rsid w:val="003A34DF"/>
    <w:rsid w:val="003A357E"/>
    <w:rsid w:val="003A3775"/>
    <w:rsid w:val="003A3B2A"/>
    <w:rsid w:val="003A3CD8"/>
    <w:rsid w:val="003A3CDA"/>
    <w:rsid w:val="003A3D29"/>
    <w:rsid w:val="003A3D87"/>
    <w:rsid w:val="003A3F8C"/>
    <w:rsid w:val="003A4319"/>
    <w:rsid w:val="003A4795"/>
    <w:rsid w:val="003A4A0E"/>
    <w:rsid w:val="003A4C29"/>
    <w:rsid w:val="003A4C3A"/>
    <w:rsid w:val="003A4D1E"/>
    <w:rsid w:val="003A4ED7"/>
    <w:rsid w:val="003A567C"/>
    <w:rsid w:val="003A5762"/>
    <w:rsid w:val="003A5835"/>
    <w:rsid w:val="003A6188"/>
    <w:rsid w:val="003A687F"/>
    <w:rsid w:val="003A6899"/>
    <w:rsid w:val="003A74CA"/>
    <w:rsid w:val="003A7691"/>
    <w:rsid w:val="003A7A36"/>
    <w:rsid w:val="003A7C10"/>
    <w:rsid w:val="003B005C"/>
    <w:rsid w:val="003B06BA"/>
    <w:rsid w:val="003B070A"/>
    <w:rsid w:val="003B09B1"/>
    <w:rsid w:val="003B0BF9"/>
    <w:rsid w:val="003B13DC"/>
    <w:rsid w:val="003B14EB"/>
    <w:rsid w:val="003B18D2"/>
    <w:rsid w:val="003B1A6D"/>
    <w:rsid w:val="003B1C90"/>
    <w:rsid w:val="003B20A8"/>
    <w:rsid w:val="003B2A10"/>
    <w:rsid w:val="003B2DFB"/>
    <w:rsid w:val="003B2E86"/>
    <w:rsid w:val="003B2F1C"/>
    <w:rsid w:val="003B31C9"/>
    <w:rsid w:val="003B332D"/>
    <w:rsid w:val="003B35C1"/>
    <w:rsid w:val="003B35C9"/>
    <w:rsid w:val="003B3C85"/>
    <w:rsid w:val="003B3CBF"/>
    <w:rsid w:val="003B4102"/>
    <w:rsid w:val="003B411C"/>
    <w:rsid w:val="003B41A4"/>
    <w:rsid w:val="003B43C3"/>
    <w:rsid w:val="003B4470"/>
    <w:rsid w:val="003B4734"/>
    <w:rsid w:val="003B4CC1"/>
    <w:rsid w:val="003B5302"/>
    <w:rsid w:val="003B53B5"/>
    <w:rsid w:val="003B56A7"/>
    <w:rsid w:val="003B572D"/>
    <w:rsid w:val="003B5933"/>
    <w:rsid w:val="003B5D35"/>
    <w:rsid w:val="003B5F7A"/>
    <w:rsid w:val="003B664E"/>
    <w:rsid w:val="003B689F"/>
    <w:rsid w:val="003B6CEB"/>
    <w:rsid w:val="003B6E87"/>
    <w:rsid w:val="003B70E2"/>
    <w:rsid w:val="003B72AD"/>
    <w:rsid w:val="003B7FBD"/>
    <w:rsid w:val="003C01EF"/>
    <w:rsid w:val="003C0704"/>
    <w:rsid w:val="003C08F1"/>
    <w:rsid w:val="003C0A0F"/>
    <w:rsid w:val="003C0ED9"/>
    <w:rsid w:val="003C0F89"/>
    <w:rsid w:val="003C105F"/>
    <w:rsid w:val="003C11E7"/>
    <w:rsid w:val="003C18E3"/>
    <w:rsid w:val="003C1C0F"/>
    <w:rsid w:val="003C1D27"/>
    <w:rsid w:val="003C20DF"/>
    <w:rsid w:val="003C238A"/>
    <w:rsid w:val="003C2749"/>
    <w:rsid w:val="003C2883"/>
    <w:rsid w:val="003C2EAA"/>
    <w:rsid w:val="003C3297"/>
    <w:rsid w:val="003C33C4"/>
    <w:rsid w:val="003C3708"/>
    <w:rsid w:val="003C3B09"/>
    <w:rsid w:val="003C41DA"/>
    <w:rsid w:val="003C447C"/>
    <w:rsid w:val="003C465E"/>
    <w:rsid w:val="003C496F"/>
    <w:rsid w:val="003C4BE2"/>
    <w:rsid w:val="003C4CEA"/>
    <w:rsid w:val="003C4E1D"/>
    <w:rsid w:val="003C56E5"/>
    <w:rsid w:val="003C5BC3"/>
    <w:rsid w:val="003C5C1C"/>
    <w:rsid w:val="003C5D2B"/>
    <w:rsid w:val="003C612A"/>
    <w:rsid w:val="003C6853"/>
    <w:rsid w:val="003C6A23"/>
    <w:rsid w:val="003C6C14"/>
    <w:rsid w:val="003C6C77"/>
    <w:rsid w:val="003C7418"/>
    <w:rsid w:val="003C765F"/>
    <w:rsid w:val="003C76A5"/>
    <w:rsid w:val="003C795A"/>
    <w:rsid w:val="003C7B51"/>
    <w:rsid w:val="003C7B80"/>
    <w:rsid w:val="003D0292"/>
    <w:rsid w:val="003D03C8"/>
    <w:rsid w:val="003D0567"/>
    <w:rsid w:val="003D06A0"/>
    <w:rsid w:val="003D0706"/>
    <w:rsid w:val="003D0783"/>
    <w:rsid w:val="003D1C80"/>
    <w:rsid w:val="003D1DC9"/>
    <w:rsid w:val="003D2031"/>
    <w:rsid w:val="003D21E3"/>
    <w:rsid w:val="003D22A1"/>
    <w:rsid w:val="003D2317"/>
    <w:rsid w:val="003D26D2"/>
    <w:rsid w:val="003D26E5"/>
    <w:rsid w:val="003D2F45"/>
    <w:rsid w:val="003D3113"/>
    <w:rsid w:val="003D378D"/>
    <w:rsid w:val="003D387A"/>
    <w:rsid w:val="003D38A7"/>
    <w:rsid w:val="003D3C9D"/>
    <w:rsid w:val="003D3FCF"/>
    <w:rsid w:val="003D4725"/>
    <w:rsid w:val="003D4B34"/>
    <w:rsid w:val="003D4E5C"/>
    <w:rsid w:val="003D4F51"/>
    <w:rsid w:val="003D5035"/>
    <w:rsid w:val="003D50FD"/>
    <w:rsid w:val="003D5131"/>
    <w:rsid w:val="003D517F"/>
    <w:rsid w:val="003D5469"/>
    <w:rsid w:val="003D547F"/>
    <w:rsid w:val="003D59F2"/>
    <w:rsid w:val="003D5DF5"/>
    <w:rsid w:val="003D5E04"/>
    <w:rsid w:val="003D5EB4"/>
    <w:rsid w:val="003D6006"/>
    <w:rsid w:val="003D613A"/>
    <w:rsid w:val="003D6176"/>
    <w:rsid w:val="003D65F4"/>
    <w:rsid w:val="003D670E"/>
    <w:rsid w:val="003D6AA3"/>
    <w:rsid w:val="003D6AB2"/>
    <w:rsid w:val="003D6BDC"/>
    <w:rsid w:val="003D6D51"/>
    <w:rsid w:val="003D703D"/>
    <w:rsid w:val="003D71B9"/>
    <w:rsid w:val="003D7255"/>
    <w:rsid w:val="003D727D"/>
    <w:rsid w:val="003D77F4"/>
    <w:rsid w:val="003D782C"/>
    <w:rsid w:val="003D7A6E"/>
    <w:rsid w:val="003D7D1E"/>
    <w:rsid w:val="003D7F02"/>
    <w:rsid w:val="003D7FD5"/>
    <w:rsid w:val="003E0557"/>
    <w:rsid w:val="003E0A53"/>
    <w:rsid w:val="003E0ACA"/>
    <w:rsid w:val="003E0CD0"/>
    <w:rsid w:val="003E0CE7"/>
    <w:rsid w:val="003E0F7E"/>
    <w:rsid w:val="003E10E6"/>
    <w:rsid w:val="003E1434"/>
    <w:rsid w:val="003E18D9"/>
    <w:rsid w:val="003E1BF7"/>
    <w:rsid w:val="003E1CC3"/>
    <w:rsid w:val="003E1D6A"/>
    <w:rsid w:val="003E1D76"/>
    <w:rsid w:val="003E1D8B"/>
    <w:rsid w:val="003E1F44"/>
    <w:rsid w:val="003E2960"/>
    <w:rsid w:val="003E2CC8"/>
    <w:rsid w:val="003E2DFF"/>
    <w:rsid w:val="003E2F4E"/>
    <w:rsid w:val="003E2FD3"/>
    <w:rsid w:val="003E3877"/>
    <w:rsid w:val="003E3A23"/>
    <w:rsid w:val="003E3A5E"/>
    <w:rsid w:val="003E3C18"/>
    <w:rsid w:val="003E3CA4"/>
    <w:rsid w:val="003E4353"/>
    <w:rsid w:val="003E4381"/>
    <w:rsid w:val="003E47BF"/>
    <w:rsid w:val="003E4834"/>
    <w:rsid w:val="003E489D"/>
    <w:rsid w:val="003E49BF"/>
    <w:rsid w:val="003E4AD6"/>
    <w:rsid w:val="003E5452"/>
    <w:rsid w:val="003E545B"/>
    <w:rsid w:val="003E549D"/>
    <w:rsid w:val="003E54F1"/>
    <w:rsid w:val="003E5585"/>
    <w:rsid w:val="003E5641"/>
    <w:rsid w:val="003E5C0C"/>
    <w:rsid w:val="003E5DFC"/>
    <w:rsid w:val="003E5E08"/>
    <w:rsid w:val="003E5E59"/>
    <w:rsid w:val="003E5F2A"/>
    <w:rsid w:val="003E6D88"/>
    <w:rsid w:val="003E6DEA"/>
    <w:rsid w:val="003E7143"/>
    <w:rsid w:val="003E751D"/>
    <w:rsid w:val="003E7A08"/>
    <w:rsid w:val="003E7AEF"/>
    <w:rsid w:val="003E7C96"/>
    <w:rsid w:val="003E7DCD"/>
    <w:rsid w:val="003E7DDC"/>
    <w:rsid w:val="003E7F0F"/>
    <w:rsid w:val="003F0118"/>
    <w:rsid w:val="003F053B"/>
    <w:rsid w:val="003F0C1F"/>
    <w:rsid w:val="003F0EDA"/>
    <w:rsid w:val="003F1694"/>
    <w:rsid w:val="003F17DD"/>
    <w:rsid w:val="003F19DE"/>
    <w:rsid w:val="003F1AE5"/>
    <w:rsid w:val="003F21F3"/>
    <w:rsid w:val="003F2329"/>
    <w:rsid w:val="003F252E"/>
    <w:rsid w:val="003F257E"/>
    <w:rsid w:val="003F274E"/>
    <w:rsid w:val="003F2EE7"/>
    <w:rsid w:val="003F2EF8"/>
    <w:rsid w:val="003F2F1A"/>
    <w:rsid w:val="003F30E2"/>
    <w:rsid w:val="003F334C"/>
    <w:rsid w:val="003F3565"/>
    <w:rsid w:val="003F373B"/>
    <w:rsid w:val="003F3F61"/>
    <w:rsid w:val="003F404A"/>
    <w:rsid w:val="003F4E9E"/>
    <w:rsid w:val="003F4F02"/>
    <w:rsid w:val="003F56C1"/>
    <w:rsid w:val="003F5798"/>
    <w:rsid w:val="003F590A"/>
    <w:rsid w:val="003F5E31"/>
    <w:rsid w:val="003F61D5"/>
    <w:rsid w:val="003F6671"/>
    <w:rsid w:val="003F674C"/>
    <w:rsid w:val="003F679C"/>
    <w:rsid w:val="003F6ED3"/>
    <w:rsid w:val="003F715B"/>
    <w:rsid w:val="003F7348"/>
    <w:rsid w:val="003F7401"/>
    <w:rsid w:val="003F77F5"/>
    <w:rsid w:val="003F7973"/>
    <w:rsid w:val="003F7D55"/>
    <w:rsid w:val="00400628"/>
    <w:rsid w:val="00400766"/>
    <w:rsid w:val="004008F4"/>
    <w:rsid w:val="004009C9"/>
    <w:rsid w:val="00400F14"/>
    <w:rsid w:val="00401420"/>
    <w:rsid w:val="004016A5"/>
    <w:rsid w:val="00401920"/>
    <w:rsid w:val="00402037"/>
    <w:rsid w:val="00402329"/>
    <w:rsid w:val="004026D8"/>
    <w:rsid w:val="00402725"/>
    <w:rsid w:val="004028D3"/>
    <w:rsid w:val="00402CD8"/>
    <w:rsid w:val="00402ED3"/>
    <w:rsid w:val="00402FAD"/>
    <w:rsid w:val="00403266"/>
    <w:rsid w:val="0040327B"/>
    <w:rsid w:val="004032CC"/>
    <w:rsid w:val="0040352B"/>
    <w:rsid w:val="004035CA"/>
    <w:rsid w:val="0040389B"/>
    <w:rsid w:val="00403928"/>
    <w:rsid w:val="00403CBF"/>
    <w:rsid w:val="00403F54"/>
    <w:rsid w:val="00403F84"/>
    <w:rsid w:val="00404824"/>
    <w:rsid w:val="00404A27"/>
    <w:rsid w:val="00404A44"/>
    <w:rsid w:val="00404D25"/>
    <w:rsid w:val="0040509D"/>
    <w:rsid w:val="00405449"/>
    <w:rsid w:val="00405662"/>
    <w:rsid w:val="00405746"/>
    <w:rsid w:val="00405899"/>
    <w:rsid w:val="00405A37"/>
    <w:rsid w:val="00405A85"/>
    <w:rsid w:val="0040657E"/>
    <w:rsid w:val="004068A6"/>
    <w:rsid w:val="0040696F"/>
    <w:rsid w:val="004069CB"/>
    <w:rsid w:val="00406A63"/>
    <w:rsid w:val="00406AA6"/>
    <w:rsid w:val="00406DF0"/>
    <w:rsid w:val="00406DF5"/>
    <w:rsid w:val="00407084"/>
    <w:rsid w:val="004070B2"/>
    <w:rsid w:val="0040759B"/>
    <w:rsid w:val="00407E4D"/>
    <w:rsid w:val="00410187"/>
    <w:rsid w:val="00410245"/>
    <w:rsid w:val="00410398"/>
    <w:rsid w:val="0041047E"/>
    <w:rsid w:val="004104D3"/>
    <w:rsid w:val="004106C5"/>
    <w:rsid w:val="00410807"/>
    <w:rsid w:val="00410BB1"/>
    <w:rsid w:val="00410E7A"/>
    <w:rsid w:val="00411107"/>
    <w:rsid w:val="0041111C"/>
    <w:rsid w:val="0041116F"/>
    <w:rsid w:val="00411236"/>
    <w:rsid w:val="004112AE"/>
    <w:rsid w:val="0041143A"/>
    <w:rsid w:val="00411732"/>
    <w:rsid w:val="004117B6"/>
    <w:rsid w:val="00411B00"/>
    <w:rsid w:val="0041201F"/>
    <w:rsid w:val="00412228"/>
    <w:rsid w:val="004124A6"/>
    <w:rsid w:val="0041257D"/>
    <w:rsid w:val="00412916"/>
    <w:rsid w:val="00412E33"/>
    <w:rsid w:val="00412EB5"/>
    <w:rsid w:val="004130E7"/>
    <w:rsid w:val="00413144"/>
    <w:rsid w:val="00413325"/>
    <w:rsid w:val="004133AC"/>
    <w:rsid w:val="00413559"/>
    <w:rsid w:val="004138EE"/>
    <w:rsid w:val="00413B9B"/>
    <w:rsid w:val="00413C41"/>
    <w:rsid w:val="00414136"/>
    <w:rsid w:val="004145D1"/>
    <w:rsid w:val="00414698"/>
    <w:rsid w:val="00414716"/>
    <w:rsid w:val="00414997"/>
    <w:rsid w:val="00414AB6"/>
    <w:rsid w:val="00414B4E"/>
    <w:rsid w:val="0041583E"/>
    <w:rsid w:val="00415C02"/>
    <w:rsid w:val="00415D01"/>
    <w:rsid w:val="00415F58"/>
    <w:rsid w:val="00415FE3"/>
    <w:rsid w:val="004162D1"/>
    <w:rsid w:val="004163B0"/>
    <w:rsid w:val="00416725"/>
    <w:rsid w:val="004167E5"/>
    <w:rsid w:val="00416C07"/>
    <w:rsid w:val="0041724D"/>
    <w:rsid w:val="00417366"/>
    <w:rsid w:val="0041756B"/>
    <w:rsid w:val="00417736"/>
    <w:rsid w:val="0041777E"/>
    <w:rsid w:val="00417931"/>
    <w:rsid w:val="00417A7E"/>
    <w:rsid w:val="00417C69"/>
    <w:rsid w:val="00420035"/>
    <w:rsid w:val="0042019B"/>
    <w:rsid w:val="004207C3"/>
    <w:rsid w:val="004207CD"/>
    <w:rsid w:val="004207F8"/>
    <w:rsid w:val="0042097A"/>
    <w:rsid w:val="004209C5"/>
    <w:rsid w:val="00420FD8"/>
    <w:rsid w:val="00421655"/>
    <w:rsid w:val="00421A5D"/>
    <w:rsid w:val="00421CBE"/>
    <w:rsid w:val="00422242"/>
    <w:rsid w:val="00422393"/>
    <w:rsid w:val="004229EA"/>
    <w:rsid w:val="00422B48"/>
    <w:rsid w:val="00422C3C"/>
    <w:rsid w:val="00422C8A"/>
    <w:rsid w:val="00422D5C"/>
    <w:rsid w:val="00422DA3"/>
    <w:rsid w:val="00422DB7"/>
    <w:rsid w:val="00423781"/>
    <w:rsid w:val="00423A78"/>
    <w:rsid w:val="00423D53"/>
    <w:rsid w:val="00424066"/>
    <w:rsid w:val="00424075"/>
    <w:rsid w:val="004242CE"/>
    <w:rsid w:val="004244EE"/>
    <w:rsid w:val="004244F7"/>
    <w:rsid w:val="00424730"/>
    <w:rsid w:val="00424957"/>
    <w:rsid w:val="00424A2A"/>
    <w:rsid w:val="00424A9D"/>
    <w:rsid w:val="00424E02"/>
    <w:rsid w:val="00424E77"/>
    <w:rsid w:val="00425204"/>
    <w:rsid w:val="0042563D"/>
    <w:rsid w:val="0042573A"/>
    <w:rsid w:val="00425B77"/>
    <w:rsid w:val="00425CF4"/>
    <w:rsid w:val="004260BB"/>
    <w:rsid w:val="0042642F"/>
    <w:rsid w:val="004266C5"/>
    <w:rsid w:val="004268A5"/>
    <w:rsid w:val="00426932"/>
    <w:rsid w:val="00426933"/>
    <w:rsid w:val="00426955"/>
    <w:rsid w:val="004269A3"/>
    <w:rsid w:val="00426D5C"/>
    <w:rsid w:val="004273F9"/>
    <w:rsid w:val="00427508"/>
    <w:rsid w:val="004277C5"/>
    <w:rsid w:val="00427920"/>
    <w:rsid w:val="004301AB"/>
    <w:rsid w:val="004303A4"/>
    <w:rsid w:val="0043059E"/>
    <w:rsid w:val="00430A6B"/>
    <w:rsid w:val="00430BDE"/>
    <w:rsid w:val="00430E25"/>
    <w:rsid w:val="0043125D"/>
    <w:rsid w:val="0043131C"/>
    <w:rsid w:val="00431498"/>
    <w:rsid w:val="004314E9"/>
    <w:rsid w:val="004315D1"/>
    <w:rsid w:val="004316C4"/>
    <w:rsid w:val="00431725"/>
    <w:rsid w:val="00431947"/>
    <w:rsid w:val="00431969"/>
    <w:rsid w:val="00431C05"/>
    <w:rsid w:val="00431CA0"/>
    <w:rsid w:val="00431E96"/>
    <w:rsid w:val="00431FFE"/>
    <w:rsid w:val="00432080"/>
    <w:rsid w:val="00432122"/>
    <w:rsid w:val="004323F8"/>
    <w:rsid w:val="0043240E"/>
    <w:rsid w:val="0043250E"/>
    <w:rsid w:val="0043265C"/>
    <w:rsid w:val="00432C4C"/>
    <w:rsid w:val="004332B5"/>
    <w:rsid w:val="004335CF"/>
    <w:rsid w:val="004337AD"/>
    <w:rsid w:val="00433B52"/>
    <w:rsid w:val="00433BBA"/>
    <w:rsid w:val="00433D3F"/>
    <w:rsid w:val="00433E23"/>
    <w:rsid w:val="00433E67"/>
    <w:rsid w:val="00434400"/>
    <w:rsid w:val="0043441C"/>
    <w:rsid w:val="004348BC"/>
    <w:rsid w:val="00434EA7"/>
    <w:rsid w:val="004351B4"/>
    <w:rsid w:val="00435304"/>
    <w:rsid w:val="0043557E"/>
    <w:rsid w:val="00435A4B"/>
    <w:rsid w:val="00435BD1"/>
    <w:rsid w:val="00435D60"/>
    <w:rsid w:val="00435ECF"/>
    <w:rsid w:val="004361D6"/>
    <w:rsid w:val="00436603"/>
    <w:rsid w:val="0043693A"/>
    <w:rsid w:val="00436A24"/>
    <w:rsid w:val="00436DEE"/>
    <w:rsid w:val="00437142"/>
    <w:rsid w:val="004371E0"/>
    <w:rsid w:val="00437255"/>
    <w:rsid w:val="00437A7B"/>
    <w:rsid w:val="00437FD3"/>
    <w:rsid w:val="004406CA"/>
    <w:rsid w:val="0044077B"/>
    <w:rsid w:val="004407A2"/>
    <w:rsid w:val="00440A1A"/>
    <w:rsid w:val="004413B4"/>
    <w:rsid w:val="0044155E"/>
    <w:rsid w:val="00441C30"/>
    <w:rsid w:val="00441E3D"/>
    <w:rsid w:val="004421B3"/>
    <w:rsid w:val="00442446"/>
    <w:rsid w:val="004424F4"/>
    <w:rsid w:val="00442556"/>
    <w:rsid w:val="00442612"/>
    <w:rsid w:val="00442679"/>
    <w:rsid w:val="00442C87"/>
    <w:rsid w:val="00442ED0"/>
    <w:rsid w:val="00442FC1"/>
    <w:rsid w:val="0044314A"/>
    <w:rsid w:val="00443DAB"/>
    <w:rsid w:val="00443E66"/>
    <w:rsid w:val="0044429B"/>
    <w:rsid w:val="004443CE"/>
    <w:rsid w:val="0044444A"/>
    <w:rsid w:val="00444532"/>
    <w:rsid w:val="004448CC"/>
    <w:rsid w:val="00444B7D"/>
    <w:rsid w:val="00444C10"/>
    <w:rsid w:val="004450C5"/>
    <w:rsid w:val="00445110"/>
    <w:rsid w:val="0044513C"/>
    <w:rsid w:val="0044539A"/>
    <w:rsid w:val="00445708"/>
    <w:rsid w:val="004458A9"/>
    <w:rsid w:val="00445CC6"/>
    <w:rsid w:val="00445F0E"/>
    <w:rsid w:val="004460FE"/>
    <w:rsid w:val="0044623A"/>
    <w:rsid w:val="004463D0"/>
    <w:rsid w:val="00446529"/>
    <w:rsid w:val="004466F4"/>
    <w:rsid w:val="00446748"/>
    <w:rsid w:val="004467A6"/>
    <w:rsid w:val="00446A47"/>
    <w:rsid w:val="004472DA"/>
    <w:rsid w:val="00447628"/>
    <w:rsid w:val="004478B5"/>
    <w:rsid w:val="00447BAB"/>
    <w:rsid w:val="00447F8B"/>
    <w:rsid w:val="00450065"/>
    <w:rsid w:val="004503EB"/>
    <w:rsid w:val="00450449"/>
    <w:rsid w:val="00451007"/>
    <w:rsid w:val="0045126F"/>
    <w:rsid w:val="004512BE"/>
    <w:rsid w:val="0045168D"/>
    <w:rsid w:val="00451693"/>
    <w:rsid w:val="004516B2"/>
    <w:rsid w:val="004519C6"/>
    <w:rsid w:val="00451AF8"/>
    <w:rsid w:val="00451B30"/>
    <w:rsid w:val="00451C98"/>
    <w:rsid w:val="004520AF"/>
    <w:rsid w:val="004521CC"/>
    <w:rsid w:val="004521CE"/>
    <w:rsid w:val="004523D7"/>
    <w:rsid w:val="004524D2"/>
    <w:rsid w:val="004526BD"/>
    <w:rsid w:val="00452926"/>
    <w:rsid w:val="00452BE5"/>
    <w:rsid w:val="00452C11"/>
    <w:rsid w:val="00452DF7"/>
    <w:rsid w:val="00453012"/>
    <w:rsid w:val="004536CF"/>
    <w:rsid w:val="0045375A"/>
    <w:rsid w:val="00453E60"/>
    <w:rsid w:val="00454103"/>
    <w:rsid w:val="00454168"/>
    <w:rsid w:val="0045418A"/>
    <w:rsid w:val="00454561"/>
    <w:rsid w:val="0045458F"/>
    <w:rsid w:val="004547C1"/>
    <w:rsid w:val="0045480A"/>
    <w:rsid w:val="0045488C"/>
    <w:rsid w:val="00454894"/>
    <w:rsid w:val="00454998"/>
    <w:rsid w:val="00454D88"/>
    <w:rsid w:val="00454DE8"/>
    <w:rsid w:val="0045534C"/>
    <w:rsid w:val="0045557F"/>
    <w:rsid w:val="00455DCC"/>
    <w:rsid w:val="004562FD"/>
    <w:rsid w:val="0045640A"/>
    <w:rsid w:val="00456B0F"/>
    <w:rsid w:val="00456B1B"/>
    <w:rsid w:val="00456C9A"/>
    <w:rsid w:val="00456ECE"/>
    <w:rsid w:val="004571D8"/>
    <w:rsid w:val="00457525"/>
    <w:rsid w:val="00457647"/>
    <w:rsid w:val="00457A88"/>
    <w:rsid w:val="00457D51"/>
    <w:rsid w:val="00457E8A"/>
    <w:rsid w:val="00460271"/>
    <w:rsid w:val="00460297"/>
    <w:rsid w:val="004603EA"/>
    <w:rsid w:val="00460525"/>
    <w:rsid w:val="00460B8B"/>
    <w:rsid w:val="0046142D"/>
    <w:rsid w:val="004616BF"/>
    <w:rsid w:val="0046186E"/>
    <w:rsid w:val="00461AC0"/>
    <w:rsid w:val="00461D96"/>
    <w:rsid w:val="00461F0E"/>
    <w:rsid w:val="00462314"/>
    <w:rsid w:val="004625B0"/>
    <w:rsid w:val="00462739"/>
    <w:rsid w:val="004627CA"/>
    <w:rsid w:val="004628AF"/>
    <w:rsid w:val="00462DB3"/>
    <w:rsid w:val="00462DCB"/>
    <w:rsid w:val="00462E00"/>
    <w:rsid w:val="00463092"/>
    <w:rsid w:val="0046324D"/>
    <w:rsid w:val="004633AC"/>
    <w:rsid w:val="00463508"/>
    <w:rsid w:val="004637EA"/>
    <w:rsid w:val="004638B7"/>
    <w:rsid w:val="00463D8A"/>
    <w:rsid w:val="00464554"/>
    <w:rsid w:val="00464B3D"/>
    <w:rsid w:val="00464CDD"/>
    <w:rsid w:val="00464D82"/>
    <w:rsid w:val="004650A9"/>
    <w:rsid w:val="00465268"/>
    <w:rsid w:val="004653E2"/>
    <w:rsid w:val="0046578E"/>
    <w:rsid w:val="00465E59"/>
    <w:rsid w:val="00465F0F"/>
    <w:rsid w:val="00466212"/>
    <w:rsid w:val="0046675A"/>
    <w:rsid w:val="004667A1"/>
    <w:rsid w:val="00466EEF"/>
    <w:rsid w:val="00466F7E"/>
    <w:rsid w:val="004670A0"/>
    <w:rsid w:val="004675F8"/>
    <w:rsid w:val="004676D4"/>
    <w:rsid w:val="00467987"/>
    <w:rsid w:val="00467B9B"/>
    <w:rsid w:val="004701A0"/>
    <w:rsid w:val="004701C7"/>
    <w:rsid w:val="00470214"/>
    <w:rsid w:val="00470668"/>
    <w:rsid w:val="0047071F"/>
    <w:rsid w:val="004710FF"/>
    <w:rsid w:val="004712DF"/>
    <w:rsid w:val="00471444"/>
    <w:rsid w:val="004717E7"/>
    <w:rsid w:val="004718E2"/>
    <w:rsid w:val="00471ADD"/>
    <w:rsid w:val="00471B74"/>
    <w:rsid w:val="00471D7C"/>
    <w:rsid w:val="004724D0"/>
    <w:rsid w:val="0047256B"/>
    <w:rsid w:val="004726A2"/>
    <w:rsid w:val="00472F99"/>
    <w:rsid w:val="004733DF"/>
    <w:rsid w:val="0047387E"/>
    <w:rsid w:val="00473A13"/>
    <w:rsid w:val="00473C5C"/>
    <w:rsid w:val="004741F9"/>
    <w:rsid w:val="0047460F"/>
    <w:rsid w:val="00474839"/>
    <w:rsid w:val="004748F1"/>
    <w:rsid w:val="00474F7F"/>
    <w:rsid w:val="0047502E"/>
    <w:rsid w:val="0047540B"/>
    <w:rsid w:val="00475A88"/>
    <w:rsid w:val="00475E49"/>
    <w:rsid w:val="00475E6C"/>
    <w:rsid w:val="00475F7C"/>
    <w:rsid w:val="004760F5"/>
    <w:rsid w:val="0047615C"/>
    <w:rsid w:val="00476621"/>
    <w:rsid w:val="00476699"/>
    <w:rsid w:val="00476773"/>
    <w:rsid w:val="004768D2"/>
    <w:rsid w:val="00476B34"/>
    <w:rsid w:val="00477055"/>
    <w:rsid w:val="004770AB"/>
    <w:rsid w:val="004771E1"/>
    <w:rsid w:val="00477325"/>
    <w:rsid w:val="004776E6"/>
    <w:rsid w:val="004779FD"/>
    <w:rsid w:val="00477B47"/>
    <w:rsid w:val="00477B82"/>
    <w:rsid w:val="00480123"/>
    <w:rsid w:val="0048025C"/>
    <w:rsid w:val="0048035E"/>
    <w:rsid w:val="004804C3"/>
    <w:rsid w:val="00480B36"/>
    <w:rsid w:val="00480F86"/>
    <w:rsid w:val="0048102B"/>
    <w:rsid w:val="004810A4"/>
    <w:rsid w:val="00481321"/>
    <w:rsid w:val="004813E3"/>
    <w:rsid w:val="00481631"/>
    <w:rsid w:val="00481822"/>
    <w:rsid w:val="0048212A"/>
    <w:rsid w:val="004821BC"/>
    <w:rsid w:val="0048254F"/>
    <w:rsid w:val="00482D2E"/>
    <w:rsid w:val="00482FC4"/>
    <w:rsid w:val="00483020"/>
    <w:rsid w:val="00483021"/>
    <w:rsid w:val="00483028"/>
    <w:rsid w:val="004831A9"/>
    <w:rsid w:val="0048345E"/>
    <w:rsid w:val="004836CE"/>
    <w:rsid w:val="0048386A"/>
    <w:rsid w:val="00483C65"/>
    <w:rsid w:val="00483DC1"/>
    <w:rsid w:val="00483EBC"/>
    <w:rsid w:val="00483EF7"/>
    <w:rsid w:val="004843D0"/>
    <w:rsid w:val="004844A7"/>
    <w:rsid w:val="004845B1"/>
    <w:rsid w:val="004847D6"/>
    <w:rsid w:val="004849E9"/>
    <w:rsid w:val="004849FC"/>
    <w:rsid w:val="00484E71"/>
    <w:rsid w:val="004851A4"/>
    <w:rsid w:val="0048549F"/>
    <w:rsid w:val="00485576"/>
    <w:rsid w:val="004857F5"/>
    <w:rsid w:val="00485E3E"/>
    <w:rsid w:val="00485EC0"/>
    <w:rsid w:val="004864B2"/>
    <w:rsid w:val="0048654F"/>
    <w:rsid w:val="004867B5"/>
    <w:rsid w:val="004869F9"/>
    <w:rsid w:val="00486AEB"/>
    <w:rsid w:val="00486B83"/>
    <w:rsid w:val="00486FA0"/>
    <w:rsid w:val="004870F6"/>
    <w:rsid w:val="00487312"/>
    <w:rsid w:val="004873D0"/>
    <w:rsid w:val="00487CEF"/>
    <w:rsid w:val="00487D44"/>
    <w:rsid w:val="00490072"/>
    <w:rsid w:val="00490074"/>
    <w:rsid w:val="00490081"/>
    <w:rsid w:val="004901E6"/>
    <w:rsid w:val="00490865"/>
    <w:rsid w:val="004909E6"/>
    <w:rsid w:val="00490BFD"/>
    <w:rsid w:val="00490D5E"/>
    <w:rsid w:val="00490D8E"/>
    <w:rsid w:val="00490E10"/>
    <w:rsid w:val="00490F34"/>
    <w:rsid w:val="004910FD"/>
    <w:rsid w:val="004914DA"/>
    <w:rsid w:val="00491776"/>
    <w:rsid w:val="004921AB"/>
    <w:rsid w:val="00492665"/>
    <w:rsid w:val="004932DB"/>
    <w:rsid w:val="0049337E"/>
    <w:rsid w:val="00493841"/>
    <w:rsid w:val="004938EF"/>
    <w:rsid w:val="00493A2C"/>
    <w:rsid w:val="00493AF4"/>
    <w:rsid w:val="00493C34"/>
    <w:rsid w:val="00493D44"/>
    <w:rsid w:val="00494004"/>
    <w:rsid w:val="00494503"/>
    <w:rsid w:val="00494A4A"/>
    <w:rsid w:val="00494C88"/>
    <w:rsid w:val="00494CB3"/>
    <w:rsid w:val="00494ECD"/>
    <w:rsid w:val="00494EE8"/>
    <w:rsid w:val="00494FDF"/>
    <w:rsid w:val="00495A2C"/>
    <w:rsid w:val="00495CA1"/>
    <w:rsid w:val="00495CF5"/>
    <w:rsid w:val="00495D36"/>
    <w:rsid w:val="00496166"/>
    <w:rsid w:val="004964D9"/>
    <w:rsid w:val="00496CD0"/>
    <w:rsid w:val="00496F2E"/>
    <w:rsid w:val="0049709D"/>
    <w:rsid w:val="004971F4"/>
    <w:rsid w:val="00497BAC"/>
    <w:rsid w:val="004A0345"/>
    <w:rsid w:val="004A0688"/>
    <w:rsid w:val="004A0820"/>
    <w:rsid w:val="004A0914"/>
    <w:rsid w:val="004A0AE7"/>
    <w:rsid w:val="004A0E68"/>
    <w:rsid w:val="004A0E86"/>
    <w:rsid w:val="004A0F09"/>
    <w:rsid w:val="004A1000"/>
    <w:rsid w:val="004A125E"/>
    <w:rsid w:val="004A138D"/>
    <w:rsid w:val="004A1422"/>
    <w:rsid w:val="004A1754"/>
    <w:rsid w:val="004A2017"/>
    <w:rsid w:val="004A2B49"/>
    <w:rsid w:val="004A30E1"/>
    <w:rsid w:val="004A320E"/>
    <w:rsid w:val="004A3286"/>
    <w:rsid w:val="004A3D11"/>
    <w:rsid w:val="004A4048"/>
    <w:rsid w:val="004A4133"/>
    <w:rsid w:val="004A4141"/>
    <w:rsid w:val="004A42A4"/>
    <w:rsid w:val="004A42B8"/>
    <w:rsid w:val="004A4434"/>
    <w:rsid w:val="004A46A7"/>
    <w:rsid w:val="004A4757"/>
    <w:rsid w:val="004A479E"/>
    <w:rsid w:val="004A4C0F"/>
    <w:rsid w:val="004A4D5F"/>
    <w:rsid w:val="004A50F9"/>
    <w:rsid w:val="004A531E"/>
    <w:rsid w:val="004A5486"/>
    <w:rsid w:val="004A568F"/>
    <w:rsid w:val="004A57BC"/>
    <w:rsid w:val="004A57E3"/>
    <w:rsid w:val="004A592A"/>
    <w:rsid w:val="004A5D44"/>
    <w:rsid w:val="004A5E14"/>
    <w:rsid w:val="004A6360"/>
    <w:rsid w:val="004A6971"/>
    <w:rsid w:val="004A7078"/>
    <w:rsid w:val="004A721B"/>
    <w:rsid w:val="004A73AD"/>
    <w:rsid w:val="004A7548"/>
    <w:rsid w:val="004A7A4D"/>
    <w:rsid w:val="004A7B47"/>
    <w:rsid w:val="004A7FC4"/>
    <w:rsid w:val="004B055C"/>
    <w:rsid w:val="004B0F29"/>
    <w:rsid w:val="004B0F9B"/>
    <w:rsid w:val="004B1145"/>
    <w:rsid w:val="004B130F"/>
    <w:rsid w:val="004B1791"/>
    <w:rsid w:val="004B17E2"/>
    <w:rsid w:val="004B18B3"/>
    <w:rsid w:val="004B1AF5"/>
    <w:rsid w:val="004B1D21"/>
    <w:rsid w:val="004B1E39"/>
    <w:rsid w:val="004B1F25"/>
    <w:rsid w:val="004B212C"/>
    <w:rsid w:val="004B2571"/>
    <w:rsid w:val="004B2A00"/>
    <w:rsid w:val="004B2A27"/>
    <w:rsid w:val="004B2F21"/>
    <w:rsid w:val="004B3216"/>
    <w:rsid w:val="004B333C"/>
    <w:rsid w:val="004B3587"/>
    <w:rsid w:val="004B37C9"/>
    <w:rsid w:val="004B3E91"/>
    <w:rsid w:val="004B4537"/>
    <w:rsid w:val="004B45BB"/>
    <w:rsid w:val="004B4772"/>
    <w:rsid w:val="004B4778"/>
    <w:rsid w:val="004B484F"/>
    <w:rsid w:val="004B5166"/>
    <w:rsid w:val="004B51F5"/>
    <w:rsid w:val="004B5271"/>
    <w:rsid w:val="004B5C29"/>
    <w:rsid w:val="004B60CB"/>
    <w:rsid w:val="004B61B9"/>
    <w:rsid w:val="004B634D"/>
    <w:rsid w:val="004B63AF"/>
    <w:rsid w:val="004B656A"/>
    <w:rsid w:val="004B6AF3"/>
    <w:rsid w:val="004B6B40"/>
    <w:rsid w:val="004B6EAE"/>
    <w:rsid w:val="004B6FD7"/>
    <w:rsid w:val="004B7323"/>
    <w:rsid w:val="004B73FA"/>
    <w:rsid w:val="004B75F3"/>
    <w:rsid w:val="004B7AF0"/>
    <w:rsid w:val="004B7B47"/>
    <w:rsid w:val="004B7B63"/>
    <w:rsid w:val="004B7D36"/>
    <w:rsid w:val="004C07DD"/>
    <w:rsid w:val="004C0AFC"/>
    <w:rsid w:val="004C149D"/>
    <w:rsid w:val="004C15A6"/>
    <w:rsid w:val="004C1602"/>
    <w:rsid w:val="004C1712"/>
    <w:rsid w:val="004C18C2"/>
    <w:rsid w:val="004C1941"/>
    <w:rsid w:val="004C1A7E"/>
    <w:rsid w:val="004C1F96"/>
    <w:rsid w:val="004C2045"/>
    <w:rsid w:val="004C261D"/>
    <w:rsid w:val="004C2B7A"/>
    <w:rsid w:val="004C2CFA"/>
    <w:rsid w:val="004C2E39"/>
    <w:rsid w:val="004C2EC4"/>
    <w:rsid w:val="004C2FFB"/>
    <w:rsid w:val="004C30F2"/>
    <w:rsid w:val="004C35BE"/>
    <w:rsid w:val="004C36CF"/>
    <w:rsid w:val="004C3D60"/>
    <w:rsid w:val="004C3D75"/>
    <w:rsid w:val="004C43EB"/>
    <w:rsid w:val="004C44BC"/>
    <w:rsid w:val="004C4502"/>
    <w:rsid w:val="004C4B35"/>
    <w:rsid w:val="004C4BE1"/>
    <w:rsid w:val="004C5618"/>
    <w:rsid w:val="004C5884"/>
    <w:rsid w:val="004C588B"/>
    <w:rsid w:val="004C5933"/>
    <w:rsid w:val="004C593C"/>
    <w:rsid w:val="004C5CA9"/>
    <w:rsid w:val="004C63B3"/>
    <w:rsid w:val="004C6420"/>
    <w:rsid w:val="004C6724"/>
    <w:rsid w:val="004C6B26"/>
    <w:rsid w:val="004C6BEE"/>
    <w:rsid w:val="004C6C26"/>
    <w:rsid w:val="004C705C"/>
    <w:rsid w:val="004C791A"/>
    <w:rsid w:val="004C7E3E"/>
    <w:rsid w:val="004D0635"/>
    <w:rsid w:val="004D08BE"/>
    <w:rsid w:val="004D0E1C"/>
    <w:rsid w:val="004D10E1"/>
    <w:rsid w:val="004D14C9"/>
    <w:rsid w:val="004D14D5"/>
    <w:rsid w:val="004D18CE"/>
    <w:rsid w:val="004D1936"/>
    <w:rsid w:val="004D1B52"/>
    <w:rsid w:val="004D1BD9"/>
    <w:rsid w:val="004D1F29"/>
    <w:rsid w:val="004D21FA"/>
    <w:rsid w:val="004D2230"/>
    <w:rsid w:val="004D247D"/>
    <w:rsid w:val="004D2652"/>
    <w:rsid w:val="004D2FDB"/>
    <w:rsid w:val="004D32A2"/>
    <w:rsid w:val="004D33A2"/>
    <w:rsid w:val="004D35F7"/>
    <w:rsid w:val="004D379A"/>
    <w:rsid w:val="004D3D8F"/>
    <w:rsid w:val="004D405F"/>
    <w:rsid w:val="004D416B"/>
    <w:rsid w:val="004D49CE"/>
    <w:rsid w:val="004D4C3F"/>
    <w:rsid w:val="004D4DA9"/>
    <w:rsid w:val="004D501D"/>
    <w:rsid w:val="004D537C"/>
    <w:rsid w:val="004D54C0"/>
    <w:rsid w:val="004D5D04"/>
    <w:rsid w:val="004D60A8"/>
    <w:rsid w:val="004D6482"/>
    <w:rsid w:val="004D6AA3"/>
    <w:rsid w:val="004D6F41"/>
    <w:rsid w:val="004D713F"/>
    <w:rsid w:val="004D718B"/>
    <w:rsid w:val="004D773D"/>
    <w:rsid w:val="004D78B6"/>
    <w:rsid w:val="004D792F"/>
    <w:rsid w:val="004D7FA9"/>
    <w:rsid w:val="004D7FCB"/>
    <w:rsid w:val="004E0215"/>
    <w:rsid w:val="004E06CC"/>
    <w:rsid w:val="004E070D"/>
    <w:rsid w:val="004E0953"/>
    <w:rsid w:val="004E0ACA"/>
    <w:rsid w:val="004E0B7C"/>
    <w:rsid w:val="004E1392"/>
    <w:rsid w:val="004E139F"/>
    <w:rsid w:val="004E14E8"/>
    <w:rsid w:val="004E1AA2"/>
    <w:rsid w:val="004E1F5C"/>
    <w:rsid w:val="004E2308"/>
    <w:rsid w:val="004E25DF"/>
    <w:rsid w:val="004E25FA"/>
    <w:rsid w:val="004E271E"/>
    <w:rsid w:val="004E27C9"/>
    <w:rsid w:val="004E27DF"/>
    <w:rsid w:val="004E2A2D"/>
    <w:rsid w:val="004E2F21"/>
    <w:rsid w:val="004E3050"/>
    <w:rsid w:val="004E3239"/>
    <w:rsid w:val="004E33D7"/>
    <w:rsid w:val="004E36FA"/>
    <w:rsid w:val="004E3BBD"/>
    <w:rsid w:val="004E3CB0"/>
    <w:rsid w:val="004E42C2"/>
    <w:rsid w:val="004E42F5"/>
    <w:rsid w:val="004E4322"/>
    <w:rsid w:val="004E4445"/>
    <w:rsid w:val="004E44EE"/>
    <w:rsid w:val="004E4592"/>
    <w:rsid w:val="004E45D1"/>
    <w:rsid w:val="004E4929"/>
    <w:rsid w:val="004E493B"/>
    <w:rsid w:val="004E4B87"/>
    <w:rsid w:val="004E4F4B"/>
    <w:rsid w:val="004E5175"/>
    <w:rsid w:val="004E53D2"/>
    <w:rsid w:val="004E5580"/>
    <w:rsid w:val="004E561C"/>
    <w:rsid w:val="004E577C"/>
    <w:rsid w:val="004E5809"/>
    <w:rsid w:val="004E5A54"/>
    <w:rsid w:val="004E5AC1"/>
    <w:rsid w:val="004E5E86"/>
    <w:rsid w:val="004E6114"/>
    <w:rsid w:val="004E636A"/>
    <w:rsid w:val="004E6390"/>
    <w:rsid w:val="004E6AA1"/>
    <w:rsid w:val="004E6B82"/>
    <w:rsid w:val="004E6D3A"/>
    <w:rsid w:val="004E7709"/>
    <w:rsid w:val="004F041E"/>
    <w:rsid w:val="004F05DC"/>
    <w:rsid w:val="004F072A"/>
    <w:rsid w:val="004F0B2C"/>
    <w:rsid w:val="004F0C3C"/>
    <w:rsid w:val="004F1199"/>
    <w:rsid w:val="004F1291"/>
    <w:rsid w:val="004F1325"/>
    <w:rsid w:val="004F13EF"/>
    <w:rsid w:val="004F1596"/>
    <w:rsid w:val="004F1761"/>
    <w:rsid w:val="004F1CAF"/>
    <w:rsid w:val="004F2944"/>
    <w:rsid w:val="004F2FF4"/>
    <w:rsid w:val="004F3ADF"/>
    <w:rsid w:val="004F3C2B"/>
    <w:rsid w:val="004F3E39"/>
    <w:rsid w:val="004F3E3A"/>
    <w:rsid w:val="004F43EB"/>
    <w:rsid w:val="004F4C54"/>
    <w:rsid w:val="004F51A0"/>
    <w:rsid w:val="004F51EE"/>
    <w:rsid w:val="004F52FA"/>
    <w:rsid w:val="004F536E"/>
    <w:rsid w:val="004F59EC"/>
    <w:rsid w:val="004F5AA4"/>
    <w:rsid w:val="004F5AE1"/>
    <w:rsid w:val="004F5D8D"/>
    <w:rsid w:val="004F5FC4"/>
    <w:rsid w:val="004F6173"/>
    <w:rsid w:val="004F62B4"/>
    <w:rsid w:val="004F6687"/>
    <w:rsid w:val="004F69DF"/>
    <w:rsid w:val="004F6C4D"/>
    <w:rsid w:val="004F71F0"/>
    <w:rsid w:val="00500442"/>
    <w:rsid w:val="0050049D"/>
    <w:rsid w:val="005006C8"/>
    <w:rsid w:val="0050093B"/>
    <w:rsid w:val="00500C93"/>
    <w:rsid w:val="00500DBC"/>
    <w:rsid w:val="00500DC0"/>
    <w:rsid w:val="005012AC"/>
    <w:rsid w:val="00501442"/>
    <w:rsid w:val="00501593"/>
    <w:rsid w:val="00501765"/>
    <w:rsid w:val="0050192D"/>
    <w:rsid w:val="00501A02"/>
    <w:rsid w:val="0050214A"/>
    <w:rsid w:val="005028CF"/>
    <w:rsid w:val="00502CB7"/>
    <w:rsid w:val="00502DE5"/>
    <w:rsid w:val="00503078"/>
    <w:rsid w:val="00503085"/>
    <w:rsid w:val="00503307"/>
    <w:rsid w:val="005034BC"/>
    <w:rsid w:val="0050382A"/>
    <w:rsid w:val="00503E65"/>
    <w:rsid w:val="005041A2"/>
    <w:rsid w:val="005043C2"/>
    <w:rsid w:val="005045DC"/>
    <w:rsid w:val="00504683"/>
    <w:rsid w:val="005054D2"/>
    <w:rsid w:val="00505510"/>
    <w:rsid w:val="005057A4"/>
    <w:rsid w:val="00505958"/>
    <w:rsid w:val="0050601B"/>
    <w:rsid w:val="00506130"/>
    <w:rsid w:val="00506375"/>
    <w:rsid w:val="0050640F"/>
    <w:rsid w:val="0050687C"/>
    <w:rsid w:val="00506959"/>
    <w:rsid w:val="00506981"/>
    <w:rsid w:val="00506CEF"/>
    <w:rsid w:val="00506DC5"/>
    <w:rsid w:val="00507121"/>
    <w:rsid w:val="005078D9"/>
    <w:rsid w:val="005079FD"/>
    <w:rsid w:val="00507BA7"/>
    <w:rsid w:val="00507C5F"/>
    <w:rsid w:val="00507FB9"/>
    <w:rsid w:val="00507FE3"/>
    <w:rsid w:val="00510303"/>
    <w:rsid w:val="005105BB"/>
    <w:rsid w:val="005106FD"/>
    <w:rsid w:val="00510D85"/>
    <w:rsid w:val="00510E8A"/>
    <w:rsid w:val="00511012"/>
    <w:rsid w:val="005115D1"/>
    <w:rsid w:val="00511691"/>
    <w:rsid w:val="00511770"/>
    <w:rsid w:val="0051177A"/>
    <w:rsid w:val="00511AA6"/>
    <w:rsid w:val="00511F4E"/>
    <w:rsid w:val="00512348"/>
    <w:rsid w:val="00512411"/>
    <w:rsid w:val="0051246E"/>
    <w:rsid w:val="00512814"/>
    <w:rsid w:val="00512BF0"/>
    <w:rsid w:val="00512C18"/>
    <w:rsid w:val="00512C52"/>
    <w:rsid w:val="00512D3E"/>
    <w:rsid w:val="00512D60"/>
    <w:rsid w:val="00512DC4"/>
    <w:rsid w:val="00512DEB"/>
    <w:rsid w:val="00512DF1"/>
    <w:rsid w:val="00512F65"/>
    <w:rsid w:val="00513270"/>
    <w:rsid w:val="00513397"/>
    <w:rsid w:val="005134F3"/>
    <w:rsid w:val="005137DF"/>
    <w:rsid w:val="005139B0"/>
    <w:rsid w:val="005139C4"/>
    <w:rsid w:val="00513CCA"/>
    <w:rsid w:val="00514318"/>
    <w:rsid w:val="0051495A"/>
    <w:rsid w:val="00514BB6"/>
    <w:rsid w:val="00514F80"/>
    <w:rsid w:val="0051554D"/>
    <w:rsid w:val="005155E1"/>
    <w:rsid w:val="00515663"/>
    <w:rsid w:val="00515851"/>
    <w:rsid w:val="0051592E"/>
    <w:rsid w:val="00515930"/>
    <w:rsid w:val="00515A63"/>
    <w:rsid w:val="00515A81"/>
    <w:rsid w:val="00515B0F"/>
    <w:rsid w:val="005161FA"/>
    <w:rsid w:val="00516297"/>
    <w:rsid w:val="005163F8"/>
    <w:rsid w:val="0051642D"/>
    <w:rsid w:val="005164C0"/>
    <w:rsid w:val="00516B21"/>
    <w:rsid w:val="00516FC0"/>
    <w:rsid w:val="0051722D"/>
    <w:rsid w:val="0051754D"/>
    <w:rsid w:val="005176E9"/>
    <w:rsid w:val="00517793"/>
    <w:rsid w:val="00520284"/>
    <w:rsid w:val="005204CF"/>
    <w:rsid w:val="005204D3"/>
    <w:rsid w:val="00520501"/>
    <w:rsid w:val="005205BB"/>
    <w:rsid w:val="00520770"/>
    <w:rsid w:val="00520795"/>
    <w:rsid w:val="005207DF"/>
    <w:rsid w:val="00520A86"/>
    <w:rsid w:val="00520B1D"/>
    <w:rsid w:val="00520C37"/>
    <w:rsid w:val="00520E74"/>
    <w:rsid w:val="00520F55"/>
    <w:rsid w:val="00521067"/>
    <w:rsid w:val="005211AD"/>
    <w:rsid w:val="0052181D"/>
    <w:rsid w:val="00521940"/>
    <w:rsid w:val="00521AB6"/>
    <w:rsid w:val="00521ADD"/>
    <w:rsid w:val="00521BB6"/>
    <w:rsid w:val="00521BE6"/>
    <w:rsid w:val="0052214E"/>
    <w:rsid w:val="005221DD"/>
    <w:rsid w:val="00522204"/>
    <w:rsid w:val="005224C0"/>
    <w:rsid w:val="00522795"/>
    <w:rsid w:val="005227C7"/>
    <w:rsid w:val="00522E3B"/>
    <w:rsid w:val="00522F51"/>
    <w:rsid w:val="005233FD"/>
    <w:rsid w:val="00523402"/>
    <w:rsid w:val="00523658"/>
    <w:rsid w:val="005237C1"/>
    <w:rsid w:val="00523A12"/>
    <w:rsid w:val="00523C7D"/>
    <w:rsid w:val="00523F86"/>
    <w:rsid w:val="00524220"/>
    <w:rsid w:val="005242C3"/>
    <w:rsid w:val="0052456A"/>
    <w:rsid w:val="005245AD"/>
    <w:rsid w:val="0052468A"/>
    <w:rsid w:val="0052473F"/>
    <w:rsid w:val="00524ACB"/>
    <w:rsid w:val="00524B77"/>
    <w:rsid w:val="00524CE7"/>
    <w:rsid w:val="00524DB2"/>
    <w:rsid w:val="00524E23"/>
    <w:rsid w:val="00524EEA"/>
    <w:rsid w:val="00525177"/>
    <w:rsid w:val="005252A4"/>
    <w:rsid w:val="0052539C"/>
    <w:rsid w:val="005254C4"/>
    <w:rsid w:val="005260CD"/>
    <w:rsid w:val="00526620"/>
    <w:rsid w:val="005268AC"/>
    <w:rsid w:val="00526E92"/>
    <w:rsid w:val="005271AF"/>
    <w:rsid w:val="00527254"/>
    <w:rsid w:val="0052760D"/>
    <w:rsid w:val="00527663"/>
    <w:rsid w:val="005277F3"/>
    <w:rsid w:val="005277F7"/>
    <w:rsid w:val="005301D7"/>
    <w:rsid w:val="005305B8"/>
    <w:rsid w:val="005305E4"/>
    <w:rsid w:val="0053062F"/>
    <w:rsid w:val="00530852"/>
    <w:rsid w:val="00530894"/>
    <w:rsid w:val="00530B42"/>
    <w:rsid w:val="00530E77"/>
    <w:rsid w:val="00530EEA"/>
    <w:rsid w:val="00530FA8"/>
    <w:rsid w:val="00531838"/>
    <w:rsid w:val="00531A70"/>
    <w:rsid w:val="00531CB6"/>
    <w:rsid w:val="00531D59"/>
    <w:rsid w:val="00531F0A"/>
    <w:rsid w:val="0053210B"/>
    <w:rsid w:val="005323D7"/>
    <w:rsid w:val="00532649"/>
    <w:rsid w:val="00532C31"/>
    <w:rsid w:val="00532D4F"/>
    <w:rsid w:val="00532E7F"/>
    <w:rsid w:val="00533117"/>
    <w:rsid w:val="00533214"/>
    <w:rsid w:val="005335E9"/>
    <w:rsid w:val="00533902"/>
    <w:rsid w:val="00533FFA"/>
    <w:rsid w:val="005343E2"/>
    <w:rsid w:val="00534424"/>
    <w:rsid w:val="005345DE"/>
    <w:rsid w:val="0053466C"/>
    <w:rsid w:val="005346CD"/>
    <w:rsid w:val="0053473B"/>
    <w:rsid w:val="00534929"/>
    <w:rsid w:val="00534937"/>
    <w:rsid w:val="00534ECC"/>
    <w:rsid w:val="005353AB"/>
    <w:rsid w:val="0053559A"/>
    <w:rsid w:val="00535CC0"/>
    <w:rsid w:val="00535D62"/>
    <w:rsid w:val="00535FB7"/>
    <w:rsid w:val="005363A9"/>
    <w:rsid w:val="005367F4"/>
    <w:rsid w:val="00536B5D"/>
    <w:rsid w:val="00536C01"/>
    <w:rsid w:val="00536ECD"/>
    <w:rsid w:val="00537062"/>
    <w:rsid w:val="005372FE"/>
    <w:rsid w:val="0053740C"/>
    <w:rsid w:val="0053778E"/>
    <w:rsid w:val="00537815"/>
    <w:rsid w:val="00537CE5"/>
    <w:rsid w:val="00537D4F"/>
    <w:rsid w:val="00537EAA"/>
    <w:rsid w:val="00537F6D"/>
    <w:rsid w:val="0054006E"/>
    <w:rsid w:val="00540616"/>
    <w:rsid w:val="00540D2E"/>
    <w:rsid w:val="00541004"/>
    <w:rsid w:val="0054196F"/>
    <w:rsid w:val="00541F45"/>
    <w:rsid w:val="0054217D"/>
    <w:rsid w:val="0054242A"/>
    <w:rsid w:val="0054255D"/>
    <w:rsid w:val="0054267A"/>
    <w:rsid w:val="005428F9"/>
    <w:rsid w:val="0054327A"/>
    <w:rsid w:val="00543357"/>
    <w:rsid w:val="00543571"/>
    <w:rsid w:val="0054357D"/>
    <w:rsid w:val="005438BA"/>
    <w:rsid w:val="00543DBB"/>
    <w:rsid w:val="00544420"/>
    <w:rsid w:val="005447EF"/>
    <w:rsid w:val="00544BBD"/>
    <w:rsid w:val="005454F4"/>
    <w:rsid w:val="0054573D"/>
    <w:rsid w:val="005457AA"/>
    <w:rsid w:val="00545B6D"/>
    <w:rsid w:val="00545C53"/>
    <w:rsid w:val="00545EDB"/>
    <w:rsid w:val="0054611A"/>
    <w:rsid w:val="00546501"/>
    <w:rsid w:val="00546B12"/>
    <w:rsid w:val="0054703E"/>
    <w:rsid w:val="00547145"/>
    <w:rsid w:val="005476BF"/>
    <w:rsid w:val="005479DC"/>
    <w:rsid w:val="00547BD3"/>
    <w:rsid w:val="00550579"/>
    <w:rsid w:val="00550796"/>
    <w:rsid w:val="0055081A"/>
    <w:rsid w:val="00550DDE"/>
    <w:rsid w:val="00550E94"/>
    <w:rsid w:val="00550FDF"/>
    <w:rsid w:val="0055124A"/>
    <w:rsid w:val="00551255"/>
    <w:rsid w:val="005519D2"/>
    <w:rsid w:val="00551CC3"/>
    <w:rsid w:val="00551DE5"/>
    <w:rsid w:val="00552714"/>
    <w:rsid w:val="00552756"/>
    <w:rsid w:val="00552B04"/>
    <w:rsid w:val="00552DD6"/>
    <w:rsid w:val="00552EB7"/>
    <w:rsid w:val="00553280"/>
    <w:rsid w:val="00553568"/>
    <w:rsid w:val="005539CF"/>
    <w:rsid w:val="00553A66"/>
    <w:rsid w:val="00553BF0"/>
    <w:rsid w:val="00553CD8"/>
    <w:rsid w:val="00553D34"/>
    <w:rsid w:val="00553D39"/>
    <w:rsid w:val="005541AE"/>
    <w:rsid w:val="005549E3"/>
    <w:rsid w:val="00554D28"/>
    <w:rsid w:val="00555182"/>
    <w:rsid w:val="0055551E"/>
    <w:rsid w:val="005556A0"/>
    <w:rsid w:val="00555CA6"/>
    <w:rsid w:val="0055635F"/>
    <w:rsid w:val="005567FA"/>
    <w:rsid w:val="0055685C"/>
    <w:rsid w:val="00556D80"/>
    <w:rsid w:val="00556EF9"/>
    <w:rsid w:val="0055704C"/>
    <w:rsid w:val="005573C7"/>
    <w:rsid w:val="0055750C"/>
    <w:rsid w:val="0055776A"/>
    <w:rsid w:val="00557771"/>
    <w:rsid w:val="0055780C"/>
    <w:rsid w:val="005579B7"/>
    <w:rsid w:val="00557A37"/>
    <w:rsid w:val="00557AE7"/>
    <w:rsid w:val="00557B35"/>
    <w:rsid w:val="00557B71"/>
    <w:rsid w:val="00557B88"/>
    <w:rsid w:val="00557E84"/>
    <w:rsid w:val="00557F29"/>
    <w:rsid w:val="00560126"/>
    <w:rsid w:val="0056058D"/>
    <w:rsid w:val="005605F1"/>
    <w:rsid w:val="00560682"/>
    <w:rsid w:val="0056089D"/>
    <w:rsid w:val="005608D9"/>
    <w:rsid w:val="005609FF"/>
    <w:rsid w:val="00560B30"/>
    <w:rsid w:val="00560DCF"/>
    <w:rsid w:val="00560E0C"/>
    <w:rsid w:val="005611F3"/>
    <w:rsid w:val="00561488"/>
    <w:rsid w:val="00561894"/>
    <w:rsid w:val="00561D67"/>
    <w:rsid w:val="00562163"/>
    <w:rsid w:val="00562561"/>
    <w:rsid w:val="005626E3"/>
    <w:rsid w:val="00562B89"/>
    <w:rsid w:val="00562E24"/>
    <w:rsid w:val="00562F58"/>
    <w:rsid w:val="00563270"/>
    <w:rsid w:val="00563314"/>
    <w:rsid w:val="00563782"/>
    <w:rsid w:val="00563B70"/>
    <w:rsid w:val="00563B8F"/>
    <w:rsid w:val="00563C6B"/>
    <w:rsid w:val="00563E21"/>
    <w:rsid w:val="005640BD"/>
    <w:rsid w:val="005640D8"/>
    <w:rsid w:val="00564388"/>
    <w:rsid w:val="00564AF4"/>
    <w:rsid w:val="00564C6B"/>
    <w:rsid w:val="00564EFC"/>
    <w:rsid w:val="0056555B"/>
    <w:rsid w:val="0056579A"/>
    <w:rsid w:val="00565902"/>
    <w:rsid w:val="00565A94"/>
    <w:rsid w:val="00566B94"/>
    <w:rsid w:val="00566B9B"/>
    <w:rsid w:val="00566BBD"/>
    <w:rsid w:val="00566BE3"/>
    <w:rsid w:val="00566E67"/>
    <w:rsid w:val="00567891"/>
    <w:rsid w:val="005678C1"/>
    <w:rsid w:val="00567BBC"/>
    <w:rsid w:val="00567BD7"/>
    <w:rsid w:val="00567C48"/>
    <w:rsid w:val="00567C5E"/>
    <w:rsid w:val="00567EB4"/>
    <w:rsid w:val="00567F81"/>
    <w:rsid w:val="0057020D"/>
    <w:rsid w:val="00570338"/>
    <w:rsid w:val="005703DE"/>
    <w:rsid w:val="00570524"/>
    <w:rsid w:val="00570527"/>
    <w:rsid w:val="00570886"/>
    <w:rsid w:val="005709BE"/>
    <w:rsid w:val="00571A01"/>
    <w:rsid w:val="00571DE9"/>
    <w:rsid w:val="00572079"/>
    <w:rsid w:val="005720B2"/>
    <w:rsid w:val="0057218A"/>
    <w:rsid w:val="00572471"/>
    <w:rsid w:val="005727D9"/>
    <w:rsid w:val="005728F7"/>
    <w:rsid w:val="00572B00"/>
    <w:rsid w:val="00572B25"/>
    <w:rsid w:val="00572B67"/>
    <w:rsid w:val="0057305A"/>
    <w:rsid w:val="0057309C"/>
    <w:rsid w:val="005733E3"/>
    <w:rsid w:val="00573B10"/>
    <w:rsid w:val="00573DE2"/>
    <w:rsid w:val="00573F99"/>
    <w:rsid w:val="0057409C"/>
    <w:rsid w:val="0057446D"/>
    <w:rsid w:val="00574E35"/>
    <w:rsid w:val="0057582B"/>
    <w:rsid w:val="00575F5A"/>
    <w:rsid w:val="00576093"/>
    <w:rsid w:val="00576875"/>
    <w:rsid w:val="00576913"/>
    <w:rsid w:val="00576E3A"/>
    <w:rsid w:val="00577055"/>
    <w:rsid w:val="005770B9"/>
    <w:rsid w:val="005772BD"/>
    <w:rsid w:val="0057732F"/>
    <w:rsid w:val="005777CD"/>
    <w:rsid w:val="00577852"/>
    <w:rsid w:val="00577AB3"/>
    <w:rsid w:val="00580ACB"/>
    <w:rsid w:val="00580BEB"/>
    <w:rsid w:val="00581029"/>
    <w:rsid w:val="00581208"/>
    <w:rsid w:val="0058120B"/>
    <w:rsid w:val="005812CF"/>
    <w:rsid w:val="005816FE"/>
    <w:rsid w:val="00581750"/>
    <w:rsid w:val="00581916"/>
    <w:rsid w:val="00581959"/>
    <w:rsid w:val="005819C3"/>
    <w:rsid w:val="00581ADC"/>
    <w:rsid w:val="00581FF1"/>
    <w:rsid w:val="005825AD"/>
    <w:rsid w:val="005826A9"/>
    <w:rsid w:val="0058298F"/>
    <w:rsid w:val="00582AAA"/>
    <w:rsid w:val="00582BCE"/>
    <w:rsid w:val="00583642"/>
    <w:rsid w:val="00583DB0"/>
    <w:rsid w:val="00583FD9"/>
    <w:rsid w:val="00584215"/>
    <w:rsid w:val="0058423C"/>
    <w:rsid w:val="005843E9"/>
    <w:rsid w:val="0058440D"/>
    <w:rsid w:val="00584423"/>
    <w:rsid w:val="0058490D"/>
    <w:rsid w:val="00584C57"/>
    <w:rsid w:val="00584ED9"/>
    <w:rsid w:val="0058503F"/>
    <w:rsid w:val="0058505D"/>
    <w:rsid w:val="00585093"/>
    <w:rsid w:val="00585230"/>
    <w:rsid w:val="005852C1"/>
    <w:rsid w:val="005852F6"/>
    <w:rsid w:val="00585A27"/>
    <w:rsid w:val="00585CF5"/>
    <w:rsid w:val="00586334"/>
    <w:rsid w:val="00586425"/>
    <w:rsid w:val="0058656D"/>
    <w:rsid w:val="005868DA"/>
    <w:rsid w:val="005869D0"/>
    <w:rsid w:val="00586ABF"/>
    <w:rsid w:val="00586B70"/>
    <w:rsid w:val="00586BBB"/>
    <w:rsid w:val="00586C7A"/>
    <w:rsid w:val="00586CA4"/>
    <w:rsid w:val="00586EA6"/>
    <w:rsid w:val="0058722C"/>
    <w:rsid w:val="00587292"/>
    <w:rsid w:val="00587450"/>
    <w:rsid w:val="0058FEE2"/>
    <w:rsid w:val="00590371"/>
    <w:rsid w:val="005903B3"/>
    <w:rsid w:val="0059063F"/>
    <w:rsid w:val="00590791"/>
    <w:rsid w:val="0059094C"/>
    <w:rsid w:val="00590B22"/>
    <w:rsid w:val="00590B53"/>
    <w:rsid w:val="00590C2B"/>
    <w:rsid w:val="00590E73"/>
    <w:rsid w:val="00590EC9"/>
    <w:rsid w:val="005910AF"/>
    <w:rsid w:val="00591718"/>
    <w:rsid w:val="0059188B"/>
    <w:rsid w:val="00591CC0"/>
    <w:rsid w:val="00591F2A"/>
    <w:rsid w:val="00592260"/>
    <w:rsid w:val="00592336"/>
    <w:rsid w:val="005928CC"/>
    <w:rsid w:val="00592B41"/>
    <w:rsid w:val="00592C01"/>
    <w:rsid w:val="00592C6D"/>
    <w:rsid w:val="00592D72"/>
    <w:rsid w:val="00592EF8"/>
    <w:rsid w:val="00592FD3"/>
    <w:rsid w:val="0059328C"/>
    <w:rsid w:val="0059356A"/>
    <w:rsid w:val="00593856"/>
    <w:rsid w:val="00593BC1"/>
    <w:rsid w:val="00594129"/>
    <w:rsid w:val="0059417A"/>
    <w:rsid w:val="005942AD"/>
    <w:rsid w:val="005943A4"/>
    <w:rsid w:val="005943FF"/>
    <w:rsid w:val="00594C16"/>
    <w:rsid w:val="00594CA4"/>
    <w:rsid w:val="00594F65"/>
    <w:rsid w:val="005952B2"/>
    <w:rsid w:val="00595A0A"/>
    <w:rsid w:val="00595D68"/>
    <w:rsid w:val="00595E9C"/>
    <w:rsid w:val="005961E6"/>
    <w:rsid w:val="00596749"/>
    <w:rsid w:val="00596A44"/>
    <w:rsid w:val="00597145"/>
    <w:rsid w:val="005973DB"/>
    <w:rsid w:val="00597491"/>
    <w:rsid w:val="005976B5"/>
    <w:rsid w:val="00597836"/>
    <w:rsid w:val="005978B6"/>
    <w:rsid w:val="005A00C3"/>
    <w:rsid w:val="005A04CA"/>
    <w:rsid w:val="005A0509"/>
    <w:rsid w:val="005A05F5"/>
    <w:rsid w:val="005A089D"/>
    <w:rsid w:val="005A08BE"/>
    <w:rsid w:val="005A08C5"/>
    <w:rsid w:val="005A08DA"/>
    <w:rsid w:val="005A0AE5"/>
    <w:rsid w:val="005A17D2"/>
    <w:rsid w:val="005A1A63"/>
    <w:rsid w:val="005A1AA6"/>
    <w:rsid w:val="005A21B3"/>
    <w:rsid w:val="005A2612"/>
    <w:rsid w:val="005A2631"/>
    <w:rsid w:val="005A2702"/>
    <w:rsid w:val="005A27EF"/>
    <w:rsid w:val="005A2A9D"/>
    <w:rsid w:val="005A2CB1"/>
    <w:rsid w:val="005A2CDE"/>
    <w:rsid w:val="005A2E16"/>
    <w:rsid w:val="005A2E29"/>
    <w:rsid w:val="005A2E94"/>
    <w:rsid w:val="005A3183"/>
    <w:rsid w:val="005A33B8"/>
    <w:rsid w:val="005A35EC"/>
    <w:rsid w:val="005A36E0"/>
    <w:rsid w:val="005A388F"/>
    <w:rsid w:val="005A3943"/>
    <w:rsid w:val="005A3BE9"/>
    <w:rsid w:val="005A3CC9"/>
    <w:rsid w:val="005A451D"/>
    <w:rsid w:val="005A4616"/>
    <w:rsid w:val="005A4AB8"/>
    <w:rsid w:val="005A4C8A"/>
    <w:rsid w:val="005A4C97"/>
    <w:rsid w:val="005A4D53"/>
    <w:rsid w:val="005A4E95"/>
    <w:rsid w:val="005A4FA3"/>
    <w:rsid w:val="005A512D"/>
    <w:rsid w:val="005A55AD"/>
    <w:rsid w:val="005A56FD"/>
    <w:rsid w:val="005A5849"/>
    <w:rsid w:val="005A6973"/>
    <w:rsid w:val="005A6B77"/>
    <w:rsid w:val="005A6DF4"/>
    <w:rsid w:val="005A6E56"/>
    <w:rsid w:val="005A70E4"/>
    <w:rsid w:val="005A7443"/>
    <w:rsid w:val="005A762F"/>
    <w:rsid w:val="005A763B"/>
    <w:rsid w:val="005A7709"/>
    <w:rsid w:val="005A79AC"/>
    <w:rsid w:val="005A7EB4"/>
    <w:rsid w:val="005B0355"/>
    <w:rsid w:val="005B037A"/>
    <w:rsid w:val="005B0477"/>
    <w:rsid w:val="005B0725"/>
    <w:rsid w:val="005B0A5B"/>
    <w:rsid w:val="005B0F41"/>
    <w:rsid w:val="005B11C8"/>
    <w:rsid w:val="005B13B1"/>
    <w:rsid w:val="005B15A7"/>
    <w:rsid w:val="005B1858"/>
    <w:rsid w:val="005B1880"/>
    <w:rsid w:val="005B20FF"/>
    <w:rsid w:val="005B220F"/>
    <w:rsid w:val="005B2C93"/>
    <w:rsid w:val="005B2F4C"/>
    <w:rsid w:val="005B3283"/>
    <w:rsid w:val="005B3C71"/>
    <w:rsid w:val="005B3D4A"/>
    <w:rsid w:val="005B3DDE"/>
    <w:rsid w:val="005B3E6E"/>
    <w:rsid w:val="005B44B7"/>
    <w:rsid w:val="005B4940"/>
    <w:rsid w:val="005B49C6"/>
    <w:rsid w:val="005B4D5B"/>
    <w:rsid w:val="005B4D78"/>
    <w:rsid w:val="005B519F"/>
    <w:rsid w:val="005B5CAA"/>
    <w:rsid w:val="005B5CC6"/>
    <w:rsid w:val="005B5DA2"/>
    <w:rsid w:val="005B5E18"/>
    <w:rsid w:val="005B62AD"/>
    <w:rsid w:val="005B62E9"/>
    <w:rsid w:val="005B62FA"/>
    <w:rsid w:val="005B6C43"/>
    <w:rsid w:val="005B6DD8"/>
    <w:rsid w:val="005B6E67"/>
    <w:rsid w:val="005B6E82"/>
    <w:rsid w:val="005B6F3D"/>
    <w:rsid w:val="005B701A"/>
    <w:rsid w:val="005B763E"/>
    <w:rsid w:val="005B7760"/>
    <w:rsid w:val="005B7B1F"/>
    <w:rsid w:val="005B7E8B"/>
    <w:rsid w:val="005B7F22"/>
    <w:rsid w:val="005C020F"/>
    <w:rsid w:val="005C061B"/>
    <w:rsid w:val="005C0D89"/>
    <w:rsid w:val="005C1041"/>
    <w:rsid w:val="005C10A8"/>
    <w:rsid w:val="005C1284"/>
    <w:rsid w:val="005C1399"/>
    <w:rsid w:val="005C18BD"/>
    <w:rsid w:val="005C1C80"/>
    <w:rsid w:val="005C227B"/>
    <w:rsid w:val="005C2579"/>
    <w:rsid w:val="005C2600"/>
    <w:rsid w:val="005C2708"/>
    <w:rsid w:val="005C283F"/>
    <w:rsid w:val="005C2948"/>
    <w:rsid w:val="005C320E"/>
    <w:rsid w:val="005C3381"/>
    <w:rsid w:val="005C3490"/>
    <w:rsid w:val="005C371B"/>
    <w:rsid w:val="005C37CE"/>
    <w:rsid w:val="005C37F5"/>
    <w:rsid w:val="005C3C52"/>
    <w:rsid w:val="005C4214"/>
    <w:rsid w:val="005C423B"/>
    <w:rsid w:val="005C4578"/>
    <w:rsid w:val="005C4596"/>
    <w:rsid w:val="005C47CC"/>
    <w:rsid w:val="005C481A"/>
    <w:rsid w:val="005C4B7B"/>
    <w:rsid w:val="005C4E23"/>
    <w:rsid w:val="005C4E80"/>
    <w:rsid w:val="005C52F9"/>
    <w:rsid w:val="005C5519"/>
    <w:rsid w:val="005C5671"/>
    <w:rsid w:val="005C5824"/>
    <w:rsid w:val="005C5947"/>
    <w:rsid w:val="005C5AA2"/>
    <w:rsid w:val="005C5C82"/>
    <w:rsid w:val="005C5CFE"/>
    <w:rsid w:val="005C5F69"/>
    <w:rsid w:val="005C6245"/>
    <w:rsid w:val="005C6748"/>
    <w:rsid w:val="005C6C35"/>
    <w:rsid w:val="005C6FCD"/>
    <w:rsid w:val="005C70FC"/>
    <w:rsid w:val="005C74A1"/>
    <w:rsid w:val="005C74ED"/>
    <w:rsid w:val="005C784A"/>
    <w:rsid w:val="005C7D1A"/>
    <w:rsid w:val="005C7F40"/>
    <w:rsid w:val="005C7F76"/>
    <w:rsid w:val="005D09C9"/>
    <w:rsid w:val="005D0A98"/>
    <w:rsid w:val="005D0B8C"/>
    <w:rsid w:val="005D0D34"/>
    <w:rsid w:val="005D129A"/>
    <w:rsid w:val="005D1635"/>
    <w:rsid w:val="005D163B"/>
    <w:rsid w:val="005D1AB0"/>
    <w:rsid w:val="005D20A3"/>
    <w:rsid w:val="005D26A1"/>
    <w:rsid w:val="005D2714"/>
    <w:rsid w:val="005D35C0"/>
    <w:rsid w:val="005D3645"/>
    <w:rsid w:val="005D36B7"/>
    <w:rsid w:val="005D371B"/>
    <w:rsid w:val="005D3771"/>
    <w:rsid w:val="005D3AC6"/>
    <w:rsid w:val="005D3CEE"/>
    <w:rsid w:val="005D3DBD"/>
    <w:rsid w:val="005D3F56"/>
    <w:rsid w:val="005D4A24"/>
    <w:rsid w:val="005D4A43"/>
    <w:rsid w:val="005D4E1F"/>
    <w:rsid w:val="005D52A4"/>
    <w:rsid w:val="005D52DD"/>
    <w:rsid w:val="005D56B1"/>
    <w:rsid w:val="005D56B4"/>
    <w:rsid w:val="005D576B"/>
    <w:rsid w:val="005D587E"/>
    <w:rsid w:val="005D5E4E"/>
    <w:rsid w:val="005D5FE4"/>
    <w:rsid w:val="005D61BA"/>
    <w:rsid w:val="005D6324"/>
    <w:rsid w:val="005D64DF"/>
    <w:rsid w:val="005D67CF"/>
    <w:rsid w:val="005D68DD"/>
    <w:rsid w:val="005D6B25"/>
    <w:rsid w:val="005D6DBA"/>
    <w:rsid w:val="005D705D"/>
    <w:rsid w:val="005D75F1"/>
    <w:rsid w:val="005D799E"/>
    <w:rsid w:val="005D7B7D"/>
    <w:rsid w:val="005E0177"/>
    <w:rsid w:val="005E02BB"/>
    <w:rsid w:val="005E02F9"/>
    <w:rsid w:val="005E036E"/>
    <w:rsid w:val="005E0A19"/>
    <w:rsid w:val="005E0B0E"/>
    <w:rsid w:val="005E11BB"/>
    <w:rsid w:val="005E127D"/>
    <w:rsid w:val="005E1369"/>
    <w:rsid w:val="005E15FB"/>
    <w:rsid w:val="005E16A4"/>
    <w:rsid w:val="005E16DC"/>
    <w:rsid w:val="005E1782"/>
    <w:rsid w:val="005E17F2"/>
    <w:rsid w:val="005E1A7E"/>
    <w:rsid w:val="005E1B7F"/>
    <w:rsid w:val="005E1C8F"/>
    <w:rsid w:val="005E1C91"/>
    <w:rsid w:val="005E1CB3"/>
    <w:rsid w:val="005E1D2D"/>
    <w:rsid w:val="005E1FE0"/>
    <w:rsid w:val="005E2025"/>
    <w:rsid w:val="005E24C4"/>
    <w:rsid w:val="005E28EE"/>
    <w:rsid w:val="005E2F6E"/>
    <w:rsid w:val="005E329C"/>
    <w:rsid w:val="005E4539"/>
    <w:rsid w:val="005E4E78"/>
    <w:rsid w:val="005E5001"/>
    <w:rsid w:val="005E51B4"/>
    <w:rsid w:val="005E55B8"/>
    <w:rsid w:val="005E5837"/>
    <w:rsid w:val="005E58D9"/>
    <w:rsid w:val="005E5A3C"/>
    <w:rsid w:val="005E5E8E"/>
    <w:rsid w:val="005E5FBF"/>
    <w:rsid w:val="005E63F8"/>
    <w:rsid w:val="005E6DA1"/>
    <w:rsid w:val="005E6DE3"/>
    <w:rsid w:val="005E73CE"/>
    <w:rsid w:val="005E7477"/>
    <w:rsid w:val="005E750C"/>
    <w:rsid w:val="005E7539"/>
    <w:rsid w:val="005E7571"/>
    <w:rsid w:val="005E7BE9"/>
    <w:rsid w:val="005E7C91"/>
    <w:rsid w:val="005E7F65"/>
    <w:rsid w:val="005F020A"/>
    <w:rsid w:val="005F03B2"/>
    <w:rsid w:val="005F0439"/>
    <w:rsid w:val="005F0839"/>
    <w:rsid w:val="005F084B"/>
    <w:rsid w:val="005F0980"/>
    <w:rsid w:val="005F0C32"/>
    <w:rsid w:val="005F0C55"/>
    <w:rsid w:val="005F0DA6"/>
    <w:rsid w:val="005F0EDC"/>
    <w:rsid w:val="005F119A"/>
    <w:rsid w:val="005F1B49"/>
    <w:rsid w:val="005F1BB0"/>
    <w:rsid w:val="005F1CE1"/>
    <w:rsid w:val="005F1D8E"/>
    <w:rsid w:val="005F2405"/>
    <w:rsid w:val="005F2412"/>
    <w:rsid w:val="005F271E"/>
    <w:rsid w:val="005F28BC"/>
    <w:rsid w:val="005F2AD7"/>
    <w:rsid w:val="005F2DA6"/>
    <w:rsid w:val="005F2EED"/>
    <w:rsid w:val="005F3186"/>
    <w:rsid w:val="005F3245"/>
    <w:rsid w:val="005F326D"/>
    <w:rsid w:val="005F3931"/>
    <w:rsid w:val="005F3DB1"/>
    <w:rsid w:val="005F3E43"/>
    <w:rsid w:val="005F4246"/>
    <w:rsid w:val="005F42C7"/>
    <w:rsid w:val="005F43ED"/>
    <w:rsid w:val="005F447A"/>
    <w:rsid w:val="005F4483"/>
    <w:rsid w:val="005F4566"/>
    <w:rsid w:val="005F4627"/>
    <w:rsid w:val="005F4E08"/>
    <w:rsid w:val="005F4E9E"/>
    <w:rsid w:val="005F4F8A"/>
    <w:rsid w:val="005F4F9B"/>
    <w:rsid w:val="005F52C7"/>
    <w:rsid w:val="005F533B"/>
    <w:rsid w:val="005F538E"/>
    <w:rsid w:val="005F542B"/>
    <w:rsid w:val="005F54E2"/>
    <w:rsid w:val="005F56F7"/>
    <w:rsid w:val="005F5713"/>
    <w:rsid w:val="005F5829"/>
    <w:rsid w:val="005F5859"/>
    <w:rsid w:val="005F5BF7"/>
    <w:rsid w:val="005F6215"/>
    <w:rsid w:val="005F6489"/>
    <w:rsid w:val="005F657B"/>
    <w:rsid w:val="005F663E"/>
    <w:rsid w:val="005F6F01"/>
    <w:rsid w:val="005F785E"/>
    <w:rsid w:val="005F78E1"/>
    <w:rsid w:val="005F7A5E"/>
    <w:rsid w:val="005F7BAD"/>
    <w:rsid w:val="005F7F54"/>
    <w:rsid w:val="006000D2"/>
    <w:rsid w:val="006003ED"/>
    <w:rsid w:val="00600444"/>
    <w:rsid w:val="0060096E"/>
    <w:rsid w:val="00600CE3"/>
    <w:rsid w:val="00600DE3"/>
    <w:rsid w:val="00600E78"/>
    <w:rsid w:val="00600EBD"/>
    <w:rsid w:val="00600F0E"/>
    <w:rsid w:val="0060104D"/>
    <w:rsid w:val="006011D0"/>
    <w:rsid w:val="006013E3"/>
    <w:rsid w:val="00601D64"/>
    <w:rsid w:val="006020AF"/>
    <w:rsid w:val="006022D0"/>
    <w:rsid w:val="00602953"/>
    <w:rsid w:val="00602BF8"/>
    <w:rsid w:val="00602DEC"/>
    <w:rsid w:val="00602E8C"/>
    <w:rsid w:val="00602F1A"/>
    <w:rsid w:val="00603033"/>
    <w:rsid w:val="00603A75"/>
    <w:rsid w:val="00603ABF"/>
    <w:rsid w:val="00603ACA"/>
    <w:rsid w:val="00603B3C"/>
    <w:rsid w:val="00603C2C"/>
    <w:rsid w:val="00603D35"/>
    <w:rsid w:val="00603DC7"/>
    <w:rsid w:val="00603FE6"/>
    <w:rsid w:val="0060419F"/>
    <w:rsid w:val="0060476E"/>
    <w:rsid w:val="00604773"/>
    <w:rsid w:val="00604AA0"/>
    <w:rsid w:val="00604C99"/>
    <w:rsid w:val="00604D20"/>
    <w:rsid w:val="006051CD"/>
    <w:rsid w:val="006052A2"/>
    <w:rsid w:val="00605541"/>
    <w:rsid w:val="006058D3"/>
    <w:rsid w:val="00605A27"/>
    <w:rsid w:val="00606220"/>
    <w:rsid w:val="00606351"/>
    <w:rsid w:val="006063A2"/>
    <w:rsid w:val="00606678"/>
    <w:rsid w:val="006068D4"/>
    <w:rsid w:val="00606D81"/>
    <w:rsid w:val="00606F55"/>
    <w:rsid w:val="00607648"/>
    <w:rsid w:val="00607B23"/>
    <w:rsid w:val="00607D81"/>
    <w:rsid w:val="00607F0E"/>
    <w:rsid w:val="0061027D"/>
    <w:rsid w:val="006109DF"/>
    <w:rsid w:val="00610A8C"/>
    <w:rsid w:val="00610DF3"/>
    <w:rsid w:val="00611087"/>
    <w:rsid w:val="0061110B"/>
    <w:rsid w:val="00611728"/>
    <w:rsid w:val="00611796"/>
    <w:rsid w:val="00611A6E"/>
    <w:rsid w:val="00611BAA"/>
    <w:rsid w:val="00611DCF"/>
    <w:rsid w:val="00611FB6"/>
    <w:rsid w:val="00611FF7"/>
    <w:rsid w:val="0061240E"/>
    <w:rsid w:val="00612799"/>
    <w:rsid w:val="006127CA"/>
    <w:rsid w:val="00612AD2"/>
    <w:rsid w:val="00612C15"/>
    <w:rsid w:val="00612DD9"/>
    <w:rsid w:val="0061302A"/>
    <w:rsid w:val="00613089"/>
    <w:rsid w:val="006131F4"/>
    <w:rsid w:val="006136B1"/>
    <w:rsid w:val="006136EC"/>
    <w:rsid w:val="006137A4"/>
    <w:rsid w:val="0061396C"/>
    <w:rsid w:val="00613A6F"/>
    <w:rsid w:val="00613D0C"/>
    <w:rsid w:val="00613DFE"/>
    <w:rsid w:val="00613E8D"/>
    <w:rsid w:val="006140AF"/>
    <w:rsid w:val="00614307"/>
    <w:rsid w:val="00614751"/>
    <w:rsid w:val="00614AF6"/>
    <w:rsid w:val="00614B4D"/>
    <w:rsid w:val="00614CCE"/>
    <w:rsid w:val="00614EA3"/>
    <w:rsid w:val="0061550B"/>
    <w:rsid w:val="0061560E"/>
    <w:rsid w:val="006158DC"/>
    <w:rsid w:val="00615EE8"/>
    <w:rsid w:val="00616090"/>
    <w:rsid w:val="00616191"/>
    <w:rsid w:val="0061628E"/>
    <w:rsid w:val="00616378"/>
    <w:rsid w:val="0061647F"/>
    <w:rsid w:val="00616668"/>
    <w:rsid w:val="00616813"/>
    <w:rsid w:val="00616A39"/>
    <w:rsid w:val="00616C9B"/>
    <w:rsid w:val="00616FB6"/>
    <w:rsid w:val="006171BC"/>
    <w:rsid w:val="0061728D"/>
    <w:rsid w:val="006172D7"/>
    <w:rsid w:val="00617700"/>
    <w:rsid w:val="00617757"/>
    <w:rsid w:val="006178F9"/>
    <w:rsid w:val="0061793A"/>
    <w:rsid w:val="00617BCE"/>
    <w:rsid w:val="006208FE"/>
    <w:rsid w:val="00620B96"/>
    <w:rsid w:val="0062152A"/>
    <w:rsid w:val="00621849"/>
    <w:rsid w:val="00621865"/>
    <w:rsid w:val="0062187C"/>
    <w:rsid w:val="00621FC0"/>
    <w:rsid w:val="00622192"/>
    <w:rsid w:val="006221DC"/>
    <w:rsid w:val="006226F1"/>
    <w:rsid w:val="006227FA"/>
    <w:rsid w:val="006228BE"/>
    <w:rsid w:val="006229A8"/>
    <w:rsid w:val="00622A93"/>
    <w:rsid w:val="00622BA1"/>
    <w:rsid w:val="00622CE3"/>
    <w:rsid w:val="00623117"/>
    <w:rsid w:val="0062336C"/>
    <w:rsid w:val="0062364D"/>
    <w:rsid w:val="00623886"/>
    <w:rsid w:val="006239FC"/>
    <w:rsid w:val="00623E2A"/>
    <w:rsid w:val="006243AF"/>
    <w:rsid w:val="00624829"/>
    <w:rsid w:val="00624A9D"/>
    <w:rsid w:val="00624B60"/>
    <w:rsid w:val="00624C4A"/>
    <w:rsid w:val="00624E65"/>
    <w:rsid w:val="00624FB0"/>
    <w:rsid w:val="006250BF"/>
    <w:rsid w:val="006256D3"/>
    <w:rsid w:val="0062589C"/>
    <w:rsid w:val="00625B7C"/>
    <w:rsid w:val="006260C5"/>
    <w:rsid w:val="00626864"/>
    <w:rsid w:val="00626BC3"/>
    <w:rsid w:val="00626CFC"/>
    <w:rsid w:val="0062711A"/>
    <w:rsid w:val="0062715C"/>
    <w:rsid w:val="00627325"/>
    <w:rsid w:val="0062771F"/>
    <w:rsid w:val="0062787B"/>
    <w:rsid w:val="0062791F"/>
    <w:rsid w:val="00627C1E"/>
    <w:rsid w:val="00627DF7"/>
    <w:rsid w:val="0063010D"/>
    <w:rsid w:val="00630483"/>
    <w:rsid w:val="006305C8"/>
    <w:rsid w:val="00630605"/>
    <w:rsid w:val="00630A1C"/>
    <w:rsid w:val="00630F8F"/>
    <w:rsid w:val="00630F9D"/>
    <w:rsid w:val="00630FA8"/>
    <w:rsid w:val="00630FC3"/>
    <w:rsid w:val="006315D9"/>
    <w:rsid w:val="006318EE"/>
    <w:rsid w:val="00631A95"/>
    <w:rsid w:val="00631C06"/>
    <w:rsid w:val="00631D9F"/>
    <w:rsid w:val="00631FA8"/>
    <w:rsid w:val="0063221D"/>
    <w:rsid w:val="0063252A"/>
    <w:rsid w:val="00632793"/>
    <w:rsid w:val="006329B9"/>
    <w:rsid w:val="00633011"/>
    <w:rsid w:val="006331E5"/>
    <w:rsid w:val="006333F3"/>
    <w:rsid w:val="006334C8"/>
    <w:rsid w:val="00633597"/>
    <w:rsid w:val="006335EB"/>
    <w:rsid w:val="0063380B"/>
    <w:rsid w:val="00633897"/>
    <w:rsid w:val="00633933"/>
    <w:rsid w:val="00634022"/>
    <w:rsid w:val="006347E4"/>
    <w:rsid w:val="006347ED"/>
    <w:rsid w:val="00634EE3"/>
    <w:rsid w:val="0063500C"/>
    <w:rsid w:val="00635528"/>
    <w:rsid w:val="006357F6"/>
    <w:rsid w:val="00635C4C"/>
    <w:rsid w:val="00635D5E"/>
    <w:rsid w:val="006360CB"/>
    <w:rsid w:val="006361BF"/>
    <w:rsid w:val="0063695F"/>
    <w:rsid w:val="0063698B"/>
    <w:rsid w:val="00636E4B"/>
    <w:rsid w:val="006377AA"/>
    <w:rsid w:val="00637C1E"/>
    <w:rsid w:val="00637FDB"/>
    <w:rsid w:val="0064005E"/>
    <w:rsid w:val="0064052B"/>
    <w:rsid w:val="006406F0"/>
    <w:rsid w:val="006407A0"/>
    <w:rsid w:val="00640914"/>
    <w:rsid w:val="00640961"/>
    <w:rsid w:val="00640AD4"/>
    <w:rsid w:val="00640CF5"/>
    <w:rsid w:val="00640DBE"/>
    <w:rsid w:val="00640EEA"/>
    <w:rsid w:val="006411F1"/>
    <w:rsid w:val="006414AB"/>
    <w:rsid w:val="006418F0"/>
    <w:rsid w:val="0064191D"/>
    <w:rsid w:val="00641B97"/>
    <w:rsid w:val="00641C3D"/>
    <w:rsid w:val="006421D4"/>
    <w:rsid w:val="006424C9"/>
    <w:rsid w:val="006424F1"/>
    <w:rsid w:val="00642658"/>
    <w:rsid w:val="00642973"/>
    <w:rsid w:val="00642A6A"/>
    <w:rsid w:val="00642B55"/>
    <w:rsid w:val="00642CB2"/>
    <w:rsid w:val="00643249"/>
    <w:rsid w:val="006433D1"/>
    <w:rsid w:val="00643551"/>
    <w:rsid w:val="006435F9"/>
    <w:rsid w:val="0064367A"/>
    <w:rsid w:val="00643A3E"/>
    <w:rsid w:val="00643D03"/>
    <w:rsid w:val="00644E7D"/>
    <w:rsid w:val="00644FB4"/>
    <w:rsid w:val="0064504C"/>
    <w:rsid w:val="0064526E"/>
    <w:rsid w:val="0064527D"/>
    <w:rsid w:val="006454D2"/>
    <w:rsid w:val="006455DD"/>
    <w:rsid w:val="00645713"/>
    <w:rsid w:val="0064579B"/>
    <w:rsid w:val="006459C2"/>
    <w:rsid w:val="00645DE0"/>
    <w:rsid w:val="0064603A"/>
    <w:rsid w:val="006461F4"/>
    <w:rsid w:val="00646283"/>
    <w:rsid w:val="0064636E"/>
    <w:rsid w:val="006465B2"/>
    <w:rsid w:val="006467FF"/>
    <w:rsid w:val="00646826"/>
    <w:rsid w:val="00646E60"/>
    <w:rsid w:val="0064701E"/>
    <w:rsid w:val="006471B7"/>
    <w:rsid w:val="00647264"/>
    <w:rsid w:val="00647281"/>
    <w:rsid w:val="006474F7"/>
    <w:rsid w:val="00647597"/>
    <w:rsid w:val="006478E1"/>
    <w:rsid w:val="00647D43"/>
    <w:rsid w:val="00647E62"/>
    <w:rsid w:val="006501BC"/>
    <w:rsid w:val="006504A1"/>
    <w:rsid w:val="00650549"/>
    <w:rsid w:val="006507B1"/>
    <w:rsid w:val="006507D6"/>
    <w:rsid w:val="0065085C"/>
    <w:rsid w:val="00650979"/>
    <w:rsid w:val="006509F8"/>
    <w:rsid w:val="00650AA5"/>
    <w:rsid w:val="00650AAB"/>
    <w:rsid w:val="00650CEB"/>
    <w:rsid w:val="00650D6F"/>
    <w:rsid w:val="006510FF"/>
    <w:rsid w:val="00651472"/>
    <w:rsid w:val="006514C6"/>
    <w:rsid w:val="006515A6"/>
    <w:rsid w:val="00651A71"/>
    <w:rsid w:val="00651E73"/>
    <w:rsid w:val="00652116"/>
    <w:rsid w:val="006521E8"/>
    <w:rsid w:val="00652807"/>
    <w:rsid w:val="006528F6"/>
    <w:rsid w:val="00652E0E"/>
    <w:rsid w:val="00652E3C"/>
    <w:rsid w:val="00652FC5"/>
    <w:rsid w:val="00653346"/>
    <w:rsid w:val="006533E7"/>
    <w:rsid w:val="0065363F"/>
    <w:rsid w:val="0065375E"/>
    <w:rsid w:val="0065392F"/>
    <w:rsid w:val="00653987"/>
    <w:rsid w:val="00653A6A"/>
    <w:rsid w:val="00653E5F"/>
    <w:rsid w:val="00654313"/>
    <w:rsid w:val="006543C6"/>
    <w:rsid w:val="006543F0"/>
    <w:rsid w:val="00654504"/>
    <w:rsid w:val="00654521"/>
    <w:rsid w:val="006549D3"/>
    <w:rsid w:val="00654C44"/>
    <w:rsid w:val="00654D56"/>
    <w:rsid w:val="00654F25"/>
    <w:rsid w:val="00655725"/>
    <w:rsid w:val="00655926"/>
    <w:rsid w:val="00655CFA"/>
    <w:rsid w:val="00655FCF"/>
    <w:rsid w:val="00656458"/>
    <w:rsid w:val="006564D9"/>
    <w:rsid w:val="00656AD7"/>
    <w:rsid w:val="00656B77"/>
    <w:rsid w:val="00656E46"/>
    <w:rsid w:val="00656EDF"/>
    <w:rsid w:val="0065712B"/>
    <w:rsid w:val="00657174"/>
    <w:rsid w:val="006572AD"/>
    <w:rsid w:val="00657420"/>
    <w:rsid w:val="0065770C"/>
    <w:rsid w:val="00657720"/>
    <w:rsid w:val="0065784B"/>
    <w:rsid w:val="00657CBF"/>
    <w:rsid w:val="00660165"/>
    <w:rsid w:val="0066049E"/>
    <w:rsid w:val="0066054B"/>
    <w:rsid w:val="0066078C"/>
    <w:rsid w:val="006608A6"/>
    <w:rsid w:val="006610E0"/>
    <w:rsid w:val="006613A6"/>
    <w:rsid w:val="00661461"/>
    <w:rsid w:val="006616B4"/>
    <w:rsid w:val="00661D9F"/>
    <w:rsid w:val="00662116"/>
    <w:rsid w:val="00662637"/>
    <w:rsid w:val="00662CAF"/>
    <w:rsid w:val="00662EEB"/>
    <w:rsid w:val="006631CB"/>
    <w:rsid w:val="006631FC"/>
    <w:rsid w:val="0066355A"/>
    <w:rsid w:val="00663865"/>
    <w:rsid w:val="00663958"/>
    <w:rsid w:val="00663F2A"/>
    <w:rsid w:val="0066404B"/>
    <w:rsid w:val="00664441"/>
    <w:rsid w:val="00664664"/>
    <w:rsid w:val="006646E6"/>
    <w:rsid w:val="00664824"/>
    <w:rsid w:val="00664CC6"/>
    <w:rsid w:val="0066535D"/>
    <w:rsid w:val="0066561F"/>
    <w:rsid w:val="0066596B"/>
    <w:rsid w:val="00665B54"/>
    <w:rsid w:val="00665C7D"/>
    <w:rsid w:val="00665D5C"/>
    <w:rsid w:val="00665DF1"/>
    <w:rsid w:val="00665E50"/>
    <w:rsid w:val="00665F54"/>
    <w:rsid w:val="006663CF"/>
    <w:rsid w:val="0066684D"/>
    <w:rsid w:val="00667153"/>
    <w:rsid w:val="00667209"/>
    <w:rsid w:val="00667293"/>
    <w:rsid w:val="006676C8"/>
    <w:rsid w:val="00667766"/>
    <w:rsid w:val="00667793"/>
    <w:rsid w:val="00667A1F"/>
    <w:rsid w:val="00667DE8"/>
    <w:rsid w:val="00667FDC"/>
    <w:rsid w:val="0067027A"/>
    <w:rsid w:val="0067067E"/>
    <w:rsid w:val="00670B79"/>
    <w:rsid w:val="00670C04"/>
    <w:rsid w:val="00671015"/>
    <w:rsid w:val="0067182E"/>
    <w:rsid w:val="00671DCB"/>
    <w:rsid w:val="00671EC4"/>
    <w:rsid w:val="00671F85"/>
    <w:rsid w:val="00671FEC"/>
    <w:rsid w:val="006722E7"/>
    <w:rsid w:val="00672389"/>
    <w:rsid w:val="006726B6"/>
    <w:rsid w:val="00672BB7"/>
    <w:rsid w:val="00672FD9"/>
    <w:rsid w:val="006731EB"/>
    <w:rsid w:val="006732B4"/>
    <w:rsid w:val="006732DF"/>
    <w:rsid w:val="0067338B"/>
    <w:rsid w:val="00673F40"/>
    <w:rsid w:val="00673FF0"/>
    <w:rsid w:val="006742D7"/>
    <w:rsid w:val="0067477F"/>
    <w:rsid w:val="00674A9D"/>
    <w:rsid w:val="0067505F"/>
    <w:rsid w:val="006755A8"/>
    <w:rsid w:val="00675656"/>
    <w:rsid w:val="0067568F"/>
    <w:rsid w:val="00675A5A"/>
    <w:rsid w:val="00675AB5"/>
    <w:rsid w:val="00675B45"/>
    <w:rsid w:val="00675BC6"/>
    <w:rsid w:val="00675D24"/>
    <w:rsid w:val="00675E72"/>
    <w:rsid w:val="006761DF"/>
    <w:rsid w:val="00676C10"/>
    <w:rsid w:val="00676DCC"/>
    <w:rsid w:val="00676E09"/>
    <w:rsid w:val="00676E95"/>
    <w:rsid w:val="00677167"/>
    <w:rsid w:val="00677760"/>
    <w:rsid w:val="006778E8"/>
    <w:rsid w:val="00677A6D"/>
    <w:rsid w:val="00677A97"/>
    <w:rsid w:val="00677ABA"/>
    <w:rsid w:val="0068024F"/>
    <w:rsid w:val="00680ADE"/>
    <w:rsid w:val="00680CC9"/>
    <w:rsid w:val="00680CE7"/>
    <w:rsid w:val="00680D3E"/>
    <w:rsid w:val="00680DA4"/>
    <w:rsid w:val="00680F03"/>
    <w:rsid w:val="00680F41"/>
    <w:rsid w:val="00680F47"/>
    <w:rsid w:val="00680F60"/>
    <w:rsid w:val="00681120"/>
    <w:rsid w:val="0068120A"/>
    <w:rsid w:val="00681821"/>
    <w:rsid w:val="00681A4B"/>
    <w:rsid w:val="00681BC3"/>
    <w:rsid w:val="00681CB2"/>
    <w:rsid w:val="00681D93"/>
    <w:rsid w:val="00681DDD"/>
    <w:rsid w:val="00682033"/>
    <w:rsid w:val="0068247C"/>
    <w:rsid w:val="00682961"/>
    <w:rsid w:val="006829E4"/>
    <w:rsid w:val="00682CDF"/>
    <w:rsid w:val="00682FB4"/>
    <w:rsid w:val="00683191"/>
    <w:rsid w:val="00683208"/>
    <w:rsid w:val="006833AA"/>
    <w:rsid w:val="00683610"/>
    <w:rsid w:val="00683672"/>
    <w:rsid w:val="006836AF"/>
    <w:rsid w:val="0068377E"/>
    <w:rsid w:val="00683878"/>
    <w:rsid w:val="006845C4"/>
    <w:rsid w:val="0068474E"/>
    <w:rsid w:val="006849F5"/>
    <w:rsid w:val="00684F8B"/>
    <w:rsid w:val="00685146"/>
    <w:rsid w:val="006853E4"/>
    <w:rsid w:val="00685499"/>
    <w:rsid w:val="00685A95"/>
    <w:rsid w:val="00685FC0"/>
    <w:rsid w:val="006866A3"/>
    <w:rsid w:val="0068675C"/>
    <w:rsid w:val="00686FD0"/>
    <w:rsid w:val="0068705B"/>
    <w:rsid w:val="006871E1"/>
    <w:rsid w:val="0068777C"/>
    <w:rsid w:val="0068786F"/>
    <w:rsid w:val="00687A10"/>
    <w:rsid w:val="00690A1B"/>
    <w:rsid w:val="00690AC8"/>
    <w:rsid w:val="00690AE5"/>
    <w:rsid w:val="00690B85"/>
    <w:rsid w:val="00690BB0"/>
    <w:rsid w:val="00690ED2"/>
    <w:rsid w:val="0069118B"/>
    <w:rsid w:val="006912A5"/>
    <w:rsid w:val="00691417"/>
    <w:rsid w:val="00691829"/>
    <w:rsid w:val="00691854"/>
    <w:rsid w:val="00691A65"/>
    <w:rsid w:val="00691EA0"/>
    <w:rsid w:val="00692068"/>
    <w:rsid w:val="00692652"/>
    <w:rsid w:val="006926BD"/>
    <w:rsid w:val="00692705"/>
    <w:rsid w:val="0069295E"/>
    <w:rsid w:val="00693063"/>
    <w:rsid w:val="006930D7"/>
    <w:rsid w:val="00693245"/>
    <w:rsid w:val="00693348"/>
    <w:rsid w:val="00693547"/>
    <w:rsid w:val="006935F3"/>
    <w:rsid w:val="00693640"/>
    <w:rsid w:val="00693761"/>
    <w:rsid w:val="00693845"/>
    <w:rsid w:val="0069387A"/>
    <w:rsid w:val="00693E23"/>
    <w:rsid w:val="00694103"/>
    <w:rsid w:val="006946B1"/>
    <w:rsid w:val="00694A91"/>
    <w:rsid w:val="00694CEC"/>
    <w:rsid w:val="00694D59"/>
    <w:rsid w:val="00694F2F"/>
    <w:rsid w:val="00695067"/>
    <w:rsid w:val="0069509B"/>
    <w:rsid w:val="006950FF"/>
    <w:rsid w:val="00695D35"/>
    <w:rsid w:val="006961C9"/>
    <w:rsid w:val="00696D57"/>
    <w:rsid w:val="00696FB5"/>
    <w:rsid w:val="006971CC"/>
    <w:rsid w:val="00697C2B"/>
    <w:rsid w:val="00697F46"/>
    <w:rsid w:val="006A0007"/>
    <w:rsid w:val="006A0A7D"/>
    <w:rsid w:val="006A0EFF"/>
    <w:rsid w:val="006A1740"/>
    <w:rsid w:val="006A1A77"/>
    <w:rsid w:val="006A1F1D"/>
    <w:rsid w:val="006A2103"/>
    <w:rsid w:val="006A21B2"/>
    <w:rsid w:val="006A2226"/>
    <w:rsid w:val="006A27FF"/>
    <w:rsid w:val="006A28B7"/>
    <w:rsid w:val="006A2ADB"/>
    <w:rsid w:val="006A2BAF"/>
    <w:rsid w:val="006A2FCF"/>
    <w:rsid w:val="006A3B22"/>
    <w:rsid w:val="006A40A9"/>
    <w:rsid w:val="006A4666"/>
    <w:rsid w:val="006A4670"/>
    <w:rsid w:val="006A470B"/>
    <w:rsid w:val="006A4CF2"/>
    <w:rsid w:val="006A4E9D"/>
    <w:rsid w:val="006A50CF"/>
    <w:rsid w:val="006A594E"/>
    <w:rsid w:val="006A5CDE"/>
    <w:rsid w:val="006A5D49"/>
    <w:rsid w:val="006A5DE8"/>
    <w:rsid w:val="006A5E8F"/>
    <w:rsid w:val="006A6066"/>
    <w:rsid w:val="006A6101"/>
    <w:rsid w:val="006A6BE3"/>
    <w:rsid w:val="006A6F25"/>
    <w:rsid w:val="006A77EF"/>
    <w:rsid w:val="006A783A"/>
    <w:rsid w:val="006A78FC"/>
    <w:rsid w:val="006A7A54"/>
    <w:rsid w:val="006A7C0E"/>
    <w:rsid w:val="006A7DEC"/>
    <w:rsid w:val="006B0202"/>
    <w:rsid w:val="006B021E"/>
    <w:rsid w:val="006B0278"/>
    <w:rsid w:val="006B092C"/>
    <w:rsid w:val="006B14DE"/>
    <w:rsid w:val="006B1647"/>
    <w:rsid w:val="006B16BA"/>
    <w:rsid w:val="006B1760"/>
    <w:rsid w:val="006B1871"/>
    <w:rsid w:val="006B18FD"/>
    <w:rsid w:val="006B1E63"/>
    <w:rsid w:val="006B2307"/>
    <w:rsid w:val="006B2584"/>
    <w:rsid w:val="006B262D"/>
    <w:rsid w:val="006B2702"/>
    <w:rsid w:val="006B2809"/>
    <w:rsid w:val="006B296A"/>
    <w:rsid w:val="006B29EA"/>
    <w:rsid w:val="006B2FA5"/>
    <w:rsid w:val="006B3383"/>
    <w:rsid w:val="006B3450"/>
    <w:rsid w:val="006B366C"/>
    <w:rsid w:val="006B3786"/>
    <w:rsid w:val="006B3A52"/>
    <w:rsid w:val="006B3FB6"/>
    <w:rsid w:val="006B40AA"/>
    <w:rsid w:val="006B44FD"/>
    <w:rsid w:val="006B4A2A"/>
    <w:rsid w:val="006B4B49"/>
    <w:rsid w:val="006B4FD1"/>
    <w:rsid w:val="006B546E"/>
    <w:rsid w:val="006B552A"/>
    <w:rsid w:val="006B5727"/>
    <w:rsid w:val="006B589E"/>
    <w:rsid w:val="006B58B6"/>
    <w:rsid w:val="006B6569"/>
    <w:rsid w:val="006B69D5"/>
    <w:rsid w:val="006B6ADC"/>
    <w:rsid w:val="006B6D9E"/>
    <w:rsid w:val="006B71EF"/>
    <w:rsid w:val="006B72B1"/>
    <w:rsid w:val="006B780F"/>
    <w:rsid w:val="006B7C8A"/>
    <w:rsid w:val="006B7DF1"/>
    <w:rsid w:val="006C001B"/>
    <w:rsid w:val="006C00EC"/>
    <w:rsid w:val="006C022D"/>
    <w:rsid w:val="006C03C3"/>
    <w:rsid w:val="006C0414"/>
    <w:rsid w:val="006C0758"/>
    <w:rsid w:val="006C084C"/>
    <w:rsid w:val="006C0C5E"/>
    <w:rsid w:val="006C1395"/>
    <w:rsid w:val="006C169C"/>
    <w:rsid w:val="006C1724"/>
    <w:rsid w:val="006C1903"/>
    <w:rsid w:val="006C1958"/>
    <w:rsid w:val="006C1CA2"/>
    <w:rsid w:val="006C1E16"/>
    <w:rsid w:val="006C1E3C"/>
    <w:rsid w:val="006C1FCA"/>
    <w:rsid w:val="006C24F9"/>
    <w:rsid w:val="006C27B2"/>
    <w:rsid w:val="006C2945"/>
    <w:rsid w:val="006C2AED"/>
    <w:rsid w:val="006C2C30"/>
    <w:rsid w:val="006C2D43"/>
    <w:rsid w:val="006C33AB"/>
    <w:rsid w:val="006C345C"/>
    <w:rsid w:val="006C392E"/>
    <w:rsid w:val="006C3BE8"/>
    <w:rsid w:val="006C40FE"/>
    <w:rsid w:val="006C4A83"/>
    <w:rsid w:val="006C4BAA"/>
    <w:rsid w:val="006C4DA5"/>
    <w:rsid w:val="006C4F7D"/>
    <w:rsid w:val="006C503A"/>
    <w:rsid w:val="006C5041"/>
    <w:rsid w:val="006C5045"/>
    <w:rsid w:val="006C512B"/>
    <w:rsid w:val="006C5342"/>
    <w:rsid w:val="006C56A1"/>
    <w:rsid w:val="006C5773"/>
    <w:rsid w:val="006C59B6"/>
    <w:rsid w:val="006C5BF6"/>
    <w:rsid w:val="006C5D47"/>
    <w:rsid w:val="006C5F66"/>
    <w:rsid w:val="006C60BC"/>
    <w:rsid w:val="006C62AF"/>
    <w:rsid w:val="006C6AFE"/>
    <w:rsid w:val="006C6BA9"/>
    <w:rsid w:val="006C6D00"/>
    <w:rsid w:val="006C7702"/>
    <w:rsid w:val="006C771F"/>
    <w:rsid w:val="006C7FAE"/>
    <w:rsid w:val="006D0080"/>
    <w:rsid w:val="006D0173"/>
    <w:rsid w:val="006D0210"/>
    <w:rsid w:val="006D0543"/>
    <w:rsid w:val="006D056E"/>
    <w:rsid w:val="006D0629"/>
    <w:rsid w:val="006D096E"/>
    <w:rsid w:val="006D0E5B"/>
    <w:rsid w:val="006D1214"/>
    <w:rsid w:val="006D13CC"/>
    <w:rsid w:val="006D150C"/>
    <w:rsid w:val="006D1573"/>
    <w:rsid w:val="006D1608"/>
    <w:rsid w:val="006D16E9"/>
    <w:rsid w:val="006D1918"/>
    <w:rsid w:val="006D1C7C"/>
    <w:rsid w:val="006D213E"/>
    <w:rsid w:val="006D2333"/>
    <w:rsid w:val="006D23C5"/>
    <w:rsid w:val="006D2646"/>
    <w:rsid w:val="006D27C1"/>
    <w:rsid w:val="006D296E"/>
    <w:rsid w:val="006D2ABC"/>
    <w:rsid w:val="006D2B09"/>
    <w:rsid w:val="006D30A9"/>
    <w:rsid w:val="006D352F"/>
    <w:rsid w:val="006D39CE"/>
    <w:rsid w:val="006D3A3A"/>
    <w:rsid w:val="006D432B"/>
    <w:rsid w:val="006D43B1"/>
    <w:rsid w:val="006D4401"/>
    <w:rsid w:val="006D472E"/>
    <w:rsid w:val="006D4762"/>
    <w:rsid w:val="006D486B"/>
    <w:rsid w:val="006D4870"/>
    <w:rsid w:val="006D491E"/>
    <w:rsid w:val="006D4F42"/>
    <w:rsid w:val="006D527A"/>
    <w:rsid w:val="006D55BA"/>
    <w:rsid w:val="006D576F"/>
    <w:rsid w:val="006D59DF"/>
    <w:rsid w:val="006D5BD5"/>
    <w:rsid w:val="006D5DD4"/>
    <w:rsid w:val="006D5F23"/>
    <w:rsid w:val="006D60F5"/>
    <w:rsid w:val="006D616E"/>
    <w:rsid w:val="006D6178"/>
    <w:rsid w:val="006D6312"/>
    <w:rsid w:val="006D6504"/>
    <w:rsid w:val="006D68AB"/>
    <w:rsid w:val="006D68B5"/>
    <w:rsid w:val="006D6AB7"/>
    <w:rsid w:val="006D6B54"/>
    <w:rsid w:val="006D73BC"/>
    <w:rsid w:val="006D73F9"/>
    <w:rsid w:val="006D74A9"/>
    <w:rsid w:val="006D779C"/>
    <w:rsid w:val="006D7808"/>
    <w:rsid w:val="006D781E"/>
    <w:rsid w:val="006D7828"/>
    <w:rsid w:val="006D798E"/>
    <w:rsid w:val="006D7E6F"/>
    <w:rsid w:val="006D7F24"/>
    <w:rsid w:val="006E00DC"/>
    <w:rsid w:val="006E03D9"/>
    <w:rsid w:val="006E06EF"/>
    <w:rsid w:val="006E0710"/>
    <w:rsid w:val="006E0833"/>
    <w:rsid w:val="006E09F4"/>
    <w:rsid w:val="006E0BBD"/>
    <w:rsid w:val="006E10F0"/>
    <w:rsid w:val="006E1148"/>
    <w:rsid w:val="006E11BB"/>
    <w:rsid w:val="006E13A5"/>
    <w:rsid w:val="006E153D"/>
    <w:rsid w:val="006E1690"/>
    <w:rsid w:val="006E16AD"/>
    <w:rsid w:val="006E1765"/>
    <w:rsid w:val="006E1A81"/>
    <w:rsid w:val="006E1B1C"/>
    <w:rsid w:val="006E1C73"/>
    <w:rsid w:val="006E272C"/>
    <w:rsid w:val="006E277A"/>
    <w:rsid w:val="006E2B84"/>
    <w:rsid w:val="006E2E26"/>
    <w:rsid w:val="006E2FA9"/>
    <w:rsid w:val="006E34A0"/>
    <w:rsid w:val="006E351C"/>
    <w:rsid w:val="006E37D9"/>
    <w:rsid w:val="006E381A"/>
    <w:rsid w:val="006E39F7"/>
    <w:rsid w:val="006E3BE2"/>
    <w:rsid w:val="006E3C20"/>
    <w:rsid w:val="006E4272"/>
    <w:rsid w:val="006E4546"/>
    <w:rsid w:val="006E511D"/>
    <w:rsid w:val="006E5152"/>
    <w:rsid w:val="006E5461"/>
    <w:rsid w:val="006E5794"/>
    <w:rsid w:val="006E5D7C"/>
    <w:rsid w:val="006E5DF2"/>
    <w:rsid w:val="006E5E97"/>
    <w:rsid w:val="006E5F0A"/>
    <w:rsid w:val="006E6CB8"/>
    <w:rsid w:val="006E720D"/>
    <w:rsid w:val="006E7284"/>
    <w:rsid w:val="006E7437"/>
    <w:rsid w:val="006E74EA"/>
    <w:rsid w:val="006E74F7"/>
    <w:rsid w:val="006E7C18"/>
    <w:rsid w:val="006E7DC0"/>
    <w:rsid w:val="006E7DF1"/>
    <w:rsid w:val="006F051B"/>
    <w:rsid w:val="006F1352"/>
    <w:rsid w:val="006F1476"/>
    <w:rsid w:val="006F18FC"/>
    <w:rsid w:val="006F198E"/>
    <w:rsid w:val="006F1B58"/>
    <w:rsid w:val="006F2099"/>
    <w:rsid w:val="006F20AF"/>
    <w:rsid w:val="006F21E7"/>
    <w:rsid w:val="006F2867"/>
    <w:rsid w:val="006F294F"/>
    <w:rsid w:val="006F2E16"/>
    <w:rsid w:val="006F30A7"/>
    <w:rsid w:val="006F3170"/>
    <w:rsid w:val="006F36B8"/>
    <w:rsid w:val="006F389A"/>
    <w:rsid w:val="006F3B6B"/>
    <w:rsid w:val="006F415A"/>
    <w:rsid w:val="006F4261"/>
    <w:rsid w:val="006F42A8"/>
    <w:rsid w:val="006F4361"/>
    <w:rsid w:val="006F4CAF"/>
    <w:rsid w:val="006F4F90"/>
    <w:rsid w:val="006F519D"/>
    <w:rsid w:val="006F51A7"/>
    <w:rsid w:val="006F5615"/>
    <w:rsid w:val="006F5648"/>
    <w:rsid w:val="006F5CD2"/>
    <w:rsid w:val="006F5D3A"/>
    <w:rsid w:val="006F610E"/>
    <w:rsid w:val="006F6326"/>
    <w:rsid w:val="006F6BF7"/>
    <w:rsid w:val="006F6F8A"/>
    <w:rsid w:val="006F73CD"/>
    <w:rsid w:val="006F7477"/>
    <w:rsid w:val="006F7539"/>
    <w:rsid w:val="006F7550"/>
    <w:rsid w:val="006F7D2D"/>
    <w:rsid w:val="00700167"/>
    <w:rsid w:val="007005FA"/>
    <w:rsid w:val="00700AA1"/>
    <w:rsid w:val="00700AF2"/>
    <w:rsid w:val="00700C06"/>
    <w:rsid w:val="00700C58"/>
    <w:rsid w:val="00701492"/>
    <w:rsid w:val="00701547"/>
    <w:rsid w:val="007015DF"/>
    <w:rsid w:val="00701ED1"/>
    <w:rsid w:val="00702173"/>
    <w:rsid w:val="00702314"/>
    <w:rsid w:val="00702516"/>
    <w:rsid w:val="007027D1"/>
    <w:rsid w:val="007028DC"/>
    <w:rsid w:val="00702C14"/>
    <w:rsid w:val="0070312E"/>
    <w:rsid w:val="00703414"/>
    <w:rsid w:val="00703586"/>
    <w:rsid w:val="007035EF"/>
    <w:rsid w:val="00703BC1"/>
    <w:rsid w:val="00704185"/>
    <w:rsid w:val="007043DB"/>
    <w:rsid w:val="00704BEE"/>
    <w:rsid w:val="00704C5F"/>
    <w:rsid w:val="00704D25"/>
    <w:rsid w:val="00705194"/>
    <w:rsid w:val="007053EB"/>
    <w:rsid w:val="00705803"/>
    <w:rsid w:val="007059D4"/>
    <w:rsid w:val="00705B46"/>
    <w:rsid w:val="00705D04"/>
    <w:rsid w:val="00705E4B"/>
    <w:rsid w:val="007067DE"/>
    <w:rsid w:val="00706D1D"/>
    <w:rsid w:val="00706E28"/>
    <w:rsid w:val="00706EB0"/>
    <w:rsid w:val="00707182"/>
    <w:rsid w:val="00707196"/>
    <w:rsid w:val="00707199"/>
    <w:rsid w:val="007073CA"/>
    <w:rsid w:val="00707969"/>
    <w:rsid w:val="00707A6C"/>
    <w:rsid w:val="00707CFD"/>
    <w:rsid w:val="00707DDF"/>
    <w:rsid w:val="00710040"/>
    <w:rsid w:val="007103EC"/>
    <w:rsid w:val="00710456"/>
    <w:rsid w:val="0071050E"/>
    <w:rsid w:val="00710547"/>
    <w:rsid w:val="007107F4"/>
    <w:rsid w:val="00710B00"/>
    <w:rsid w:val="00710CF0"/>
    <w:rsid w:val="00710D35"/>
    <w:rsid w:val="007114D9"/>
    <w:rsid w:val="007117D2"/>
    <w:rsid w:val="0071260D"/>
    <w:rsid w:val="007127AA"/>
    <w:rsid w:val="00712C4B"/>
    <w:rsid w:val="00713259"/>
    <w:rsid w:val="00713374"/>
    <w:rsid w:val="0071347A"/>
    <w:rsid w:val="00713B40"/>
    <w:rsid w:val="00713DC7"/>
    <w:rsid w:val="00714246"/>
    <w:rsid w:val="00714820"/>
    <w:rsid w:val="00714870"/>
    <w:rsid w:val="00714F8D"/>
    <w:rsid w:val="00715736"/>
    <w:rsid w:val="00715825"/>
    <w:rsid w:val="00715947"/>
    <w:rsid w:val="007159C1"/>
    <w:rsid w:val="00715A18"/>
    <w:rsid w:val="00715A23"/>
    <w:rsid w:val="00715B69"/>
    <w:rsid w:val="00715D21"/>
    <w:rsid w:val="00715DF8"/>
    <w:rsid w:val="00716753"/>
    <w:rsid w:val="007167F3"/>
    <w:rsid w:val="007169D7"/>
    <w:rsid w:val="00716AA0"/>
    <w:rsid w:val="00716AEF"/>
    <w:rsid w:val="00716D75"/>
    <w:rsid w:val="00717338"/>
    <w:rsid w:val="007175E3"/>
    <w:rsid w:val="0071793A"/>
    <w:rsid w:val="00717D26"/>
    <w:rsid w:val="00717E04"/>
    <w:rsid w:val="00717EFF"/>
    <w:rsid w:val="00720260"/>
    <w:rsid w:val="007203B9"/>
    <w:rsid w:val="00720430"/>
    <w:rsid w:val="007204B8"/>
    <w:rsid w:val="007206E1"/>
    <w:rsid w:val="007208A9"/>
    <w:rsid w:val="00720E94"/>
    <w:rsid w:val="00720EAD"/>
    <w:rsid w:val="00720FE5"/>
    <w:rsid w:val="007219E3"/>
    <w:rsid w:val="00721F17"/>
    <w:rsid w:val="007222B3"/>
    <w:rsid w:val="00722375"/>
    <w:rsid w:val="007224CD"/>
    <w:rsid w:val="007228E0"/>
    <w:rsid w:val="00722B1D"/>
    <w:rsid w:val="00722CFF"/>
    <w:rsid w:val="00722DC5"/>
    <w:rsid w:val="00722E87"/>
    <w:rsid w:val="00723168"/>
    <w:rsid w:val="00723218"/>
    <w:rsid w:val="007235EA"/>
    <w:rsid w:val="00723608"/>
    <w:rsid w:val="007236D4"/>
    <w:rsid w:val="00723825"/>
    <w:rsid w:val="00723827"/>
    <w:rsid w:val="00723901"/>
    <w:rsid w:val="007239FF"/>
    <w:rsid w:val="00723C37"/>
    <w:rsid w:val="00723D43"/>
    <w:rsid w:val="00723EDC"/>
    <w:rsid w:val="00724CD3"/>
    <w:rsid w:val="00724F2D"/>
    <w:rsid w:val="007255A5"/>
    <w:rsid w:val="007257CD"/>
    <w:rsid w:val="00725B36"/>
    <w:rsid w:val="00725BB1"/>
    <w:rsid w:val="00725BDD"/>
    <w:rsid w:val="0072602A"/>
    <w:rsid w:val="0072639D"/>
    <w:rsid w:val="007265DE"/>
    <w:rsid w:val="007267D5"/>
    <w:rsid w:val="00726A68"/>
    <w:rsid w:val="00726DD1"/>
    <w:rsid w:val="00726F17"/>
    <w:rsid w:val="00727080"/>
    <w:rsid w:val="00727161"/>
    <w:rsid w:val="007271C9"/>
    <w:rsid w:val="00727261"/>
    <w:rsid w:val="007273E8"/>
    <w:rsid w:val="007279D9"/>
    <w:rsid w:val="00730210"/>
    <w:rsid w:val="00730244"/>
    <w:rsid w:val="00730567"/>
    <w:rsid w:val="00730C9C"/>
    <w:rsid w:val="007315AF"/>
    <w:rsid w:val="00731E98"/>
    <w:rsid w:val="00732108"/>
    <w:rsid w:val="0073225A"/>
    <w:rsid w:val="007323A2"/>
    <w:rsid w:val="007323B7"/>
    <w:rsid w:val="00732748"/>
    <w:rsid w:val="00733058"/>
    <w:rsid w:val="0073317D"/>
    <w:rsid w:val="0073366B"/>
    <w:rsid w:val="00733A21"/>
    <w:rsid w:val="00733C44"/>
    <w:rsid w:val="00733E7C"/>
    <w:rsid w:val="007343F4"/>
    <w:rsid w:val="007343FC"/>
    <w:rsid w:val="00734427"/>
    <w:rsid w:val="007349C4"/>
    <w:rsid w:val="00734A4E"/>
    <w:rsid w:val="00734AA1"/>
    <w:rsid w:val="00734ADD"/>
    <w:rsid w:val="00734AFA"/>
    <w:rsid w:val="00734C9F"/>
    <w:rsid w:val="00734D87"/>
    <w:rsid w:val="007352F2"/>
    <w:rsid w:val="00735302"/>
    <w:rsid w:val="00735465"/>
    <w:rsid w:val="00735785"/>
    <w:rsid w:val="00735796"/>
    <w:rsid w:val="007357ED"/>
    <w:rsid w:val="00735A9E"/>
    <w:rsid w:val="00735F93"/>
    <w:rsid w:val="0073670E"/>
    <w:rsid w:val="00736E9F"/>
    <w:rsid w:val="007401CA"/>
    <w:rsid w:val="007401F3"/>
    <w:rsid w:val="00740506"/>
    <w:rsid w:val="007406AE"/>
    <w:rsid w:val="00740ABF"/>
    <w:rsid w:val="00740C66"/>
    <w:rsid w:val="00740DBF"/>
    <w:rsid w:val="00740E66"/>
    <w:rsid w:val="00740E90"/>
    <w:rsid w:val="00741795"/>
    <w:rsid w:val="0074179B"/>
    <w:rsid w:val="007419BE"/>
    <w:rsid w:val="00741C42"/>
    <w:rsid w:val="00741E09"/>
    <w:rsid w:val="00741E87"/>
    <w:rsid w:val="00741FD1"/>
    <w:rsid w:val="0074227F"/>
    <w:rsid w:val="00742704"/>
    <w:rsid w:val="00742BC5"/>
    <w:rsid w:val="00742BD2"/>
    <w:rsid w:val="00742D98"/>
    <w:rsid w:val="00742E3F"/>
    <w:rsid w:val="00743342"/>
    <w:rsid w:val="00743346"/>
    <w:rsid w:val="007435DC"/>
    <w:rsid w:val="00743A77"/>
    <w:rsid w:val="00743EF1"/>
    <w:rsid w:val="00743F08"/>
    <w:rsid w:val="007442E6"/>
    <w:rsid w:val="0074431E"/>
    <w:rsid w:val="0074449B"/>
    <w:rsid w:val="00744759"/>
    <w:rsid w:val="007449F5"/>
    <w:rsid w:val="00744C96"/>
    <w:rsid w:val="00744E6C"/>
    <w:rsid w:val="00745164"/>
    <w:rsid w:val="0074521C"/>
    <w:rsid w:val="007452C6"/>
    <w:rsid w:val="007453ED"/>
    <w:rsid w:val="00745692"/>
    <w:rsid w:val="00745F78"/>
    <w:rsid w:val="0074652B"/>
    <w:rsid w:val="0074672E"/>
    <w:rsid w:val="00746854"/>
    <w:rsid w:val="007469C8"/>
    <w:rsid w:val="00746E67"/>
    <w:rsid w:val="00746F57"/>
    <w:rsid w:val="00747276"/>
    <w:rsid w:val="007472CF"/>
    <w:rsid w:val="007475E9"/>
    <w:rsid w:val="007477B2"/>
    <w:rsid w:val="00747923"/>
    <w:rsid w:val="00747C3A"/>
    <w:rsid w:val="00747D00"/>
    <w:rsid w:val="00747E55"/>
    <w:rsid w:val="00750429"/>
    <w:rsid w:val="007504BF"/>
    <w:rsid w:val="0075141E"/>
    <w:rsid w:val="00751810"/>
    <w:rsid w:val="007518E2"/>
    <w:rsid w:val="00751D7E"/>
    <w:rsid w:val="00751DAE"/>
    <w:rsid w:val="00752168"/>
    <w:rsid w:val="007522B5"/>
    <w:rsid w:val="00752785"/>
    <w:rsid w:val="007529F0"/>
    <w:rsid w:val="00752B06"/>
    <w:rsid w:val="00752EFC"/>
    <w:rsid w:val="00753270"/>
    <w:rsid w:val="0075331E"/>
    <w:rsid w:val="00753907"/>
    <w:rsid w:val="0075407F"/>
    <w:rsid w:val="00754320"/>
    <w:rsid w:val="00754391"/>
    <w:rsid w:val="0075443A"/>
    <w:rsid w:val="00754631"/>
    <w:rsid w:val="0075495B"/>
    <w:rsid w:val="00754BB2"/>
    <w:rsid w:val="00754D69"/>
    <w:rsid w:val="0075500E"/>
    <w:rsid w:val="0075538F"/>
    <w:rsid w:val="0075547F"/>
    <w:rsid w:val="007554D0"/>
    <w:rsid w:val="00755683"/>
    <w:rsid w:val="00755768"/>
    <w:rsid w:val="00755C63"/>
    <w:rsid w:val="00755D18"/>
    <w:rsid w:val="00755E9A"/>
    <w:rsid w:val="00755FFD"/>
    <w:rsid w:val="00756110"/>
    <w:rsid w:val="00756177"/>
    <w:rsid w:val="007562D8"/>
    <w:rsid w:val="00756A0A"/>
    <w:rsid w:val="00756D35"/>
    <w:rsid w:val="00756EBF"/>
    <w:rsid w:val="00756F91"/>
    <w:rsid w:val="00756FDB"/>
    <w:rsid w:val="007573B6"/>
    <w:rsid w:val="00757B41"/>
    <w:rsid w:val="00757EEE"/>
    <w:rsid w:val="00757F85"/>
    <w:rsid w:val="007600C5"/>
    <w:rsid w:val="007602EB"/>
    <w:rsid w:val="0076051C"/>
    <w:rsid w:val="0076078A"/>
    <w:rsid w:val="0076104E"/>
    <w:rsid w:val="0076115F"/>
    <w:rsid w:val="00761923"/>
    <w:rsid w:val="00762068"/>
    <w:rsid w:val="007623ED"/>
    <w:rsid w:val="00762B4B"/>
    <w:rsid w:val="00762E10"/>
    <w:rsid w:val="00762EA4"/>
    <w:rsid w:val="00763369"/>
    <w:rsid w:val="007636B3"/>
    <w:rsid w:val="00763986"/>
    <w:rsid w:val="00763A44"/>
    <w:rsid w:val="00763CB4"/>
    <w:rsid w:val="00763EA3"/>
    <w:rsid w:val="00764245"/>
    <w:rsid w:val="0076424C"/>
    <w:rsid w:val="00764A82"/>
    <w:rsid w:val="00764C3D"/>
    <w:rsid w:val="00764D47"/>
    <w:rsid w:val="0076525B"/>
    <w:rsid w:val="00765376"/>
    <w:rsid w:val="00765CAC"/>
    <w:rsid w:val="00765E90"/>
    <w:rsid w:val="0076621E"/>
    <w:rsid w:val="007665FD"/>
    <w:rsid w:val="00766646"/>
    <w:rsid w:val="00766B70"/>
    <w:rsid w:val="0076708D"/>
    <w:rsid w:val="00767165"/>
    <w:rsid w:val="0076721D"/>
    <w:rsid w:val="0076745C"/>
    <w:rsid w:val="00767528"/>
    <w:rsid w:val="0076759B"/>
    <w:rsid w:val="0076771A"/>
    <w:rsid w:val="00767880"/>
    <w:rsid w:val="007679C2"/>
    <w:rsid w:val="00767E33"/>
    <w:rsid w:val="00767E62"/>
    <w:rsid w:val="00767F9E"/>
    <w:rsid w:val="0077004C"/>
    <w:rsid w:val="007700E8"/>
    <w:rsid w:val="00770529"/>
    <w:rsid w:val="00770A08"/>
    <w:rsid w:val="00770B37"/>
    <w:rsid w:val="00770D52"/>
    <w:rsid w:val="0077149B"/>
    <w:rsid w:val="00771565"/>
    <w:rsid w:val="007715D7"/>
    <w:rsid w:val="00771672"/>
    <w:rsid w:val="007716EF"/>
    <w:rsid w:val="007717B0"/>
    <w:rsid w:val="00771D5D"/>
    <w:rsid w:val="007722DF"/>
    <w:rsid w:val="00772C67"/>
    <w:rsid w:val="00772CF9"/>
    <w:rsid w:val="00772D54"/>
    <w:rsid w:val="00772D8A"/>
    <w:rsid w:val="00772F25"/>
    <w:rsid w:val="007733E9"/>
    <w:rsid w:val="00773545"/>
    <w:rsid w:val="00773AA6"/>
    <w:rsid w:val="00773CED"/>
    <w:rsid w:val="00773D85"/>
    <w:rsid w:val="00773E7E"/>
    <w:rsid w:val="00773F84"/>
    <w:rsid w:val="00774283"/>
    <w:rsid w:val="00774673"/>
    <w:rsid w:val="007747F6"/>
    <w:rsid w:val="00774A81"/>
    <w:rsid w:val="00774CD1"/>
    <w:rsid w:val="00774D62"/>
    <w:rsid w:val="00774EE3"/>
    <w:rsid w:val="00775046"/>
    <w:rsid w:val="0077510E"/>
    <w:rsid w:val="0077512B"/>
    <w:rsid w:val="007752D7"/>
    <w:rsid w:val="007755CA"/>
    <w:rsid w:val="0077583D"/>
    <w:rsid w:val="00775A2A"/>
    <w:rsid w:val="00775A42"/>
    <w:rsid w:val="00775A99"/>
    <w:rsid w:val="007761A4"/>
    <w:rsid w:val="00776421"/>
    <w:rsid w:val="007764A9"/>
    <w:rsid w:val="007766A1"/>
    <w:rsid w:val="0077674A"/>
    <w:rsid w:val="00776B35"/>
    <w:rsid w:val="00776BF8"/>
    <w:rsid w:val="00776E8F"/>
    <w:rsid w:val="007772AB"/>
    <w:rsid w:val="00777A46"/>
    <w:rsid w:val="00780057"/>
    <w:rsid w:val="00780119"/>
    <w:rsid w:val="00780282"/>
    <w:rsid w:val="007804E8"/>
    <w:rsid w:val="00780C31"/>
    <w:rsid w:val="00780E49"/>
    <w:rsid w:val="007811C0"/>
    <w:rsid w:val="00781464"/>
    <w:rsid w:val="007815BF"/>
    <w:rsid w:val="007817F3"/>
    <w:rsid w:val="00781A44"/>
    <w:rsid w:val="00781A9A"/>
    <w:rsid w:val="00781BC4"/>
    <w:rsid w:val="00781C1B"/>
    <w:rsid w:val="00781E32"/>
    <w:rsid w:val="00781FA0"/>
    <w:rsid w:val="007823B2"/>
    <w:rsid w:val="00782518"/>
    <w:rsid w:val="00782E49"/>
    <w:rsid w:val="007832EC"/>
    <w:rsid w:val="007833A2"/>
    <w:rsid w:val="00783446"/>
    <w:rsid w:val="0078355C"/>
    <w:rsid w:val="00783C0E"/>
    <w:rsid w:val="00783FD6"/>
    <w:rsid w:val="007842E5"/>
    <w:rsid w:val="0078444C"/>
    <w:rsid w:val="007847B5"/>
    <w:rsid w:val="00784BC9"/>
    <w:rsid w:val="00784F0B"/>
    <w:rsid w:val="007850DC"/>
    <w:rsid w:val="007851CD"/>
    <w:rsid w:val="00785484"/>
    <w:rsid w:val="00785A0E"/>
    <w:rsid w:val="00785A9D"/>
    <w:rsid w:val="00785F16"/>
    <w:rsid w:val="007861B3"/>
    <w:rsid w:val="0078682F"/>
    <w:rsid w:val="00786D47"/>
    <w:rsid w:val="007874D6"/>
    <w:rsid w:val="00787531"/>
    <w:rsid w:val="0078754A"/>
    <w:rsid w:val="007878AE"/>
    <w:rsid w:val="00787BAD"/>
    <w:rsid w:val="00790037"/>
    <w:rsid w:val="007900B4"/>
    <w:rsid w:val="007900F8"/>
    <w:rsid w:val="00790237"/>
    <w:rsid w:val="007908EF"/>
    <w:rsid w:val="00790C01"/>
    <w:rsid w:val="00790D59"/>
    <w:rsid w:val="00790F7F"/>
    <w:rsid w:val="00790FCC"/>
    <w:rsid w:val="00792471"/>
    <w:rsid w:val="007925E1"/>
    <w:rsid w:val="007926A4"/>
    <w:rsid w:val="00792853"/>
    <w:rsid w:val="0079291D"/>
    <w:rsid w:val="00792A31"/>
    <w:rsid w:val="00792A9D"/>
    <w:rsid w:val="00792BB8"/>
    <w:rsid w:val="00792C50"/>
    <w:rsid w:val="00792CA5"/>
    <w:rsid w:val="00792CEF"/>
    <w:rsid w:val="00792D00"/>
    <w:rsid w:val="00792EEC"/>
    <w:rsid w:val="00792F72"/>
    <w:rsid w:val="00792F8B"/>
    <w:rsid w:val="00793018"/>
    <w:rsid w:val="00793060"/>
    <w:rsid w:val="00793352"/>
    <w:rsid w:val="007933D3"/>
    <w:rsid w:val="00793456"/>
    <w:rsid w:val="00793981"/>
    <w:rsid w:val="007940AC"/>
    <w:rsid w:val="00794111"/>
    <w:rsid w:val="007945D3"/>
    <w:rsid w:val="007948C5"/>
    <w:rsid w:val="00794A6B"/>
    <w:rsid w:val="00794B42"/>
    <w:rsid w:val="00794BC1"/>
    <w:rsid w:val="0079509C"/>
    <w:rsid w:val="00795389"/>
    <w:rsid w:val="00795573"/>
    <w:rsid w:val="007957A1"/>
    <w:rsid w:val="0079619F"/>
    <w:rsid w:val="007969BA"/>
    <w:rsid w:val="00796E79"/>
    <w:rsid w:val="007974C3"/>
    <w:rsid w:val="00797698"/>
    <w:rsid w:val="0079774F"/>
    <w:rsid w:val="00797D7C"/>
    <w:rsid w:val="00797D80"/>
    <w:rsid w:val="00797DFB"/>
    <w:rsid w:val="00797ED0"/>
    <w:rsid w:val="007A033C"/>
    <w:rsid w:val="007A09F6"/>
    <w:rsid w:val="007A0B2F"/>
    <w:rsid w:val="007A0F5A"/>
    <w:rsid w:val="007A0FDF"/>
    <w:rsid w:val="007A1292"/>
    <w:rsid w:val="007A133C"/>
    <w:rsid w:val="007A15D7"/>
    <w:rsid w:val="007A16D0"/>
    <w:rsid w:val="007A191D"/>
    <w:rsid w:val="007A19BB"/>
    <w:rsid w:val="007A1A90"/>
    <w:rsid w:val="007A1D6E"/>
    <w:rsid w:val="007A1DAE"/>
    <w:rsid w:val="007A1F4A"/>
    <w:rsid w:val="007A2093"/>
    <w:rsid w:val="007A2230"/>
    <w:rsid w:val="007A3064"/>
    <w:rsid w:val="007A3833"/>
    <w:rsid w:val="007A38E0"/>
    <w:rsid w:val="007A3A8C"/>
    <w:rsid w:val="007A3B8D"/>
    <w:rsid w:val="007A3D2D"/>
    <w:rsid w:val="007A3E8F"/>
    <w:rsid w:val="007A3FCB"/>
    <w:rsid w:val="007A41D7"/>
    <w:rsid w:val="007A423A"/>
    <w:rsid w:val="007A42DD"/>
    <w:rsid w:val="007A438F"/>
    <w:rsid w:val="007A4702"/>
    <w:rsid w:val="007A472A"/>
    <w:rsid w:val="007A4B9C"/>
    <w:rsid w:val="007A5058"/>
    <w:rsid w:val="007A527F"/>
    <w:rsid w:val="007A535E"/>
    <w:rsid w:val="007A5985"/>
    <w:rsid w:val="007A5E38"/>
    <w:rsid w:val="007A5F05"/>
    <w:rsid w:val="007A6183"/>
    <w:rsid w:val="007A6531"/>
    <w:rsid w:val="007A66C8"/>
    <w:rsid w:val="007A69E7"/>
    <w:rsid w:val="007A6C2D"/>
    <w:rsid w:val="007A6CA8"/>
    <w:rsid w:val="007A6F65"/>
    <w:rsid w:val="007A7894"/>
    <w:rsid w:val="007A78E9"/>
    <w:rsid w:val="007A7DC2"/>
    <w:rsid w:val="007B01DE"/>
    <w:rsid w:val="007B07A4"/>
    <w:rsid w:val="007B09C9"/>
    <w:rsid w:val="007B0A27"/>
    <w:rsid w:val="007B0C84"/>
    <w:rsid w:val="007B131A"/>
    <w:rsid w:val="007B186E"/>
    <w:rsid w:val="007B1C41"/>
    <w:rsid w:val="007B1FFF"/>
    <w:rsid w:val="007B2388"/>
    <w:rsid w:val="007B2475"/>
    <w:rsid w:val="007B28CE"/>
    <w:rsid w:val="007B2955"/>
    <w:rsid w:val="007B2AF1"/>
    <w:rsid w:val="007B2EFD"/>
    <w:rsid w:val="007B3557"/>
    <w:rsid w:val="007B3B27"/>
    <w:rsid w:val="007B3C13"/>
    <w:rsid w:val="007B3CDB"/>
    <w:rsid w:val="007B4082"/>
    <w:rsid w:val="007B442A"/>
    <w:rsid w:val="007B45D3"/>
    <w:rsid w:val="007B4B0A"/>
    <w:rsid w:val="007B4B5A"/>
    <w:rsid w:val="007B4BD9"/>
    <w:rsid w:val="007B4CDF"/>
    <w:rsid w:val="007B4D2A"/>
    <w:rsid w:val="007B558C"/>
    <w:rsid w:val="007B586E"/>
    <w:rsid w:val="007B58F6"/>
    <w:rsid w:val="007B5AAB"/>
    <w:rsid w:val="007B5C7B"/>
    <w:rsid w:val="007B6193"/>
    <w:rsid w:val="007B63FF"/>
    <w:rsid w:val="007B643F"/>
    <w:rsid w:val="007B659F"/>
    <w:rsid w:val="007B6D80"/>
    <w:rsid w:val="007B6E2F"/>
    <w:rsid w:val="007B6EF8"/>
    <w:rsid w:val="007B73BC"/>
    <w:rsid w:val="007B758C"/>
    <w:rsid w:val="007B76AC"/>
    <w:rsid w:val="007B7835"/>
    <w:rsid w:val="007B793D"/>
    <w:rsid w:val="007B7D2C"/>
    <w:rsid w:val="007B7EDB"/>
    <w:rsid w:val="007B7FFD"/>
    <w:rsid w:val="007C00CA"/>
    <w:rsid w:val="007C04DA"/>
    <w:rsid w:val="007C0846"/>
    <w:rsid w:val="007C0928"/>
    <w:rsid w:val="007C099E"/>
    <w:rsid w:val="007C0DFF"/>
    <w:rsid w:val="007C1233"/>
    <w:rsid w:val="007C134D"/>
    <w:rsid w:val="007C15B1"/>
    <w:rsid w:val="007C17E7"/>
    <w:rsid w:val="007C19E6"/>
    <w:rsid w:val="007C1B3B"/>
    <w:rsid w:val="007C1F34"/>
    <w:rsid w:val="007C207F"/>
    <w:rsid w:val="007C2566"/>
    <w:rsid w:val="007C271D"/>
    <w:rsid w:val="007C2748"/>
    <w:rsid w:val="007C2895"/>
    <w:rsid w:val="007C2D7D"/>
    <w:rsid w:val="007C2FAD"/>
    <w:rsid w:val="007C3243"/>
    <w:rsid w:val="007C34E0"/>
    <w:rsid w:val="007C38A8"/>
    <w:rsid w:val="007C397C"/>
    <w:rsid w:val="007C406E"/>
    <w:rsid w:val="007C40CC"/>
    <w:rsid w:val="007C4498"/>
    <w:rsid w:val="007C44B6"/>
    <w:rsid w:val="007C458E"/>
    <w:rsid w:val="007C4643"/>
    <w:rsid w:val="007C4B3D"/>
    <w:rsid w:val="007C4C9E"/>
    <w:rsid w:val="007C4ED8"/>
    <w:rsid w:val="007C4F2B"/>
    <w:rsid w:val="007C51FF"/>
    <w:rsid w:val="007C5245"/>
    <w:rsid w:val="007C52CD"/>
    <w:rsid w:val="007C566A"/>
    <w:rsid w:val="007C5AEE"/>
    <w:rsid w:val="007C5BC8"/>
    <w:rsid w:val="007C5C0C"/>
    <w:rsid w:val="007C5E94"/>
    <w:rsid w:val="007C5FA5"/>
    <w:rsid w:val="007C61A2"/>
    <w:rsid w:val="007C6523"/>
    <w:rsid w:val="007C660A"/>
    <w:rsid w:val="007C6633"/>
    <w:rsid w:val="007C6790"/>
    <w:rsid w:val="007C67A4"/>
    <w:rsid w:val="007C6BBD"/>
    <w:rsid w:val="007C6CE8"/>
    <w:rsid w:val="007C6D05"/>
    <w:rsid w:val="007C6EC3"/>
    <w:rsid w:val="007C6F13"/>
    <w:rsid w:val="007C71C2"/>
    <w:rsid w:val="007C76DE"/>
    <w:rsid w:val="007C7A8F"/>
    <w:rsid w:val="007C7C03"/>
    <w:rsid w:val="007C7F80"/>
    <w:rsid w:val="007D012C"/>
    <w:rsid w:val="007D1193"/>
    <w:rsid w:val="007D14CE"/>
    <w:rsid w:val="007D181F"/>
    <w:rsid w:val="007D1AE1"/>
    <w:rsid w:val="007D1C35"/>
    <w:rsid w:val="007D1CB3"/>
    <w:rsid w:val="007D2202"/>
    <w:rsid w:val="007D255A"/>
    <w:rsid w:val="007D2887"/>
    <w:rsid w:val="007D2CC6"/>
    <w:rsid w:val="007D307C"/>
    <w:rsid w:val="007D342C"/>
    <w:rsid w:val="007D387D"/>
    <w:rsid w:val="007D38E6"/>
    <w:rsid w:val="007D393D"/>
    <w:rsid w:val="007D3AE2"/>
    <w:rsid w:val="007D3B6B"/>
    <w:rsid w:val="007D3EF3"/>
    <w:rsid w:val="007D42C5"/>
    <w:rsid w:val="007D433C"/>
    <w:rsid w:val="007D487E"/>
    <w:rsid w:val="007D4A2C"/>
    <w:rsid w:val="007D4E06"/>
    <w:rsid w:val="007D4E23"/>
    <w:rsid w:val="007D4E9F"/>
    <w:rsid w:val="007D5149"/>
    <w:rsid w:val="007D5310"/>
    <w:rsid w:val="007D556A"/>
    <w:rsid w:val="007D570D"/>
    <w:rsid w:val="007D5B63"/>
    <w:rsid w:val="007D5CD1"/>
    <w:rsid w:val="007D5D14"/>
    <w:rsid w:val="007D5E15"/>
    <w:rsid w:val="007D5E47"/>
    <w:rsid w:val="007D5E82"/>
    <w:rsid w:val="007D5F5D"/>
    <w:rsid w:val="007D6014"/>
    <w:rsid w:val="007D62A7"/>
    <w:rsid w:val="007D6997"/>
    <w:rsid w:val="007D6A03"/>
    <w:rsid w:val="007D6B78"/>
    <w:rsid w:val="007D6B97"/>
    <w:rsid w:val="007D6CB4"/>
    <w:rsid w:val="007D6CF2"/>
    <w:rsid w:val="007D6D1E"/>
    <w:rsid w:val="007D6F69"/>
    <w:rsid w:val="007D71F4"/>
    <w:rsid w:val="007D745F"/>
    <w:rsid w:val="007D7485"/>
    <w:rsid w:val="007D7C15"/>
    <w:rsid w:val="007D7E45"/>
    <w:rsid w:val="007D7ECD"/>
    <w:rsid w:val="007D7EE7"/>
    <w:rsid w:val="007D7F27"/>
    <w:rsid w:val="007E05ED"/>
    <w:rsid w:val="007E071F"/>
    <w:rsid w:val="007E0837"/>
    <w:rsid w:val="007E0C34"/>
    <w:rsid w:val="007E0CA1"/>
    <w:rsid w:val="007E0CD6"/>
    <w:rsid w:val="007E0E2E"/>
    <w:rsid w:val="007E1029"/>
    <w:rsid w:val="007E103A"/>
    <w:rsid w:val="007E10EA"/>
    <w:rsid w:val="007E130B"/>
    <w:rsid w:val="007E15A6"/>
    <w:rsid w:val="007E1666"/>
    <w:rsid w:val="007E18A0"/>
    <w:rsid w:val="007E1B9C"/>
    <w:rsid w:val="007E1E18"/>
    <w:rsid w:val="007E1EAE"/>
    <w:rsid w:val="007E2A39"/>
    <w:rsid w:val="007E2EDC"/>
    <w:rsid w:val="007E2F07"/>
    <w:rsid w:val="007E315B"/>
    <w:rsid w:val="007E32B7"/>
    <w:rsid w:val="007E33B4"/>
    <w:rsid w:val="007E3686"/>
    <w:rsid w:val="007E415B"/>
    <w:rsid w:val="007E47C4"/>
    <w:rsid w:val="007E4891"/>
    <w:rsid w:val="007E4FFF"/>
    <w:rsid w:val="007E53FE"/>
    <w:rsid w:val="007E5854"/>
    <w:rsid w:val="007E5A41"/>
    <w:rsid w:val="007E5AB7"/>
    <w:rsid w:val="007E5E72"/>
    <w:rsid w:val="007E5EED"/>
    <w:rsid w:val="007E5F88"/>
    <w:rsid w:val="007E6107"/>
    <w:rsid w:val="007E6254"/>
    <w:rsid w:val="007E62E4"/>
    <w:rsid w:val="007E6465"/>
    <w:rsid w:val="007E6506"/>
    <w:rsid w:val="007E68BF"/>
    <w:rsid w:val="007E6DD1"/>
    <w:rsid w:val="007E6E0E"/>
    <w:rsid w:val="007E716C"/>
    <w:rsid w:val="007E7365"/>
    <w:rsid w:val="007E7378"/>
    <w:rsid w:val="007E758D"/>
    <w:rsid w:val="007E7743"/>
    <w:rsid w:val="007E78B4"/>
    <w:rsid w:val="007E7D69"/>
    <w:rsid w:val="007F0FE7"/>
    <w:rsid w:val="007F124C"/>
    <w:rsid w:val="007F1252"/>
    <w:rsid w:val="007F1605"/>
    <w:rsid w:val="007F18BF"/>
    <w:rsid w:val="007F1ACF"/>
    <w:rsid w:val="007F1C8D"/>
    <w:rsid w:val="007F1DC7"/>
    <w:rsid w:val="007F236B"/>
    <w:rsid w:val="007F23F2"/>
    <w:rsid w:val="007F2A03"/>
    <w:rsid w:val="007F2FEC"/>
    <w:rsid w:val="007F30F8"/>
    <w:rsid w:val="007F3338"/>
    <w:rsid w:val="007F3350"/>
    <w:rsid w:val="007F3572"/>
    <w:rsid w:val="007F3CA2"/>
    <w:rsid w:val="007F3D3B"/>
    <w:rsid w:val="007F3F1A"/>
    <w:rsid w:val="007F4022"/>
    <w:rsid w:val="007F4023"/>
    <w:rsid w:val="007F4805"/>
    <w:rsid w:val="007F4823"/>
    <w:rsid w:val="007F4837"/>
    <w:rsid w:val="007F52DE"/>
    <w:rsid w:val="007F535D"/>
    <w:rsid w:val="007F538D"/>
    <w:rsid w:val="007F5466"/>
    <w:rsid w:val="007F550A"/>
    <w:rsid w:val="007F5EDF"/>
    <w:rsid w:val="007F5FAC"/>
    <w:rsid w:val="007F60EE"/>
    <w:rsid w:val="007F6329"/>
    <w:rsid w:val="007F66B5"/>
    <w:rsid w:val="007F67A8"/>
    <w:rsid w:val="007F69BB"/>
    <w:rsid w:val="007F69F5"/>
    <w:rsid w:val="007F6B33"/>
    <w:rsid w:val="007F6EBD"/>
    <w:rsid w:val="007F7834"/>
    <w:rsid w:val="008001F9"/>
    <w:rsid w:val="008002A6"/>
    <w:rsid w:val="0080034E"/>
    <w:rsid w:val="0080053D"/>
    <w:rsid w:val="0080084D"/>
    <w:rsid w:val="008008DE"/>
    <w:rsid w:val="00800BC5"/>
    <w:rsid w:val="00800BE6"/>
    <w:rsid w:val="00800DAC"/>
    <w:rsid w:val="00801186"/>
    <w:rsid w:val="00801441"/>
    <w:rsid w:val="00801514"/>
    <w:rsid w:val="00801612"/>
    <w:rsid w:val="00801701"/>
    <w:rsid w:val="00802C31"/>
    <w:rsid w:val="00803566"/>
    <w:rsid w:val="008035F8"/>
    <w:rsid w:val="008036B3"/>
    <w:rsid w:val="008037B0"/>
    <w:rsid w:val="008037B9"/>
    <w:rsid w:val="00803804"/>
    <w:rsid w:val="00804119"/>
    <w:rsid w:val="00804220"/>
    <w:rsid w:val="00804554"/>
    <w:rsid w:val="0080466F"/>
    <w:rsid w:val="00804BDA"/>
    <w:rsid w:val="008052F3"/>
    <w:rsid w:val="008054B2"/>
    <w:rsid w:val="00805C1D"/>
    <w:rsid w:val="0080652F"/>
    <w:rsid w:val="008065C3"/>
    <w:rsid w:val="00806881"/>
    <w:rsid w:val="0080699D"/>
    <w:rsid w:val="00806F37"/>
    <w:rsid w:val="008072E7"/>
    <w:rsid w:val="008073D9"/>
    <w:rsid w:val="008074B2"/>
    <w:rsid w:val="008075B2"/>
    <w:rsid w:val="008105EB"/>
    <w:rsid w:val="00810BA3"/>
    <w:rsid w:val="00810C7E"/>
    <w:rsid w:val="00810E70"/>
    <w:rsid w:val="00810E71"/>
    <w:rsid w:val="008110BF"/>
    <w:rsid w:val="008118E2"/>
    <w:rsid w:val="008121D9"/>
    <w:rsid w:val="008123C5"/>
    <w:rsid w:val="00812406"/>
    <w:rsid w:val="00812580"/>
    <w:rsid w:val="00812B85"/>
    <w:rsid w:val="0081355A"/>
    <w:rsid w:val="0081383A"/>
    <w:rsid w:val="00813DA1"/>
    <w:rsid w:val="00813F1E"/>
    <w:rsid w:val="00814269"/>
    <w:rsid w:val="008143E1"/>
    <w:rsid w:val="008148E9"/>
    <w:rsid w:val="00814A73"/>
    <w:rsid w:val="008153B4"/>
    <w:rsid w:val="008157B8"/>
    <w:rsid w:val="0081593C"/>
    <w:rsid w:val="00815A1F"/>
    <w:rsid w:val="00815A61"/>
    <w:rsid w:val="00816105"/>
    <w:rsid w:val="0081621D"/>
    <w:rsid w:val="008162D9"/>
    <w:rsid w:val="0081655E"/>
    <w:rsid w:val="00816879"/>
    <w:rsid w:val="008168D9"/>
    <w:rsid w:val="00816C02"/>
    <w:rsid w:val="00816C9C"/>
    <w:rsid w:val="00816E99"/>
    <w:rsid w:val="00817161"/>
    <w:rsid w:val="008173EE"/>
    <w:rsid w:val="0081785B"/>
    <w:rsid w:val="008179CE"/>
    <w:rsid w:val="00817BBA"/>
    <w:rsid w:val="0082038A"/>
    <w:rsid w:val="008209A6"/>
    <w:rsid w:val="00820B98"/>
    <w:rsid w:val="00820DC6"/>
    <w:rsid w:val="00820DD4"/>
    <w:rsid w:val="00820FEB"/>
    <w:rsid w:val="00821003"/>
    <w:rsid w:val="00821059"/>
    <w:rsid w:val="0082136F"/>
    <w:rsid w:val="00821F54"/>
    <w:rsid w:val="008222CC"/>
    <w:rsid w:val="008223CA"/>
    <w:rsid w:val="008223FC"/>
    <w:rsid w:val="00822990"/>
    <w:rsid w:val="00822ABF"/>
    <w:rsid w:val="00822B22"/>
    <w:rsid w:val="00822C25"/>
    <w:rsid w:val="00823048"/>
    <w:rsid w:val="0082315E"/>
    <w:rsid w:val="008234F8"/>
    <w:rsid w:val="0082377E"/>
    <w:rsid w:val="00823DD6"/>
    <w:rsid w:val="00823E8E"/>
    <w:rsid w:val="008241C7"/>
    <w:rsid w:val="008246D5"/>
    <w:rsid w:val="00824806"/>
    <w:rsid w:val="00824A7D"/>
    <w:rsid w:val="00824BE4"/>
    <w:rsid w:val="00824D3F"/>
    <w:rsid w:val="00824E26"/>
    <w:rsid w:val="00824F25"/>
    <w:rsid w:val="00824F8F"/>
    <w:rsid w:val="00825135"/>
    <w:rsid w:val="0082532D"/>
    <w:rsid w:val="00825350"/>
    <w:rsid w:val="008257D4"/>
    <w:rsid w:val="008259A6"/>
    <w:rsid w:val="00825F16"/>
    <w:rsid w:val="00826130"/>
    <w:rsid w:val="00826168"/>
    <w:rsid w:val="008262E9"/>
    <w:rsid w:val="0082662D"/>
    <w:rsid w:val="00826B9F"/>
    <w:rsid w:val="00826C83"/>
    <w:rsid w:val="00827113"/>
    <w:rsid w:val="008271F6"/>
    <w:rsid w:val="008272D3"/>
    <w:rsid w:val="00827A69"/>
    <w:rsid w:val="00827F84"/>
    <w:rsid w:val="0083061E"/>
    <w:rsid w:val="008306C3"/>
    <w:rsid w:val="008306EB"/>
    <w:rsid w:val="00830A77"/>
    <w:rsid w:val="00830BCD"/>
    <w:rsid w:val="00830E4C"/>
    <w:rsid w:val="00830F0F"/>
    <w:rsid w:val="00831529"/>
    <w:rsid w:val="008316A1"/>
    <w:rsid w:val="0083175E"/>
    <w:rsid w:val="00831786"/>
    <w:rsid w:val="008318E4"/>
    <w:rsid w:val="00831945"/>
    <w:rsid w:val="00831F6E"/>
    <w:rsid w:val="0083233B"/>
    <w:rsid w:val="0083268F"/>
    <w:rsid w:val="00832B00"/>
    <w:rsid w:val="008332F3"/>
    <w:rsid w:val="0083334A"/>
    <w:rsid w:val="008335EB"/>
    <w:rsid w:val="00833C68"/>
    <w:rsid w:val="00833F06"/>
    <w:rsid w:val="0083477E"/>
    <w:rsid w:val="00834B6F"/>
    <w:rsid w:val="00834CFD"/>
    <w:rsid w:val="00834D1E"/>
    <w:rsid w:val="00835086"/>
    <w:rsid w:val="00835176"/>
    <w:rsid w:val="00835183"/>
    <w:rsid w:val="008352A2"/>
    <w:rsid w:val="008353BF"/>
    <w:rsid w:val="008355AC"/>
    <w:rsid w:val="00835F59"/>
    <w:rsid w:val="00836070"/>
    <w:rsid w:val="00836108"/>
    <w:rsid w:val="0083612A"/>
    <w:rsid w:val="00836170"/>
    <w:rsid w:val="00836628"/>
    <w:rsid w:val="008366A5"/>
    <w:rsid w:val="008367DB"/>
    <w:rsid w:val="00836A4A"/>
    <w:rsid w:val="00836CD1"/>
    <w:rsid w:val="0083702B"/>
    <w:rsid w:val="0083708D"/>
    <w:rsid w:val="00837930"/>
    <w:rsid w:val="00837E1A"/>
    <w:rsid w:val="00837F09"/>
    <w:rsid w:val="008402C2"/>
    <w:rsid w:val="008403C5"/>
    <w:rsid w:val="0084041B"/>
    <w:rsid w:val="008405AA"/>
    <w:rsid w:val="00840862"/>
    <w:rsid w:val="00840F59"/>
    <w:rsid w:val="00840FC1"/>
    <w:rsid w:val="0084139D"/>
    <w:rsid w:val="00841B12"/>
    <w:rsid w:val="00841BA9"/>
    <w:rsid w:val="00841E98"/>
    <w:rsid w:val="008422CC"/>
    <w:rsid w:val="008423AC"/>
    <w:rsid w:val="0084279B"/>
    <w:rsid w:val="008427A8"/>
    <w:rsid w:val="00842933"/>
    <w:rsid w:val="00842B27"/>
    <w:rsid w:val="00842BA8"/>
    <w:rsid w:val="00842EEC"/>
    <w:rsid w:val="00842FB3"/>
    <w:rsid w:val="00843154"/>
    <w:rsid w:val="00843570"/>
    <w:rsid w:val="00843766"/>
    <w:rsid w:val="00843DC2"/>
    <w:rsid w:val="00843E70"/>
    <w:rsid w:val="008446D5"/>
    <w:rsid w:val="00845320"/>
    <w:rsid w:val="00845485"/>
    <w:rsid w:val="008456DB"/>
    <w:rsid w:val="008456EF"/>
    <w:rsid w:val="00845928"/>
    <w:rsid w:val="00845CB2"/>
    <w:rsid w:val="00845DC4"/>
    <w:rsid w:val="008466B9"/>
    <w:rsid w:val="00846936"/>
    <w:rsid w:val="00846E41"/>
    <w:rsid w:val="0084761E"/>
    <w:rsid w:val="00847EEE"/>
    <w:rsid w:val="00847F46"/>
    <w:rsid w:val="00847FD4"/>
    <w:rsid w:val="008500F2"/>
    <w:rsid w:val="008501BE"/>
    <w:rsid w:val="008501E0"/>
    <w:rsid w:val="0085028B"/>
    <w:rsid w:val="0085057B"/>
    <w:rsid w:val="008506DD"/>
    <w:rsid w:val="008509B8"/>
    <w:rsid w:val="00850AE7"/>
    <w:rsid w:val="0085130F"/>
    <w:rsid w:val="00851621"/>
    <w:rsid w:val="00852760"/>
    <w:rsid w:val="00852ABD"/>
    <w:rsid w:val="00852EAF"/>
    <w:rsid w:val="008530AD"/>
    <w:rsid w:val="008530C5"/>
    <w:rsid w:val="0085324D"/>
    <w:rsid w:val="008532E9"/>
    <w:rsid w:val="008534BE"/>
    <w:rsid w:val="00853B87"/>
    <w:rsid w:val="00853D75"/>
    <w:rsid w:val="00854232"/>
    <w:rsid w:val="00854636"/>
    <w:rsid w:val="008548C9"/>
    <w:rsid w:val="00854B23"/>
    <w:rsid w:val="00854D44"/>
    <w:rsid w:val="00854E1C"/>
    <w:rsid w:val="00854EB5"/>
    <w:rsid w:val="0085512E"/>
    <w:rsid w:val="00855199"/>
    <w:rsid w:val="0085574D"/>
    <w:rsid w:val="00855E1A"/>
    <w:rsid w:val="008561BF"/>
    <w:rsid w:val="00856751"/>
    <w:rsid w:val="00856AB1"/>
    <w:rsid w:val="00856CE4"/>
    <w:rsid w:val="00856E75"/>
    <w:rsid w:val="00856EA3"/>
    <w:rsid w:val="00856F1F"/>
    <w:rsid w:val="00856F4F"/>
    <w:rsid w:val="008573D6"/>
    <w:rsid w:val="008575B3"/>
    <w:rsid w:val="00857987"/>
    <w:rsid w:val="00857B1B"/>
    <w:rsid w:val="00857D1F"/>
    <w:rsid w:val="00857EB0"/>
    <w:rsid w:val="008600F7"/>
    <w:rsid w:val="00860150"/>
    <w:rsid w:val="008601FF"/>
    <w:rsid w:val="00860273"/>
    <w:rsid w:val="00860510"/>
    <w:rsid w:val="0086063F"/>
    <w:rsid w:val="00860C43"/>
    <w:rsid w:val="00860E6B"/>
    <w:rsid w:val="00861194"/>
    <w:rsid w:val="00861676"/>
    <w:rsid w:val="008617B6"/>
    <w:rsid w:val="00861B46"/>
    <w:rsid w:val="00861BBA"/>
    <w:rsid w:val="00861ED8"/>
    <w:rsid w:val="0086218F"/>
    <w:rsid w:val="008623D2"/>
    <w:rsid w:val="0086243D"/>
    <w:rsid w:val="008628C3"/>
    <w:rsid w:val="00862A3F"/>
    <w:rsid w:val="00862B2E"/>
    <w:rsid w:val="00863215"/>
    <w:rsid w:val="00863521"/>
    <w:rsid w:val="008635C2"/>
    <w:rsid w:val="008637E0"/>
    <w:rsid w:val="008638C0"/>
    <w:rsid w:val="008639AA"/>
    <w:rsid w:val="00863D14"/>
    <w:rsid w:val="00863D75"/>
    <w:rsid w:val="008642F8"/>
    <w:rsid w:val="0086432D"/>
    <w:rsid w:val="00864597"/>
    <w:rsid w:val="00864CE4"/>
    <w:rsid w:val="00864E44"/>
    <w:rsid w:val="00864EF2"/>
    <w:rsid w:val="00865041"/>
    <w:rsid w:val="008651DF"/>
    <w:rsid w:val="0086531E"/>
    <w:rsid w:val="00865638"/>
    <w:rsid w:val="00865689"/>
    <w:rsid w:val="00865D52"/>
    <w:rsid w:val="00865DF8"/>
    <w:rsid w:val="0086619B"/>
    <w:rsid w:val="0086634E"/>
    <w:rsid w:val="00866354"/>
    <w:rsid w:val="00866899"/>
    <w:rsid w:val="00866B72"/>
    <w:rsid w:val="00866E60"/>
    <w:rsid w:val="00867777"/>
    <w:rsid w:val="008677BB"/>
    <w:rsid w:val="008677DB"/>
    <w:rsid w:val="00867C4C"/>
    <w:rsid w:val="00867D3D"/>
    <w:rsid w:val="00867E81"/>
    <w:rsid w:val="008702A5"/>
    <w:rsid w:val="00870367"/>
    <w:rsid w:val="00870455"/>
    <w:rsid w:val="00870986"/>
    <w:rsid w:val="00870C4C"/>
    <w:rsid w:val="008712DC"/>
    <w:rsid w:val="00871389"/>
    <w:rsid w:val="008713E5"/>
    <w:rsid w:val="0087190D"/>
    <w:rsid w:val="00871CC7"/>
    <w:rsid w:val="00871FE5"/>
    <w:rsid w:val="00872488"/>
    <w:rsid w:val="008726E5"/>
    <w:rsid w:val="0087275B"/>
    <w:rsid w:val="008728A0"/>
    <w:rsid w:val="00872959"/>
    <w:rsid w:val="00872AAF"/>
    <w:rsid w:val="00872D88"/>
    <w:rsid w:val="00873193"/>
    <w:rsid w:val="008732C2"/>
    <w:rsid w:val="00873633"/>
    <w:rsid w:val="00873722"/>
    <w:rsid w:val="00874271"/>
    <w:rsid w:val="008742A5"/>
    <w:rsid w:val="008743F1"/>
    <w:rsid w:val="008745FC"/>
    <w:rsid w:val="00874700"/>
    <w:rsid w:val="008747FB"/>
    <w:rsid w:val="00874817"/>
    <w:rsid w:val="00874B84"/>
    <w:rsid w:val="00874E75"/>
    <w:rsid w:val="008754E3"/>
    <w:rsid w:val="00875515"/>
    <w:rsid w:val="008755E6"/>
    <w:rsid w:val="00875EDE"/>
    <w:rsid w:val="00875F2E"/>
    <w:rsid w:val="00876619"/>
    <w:rsid w:val="0087690B"/>
    <w:rsid w:val="008769F1"/>
    <w:rsid w:val="00876BB6"/>
    <w:rsid w:val="00876CA5"/>
    <w:rsid w:val="00876E63"/>
    <w:rsid w:val="008771C1"/>
    <w:rsid w:val="00877490"/>
    <w:rsid w:val="0087797D"/>
    <w:rsid w:val="008779D2"/>
    <w:rsid w:val="00877AEE"/>
    <w:rsid w:val="00877C1F"/>
    <w:rsid w:val="0088003C"/>
    <w:rsid w:val="00880298"/>
    <w:rsid w:val="00880A6D"/>
    <w:rsid w:val="00880C10"/>
    <w:rsid w:val="00880E32"/>
    <w:rsid w:val="00880E9E"/>
    <w:rsid w:val="00880FA2"/>
    <w:rsid w:val="0088131F"/>
    <w:rsid w:val="00881867"/>
    <w:rsid w:val="00882042"/>
    <w:rsid w:val="008827B1"/>
    <w:rsid w:val="00882E21"/>
    <w:rsid w:val="00882FF7"/>
    <w:rsid w:val="00883048"/>
    <w:rsid w:val="0088305F"/>
    <w:rsid w:val="0088309F"/>
    <w:rsid w:val="008832CB"/>
    <w:rsid w:val="00883505"/>
    <w:rsid w:val="0088357C"/>
    <w:rsid w:val="008837A0"/>
    <w:rsid w:val="00883D1C"/>
    <w:rsid w:val="00884024"/>
    <w:rsid w:val="00884040"/>
    <w:rsid w:val="008841B3"/>
    <w:rsid w:val="00884240"/>
    <w:rsid w:val="008844BF"/>
    <w:rsid w:val="00884696"/>
    <w:rsid w:val="008846DB"/>
    <w:rsid w:val="00884737"/>
    <w:rsid w:val="00884C86"/>
    <w:rsid w:val="00884D1E"/>
    <w:rsid w:val="00884FD8"/>
    <w:rsid w:val="0088504C"/>
    <w:rsid w:val="00885068"/>
    <w:rsid w:val="00885A8E"/>
    <w:rsid w:val="00885C35"/>
    <w:rsid w:val="00885EB2"/>
    <w:rsid w:val="008860B0"/>
    <w:rsid w:val="008864EF"/>
    <w:rsid w:val="008865DC"/>
    <w:rsid w:val="008866CE"/>
    <w:rsid w:val="008868AC"/>
    <w:rsid w:val="00886A11"/>
    <w:rsid w:val="00886E00"/>
    <w:rsid w:val="0088700C"/>
    <w:rsid w:val="0088727E"/>
    <w:rsid w:val="0088759B"/>
    <w:rsid w:val="0088794F"/>
    <w:rsid w:val="00887B4F"/>
    <w:rsid w:val="00887D1B"/>
    <w:rsid w:val="00887DE9"/>
    <w:rsid w:val="00890056"/>
    <w:rsid w:val="0089014E"/>
    <w:rsid w:val="0089032A"/>
    <w:rsid w:val="0089045A"/>
    <w:rsid w:val="00890718"/>
    <w:rsid w:val="00890825"/>
    <w:rsid w:val="0089101F"/>
    <w:rsid w:val="00891034"/>
    <w:rsid w:val="0089125A"/>
    <w:rsid w:val="008919F9"/>
    <w:rsid w:val="00891BB1"/>
    <w:rsid w:val="00891C35"/>
    <w:rsid w:val="00892026"/>
    <w:rsid w:val="0089204E"/>
    <w:rsid w:val="008927C3"/>
    <w:rsid w:val="008927E3"/>
    <w:rsid w:val="0089283A"/>
    <w:rsid w:val="00892BCF"/>
    <w:rsid w:val="00892F69"/>
    <w:rsid w:val="008931A0"/>
    <w:rsid w:val="0089327A"/>
    <w:rsid w:val="008936CF"/>
    <w:rsid w:val="0089398D"/>
    <w:rsid w:val="00893ED6"/>
    <w:rsid w:val="00894650"/>
    <w:rsid w:val="0089472A"/>
    <w:rsid w:val="00894833"/>
    <w:rsid w:val="00894904"/>
    <w:rsid w:val="00894B88"/>
    <w:rsid w:val="00895114"/>
    <w:rsid w:val="008952D0"/>
    <w:rsid w:val="00895581"/>
    <w:rsid w:val="00895753"/>
    <w:rsid w:val="00895C6F"/>
    <w:rsid w:val="00895DD0"/>
    <w:rsid w:val="00896075"/>
    <w:rsid w:val="008960C1"/>
    <w:rsid w:val="00896314"/>
    <w:rsid w:val="008966B3"/>
    <w:rsid w:val="008966C5"/>
    <w:rsid w:val="00896BC4"/>
    <w:rsid w:val="00896E0D"/>
    <w:rsid w:val="00897101"/>
    <w:rsid w:val="00897549"/>
    <w:rsid w:val="00897556"/>
    <w:rsid w:val="008975C2"/>
    <w:rsid w:val="0089784E"/>
    <w:rsid w:val="00897EEB"/>
    <w:rsid w:val="008A03B5"/>
    <w:rsid w:val="008A0492"/>
    <w:rsid w:val="008A0EAF"/>
    <w:rsid w:val="008A0F1A"/>
    <w:rsid w:val="008A1153"/>
    <w:rsid w:val="008A1490"/>
    <w:rsid w:val="008A1659"/>
    <w:rsid w:val="008A1699"/>
    <w:rsid w:val="008A188D"/>
    <w:rsid w:val="008A1FC9"/>
    <w:rsid w:val="008A20F7"/>
    <w:rsid w:val="008A2126"/>
    <w:rsid w:val="008A2439"/>
    <w:rsid w:val="008A2519"/>
    <w:rsid w:val="008A27A7"/>
    <w:rsid w:val="008A28CE"/>
    <w:rsid w:val="008A29A6"/>
    <w:rsid w:val="008A29E2"/>
    <w:rsid w:val="008A29E4"/>
    <w:rsid w:val="008A2B80"/>
    <w:rsid w:val="008A2DA6"/>
    <w:rsid w:val="008A339E"/>
    <w:rsid w:val="008A345E"/>
    <w:rsid w:val="008A3488"/>
    <w:rsid w:val="008A35E4"/>
    <w:rsid w:val="008A35E9"/>
    <w:rsid w:val="008A3A17"/>
    <w:rsid w:val="008A3D00"/>
    <w:rsid w:val="008A3E37"/>
    <w:rsid w:val="008A3E60"/>
    <w:rsid w:val="008A41D6"/>
    <w:rsid w:val="008A43E1"/>
    <w:rsid w:val="008A46B4"/>
    <w:rsid w:val="008A4B45"/>
    <w:rsid w:val="008A4BB7"/>
    <w:rsid w:val="008A4D48"/>
    <w:rsid w:val="008A562A"/>
    <w:rsid w:val="008A615A"/>
    <w:rsid w:val="008A61CE"/>
    <w:rsid w:val="008A6234"/>
    <w:rsid w:val="008A62C5"/>
    <w:rsid w:val="008A63AF"/>
    <w:rsid w:val="008A6460"/>
    <w:rsid w:val="008A6938"/>
    <w:rsid w:val="008A6AB9"/>
    <w:rsid w:val="008A6D53"/>
    <w:rsid w:val="008A6D87"/>
    <w:rsid w:val="008A6D88"/>
    <w:rsid w:val="008A716B"/>
    <w:rsid w:val="008A7320"/>
    <w:rsid w:val="008A7411"/>
    <w:rsid w:val="008A7B03"/>
    <w:rsid w:val="008B03DB"/>
    <w:rsid w:val="008B0BD9"/>
    <w:rsid w:val="008B0BF6"/>
    <w:rsid w:val="008B0CCC"/>
    <w:rsid w:val="008B0E17"/>
    <w:rsid w:val="008B0FE5"/>
    <w:rsid w:val="008B183A"/>
    <w:rsid w:val="008B19A9"/>
    <w:rsid w:val="008B1AD2"/>
    <w:rsid w:val="008B1CAE"/>
    <w:rsid w:val="008B1D8E"/>
    <w:rsid w:val="008B1F66"/>
    <w:rsid w:val="008B1FDF"/>
    <w:rsid w:val="008B2159"/>
    <w:rsid w:val="008B221E"/>
    <w:rsid w:val="008B25F0"/>
    <w:rsid w:val="008B26B6"/>
    <w:rsid w:val="008B273C"/>
    <w:rsid w:val="008B288E"/>
    <w:rsid w:val="008B29CB"/>
    <w:rsid w:val="008B2C0C"/>
    <w:rsid w:val="008B2C31"/>
    <w:rsid w:val="008B2E1F"/>
    <w:rsid w:val="008B2FB0"/>
    <w:rsid w:val="008B364F"/>
    <w:rsid w:val="008B3677"/>
    <w:rsid w:val="008B36DB"/>
    <w:rsid w:val="008B3A4D"/>
    <w:rsid w:val="008B3ACB"/>
    <w:rsid w:val="008B3CC5"/>
    <w:rsid w:val="008B426B"/>
    <w:rsid w:val="008B431F"/>
    <w:rsid w:val="008B4504"/>
    <w:rsid w:val="008B465B"/>
    <w:rsid w:val="008B483D"/>
    <w:rsid w:val="008B4B69"/>
    <w:rsid w:val="008B4D49"/>
    <w:rsid w:val="008B5846"/>
    <w:rsid w:val="008B5939"/>
    <w:rsid w:val="008B5B8B"/>
    <w:rsid w:val="008B5F05"/>
    <w:rsid w:val="008B5FDB"/>
    <w:rsid w:val="008B5FF8"/>
    <w:rsid w:val="008B6020"/>
    <w:rsid w:val="008B602E"/>
    <w:rsid w:val="008B614F"/>
    <w:rsid w:val="008B68C9"/>
    <w:rsid w:val="008B6D7D"/>
    <w:rsid w:val="008B702A"/>
    <w:rsid w:val="008B7058"/>
    <w:rsid w:val="008B71D6"/>
    <w:rsid w:val="008B7549"/>
    <w:rsid w:val="008B76A1"/>
    <w:rsid w:val="008B7A8D"/>
    <w:rsid w:val="008B7E61"/>
    <w:rsid w:val="008B7F26"/>
    <w:rsid w:val="008C04C6"/>
    <w:rsid w:val="008C04F9"/>
    <w:rsid w:val="008C07FC"/>
    <w:rsid w:val="008C0935"/>
    <w:rsid w:val="008C0BC2"/>
    <w:rsid w:val="008C0C54"/>
    <w:rsid w:val="008C0CE2"/>
    <w:rsid w:val="008C0D55"/>
    <w:rsid w:val="008C0E7B"/>
    <w:rsid w:val="008C1352"/>
    <w:rsid w:val="008C1CE0"/>
    <w:rsid w:val="008C1DBF"/>
    <w:rsid w:val="008C2D88"/>
    <w:rsid w:val="008C3107"/>
    <w:rsid w:val="008C38EE"/>
    <w:rsid w:val="008C3A25"/>
    <w:rsid w:val="008C3B2A"/>
    <w:rsid w:val="008C3DDE"/>
    <w:rsid w:val="008C4918"/>
    <w:rsid w:val="008C49F8"/>
    <w:rsid w:val="008C4C13"/>
    <w:rsid w:val="008C5286"/>
    <w:rsid w:val="008C5A59"/>
    <w:rsid w:val="008C5A5F"/>
    <w:rsid w:val="008C5A7B"/>
    <w:rsid w:val="008C5C35"/>
    <w:rsid w:val="008C5EAE"/>
    <w:rsid w:val="008C5F3D"/>
    <w:rsid w:val="008C5FD8"/>
    <w:rsid w:val="008C5FF5"/>
    <w:rsid w:val="008C62B3"/>
    <w:rsid w:val="008C66D7"/>
    <w:rsid w:val="008C66E3"/>
    <w:rsid w:val="008C71B0"/>
    <w:rsid w:val="008C7489"/>
    <w:rsid w:val="008C7545"/>
    <w:rsid w:val="008C7973"/>
    <w:rsid w:val="008C7A86"/>
    <w:rsid w:val="008D0180"/>
    <w:rsid w:val="008D07B9"/>
    <w:rsid w:val="008D081E"/>
    <w:rsid w:val="008D09CF"/>
    <w:rsid w:val="008D0A31"/>
    <w:rsid w:val="008D0A9F"/>
    <w:rsid w:val="008D0C7E"/>
    <w:rsid w:val="008D0DB2"/>
    <w:rsid w:val="008D0E9A"/>
    <w:rsid w:val="008D0ECD"/>
    <w:rsid w:val="008D1008"/>
    <w:rsid w:val="008D1085"/>
    <w:rsid w:val="008D11EB"/>
    <w:rsid w:val="008D1497"/>
    <w:rsid w:val="008D1741"/>
    <w:rsid w:val="008D1B86"/>
    <w:rsid w:val="008D1EA6"/>
    <w:rsid w:val="008D200D"/>
    <w:rsid w:val="008D2090"/>
    <w:rsid w:val="008D2286"/>
    <w:rsid w:val="008D22F1"/>
    <w:rsid w:val="008D26D3"/>
    <w:rsid w:val="008D2B2D"/>
    <w:rsid w:val="008D2C1D"/>
    <w:rsid w:val="008D2C84"/>
    <w:rsid w:val="008D372A"/>
    <w:rsid w:val="008D3AC0"/>
    <w:rsid w:val="008D3BCF"/>
    <w:rsid w:val="008D3EAD"/>
    <w:rsid w:val="008D442C"/>
    <w:rsid w:val="008D4526"/>
    <w:rsid w:val="008D47F8"/>
    <w:rsid w:val="008D4814"/>
    <w:rsid w:val="008D4824"/>
    <w:rsid w:val="008D4EDC"/>
    <w:rsid w:val="008D52DA"/>
    <w:rsid w:val="008D5575"/>
    <w:rsid w:val="008D575F"/>
    <w:rsid w:val="008D5790"/>
    <w:rsid w:val="008D59C5"/>
    <w:rsid w:val="008D5B7B"/>
    <w:rsid w:val="008D6092"/>
    <w:rsid w:val="008D638B"/>
    <w:rsid w:val="008D63FB"/>
    <w:rsid w:val="008D653D"/>
    <w:rsid w:val="008D65B2"/>
    <w:rsid w:val="008D67C8"/>
    <w:rsid w:val="008D68E6"/>
    <w:rsid w:val="008D6936"/>
    <w:rsid w:val="008D6B29"/>
    <w:rsid w:val="008D74C6"/>
    <w:rsid w:val="008D7521"/>
    <w:rsid w:val="008D75C0"/>
    <w:rsid w:val="008D7732"/>
    <w:rsid w:val="008D7BE7"/>
    <w:rsid w:val="008D7D0E"/>
    <w:rsid w:val="008D7E1D"/>
    <w:rsid w:val="008E019B"/>
    <w:rsid w:val="008E09F2"/>
    <w:rsid w:val="008E0AEC"/>
    <w:rsid w:val="008E0D8A"/>
    <w:rsid w:val="008E0E68"/>
    <w:rsid w:val="008E0F49"/>
    <w:rsid w:val="008E100D"/>
    <w:rsid w:val="008E1038"/>
    <w:rsid w:val="008E14D4"/>
    <w:rsid w:val="008E163D"/>
    <w:rsid w:val="008E16BD"/>
    <w:rsid w:val="008E1BCF"/>
    <w:rsid w:val="008E1F48"/>
    <w:rsid w:val="008E2438"/>
    <w:rsid w:val="008E2908"/>
    <w:rsid w:val="008E2A7E"/>
    <w:rsid w:val="008E2CD5"/>
    <w:rsid w:val="008E34A1"/>
    <w:rsid w:val="008E374F"/>
    <w:rsid w:val="008E389B"/>
    <w:rsid w:val="008E3928"/>
    <w:rsid w:val="008E3BFC"/>
    <w:rsid w:val="008E3CB6"/>
    <w:rsid w:val="008E416C"/>
    <w:rsid w:val="008E4198"/>
    <w:rsid w:val="008E4923"/>
    <w:rsid w:val="008E4A56"/>
    <w:rsid w:val="008E4A58"/>
    <w:rsid w:val="008E4B8C"/>
    <w:rsid w:val="008E4F38"/>
    <w:rsid w:val="008E4F55"/>
    <w:rsid w:val="008E4FAE"/>
    <w:rsid w:val="008E524E"/>
    <w:rsid w:val="008E580F"/>
    <w:rsid w:val="008E59D2"/>
    <w:rsid w:val="008E5EDB"/>
    <w:rsid w:val="008E65FB"/>
    <w:rsid w:val="008E6ADD"/>
    <w:rsid w:val="008E6B23"/>
    <w:rsid w:val="008E6C0F"/>
    <w:rsid w:val="008E6EBF"/>
    <w:rsid w:val="008E70EB"/>
    <w:rsid w:val="008E70F8"/>
    <w:rsid w:val="008E727A"/>
    <w:rsid w:val="008E730A"/>
    <w:rsid w:val="008E74F4"/>
    <w:rsid w:val="008E7BD9"/>
    <w:rsid w:val="008E7C36"/>
    <w:rsid w:val="008E7C46"/>
    <w:rsid w:val="008E7CDB"/>
    <w:rsid w:val="008F00C0"/>
    <w:rsid w:val="008F050F"/>
    <w:rsid w:val="008F099C"/>
    <w:rsid w:val="008F0B71"/>
    <w:rsid w:val="008F10AD"/>
    <w:rsid w:val="008F1156"/>
    <w:rsid w:val="008F179F"/>
    <w:rsid w:val="008F18B8"/>
    <w:rsid w:val="008F18C4"/>
    <w:rsid w:val="008F1E79"/>
    <w:rsid w:val="008F1F71"/>
    <w:rsid w:val="008F20ED"/>
    <w:rsid w:val="008F2284"/>
    <w:rsid w:val="008F25C6"/>
    <w:rsid w:val="008F2804"/>
    <w:rsid w:val="008F28BD"/>
    <w:rsid w:val="008F29A9"/>
    <w:rsid w:val="008F2B50"/>
    <w:rsid w:val="008F2DB9"/>
    <w:rsid w:val="008F2FC4"/>
    <w:rsid w:val="008F3385"/>
    <w:rsid w:val="008F3ED3"/>
    <w:rsid w:val="008F406E"/>
    <w:rsid w:val="008F4287"/>
    <w:rsid w:val="008F42A2"/>
    <w:rsid w:val="008F439F"/>
    <w:rsid w:val="008F440C"/>
    <w:rsid w:val="008F450E"/>
    <w:rsid w:val="008F4624"/>
    <w:rsid w:val="008F48A9"/>
    <w:rsid w:val="008F48C3"/>
    <w:rsid w:val="008F5002"/>
    <w:rsid w:val="008F55E0"/>
    <w:rsid w:val="008F57AC"/>
    <w:rsid w:val="008F5840"/>
    <w:rsid w:val="008F58EA"/>
    <w:rsid w:val="008F5952"/>
    <w:rsid w:val="008F5965"/>
    <w:rsid w:val="008F5BC8"/>
    <w:rsid w:val="008F5C10"/>
    <w:rsid w:val="008F5DA9"/>
    <w:rsid w:val="008F608B"/>
    <w:rsid w:val="008F62B5"/>
    <w:rsid w:val="008F62D9"/>
    <w:rsid w:val="008F62EF"/>
    <w:rsid w:val="008F6675"/>
    <w:rsid w:val="008F6927"/>
    <w:rsid w:val="008F6B36"/>
    <w:rsid w:val="008F6EEC"/>
    <w:rsid w:val="008F6FEB"/>
    <w:rsid w:val="008F73A8"/>
    <w:rsid w:val="008F76D7"/>
    <w:rsid w:val="008F7711"/>
    <w:rsid w:val="008F7836"/>
    <w:rsid w:val="008F78C4"/>
    <w:rsid w:val="008F7903"/>
    <w:rsid w:val="008F7956"/>
    <w:rsid w:val="008F799D"/>
    <w:rsid w:val="008F79C4"/>
    <w:rsid w:val="008F7A09"/>
    <w:rsid w:val="008F7AFE"/>
    <w:rsid w:val="008F7CA0"/>
    <w:rsid w:val="0090007D"/>
    <w:rsid w:val="00900107"/>
    <w:rsid w:val="009003DB"/>
    <w:rsid w:val="00900511"/>
    <w:rsid w:val="00900BF7"/>
    <w:rsid w:val="00900D08"/>
    <w:rsid w:val="00900EDE"/>
    <w:rsid w:val="00901421"/>
    <w:rsid w:val="009015A4"/>
    <w:rsid w:val="009016B2"/>
    <w:rsid w:val="00901CA0"/>
    <w:rsid w:val="009020DE"/>
    <w:rsid w:val="00902131"/>
    <w:rsid w:val="00902294"/>
    <w:rsid w:val="009028B6"/>
    <w:rsid w:val="00902B52"/>
    <w:rsid w:val="00902D0F"/>
    <w:rsid w:val="00902D65"/>
    <w:rsid w:val="0090340D"/>
    <w:rsid w:val="0090345A"/>
    <w:rsid w:val="0090372E"/>
    <w:rsid w:val="00903B7F"/>
    <w:rsid w:val="00903C2A"/>
    <w:rsid w:val="00903EBA"/>
    <w:rsid w:val="009044B5"/>
    <w:rsid w:val="00904608"/>
    <w:rsid w:val="009046F2"/>
    <w:rsid w:val="00904EFB"/>
    <w:rsid w:val="009056DF"/>
    <w:rsid w:val="00905EB5"/>
    <w:rsid w:val="00905FD1"/>
    <w:rsid w:val="0090605F"/>
    <w:rsid w:val="0090637E"/>
    <w:rsid w:val="00906477"/>
    <w:rsid w:val="009069FF"/>
    <w:rsid w:val="00906A58"/>
    <w:rsid w:val="00907AB3"/>
    <w:rsid w:val="00907E1A"/>
    <w:rsid w:val="00907E58"/>
    <w:rsid w:val="009101D1"/>
    <w:rsid w:val="009102A7"/>
    <w:rsid w:val="009104C8"/>
    <w:rsid w:val="009105C2"/>
    <w:rsid w:val="009106D4"/>
    <w:rsid w:val="009107F4"/>
    <w:rsid w:val="009107FC"/>
    <w:rsid w:val="00910A34"/>
    <w:rsid w:val="00910DBA"/>
    <w:rsid w:val="00910DDB"/>
    <w:rsid w:val="00910E16"/>
    <w:rsid w:val="00910EC0"/>
    <w:rsid w:val="00910F21"/>
    <w:rsid w:val="0091107E"/>
    <w:rsid w:val="009111E9"/>
    <w:rsid w:val="00911454"/>
    <w:rsid w:val="009116C3"/>
    <w:rsid w:val="00911E60"/>
    <w:rsid w:val="00911FAD"/>
    <w:rsid w:val="009122C1"/>
    <w:rsid w:val="00912594"/>
    <w:rsid w:val="00912CD9"/>
    <w:rsid w:val="00912FA9"/>
    <w:rsid w:val="009130E0"/>
    <w:rsid w:val="0091355B"/>
    <w:rsid w:val="00913741"/>
    <w:rsid w:val="0091393A"/>
    <w:rsid w:val="00913C10"/>
    <w:rsid w:val="00913E18"/>
    <w:rsid w:val="00913E4C"/>
    <w:rsid w:val="009140EE"/>
    <w:rsid w:val="009146AE"/>
    <w:rsid w:val="00914A93"/>
    <w:rsid w:val="00915404"/>
    <w:rsid w:val="00915DE9"/>
    <w:rsid w:val="0091617C"/>
    <w:rsid w:val="009164E7"/>
    <w:rsid w:val="00916FD9"/>
    <w:rsid w:val="0091701E"/>
    <w:rsid w:val="00917257"/>
    <w:rsid w:val="009172C9"/>
    <w:rsid w:val="0091753F"/>
    <w:rsid w:val="009175AB"/>
    <w:rsid w:val="0091792B"/>
    <w:rsid w:val="00917CF1"/>
    <w:rsid w:val="00917D0E"/>
    <w:rsid w:val="00917E72"/>
    <w:rsid w:val="0092048E"/>
    <w:rsid w:val="009204C8"/>
    <w:rsid w:val="00920F08"/>
    <w:rsid w:val="00921770"/>
    <w:rsid w:val="00921780"/>
    <w:rsid w:val="0092182A"/>
    <w:rsid w:val="00921A60"/>
    <w:rsid w:val="009220E1"/>
    <w:rsid w:val="009221E1"/>
    <w:rsid w:val="00922227"/>
    <w:rsid w:val="00922390"/>
    <w:rsid w:val="0092264A"/>
    <w:rsid w:val="00922B78"/>
    <w:rsid w:val="00922D00"/>
    <w:rsid w:val="00922D8E"/>
    <w:rsid w:val="00922F32"/>
    <w:rsid w:val="00922FE0"/>
    <w:rsid w:val="0092321A"/>
    <w:rsid w:val="00923476"/>
    <w:rsid w:val="009234DA"/>
    <w:rsid w:val="00923B2F"/>
    <w:rsid w:val="00923D6D"/>
    <w:rsid w:val="00923E6A"/>
    <w:rsid w:val="00923F37"/>
    <w:rsid w:val="009243E6"/>
    <w:rsid w:val="009244C6"/>
    <w:rsid w:val="00924895"/>
    <w:rsid w:val="00924903"/>
    <w:rsid w:val="00924B26"/>
    <w:rsid w:val="00924ED2"/>
    <w:rsid w:val="0092511F"/>
    <w:rsid w:val="0092536C"/>
    <w:rsid w:val="0092552E"/>
    <w:rsid w:val="0092555B"/>
    <w:rsid w:val="00925794"/>
    <w:rsid w:val="00925B71"/>
    <w:rsid w:val="00925F90"/>
    <w:rsid w:val="00926399"/>
    <w:rsid w:val="009263A3"/>
    <w:rsid w:val="009265C6"/>
    <w:rsid w:val="00926707"/>
    <w:rsid w:val="009268FE"/>
    <w:rsid w:val="00926903"/>
    <w:rsid w:val="00926E9C"/>
    <w:rsid w:val="0092720C"/>
    <w:rsid w:val="0092726F"/>
    <w:rsid w:val="00927281"/>
    <w:rsid w:val="009278AF"/>
    <w:rsid w:val="0092796D"/>
    <w:rsid w:val="00927970"/>
    <w:rsid w:val="009302FB"/>
    <w:rsid w:val="0093046A"/>
    <w:rsid w:val="00930722"/>
    <w:rsid w:val="00930BE4"/>
    <w:rsid w:val="009312E1"/>
    <w:rsid w:val="00931319"/>
    <w:rsid w:val="00931461"/>
    <w:rsid w:val="009318A7"/>
    <w:rsid w:val="00931D68"/>
    <w:rsid w:val="00931F46"/>
    <w:rsid w:val="009320BA"/>
    <w:rsid w:val="0093267C"/>
    <w:rsid w:val="009326C6"/>
    <w:rsid w:val="00932A89"/>
    <w:rsid w:val="00932E2C"/>
    <w:rsid w:val="0093300E"/>
    <w:rsid w:val="00933127"/>
    <w:rsid w:val="0093331C"/>
    <w:rsid w:val="00933553"/>
    <w:rsid w:val="00933E08"/>
    <w:rsid w:val="00933E4A"/>
    <w:rsid w:val="00934160"/>
    <w:rsid w:val="009343D1"/>
    <w:rsid w:val="009345CF"/>
    <w:rsid w:val="00934602"/>
    <w:rsid w:val="0093478A"/>
    <w:rsid w:val="009347F7"/>
    <w:rsid w:val="00934A22"/>
    <w:rsid w:val="00934AA1"/>
    <w:rsid w:val="00934AEC"/>
    <w:rsid w:val="00934BDD"/>
    <w:rsid w:val="00934C72"/>
    <w:rsid w:val="00934CDC"/>
    <w:rsid w:val="00934D40"/>
    <w:rsid w:val="00935447"/>
    <w:rsid w:val="009354E4"/>
    <w:rsid w:val="00935BA5"/>
    <w:rsid w:val="00935BB3"/>
    <w:rsid w:val="00935D81"/>
    <w:rsid w:val="00935E9D"/>
    <w:rsid w:val="0093601A"/>
    <w:rsid w:val="009361FB"/>
    <w:rsid w:val="009365A9"/>
    <w:rsid w:val="0093663B"/>
    <w:rsid w:val="009366E9"/>
    <w:rsid w:val="00936A1D"/>
    <w:rsid w:val="00936C3B"/>
    <w:rsid w:val="00936DB0"/>
    <w:rsid w:val="00936DB3"/>
    <w:rsid w:val="00937045"/>
    <w:rsid w:val="009371B2"/>
    <w:rsid w:val="009373FA"/>
    <w:rsid w:val="0093784C"/>
    <w:rsid w:val="00937B18"/>
    <w:rsid w:val="00937B19"/>
    <w:rsid w:val="00937C71"/>
    <w:rsid w:val="00937DF4"/>
    <w:rsid w:val="009400A7"/>
    <w:rsid w:val="009400AE"/>
    <w:rsid w:val="00940414"/>
    <w:rsid w:val="009405A4"/>
    <w:rsid w:val="009406A8"/>
    <w:rsid w:val="009408E0"/>
    <w:rsid w:val="00940DA2"/>
    <w:rsid w:val="00940E76"/>
    <w:rsid w:val="00941255"/>
    <w:rsid w:val="00941B73"/>
    <w:rsid w:val="00941C94"/>
    <w:rsid w:val="00941CE4"/>
    <w:rsid w:val="00942569"/>
    <w:rsid w:val="009426D4"/>
    <w:rsid w:val="009428EB"/>
    <w:rsid w:val="00942991"/>
    <w:rsid w:val="009429A0"/>
    <w:rsid w:val="0094312A"/>
    <w:rsid w:val="00943487"/>
    <w:rsid w:val="00943505"/>
    <w:rsid w:val="009435EB"/>
    <w:rsid w:val="00943E40"/>
    <w:rsid w:val="009440AB"/>
    <w:rsid w:val="009440C5"/>
    <w:rsid w:val="00944280"/>
    <w:rsid w:val="0094431B"/>
    <w:rsid w:val="00944B24"/>
    <w:rsid w:val="00945002"/>
    <w:rsid w:val="0094514F"/>
    <w:rsid w:val="00945193"/>
    <w:rsid w:val="009454D6"/>
    <w:rsid w:val="009459D0"/>
    <w:rsid w:val="00945AAE"/>
    <w:rsid w:val="00945C15"/>
    <w:rsid w:val="00946643"/>
    <w:rsid w:val="0094682D"/>
    <w:rsid w:val="00946B66"/>
    <w:rsid w:val="00946F54"/>
    <w:rsid w:val="009470C2"/>
    <w:rsid w:val="009478FD"/>
    <w:rsid w:val="00947B23"/>
    <w:rsid w:val="00947CA6"/>
    <w:rsid w:val="00947EF9"/>
    <w:rsid w:val="009502BB"/>
    <w:rsid w:val="009505E4"/>
    <w:rsid w:val="00950E03"/>
    <w:rsid w:val="00950F6B"/>
    <w:rsid w:val="0095113F"/>
    <w:rsid w:val="009511FA"/>
    <w:rsid w:val="00951204"/>
    <w:rsid w:val="009512B4"/>
    <w:rsid w:val="00951401"/>
    <w:rsid w:val="0095152D"/>
    <w:rsid w:val="00951699"/>
    <w:rsid w:val="0095179F"/>
    <w:rsid w:val="00951859"/>
    <w:rsid w:val="00951B03"/>
    <w:rsid w:val="00951DB2"/>
    <w:rsid w:val="0095216E"/>
    <w:rsid w:val="00952388"/>
    <w:rsid w:val="00952554"/>
    <w:rsid w:val="00952804"/>
    <w:rsid w:val="00952C67"/>
    <w:rsid w:val="00952FB6"/>
    <w:rsid w:val="009539C3"/>
    <w:rsid w:val="00953EDB"/>
    <w:rsid w:val="00953F5D"/>
    <w:rsid w:val="00954191"/>
    <w:rsid w:val="00954237"/>
    <w:rsid w:val="009546F9"/>
    <w:rsid w:val="00954BFD"/>
    <w:rsid w:val="009550CA"/>
    <w:rsid w:val="0095516F"/>
    <w:rsid w:val="00955194"/>
    <w:rsid w:val="009552E5"/>
    <w:rsid w:val="0095536A"/>
    <w:rsid w:val="0095581E"/>
    <w:rsid w:val="009559E5"/>
    <w:rsid w:val="00955A37"/>
    <w:rsid w:val="009561E1"/>
    <w:rsid w:val="00956A51"/>
    <w:rsid w:val="00956AFE"/>
    <w:rsid w:val="0095714A"/>
    <w:rsid w:val="009575DB"/>
    <w:rsid w:val="00957895"/>
    <w:rsid w:val="00957C42"/>
    <w:rsid w:val="00957C49"/>
    <w:rsid w:val="009602E2"/>
    <w:rsid w:val="00960609"/>
    <w:rsid w:val="00960871"/>
    <w:rsid w:val="009608C5"/>
    <w:rsid w:val="0096090A"/>
    <w:rsid w:val="0096118B"/>
    <w:rsid w:val="009611D5"/>
    <w:rsid w:val="009614BA"/>
    <w:rsid w:val="009615C7"/>
    <w:rsid w:val="00961678"/>
    <w:rsid w:val="0096184E"/>
    <w:rsid w:val="00961F78"/>
    <w:rsid w:val="00961FD9"/>
    <w:rsid w:val="009623C7"/>
    <w:rsid w:val="0096247A"/>
    <w:rsid w:val="0096254D"/>
    <w:rsid w:val="0096263C"/>
    <w:rsid w:val="009626B1"/>
    <w:rsid w:val="009629E1"/>
    <w:rsid w:val="00962E02"/>
    <w:rsid w:val="00962E81"/>
    <w:rsid w:val="00963095"/>
    <w:rsid w:val="009630A7"/>
    <w:rsid w:val="0096324B"/>
    <w:rsid w:val="00963380"/>
    <w:rsid w:val="0096363E"/>
    <w:rsid w:val="0096380E"/>
    <w:rsid w:val="00963A73"/>
    <w:rsid w:val="00963B54"/>
    <w:rsid w:val="00963BDC"/>
    <w:rsid w:val="009641BC"/>
    <w:rsid w:val="00964470"/>
    <w:rsid w:val="00964539"/>
    <w:rsid w:val="009647D0"/>
    <w:rsid w:val="009647EA"/>
    <w:rsid w:val="00964F94"/>
    <w:rsid w:val="0096501C"/>
    <w:rsid w:val="00965587"/>
    <w:rsid w:val="0096569B"/>
    <w:rsid w:val="00965C67"/>
    <w:rsid w:val="009664B3"/>
    <w:rsid w:val="009666C2"/>
    <w:rsid w:val="009666DC"/>
    <w:rsid w:val="00966A81"/>
    <w:rsid w:val="0096726C"/>
    <w:rsid w:val="00967310"/>
    <w:rsid w:val="00967349"/>
    <w:rsid w:val="009673C0"/>
    <w:rsid w:val="0096747E"/>
    <w:rsid w:val="00967A7A"/>
    <w:rsid w:val="00970413"/>
    <w:rsid w:val="00970A22"/>
    <w:rsid w:val="00970B4A"/>
    <w:rsid w:val="00971B13"/>
    <w:rsid w:val="00971C1C"/>
    <w:rsid w:val="00971E10"/>
    <w:rsid w:val="00972775"/>
    <w:rsid w:val="00972C1C"/>
    <w:rsid w:val="00972CBC"/>
    <w:rsid w:val="00972D6F"/>
    <w:rsid w:val="009730F1"/>
    <w:rsid w:val="00973128"/>
    <w:rsid w:val="00973336"/>
    <w:rsid w:val="009734F1"/>
    <w:rsid w:val="00973640"/>
    <w:rsid w:val="009739F7"/>
    <w:rsid w:val="00973C56"/>
    <w:rsid w:val="00973DAB"/>
    <w:rsid w:val="00973F45"/>
    <w:rsid w:val="009740DD"/>
    <w:rsid w:val="009743D2"/>
    <w:rsid w:val="00974511"/>
    <w:rsid w:val="00974B68"/>
    <w:rsid w:val="009751D8"/>
    <w:rsid w:val="009753A3"/>
    <w:rsid w:val="0097540F"/>
    <w:rsid w:val="0097558E"/>
    <w:rsid w:val="00975A63"/>
    <w:rsid w:val="00975E85"/>
    <w:rsid w:val="009762BC"/>
    <w:rsid w:val="009763EF"/>
    <w:rsid w:val="009766BD"/>
    <w:rsid w:val="009767DD"/>
    <w:rsid w:val="00977203"/>
    <w:rsid w:val="009772A2"/>
    <w:rsid w:val="0097733B"/>
    <w:rsid w:val="00977915"/>
    <w:rsid w:val="00977A94"/>
    <w:rsid w:val="00977AA2"/>
    <w:rsid w:val="00977F66"/>
    <w:rsid w:val="00980331"/>
    <w:rsid w:val="009805FA"/>
    <w:rsid w:val="00980859"/>
    <w:rsid w:val="00980A86"/>
    <w:rsid w:val="00980DE0"/>
    <w:rsid w:val="00980E03"/>
    <w:rsid w:val="0098107E"/>
    <w:rsid w:val="00981080"/>
    <w:rsid w:val="00981132"/>
    <w:rsid w:val="00981369"/>
    <w:rsid w:val="00981936"/>
    <w:rsid w:val="009819B3"/>
    <w:rsid w:val="009819E9"/>
    <w:rsid w:val="00981D35"/>
    <w:rsid w:val="00981DBF"/>
    <w:rsid w:val="00981E01"/>
    <w:rsid w:val="00981F91"/>
    <w:rsid w:val="00981FAD"/>
    <w:rsid w:val="00982039"/>
    <w:rsid w:val="009820A7"/>
    <w:rsid w:val="0098269F"/>
    <w:rsid w:val="00982ABA"/>
    <w:rsid w:val="00982BA2"/>
    <w:rsid w:val="00983775"/>
    <w:rsid w:val="009837C9"/>
    <w:rsid w:val="00983817"/>
    <w:rsid w:val="00983D0B"/>
    <w:rsid w:val="00983DF4"/>
    <w:rsid w:val="00984306"/>
    <w:rsid w:val="00984AC8"/>
    <w:rsid w:val="00985195"/>
    <w:rsid w:val="00985555"/>
    <w:rsid w:val="009859FD"/>
    <w:rsid w:val="00985C87"/>
    <w:rsid w:val="00985DC0"/>
    <w:rsid w:val="00986437"/>
    <w:rsid w:val="00986846"/>
    <w:rsid w:val="00986CFD"/>
    <w:rsid w:val="00986DEB"/>
    <w:rsid w:val="009872AD"/>
    <w:rsid w:val="009876B4"/>
    <w:rsid w:val="00987745"/>
    <w:rsid w:val="00987A83"/>
    <w:rsid w:val="00987E10"/>
    <w:rsid w:val="009904E4"/>
    <w:rsid w:val="00990A36"/>
    <w:rsid w:val="00990DE2"/>
    <w:rsid w:val="0099121E"/>
    <w:rsid w:val="0099127F"/>
    <w:rsid w:val="009915B8"/>
    <w:rsid w:val="00991881"/>
    <w:rsid w:val="00991929"/>
    <w:rsid w:val="009919DC"/>
    <w:rsid w:val="00991AA6"/>
    <w:rsid w:val="00991C14"/>
    <w:rsid w:val="00991D49"/>
    <w:rsid w:val="00992066"/>
    <w:rsid w:val="00992361"/>
    <w:rsid w:val="00992938"/>
    <w:rsid w:val="009929EC"/>
    <w:rsid w:val="00992ACD"/>
    <w:rsid w:val="00992AFF"/>
    <w:rsid w:val="00992D2A"/>
    <w:rsid w:val="00993226"/>
    <w:rsid w:val="00993E3F"/>
    <w:rsid w:val="00993F75"/>
    <w:rsid w:val="00994058"/>
    <w:rsid w:val="00994478"/>
    <w:rsid w:val="0099460D"/>
    <w:rsid w:val="00994AB0"/>
    <w:rsid w:val="00994CB9"/>
    <w:rsid w:val="00994CD5"/>
    <w:rsid w:val="00994F63"/>
    <w:rsid w:val="0099567F"/>
    <w:rsid w:val="0099571D"/>
    <w:rsid w:val="00995742"/>
    <w:rsid w:val="0099593B"/>
    <w:rsid w:val="00995A15"/>
    <w:rsid w:val="00995BB5"/>
    <w:rsid w:val="00995CF2"/>
    <w:rsid w:val="00995F51"/>
    <w:rsid w:val="0099643B"/>
    <w:rsid w:val="009965C9"/>
    <w:rsid w:val="00996762"/>
    <w:rsid w:val="00996F0F"/>
    <w:rsid w:val="00997190"/>
    <w:rsid w:val="009979C1"/>
    <w:rsid w:val="00997B09"/>
    <w:rsid w:val="00997B45"/>
    <w:rsid w:val="00997CC1"/>
    <w:rsid w:val="00997F4D"/>
    <w:rsid w:val="009A0057"/>
    <w:rsid w:val="009A0181"/>
    <w:rsid w:val="009A034E"/>
    <w:rsid w:val="009A09A2"/>
    <w:rsid w:val="009A0E7F"/>
    <w:rsid w:val="009A0EA8"/>
    <w:rsid w:val="009A1060"/>
    <w:rsid w:val="009A10DF"/>
    <w:rsid w:val="009A123D"/>
    <w:rsid w:val="009A126B"/>
    <w:rsid w:val="009A14D5"/>
    <w:rsid w:val="009A15E8"/>
    <w:rsid w:val="009A171A"/>
    <w:rsid w:val="009A1B4D"/>
    <w:rsid w:val="009A1B7E"/>
    <w:rsid w:val="009A1F24"/>
    <w:rsid w:val="009A21AE"/>
    <w:rsid w:val="009A23BB"/>
    <w:rsid w:val="009A23C1"/>
    <w:rsid w:val="009A23F5"/>
    <w:rsid w:val="009A29A7"/>
    <w:rsid w:val="009A2C3E"/>
    <w:rsid w:val="009A2D80"/>
    <w:rsid w:val="009A328A"/>
    <w:rsid w:val="009A33B6"/>
    <w:rsid w:val="009A367D"/>
    <w:rsid w:val="009A3807"/>
    <w:rsid w:val="009A38DE"/>
    <w:rsid w:val="009A3CA8"/>
    <w:rsid w:val="009A4055"/>
    <w:rsid w:val="009A40ED"/>
    <w:rsid w:val="009A491B"/>
    <w:rsid w:val="009A49C1"/>
    <w:rsid w:val="009A49F9"/>
    <w:rsid w:val="009A4BA6"/>
    <w:rsid w:val="009A4E34"/>
    <w:rsid w:val="009A5400"/>
    <w:rsid w:val="009A555A"/>
    <w:rsid w:val="009A557D"/>
    <w:rsid w:val="009A5F21"/>
    <w:rsid w:val="009A5F42"/>
    <w:rsid w:val="009A62DF"/>
    <w:rsid w:val="009A66A0"/>
    <w:rsid w:val="009A6B21"/>
    <w:rsid w:val="009A6C5A"/>
    <w:rsid w:val="009A6DA9"/>
    <w:rsid w:val="009A6F20"/>
    <w:rsid w:val="009A7088"/>
    <w:rsid w:val="009A7457"/>
    <w:rsid w:val="009A75F4"/>
    <w:rsid w:val="009A7E1B"/>
    <w:rsid w:val="009B0014"/>
    <w:rsid w:val="009B002D"/>
    <w:rsid w:val="009B0381"/>
    <w:rsid w:val="009B0612"/>
    <w:rsid w:val="009B0673"/>
    <w:rsid w:val="009B06B4"/>
    <w:rsid w:val="009B0AEA"/>
    <w:rsid w:val="009B0BE2"/>
    <w:rsid w:val="009B0D2F"/>
    <w:rsid w:val="009B0D59"/>
    <w:rsid w:val="009B0F4B"/>
    <w:rsid w:val="009B1135"/>
    <w:rsid w:val="009B116D"/>
    <w:rsid w:val="009B12AE"/>
    <w:rsid w:val="009B18F6"/>
    <w:rsid w:val="009B1A25"/>
    <w:rsid w:val="009B1A36"/>
    <w:rsid w:val="009B1B8F"/>
    <w:rsid w:val="009B24FF"/>
    <w:rsid w:val="009B2689"/>
    <w:rsid w:val="009B282D"/>
    <w:rsid w:val="009B2BC1"/>
    <w:rsid w:val="009B2BD8"/>
    <w:rsid w:val="009B2F4B"/>
    <w:rsid w:val="009B2F99"/>
    <w:rsid w:val="009B329F"/>
    <w:rsid w:val="009B339A"/>
    <w:rsid w:val="009B33D7"/>
    <w:rsid w:val="009B359E"/>
    <w:rsid w:val="009B3C99"/>
    <w:rsid w:val="009B3E93"/>
    <w:rsid w:val="009B4367"/>
    <w:rsid w:val="009B4764"/>
    <w:rsid w:val="009B48FC"/>
    <w:rsid w:val="009B4D35"/>
    <w:rsid w:val="009B4E4C"/>
    <w:rsid w:val="009B4EC9"/>
    <w:rsid w:val="009B4F40"/>
    <w:rsid w:val="009B4FFE"/>
    <w:rsid w:val="009B50BE"/>
    <w:rsid w:val="009B5A27"/>
    <w:rsid w:val="009B601A"/>
    <w:rsid w:val="009B622C"/>
    <w:rsid w:val="009B6349"/>
    <w:rsid w:val="009B6642"/>
    <w:rsid w:val="009B67EA"/>
    <w:rsid w:val="009B685B"/>
    <w:rsid w:val="009B6BA9"/>
    <w:rsid w:val="009B6C5D"/>
    <w:rsid w:val="009B6CE6"/>
    <w:rsid w:val="009B6F21"/>
    <w:rsid w:val="009B6F25"/>
    <w:rsid w:val="009B7128"/>
    <w:rsid w:val="009B72DF"/>
    <w:rsid w:val="009B7405"/>
    <w:rsid w:val="009B7815"/>
    <w:rsid w:val="009B78CB"/>
    <w:rsid w:val="009B797D"/>
    <w:rsid w:val="009B7D0C"/>
    <w:rsid w:val="009C0271"/>
    <w:rsid w:val="009C0C0C"/>
    <w:rsid w:val="009C1150"/>
    <w:rsid w:val="009C1171"/>
    <w:rsid w:val="009C11A2"/>
    <w:rsid w:val="009C123A"/>
    <w:rsid w:val="009C1269"/>
    <w:rsid w:val="009C17F7"/>
    <w:rsid w:val="009C2312"/>
    <w:rsid w:val="009C2581"/>
    <w:rsid w:val="009C264C"/>
    <w:rsid w:val="009C2999"/>
    <w:rsid w:val="009C3454"/>
    <w:rsid w:val="009C351D"/>
    <w:rsid w:val="009C3DF7"/>
    <w:rsid w:val="009C46A7"/>
    <w:rsid w:val="009C4BD2"/>
    <w:rsid w:val="009C4C3B"/>
    <w:rsid w:val="009C5074"/>
    <w:rsid w:val="009C50CD"/>
    <w:rsid w:val="009C50EB"/>
    <w:rsid w:val="009C55B3"/>
    <w:rsid w:val="009C588F"/>
    <w:rsid w:val="009C60C3"/>
    <w:rsid w:val="009C6152"/>
    <w:rsid w:val="009C6281"/>
    <w:rsid w:val="009C64EA"/>
    <w:rsid w:val="009C6727"/>
    <w:rsid w:val="009C68B1"/>
    <w:rsid w:val="009C6D79"/>
    <w:rsid w:val="009C6DCD"/>
    <w:rsid w:val="009C6FC9"/>
    <w:rsid w:val="009C746F"/>
    <w:rsid w:val="009C7857"/>
    <w:rsid w:val="009C7E92"/>
    <w:rsid w:val="009CAAC8"/>
    <w:rsid w:val="009D0325"/>
    <w:rsid w:val="009D0332"/>
    <w:rsid w:val="009D037B"/>
    <w:rsid w:val="009D0941"/>
    <w:rsid w:val="009D0C85"/>
    <w:rsid w:val="009D0CB2"/>
    <w:rsid w:val="009D0E93"/>
    <w:rsid w:val="009D10B6"/>
    <w:rsid w:val="009D1145"/>
    <w:rsid w:val="009D13CF"/>
    <w:rsid w:val="009D1A0C"/>
    <w:rsid w:val="009D1DA5"/>
    <w:rsid w:val="009D209B"/>
    <w:rsid w:val="009D237F"/>
    <w:rsid w:val="009D2748"/>
    <w:rsid w:val="009D2865"/>
    <w:rsid w:val="009D291E"/>
    <w:rsid w:val="009D2EB0"/>
    <w:rsid w:val="009D3555"/>
    <w:rsid w:val="009D362E"/>
    <w:rsid w:val="009D3C2B"/>
    <w:rsid w:val="009D3F56"/>
    <w:rsid w:val="009D418B"/>
    <w:rsid w:val="009D4263"/>
    <w:rsid w:val="009D47AE"/>
    <w:rsid w:val="009D4A49"/>
    <w:rsid w:val="009D4C55"/>
    <w:rsid w:val="009D518E"/>
    <w:rsid w:val="009D51BA"/>
    <w:rsid w:val="009D5251"/>
    <w:rsid w:val="009D542E"/>
    <w:rsid w:val="009D5A52"/>
    <w:rsid w:val="009D5AE0"/>
    <w:rsid w:val="009D5FE4"/>
    <w:rsid w:val="009D615B"/>
    <w:rsid w:val="009D67B3"/>
    <w:rsid w:val="009D6B92"/>
    <w:rsid w:val="009D7442"/>
    <w:rsid w:val="009D7C46"/>
    <w:rsid w:val="009D7F5D"/>
    <w:rsid w:val="009E00CF"/>
    <w:rsid w:val="009E0175"/>
    <w:rsid w:val="009E0365"/>
    <w:rsid w:val="009E0526"/>
    <w:rsid w:val="009E05D7"/>
    <w:rsid w:val="009E0896"/>
    <w:rsid w:val="009E0897"/>
    <w:rsid w:val="009E0E1E"/>
    <w:rsid w:val="009E0E31"/>
    <w:rsid w:val="009E0E3B"/>
    <w:rsid w:val="009E0F3B"/>
    <w:rsid w:val="009E10D0"/>
    <w:rsid w:val="009E15DE"/>
    <w:rsid w:val="009E1D13"/>
    <w:rsid w:val="009E1D14"/>
    <w:rsid w:val="009E1F32"/>
    <w:rsid w:val="009E28ED"/>
    <w:rsid w:val="009E3008"/>
    <w:rsid w:val="009E3201"/>
    <w:rsid w:val="009E340B"/>
    <w:rsid w:val="009E3646"/>
    <w:rsid w:val="009E3657"/>
    <w:rsid w:val="009E3781"/>
    <w:rsid w:val="009E492B"/>
    <w:rsid w:val="009E49D3"/>
    <w:rsid w:val="009E4A29"/>
    <w:rsid w:val="009E4B09"/>
    <w:rsid w:val="009E4C07"/>
    <w:rsid w:val="009E4DD2"/>
    <w:rsid w:val="009E4E71"/>
    <w:rsid w:val="009E51A8"/>
    <w:rsid w:val="009E549A"/>
    <w:rsid w:val="009E54F1"/>
    <w:rsid w:val="009E554E"/>
    <w:rsid w:val="009E5A7D"/>
    <w:rsid w:val="009E623C"/>
    <w:rsid w:val="009E6551"/>
    <w:rsid w:val="009E6C92"/>
    <w:rsid w:val="009E701B"/>
    <w:rsid w:val="009E783E"/>
    <w:rsid w:val="009E78CE"/>
    <w:rsid w:val="009E78F5"/>
    <w:rsid w:val="009E7F2F"/>
    <w:rsid w:val="009F02B3"/>
    <w:rsid w:val="009F09F5"/>
    <w:rsid w:val="009F0BC4"/>
    <w:rsid w:val="009F121D"/>
    <w:rsid w:val="009F14A4"/>
    <w:rsid w:val="009F16EB"/>
    <w:rsid w:val="009F180D"/>
    <w:rsid w:val="009F1A9E"/>
    <w:rsid w:val="009F1C56"/>
    <w:rsid w:val="009F1D3C"/>
    <w:rsid w:val="009F1D85"/>
    <w:rsid w:val="009F26FD"/>
    <w:rsid w:val="009F275A"/>
    <w:rsid w:val="009F2E90"/>
    <w:rsid w:val="009F2EC3"/>
    <w:rsid w:val="009F2F62"/>
    <w:rsid w:val="009F34DB"/>
    <w:rsid w:val="009F3BA2"/>
    <w:rsid w:val="009F3E82"/>
    <w:rsid w:val="009F4063"/>
    <w:rsid w:val="009F4D27"/>
    <w:rsid w:val="009F4E8A"/>
    <w:rsid w:val="009F52B0"/>
    <w:rsid w:val="009F5836"/>
    <w:rsid w:val="009F58E2"/>
    <w:rsid w:val="009F5917"/>
    <w:rsid w:val="009F6728"/>
    <w:rsid w:val="009F695F"/>
    <w:rsid w:val="009F6963"/>
    <w:rsid w:val="009F6B64"/>
    <w:rsid w:val="009F6FC9"/>
    <w:rsid w:val="009F7E5E"/>
    <w:rsid w:val="00A010B0"/>
    <w:rsid w:val="00A018C9"/>
    <w:rsid w:val="00A01A39"/>
    <w:rsid w:val="00A01CC8"/>
    <w:rsid w:val="00A01D71"/>
    <w:rsid w:val="00A01E02"/>
    <w:rsid w:val="00A01EF0"/>
    <w:rsid w:val="00A01F3A"/>
    <w:rsid w:val="00A02495"/>
    <w:rsid w:val="00A024D2"/>
    <w:rsid w:val="00A02691"/>
    <w:rsid w:val="00A02A20"/>
    <w:rsid w:val="00A02AA0"/>
    <w:rsid w:val="00A02C5A"/>
    <w:rsid w:val="00A02E2D"/>
    <w:rsid w:val="00A0302C"/>
    <w:rsid w:val="00A030B9"/>
    <w:rsid w:val="00A032E2"/>
    <w:rsid w:val="00A03BD7"/>
    <w:rsid w:val="00A04972"/>
    <w:rsid w:val="00A04C74"/>
    <w:rsid w:val="00A04D28"/>
    <w:rsid w:val="00A04E05"/>
    <w:rsid w:val="00A05158"/>
    <w:rsid w:val="00A052B5"/>
    <w:rsid w:val="00A054AD"/>
    <w:rsid w:val="00A05898"/>
    <w:rsid w:val="00A05C59"/>
    <w:rsid w:val="00A05E86"/>
    <w:rsid w:val="00A0684E"/>
    <w:rsid w:val="00A06DFD"/>
    <w:rsid w:val="00A07169"/>
    <w:rsid w:val="00A07533"/>
    <w:rsid w:val="00A07578"/>
    <w:rsid w:val="00A07DCF"/>
    <w:rsid w:val="00A1005D"/>
    <w:rsid w:val="00A105C7"/>
    <w:rsid w:val="00A107E5"/>
    <w:rsid w:val="00A10806"/>
    <w:rsid w:val="00A108DE"/>
    <w:rsid w:val="00A10AA7"/>
    <w:rsid w:val="00A10E24"/>
    <w:rsid w:val="00A113D8"/>
    <w:rsid w:val="00A116C0"/>
    <w:rsid w:val="00A11789"/>
    <w:rsid w:val="00A11A2D"/>
    <w:rsid w:val="00A11B75"/>
    <w:rsid w:val="00A11B8B"/>
    <w:rsid w:val="00A122A3"/>
    <w:rsid w:val="00A12342"/>
    <w:rsid w:val="00A124FC"/>
    <w:rsid w:val="00A126D1"/>
    <w:rsid w:val="00A12A6B"/>
    <w:rsid w:val="00A12A95"/>
    <w:rsid w:val="00A1311C"/>
    <w:rsid w:val="00A13581"/>
    <w:rsid w:val="00A135AF"/>
    <w:rsid w:val="00A13AA7"/>
    <w:rsid w:val="00A141B9"/>
    <w:rsid w:val="00A14457"/>
    <w:rsid w:val="00A14472"/>
    <w:rsid w:val="00A146DF"/>
    <w:rsid w:val="00A148BE"/>
    <w:rsid w:val="00A15187"/>
    <w:rsid w:val="00A157B6"/>
    <w:rsid w:val="00A15BDB"/>
    <w:rsid w:val="00A15C3C"/>
    <w:rsid w:val="00A16319"/>
    <w:rsid w:val="00A163B7"/>
    <w:rsid w:val="00A166EC"/>
    <w:rsid w:val="00A16B22"/>
    <w:rsid w:val="00A16B8A"/>
    <w:rsid w:val="00A16E0D"/>
    <w:rsid w:val="00A16F58"/>
    <w:rsid w:val="00A1702A"/>
    <w:rsid w:val="00A171F7"/>
    <w:rsid w:val="00A176EC"/>
    <w:rsid w:val="00A176ED"/>
    <w:rsid w:val="00A17970"/>
    <w:rsid w:val="00A17D6D"/>
    <w:rsid w:val="00A17E47"/>
    <w:rsid w:val="00A17EC4"/>
    <w:rsid w:val="00A20179"/>
    <w:rsid w:val="00A203C4"/>
    <w:rsid w:val="00A20483"/>
    <w:rsid w:val="00A20585"/>
    <w:rsid w:val="00A20ACA"/>
    <w:rsid w:val="00A210C6"/>
    <w:rsid w:val="00A218C0"/>
    <w:rsid w:val="00A2196B"/>
    <w:rsid w:val="00A2277A"/>
    <w:rsid w:val="00A22959"/>
    <w:rsid w:val="00A22ACD"/>
    <w:rsid w:val="00A22C0A"/>
    <w:rsid w:val="00A22C65"/>
    <w:rsid w:val="00A22F9D"/>
    <w:rsid w:val="00A233ED"/>
    <w:rsid w:val="00A23603"/>
    <w:rsid w:val="00A2367B"/>
    <w:rsid w:val="00A23746"/>
    <w:rsid w:val="00A2397C"/>
    <w:rsid w:val="00A244EC"/>
    <w:rsid w:val="00A24544"/>
    <w:rsid w:val="00A2481C"/>
    <w:rsid w:val="00A24EE7"/>
    <w:rsid w:val="00A24F80"/>
    <w:rsid w:val="00A258FE"/>
    <w:rsid w:val="00A25A5B"/>
    <w:rsid w:val="00A25ABA"/>
    <w:rsid w:val="00A25C63"/>
    <w:rsid w:val="00A26083"/>
    <w:rsid w:val="00A26820"/>
    <w:rsid w:val="00A26D95"/>
    <w:rsid w:val="00A26F7A"/>
    <w:rsid w:val="00A2723C"/>
    <w:rsid w:val="00A27257"/>
    <w:rsid w:val="00A27496"/>
    <w:rsid w:val="00A27753"/>
    <w:rsid w:val="00A27DE5"/>
    <w:rsid w:val="00A302C7"/>
    <w:rsid w:val="00A30314"/>
    <w:rsid w:val="00A30DC2"/>
    <w:rsid w:val="00A30E26"/>
    <w:rsid w:val="00A31127"/>
    <w:rsid w:val="00A31436"/>
    <w:rsid w:val="00A314FD"/>
    <w:rsid w:val="00A318A9"/>
    <w:rsid w:val="00A31B23"/>
    <w:rsid w:val="00A31D9C"/>
    <w:rsid w:val="00A31DF8"/>
    <w:rsid w:val="00A31F84"/>
    <w:rsid w:val="00A3232F"/>
    <w:rsid w:val="00A32449"/>
    <w:rsid w:val="00A324A3"/>
    <w:rsid w:val="00A32CCC"/>
    <w:rsid w:val="00A33491"/>
    <w:rsid w:val="00A335E2"/>
    <w:rsid w:val="00A33633"/>
    <w:rsid w:val="00A3393F"/>
    <w:rsid w:val="00A33A7F"/>
    <w:rsid w:val="00A3433F"/>
    <w:rsid w:val="00A3486E"/>
    <w:rsid w:val="00A34BBF"/>
    <w:rsid w:val="00A34BFD"/>
    <w:rsid w:val="00A34CB3"/>
    <w:rsid w:val="00A35336"/>
    <w:rsid w:val="00A3539B"/>
    <w:rsid w:val="00A358C1"/>
    <w:rsid w:val="00A35AC3"/>
    <w:rsid w:val="00A35F4D"/>
    <w:rsid w:val="00A36313"/>
    <w:rsid w:val="00A36611"/>
    <w:rsid w:val="00A36AF3"/>
    <w:rsid w:val="00A36E92"/>
    <w:rsid w:val="00A36F45"/>
    <w:rsid w:val="00A37082"/>
    <w:rsid w:val="00A370B4"/>
    <w:rsid w:val="00A3742D"/>
    <w:rsid w:val="00A377D1"/>
    <w:rsid w:val="00A3784B"/>
    <w:rsid w:val="00A37A16"/>
    <w:rsid w:val="00A37B45"/>
    <w:rsid w:val="00A40C55"/>
    <w:rsid w:val="00A40D86"/>
    <w:rsid w:val="00A40E62"/>
    <w:rsid w:val="00A4101F"/>
    <w:rsid w:val="00A410DE"/>
    <w:rsid w:val="00A4147B"/>
    <w:rsid w:val="00A41777"/>
    <w:rsid w:val="00A41C79"/>
    <w:rsid w:val="00A41F81"/>
    <w:rsid w:val="00A422FE"/>
    <w:rsid w:val="00A42C3B"/>
    <w:rsid w:val="00A42ED3"/>
    <w:rsid w:val="00A435A8"/>
    <w:rsid w:val="00A435D3"/>
    <w:rsid w:val="00A43A00"/>
    <w:rsid w:val="00A43AC1"/>
    <w:rsid w:val="00A43C44"/>
    <w:rsid w:val="00A44E41"/>
    <w:rsid w:val="00A44E48"/>
    <w:rsid w:val="00A44EA0"/>
    <w:rsid w:val="00A45026"/>
    <w:rsid w:val="00A4553E"/>
    <w:rsid w:val="00A455A2"/>
    <w:rsid w:val="00A45810"/>
    <w:rsid w:val="00A45B6C"/>
    <w:rsid w:val="00A45BE7"/>
    <w:rsid w:val="00A45C4A"/>
    <w:rsid w:val="00A45F4D"/>
    <w:rsid w:val="00A460E8"/>
    <w:rsid w:val="00A46384"/>
    <w:rsid w:val="00A46423"/>
    <w:rsid w:val="00A465D3"/>
    <w:rsid w:val="00A46C70"/>
    <w:rsid w:val="00A4709F"/>
    <w:rsid w:val="00A47152"/>
    <w:rsid w:val="00A47364"/>
    <w:rsid w:val="00A47538"/>
    <w:rsid w:val="00A476C0"/>
    <w:rsid w:val="00A502FE"/>
    <w:rsid w:val="00A50458"/>
    <w:rsid w:val="00A50774"/>
    <w:rsid w:val="00A50849"/>
    <w:rsid w:val="00A50A14"/>
    <w:rsid w:val="00A51049"/>
    <w:rsid w:val="00A513E7"/>
    <w:rsid w:val="00A516A5"/>
    <w:rsid w:val="00A5177C"/>
    <w:rsid w:val="00A51BBA"/>
    <w:rsid w:val="00A51C66"/>
    <w:rsid w:val="00A5202B"/>
    <w:rsid w:val="00A5225E"/>
    <w:rsid w:val="00A523E4"/>
    <w:rsid w:val="00A523EE"/>
    <w:rsid w:val="00A523F7"/>
    <w:rsid w:val="00A52CE1"/>
    <w:rsid w:val="00A52E1C"/>
    <w:rsid w:val="00A52E1D"/>
    <w:rsid w:val="00A53089"/>
    <w:rsid w:val="00A5314F"/>
    <w:rsid w:val="00A53496"/>
    <w:rsid w:val="00A534C6"/>
    <w:rsid w:val="00A5350A"/>
    <w:rsid w:val="00A53857"/>
    <w:rsid w:val="00A53D42"/>
    <w:rsid w:val="00A53EA1"/>
    <w:rsid w:val="00A5405D"/>
    <w:rsid w:val="00A540A8"/>
    <w:rsid w:val="00A5476D"/>
    <w:rsid w:val="00A5484F"/>
    <w:rsid w:val="00A54BBE"/>
    <w:rsid w:val="00A54C9D"/>
    <w:rsid w:val="00A54CE3"/>
    <w:rsid w:val="00A5506A"/>
    <w:rsid w:val="00A55261"/>
    <w:rsid w:val="00A55513"/>
    <w:rsid w:val="00A557A1"/>
    <w:rsid w:val="00A55A44"/>
    <w:rsid w:val="00A55D0E"/>
    <w:rsid w:val="00A55D67"/>
    <w:rsid w:val="00A55D7E"/>
    <w:rsid w:val="00A55E6A"/>
    <w:rsid w:val="00A55EB6"/>
    <w:rsid w:val="00A566AA"/>
    <w:rsid w:val="00A56B5A"/>
    <w:rsid w:val="00A56D14"/>
    <w:rsid w:val="00A57044"/>
    <w:rsid w:val="00A5736E"/>
    <w:rsid w:val="00A576B3"/>
    <w:rsid w:val="00A579E0"/>
    <w:rsid w:val="00A57F5A"/>
    <w:rsid w:val="00A6027F"/>
    <w:rsid w:val="00A603D2"/>
    <w:rsid w:val="00A60679"/>
    <w:rsid w:val="00A60B19"/>
    <w:rsid w:val="00A60DA2"/>
    <w:rsid w:val="00A6168E"/>
    <w:rsid w:val="00A61A68"/>
    <w:rsid w:val="00A61C0B"/>
    <w:rsid w:val="00A61C0D"/>
    <w:rsid w:val="00A61CB7"/>
    <w:rsid w:val="00A61CE5"/>
    <w:rsid w:val="00A61DA1"/>
    <w:rsid w:val="00A61DC4"/>
    <w:rsid w:val="00A61E8C"/>
    <w:rsid w:val="00A61EB0"/>
    <w:rsid w:val="00A61F66"/>
    <w:rsid w:val="00A62159"/>
    <w:rsid w:val="00A62383"/>
    <w:rsid w:val="00A62856"/>
    <w:rsid w:val="00A62948"/>
    <w:rsid w:val="00A62976"/>
    <w:rsid w:val="00A62A28"/>
    <w:rsid w:val="00A62B9C"/>
    <w:rsid w:val="00A62FFF"/>
    <w:rsid w:val="00A631BB"/>
    <w:rsid w:val="00A63C60"/>
    <w:rsid w:val="00A63FF2"/>
    <w:rsid w:val="00A64281"/>
    <w:rsid w:val="00A642F8"/>
    <w:rsid w:val="00A643E8"/>
    <w:rsid w:val="00A645C3"/>
    <w:rsid w:val="00A64D3B"/>
    <w:rsid w:val="00A64DAE"/>
    <w:rsid w:val="00A64F77"/>
    <w:rsid w:val="00A65034"/>
    <w:rsid w:val="00A65799"/>
    <w:rsid w:val="00A65821"/>
    <w:rsid w:val="00A65C9C"/>
    <w:rsid w:val="00A65F57"/>
    <w:rsid w:val="00A66016"/>
    <w:rsid w:val="00A6617D"/>
    <w:rsid w:val="00A662C1"/>
    <w:rsid w:val="00A66493"/>
    <w:rsid w:val="00A664F0"/>
    <w:rsid w:val="00A666A7"/>
    <w:rsid w:val="00A6673B"/>
    <w:rsid w:val="00A667D6"/>
    <w:rsid w:val="00A670D8"/>
    <w:rsid w:val="00A670F0"/>
    <w:rsid w:val="00A6759B"/>
    <w:rsid w:val="00A675F4"/>
    <w:rsid w:val="00A6767C"/>
    <w:rsid w:val="00A676A9"/>
    <w:rsid w:val="00A677F0"/>
    <w:rsid w:val="00A7028B"/>
    <w:rsid w:val="00A702A1"/>
    <w:rsid w:val="00A70B5D"/>
    <w:rsid w:val="00A711C1"/>
    <w:rsid w:val="00A7138E"/>
    <w:rsid w:val="00A714DC"/>
    <w:rsid w:val="00A716CB"/>
    <w:rsid w:val="00A718E3"/>
    <w:rsid w:val="00A71E1D"/>
    <w:rsid w:val="00A71F77"/>
    <w:rsid w:val="00A72090"/>
    <w:rsid w:val="00A721CE"/>
    <w:rsid w:val="00A72F72"/>
    <w:rsid w:val="00A736E6"/>
    <w:rsid w:val="00A73770"/>
    <w:rsid w:val="00A73DD1"/>
    <w:rsid w:val="00A74192"/>
    <w:rsid w:val="00A745E2"/>
    <w:rsid w:val="00A74628"/>
    <w:rsid w:val="00A74AF6"/>
    <w:rsid w:val="00A74B73"/>
    <w:rsid w:val="00A74D06"/>
    <w:rsid w:val="00A74E5B"/>
    <w:rsid w:val="00A74FC5"/>
    <w:rsid w:val="00A755A2"/>
    <w:rsid w:val="00A755B7"/>
    <w:rsid w:val="00A75604"/>
    <w:rsid w:val="00A75771"/>
    <w:rsid w:val="00A7583A"/>
    <w:rsid w:val="00A75A18"/>
    <w:rsid w:val="00A75B82"/>
    <w:rsid w:val="00A75C53"/>
    <w:rsid w:val="00A75C63"/>
    <w:rsid w:val="00A75EC0"/>
    <w:rsid w:val="00A762B7"/>
    <w:rsid w:val="00A7630F"/>
    <w:rsid w:val="00A7643E"/>
    <w:rsid w:val="00A7699D"/>
    <w:rsid w:val="00A76B73"/>
    <w:rsid w:val="00A76CB1"/>
    <w:rsid w:val="00A76DCF"/>
    <w:rsid w:val="00A77172"/>
    <w:rsid w:val="00A77A78"/>
    <w:rsid w:val="00A77AFA"/>
    <w:rsid w:val="00A77C8C"/>
    <w:rsid w:val="00A8012C"/>
    <w:rsid w:val="00A80883"/>
    <w:rsid w:val="00A80FB2"/>
    <w:rsid w:val="00A8105C"/>
    <w:rsid w:val="00A81193"/>
    <w:rsid w:val="00A81294"/>
    <w:rsid w:val="00A813E0"/>
    <w:rsid w:val="00A814F8"/>
    <w:rsid w:val="00A81C55"/>
    <w:rsid w:val="00A823DF"/>
    <w:rsid w:val="00A82B95"/>
    <w:rsid w:val="00A82BBA"/>
    <w:rsid w:val="00A82BED"/>
    <w:rsid w:val="00A82DBF"/>
    <w:rsid w:val="00A8306F"/>
    <w:rsid w:val="00A8315F"/>
    <w:rsid w:val="00A832C7"/>
    <w:rsid w:val="00A837C2"/>
    <w:rsid w:val="00A83C7D"/>
    <w:rsid w:val="00A83D40"/>
    <w:rsid w:val="00A83E48"/>
    <w:rsid w:val="00A843B3"/>
    <w:rsid w:val="00A84602"/>
    <w:rsid w:val="00A84889"/>
    <w:rsid w:val="00A8496E"/>
    <w:rsid w:val="00A84B6E"/>
    <w:rsid w:val="00A84C16"/>
    <w:rsid w:val="00A8583C"/>
    <w:rsid w:val="00A85A4A"/>
    <w:rsid w:val="00A860F5"/>
    <w:rsid w:val="00A86513"/>
    <w:rsid w:val="00A867E5"/>
    <w:rsid w:val="00A870D1"/>
    <w:rsid w:val="00A877DF"/>
    <w:rsid w:val="00A87822"/>
    <w:rsid w:val="00A8784D"/>
    <w:rsid w:val="00A87AF0"/>
    <w:rsid w:val="00A9005F"/>
    <w:rsid w:val="00A901EA"/>
    <w:rsid w:val="00A9033D"/>
    <w:rsid w:val="00A907F9"/>
    <w:rsid w:val="00A90F03"/>
    <w:rsid w:val="00A913A9"/>
    <w:rsid w:val="00A918FC"/>
    <w:rsid w:val="00A91AC5"/>
    <w:rsid w:val="00A91BE9"/>
    <w:rsid w:val="00A91C0C"/>
    <w:rsid w:val="00A91FCB"/>
    <w:rsid w:val="00A922A8"/>
    <w:rsid w:val="00A925D8"/>
    <w:rsid w:val="00A92AAD"/>
    <w:rsid w:val="00A92ACB"/>
    <w:rsid w:val="00A92B53"/>
    <w:rsid w:val="00A92FA1"/>
    <w:rsid w:val="00A9336E"/>
    <w:rsid w:val="00A93941"/>
    <w:rsid w:val="00A93A09"/>
    <w:rsid w:val="00A93C85"/>
    <w:rsid w:val="00A93D38"/>
    <w:rsid w:val="00A93F0B"/>
    <w:rsid w:val="00A94355"/>
    <w:rsid w:val="00A94388"/>
    <w:rsid w:val="00A944D6"/>
    <w:rsid w:val="00A9467E"/>
    <w:rsid w:val="00A94F81"/>
    <w:rsid w:val="00A9507E"/>
    <w:rsid w:val="00A951BE"/>
    <w:rsid w:val="00A956CD"/>
    <w:rsid w:val="00A95775"/>
    <w:rsid w:val="00A96116"/>
    <w:rsid w:val="00A96201"/>
    <w:rsid w:val="00A96368"/>
    <w:rsid w:val="00A9644E"/>
    <w:rsid w:val="00A967AA"/>
    <w:rsid w:val="00A9697D"/>
    <w:rsid w:val="00A96A32"/>
    <w:rsid w:val="00A96BE1"/>
    <w:rsid w:val="00A96EB5"/>
    <w:rsid w:val="00A96F80"/>
    <w:rsid w:val="00A97401"/>
    <w:rsid w:val="00A97409"/>
    <w:rsid w:val="00A97857"/>
    <w:rsid w:val="00A979E6"/>
    <w:rsid w:val="00A97A96"/>
    <w:rsid w:val="00A97D0B"/>
    <w:rsid w:val="00A97EC0"/>
    <w:rsid w:val="00AA0805"/>
    <w:rsid w:val="00AA08E2"/>
    <w:rsid w:val="00AA0A20"/>
    <w:rsid w:val="00AA0DB8"/>
    <w:rsid w:val="00AA0E50"/>
    <w:rsid w:val="00AA0F55"/>
    <w:rsid w:val="00AA1118"/>
    <w:rsid w:val="00AA121A"/>
    <w:rsid w:val="00AA1439"/>
    <w:rsid w:val="00AA1C62"/>
    <w:rsid w:val="00AA1FDB"/>
    <w:rsid w:val="00AA22FA"/>
    <w:rsid w:val="00AA247B"/>
    <w:rsid w:val="00AA24C9"/>
    <w:rsid w:val="00AA2ADE"/>
    <w:rsid w:val="00AA2CEB"/>
    <w:rsid w:val="00AA2F2E"/>
    <w:rsid w:val="00AA3263"/>
    <w:rsid w:val="00AA3C88"/>
    <w:rsid w:val="00AA4195"/>
    <w:rsid w:val="00AA4333"/>
    <w:rsid w:val="00AA4686"/>
    <w:rsid w:val="00AA5101"/>
    <w:rsid w:val="00AA5277"/>
    <w:rsid w:val="00AA5362"/>
    <w:rsid w:val="00AA53F4"/>
    <w:rsid w:val="00AA58F4"/>
    <w:rsid w:val="00AA60DA"/>
    <w:rsid w:val="00AA6E97"/>
    <w:rsid w:val="00AA6F81"/>
    <w:rsid w:val="00AA71B4"/>
    <w:rsid w:val="00AA728A"/>
    <w:rsid w:val="00AA7420"/>
    <w:rsid w:val="00AA7464"/>
    <w:rsid w:val="00AA78CF"/>
    <w:rsid w:val="00AA7A72"/>
    <w:rsid w:val="00AA7AAC"/>
    <w:rsid w:val="00AA7F77"/>
    <w:rsid w:val="00AB0110"/>
    <w:rsid w:val="00AB02A3"/>
    <w:rsid w:val="00AB0871"/>
    <w:rsid w:val="00AB0980"/>
    <w:rsid w:val="00AB0A4C"/>
    <w:rsid w:val="00AB0AE0"/>
    <w:rsid w:val="00AB1051"/>
    <w:rsid w:val="00AB1162"/>
    <w:rsid w:val="00AB11C8"/>
    <w:rsid w:val="00AB11D8"/>
    <w:rsid w:val="00AB11EF"/>
    <w:rsid w:val="00AB1644"/>
    <w:rsid w:val="00AB1A2B"/>
    <w:rsid w:val="00AB1AA0"/>
    <w:rsid w:val="00AB1D38"/>
    <w:rsid w:val="00AB1D4B"/>
    <w:rsid w:val="00AB1F31"/>
    <w:rsid w:val="00AB1F3C"/>
    <w:rsid w:val="00AB2057"/>
    <w:rsid w:val="00AB224E"/>
    <w:rsid w:val="00AB2360"/>
    <w:rsid w:val="00AB27AF"/>
    <w:rsid w:val="00AB2F50"/>
    <w:rsid w:val="00AB3135"/>
    <w:rsid w:val="00AB3320"/>
    <w:rsid w:val="00AB3443"/>
    <w:rsid w:val="00AB3A04"/>
    <w:rsid w:val="00AB3DB9"/>
    <w:rsid w:val="00AB44AA"/>
    <w:rsid w:val="00AB4849"/>
    <w:rsid w:val="00AB4C51"/>
    <w:rsid w:val="00AB50E9"/>
    <w:rsid w:val="00AB532F"/>
    <w:rsid w:val="00AB63A0"/>
    <w:rsid w:val="00AB6B30"/>
    <w:rsid w:val="00AB7160"/>
    <w:rsid w:val="00AB7A5A"/>
    <w:rsid w:val="00AB7EAC"/>
    <w:rsid w:val="00AC0105"/>
    <w:rsid w:val="00AC0421"/>
    <w:rsid w:val="00AC06EE"/>
    <w:rsid w:val="00AC08E7"/>
    <w:rsid w:val="00AC0AE1"/>
    <w:rsid w:val="00AC1247"/>
    <w:rsid w:val="00AC15EC"/>
    <w:rsid w:val="00AC1A3E"/>
    <w:rsid w:val="00AC1C6C"/>
    <w:rsid w:val="00AC1CF8"/>
    <w:rsid w:val="00AC1DF2"/>
    <w:rsid w:val="00AC24C1"/>
    <w:rsid w:val="00AC2908"/>
    <w:rsid w:val="00AC3762"/>
    <w:rsid w:val="00AC3C2E"/>
    <w:rsid w:val="00AC3EDB"/>
    <w:rsid w:val="00AC3F75"/>
    <w:rsid w:val="00AC43E4"/>
    <w:rsid w:val="00AC4990"/>
    <w:rsid w:val="00AC4AF0"/>
    <w:rsid w:val="00AC4B75"/>
    <w:rsid w:val="00AC4D90"/>
    <w:rsid w:val="00AC5022"/>
    <w:rsid w:val="00AC5721"/>
    <w:rsid w:val="00AC58AE"/>
    <w:rsid w:val="00AC5A4F"/>
    <w:rsid w:val="00AC5BD1"/>
    <w:rsid w:val="00AC5FC5"/>
    <w:rsid w:val="00AC60B2"/>
    <w:rsid w:val="00AC61AB"/>
    <w:rsid w:val="00AC64E3"/>
    <w:rsid w:val="00AC69A6"/>
    <w:rsid w:val="00AC6B21"/>
    <w:rsid w:val="00AC6CA1"/>
    <w:rsid w:val="00AC6F18"/>
    <w:rsid w:val="00AC739D"/>
    <w:rsid w:val="00AC7579"/>
    <w:rsid w:val="00AC7CCD"/>
    <w:rsid w:val="00AD0083"/>
    <w:rsid w:val="00AD024D"/>
    <w:rsid w:val="00AD04F5"/>
    <w:rsid w:val="00AD0C12"/>
    <w:rsid w:val="00AD0CDD"/>
    <w:rsid w:val="00AD0E6A"/>
    <w:rsid w:val="00AD0E8C"/>
    <w:rsid w:val="00AD0ED5"/>
    <w:rsid w:val="00AD11D5"/>
    <w:rsid w:val="00AD14E0"/>
    <w:rsid w:val="00AD18D6"/>
    <w:rsid w:val="00AD1D07"/>
    <w:rsid w:val="00AD21A0"/>
    <w:rsid w:val="00AD21FA"/>
    <w:rsid w:val="00AD23EC"/>
    <w:rsid w:val="00AD244A"/>
    <w:rsid w:val="00AD2C22"/>
    <w:rsid w:val="00AD313D"/>
    <w:rsid w:val="00AD3438"/>
    <w:rsid w:val="00AD3BC1"/>
    <w:rsid w:val="00AD3CE6"/>
    <w:rsid w:val="00AD41C5"/>
    <w:rsid w:val="00AD4468"/>
    <w:rsid w:val="00AD448A"/>
    <w:rsid w:val="00AD4655"/>
    <w:rsid w:val="00AD47C0"/>
    <w:rsid w:val="00AD4872"/>
    <w:rsid w:val="00AD502E"/>
    <w:rsid w:val="00AD52BE"/>
    <w:rsid w:val="00AD5730"/>
    <w:rsid w:val="00AD57AE"/>
    <w:rsid w:val="00AD5BC7"/>
    <w:rsid w:val="00AD5C3C"/>
    <w:rsid w:val="00AD60DA"/>
    <w:rsid w:val="00AD6145"/>
    <w:rsid w:val="00AD635F"/>
    <w:rsid w:val="00AD66BC"/>
    <w:rsid w:val="00AD6DF7"/>
    <w:rsid w:val="00AD6ED3"/>
    <w:rsid w:val="00AD7020"/>
    <w:rsid w:val="00AD7195"/>
    <w:rsid w:val="00AD7250"/>
    <w:rsid w:val="00AD7356"/>
    <w:rsid w:val="00AD73B8"/>
    <w:rsid w:val="00AD7560"/>
    <w:rsid w:val="00AD7E7E"/>
    <w:rsid w:val="00AE041E"/>
    <w:rsid w:val="00AE0713"/>
    <w:rsid w:val="00AE098A"/>
    <w:rsid w:val="00AE0A8B"/>
    <w:rsid w:val="00AE0D3C"/>
    <w:rsid w:val="00AE1181"/>
    <w:rsid w:val="00AE1910"/>
    <w:rsid w:val="00AE1BDB"/>
    <w:rsid w:val="00AE1F52"/>
    <w:rsid w:val="00AE1FEC"/>
    <w:rsid w:val="00AE2035"/>
    <w:rsid w:val="00AE2286"/>
    <w:rsid w:val="00AE272D"/>
    <w:rsid w:val="00AE284F"/>
    <w:rsid w:val="00AE29D6"/>
    <w:rsid w:val="00AE2D4F"/>
    <w:rsid w:val="00AE31F0"/>
    <w:rsid w:val="00AE3271"/>
    <w:rsid w:val="00AE367D"/>
    <w:rsid w:val="00AE38A3"/>
    <w:rsid w:val="00AE3B5C"/>
    <w:rsid w:val="00AE3B7C"/>
    <w:rsid w:val="00AE3D6D"/>
    <w:rsid w:val="00AE3DA9"/>
    <w:rsid w:val="00AE3F1A"/>
    <w:rsid w:val="00AE448E"/>
    <w:rsid w:val="00AE4700"/>
    <w:rsid w:val="00AE476F"/>
    <w:rsid w:val="00AE4CF4"/>
    <w:rsid w:val="00AE4DF9"/>
    <w:rsid w:val="00AE5413"/>
    <w:rsid w:val="00AE55AD"/>
    <w:rsid w:val="00AE5879"/>
    <w:rsid w:val="00AE5A9F"/>
    <w:rsid w:val="00AE5CC8"/>
    <w:rsid w:val="00AE5DD6"/>
    <w:rsid w:val="00AE6056"/>
    <w:rsid w:val="00AE619F"/>
    <w:rsid w:val="00AE620B"/>
    <w:rsid w:val="00AE6311"/>
    <w:rsid w:val="00AE6389"/>
    <w:rsid w:val="00AE63AF"/>
    <w:rsid w:val="00AE641D"/>
    <w:rsid w:val="00AE6847"/>
    <w:rsid w:val="00AE68CF"/>
    <w:rsid w:val="00AE6970"/>
    <w:rsid w:val="00AE6A03"/>
    <w:rsid w:val="00AE6C7E"/>
    <w:rsid w:val="00AE6F8F"/>
    <w:rsid w:val="00AE725A"/>
    <w:rsid w:val="00AE72CE"/>
    <w:rsid w:val="00AE7318"/>
    <w:rsid w:val="00AE7386"/>
    <w:rsid w:val="00AE73EE"/>
    <w:rsid w:val="00AE7681"/>
    <w:rsid w:val="00AE7744"/>
    <w:rsid w:val="00AE7A82"/>
    <w:rsid w:val="00AE7BBE"/>
    <w:rsid w:val="00AE7C5E"/>
    <w:rsid w:val="00AE7DE6"/>
    <w:rsid w:val="00AF058A"/>
    <w:rsid w:val="00AF0675"/>
    <w:rsid w:val="00AF06C7"/>
    <w:rsid w:val="00AF0775"/>
    <w:rsid w:val="00AF07F7"/>
    <w:rsid w:val="00AF09B0"/>
    <w:rsid w:val="00AF0C32"/>
    <w:rsid w:val="00AF0CD3"/>
    <w:rsid w:val="00AF1064"/>
    <w:rsid w:val="00AF11D2"/>
    <w:rsid w:val="00AF17D2"/>
    <w:rsid w:val="00AF188F"/>
    <w:rsid w:val="00AF1D1F"/>
    <w:rsid w:val="00AF23D8"/>
    <w:rsid w:val="00AF2433"/>
    <w:rsid w:val="00AF2455"/>
    <w:rsid w:val="00AF28A6"/>
    <w:rsid w:val="00AF2C92"/>
    <w:rsid w:val="00AF2E59"/>
    <w:rsid w:val="00AF30A0"/>
    <w:rsid w:val="00AF31AF"/>
    <w:rsid w:val="00AF3675"/>
    <w:rsid w:val="00AF36FE"/>
    <w:rsid w:val="00AF3A8F"/>
    <w:rsid w:val="00AF3E70"/>
    <w:rsid w:val="00AF4033"/>
    <w:rsid w:val="00AF44BA"/>
    <w:rsid w:val="00AF45E5"/>
    <w:rsid w:val="00AF46DB"/>
    <w:rsid w:val="00AF478C"/>
    <w:rsid w:val="00AF4895"/>
    <w:rsid w:val="00AF4BD7"/>
    <w:rsid w:val="00AF4C2D"/>
    <w:rsid w:val="00AF5140"/>
    <w:rsid w:val="00AF515F"/>
    <w:rsid w:val="00AF5257"/>
    <w:rsid w:val="00AF556E"/>
    <w:rsid w:val="00AF580F"/>
    <w:rsid w:val="00AF584A"/>
    <w:rsid w:val="00AF5977"/>
    <w:rsid w:val="00AF5B5F"/>
    <w:rsid w:val="00AF5BD4"/>
    <w:rsid w:val="00AF5DBA"/>
    <w:rsid w:val="00AF5E48"/>
    <w:rsid w:val="00AF5F7F"/>
    <w:rsid w:val="00AF5FF5"/>
    <w:rsid w:val="00AF6162"/>
    <w:rsid w:val="00AF61F3"/>
    <w:rsid w:val="00AF6539"/>
    <w:rsid w:val="00AF68C2"/>
    <w:rsid w:val="00AF6CC6"/>
    <w:rsid w:val="00AF6CDB"/>
    <w:rsid w:val="00AF6E9C"/>
    <w:rsid w:val="00AF6F9C"/>
    <w:rsid w:val="00AF7088"/>
    <w:rsid w:val="00AF7162"/>
    <w:rsid w:val="00AF7AA6"/>
    <w:rsid w:val="00AF7C29"/>
    <w:rsid w:val="00AF7FB2"/>
    <w:rsid w:val="00B001C5"/>
    <w:rsid w:val="00B003A1"/>
    <w:rsid w:val="00B00407"/>
    <w:rsid w:val="00B00520"/>
    <w:rsid w:val="00B00822"/>
    <w:rsid w:val="00B0089B"/>
    <w:rsid w:val="00B00B17"/>
    <w:rsid w:val="00B00B48"/>
    <w:rsid w:val="00B00F9E"/>
    <w:rsid w:val="00B00FE2"/>
    <w:rsid w:val="00B0102B"/>
    <w:rsid w:val="00B012A3"/>
    <w:rsid w:val="00B0137F"/>
    <w:rsid w:val="00B01829"/>
    <w:rsid w:val="00B01B8E"/>
    <w:rsid w:val="00B01F1F"/>
    <w:rsid w:val="00B01F44"/>
    <w:rsid w:val="00B0274C"/>
    <w:rsid w:val="00B029DF"/>
    <w:rsid w:val="00B02C74"/>
    <w:rsid w:val="00B02D76"/>
    <w:rsid w:val="00B02DE4"/>
    <w:rsid w:val="00B02F90"/>
    <w:rsid w:val="00B03104"/>
    <w:rsid w:val="00B031AF"/>
    <w:rsid w:val="00B03652"/>
    <w:rsid w:val="00B03865"/>
    <w:rsid w:val="00B03A3E"/>
    <w:rsid w:val="00B03ECE"/>
    <w:rsid w:val="00B03F4D"/>
    <w:rsid w:val="00B04088"/>
    <w:rsid w:val="00B04275"/>
    <w:rsid w:val="00B04485"/>
    <w:rsid w:val="00B044C3"/>
    <w:rsid w:val="00B044E0"/>
    <w:rsid w:val="00B04CAA"/>
    <w:rsid w:val="00B05264"/>
    <w:rsid w:val="00B0531D"/>
    <w:rsid w:val="00B05495"/>
    <w:rsid w:val="00B05683"/>
    <w:rsid w:val="00B0579F"/>
    <w:rsid w:val="00B05BF4"/>
    <w:rsid w:val="00B05EA3"/>
    <w:rsid w:val="00B05FEE"/>
    <w:rsid w:val="00B060EA"/>
    <w:rsid w:val="00B06411"/>
    <w:rsid w:val="00B065C4"/>
    <w:rsid w:val="00B0664C"/>
    <w:rsid w:val="00B06932"/>
    <w:rsid w:val="00B073A8"/>
    <w:rsid w:val="00B07535"/>
    <w:rsid w:val="00B07563"/>
    <w:rsid w:val="00B077AE"/>
    <w:rsid w:val="00B07861"/>
    <w:rsid w:val="00B07950"/>
    <w:rsid w:val="00B07BC8"/>
    <w:rsid w:val="00B07CF4"/>
    <w:rsid w:val="00B1061E"/>
    <w:rsid w:val="00B1066F"/>
    <w:rsid w:val="00B108A2"/>
    <w:rsid w:val="00B10E17"/>
    <w:rsid w:val="00B1123E"/>
    <w:rsid w:val="00B11670"/>
    <w:rsid w:val="00B118BC"/>
    <w:rsid w:val="00B11942"/>
    <w:rsid w:val="00B119D5"/>
    <w:rsid w:val="00B11B6C"/>
    <w:rsid w:val="00B11EA7"/>
    <w:rsid w:val="00B121C2"/>
    <w:rsid w:val="00B123D1"/>
    <w:rsid w:val="00B12999"/>
    <w:rsid w:val="00B12A39"/>
    <w:rsid w:val="00B12BA6"/>
    <w:rsid w:val="00B12C20"/>
    <w:rsid w:val="00B1390D"/>
    <w:rsid w:val="00B1396A"/>
    <w:rsid w:val="00B13E3A"/>
    <w:rsid w:val="00B13FB1"/>
    <w:rsid w:val="00B142E3"/>
    <w:rsid w:val="00B148C3"/>
    <w:rsid w:val="00B14C3C"/>
    <w:rsid w:val="00B15082"/>
    <w:rsid w:val="00B1509C"/>
    <w:rsid w:val="00B150B9"/>
    <w:rsid w:val="00B15198"/>
    <w:rsid w:val="00B15231"/>
    <w:rsid w:val="00B154ED"/>
    <w:rsid w:val="00B15644"/>
    <w:rsid w:val="00B158A9"/>
    <w:rsid w:val="00B158C6"/>
    <w:rsid w:val="00B15DCE"/>
    <w:rsid w:val="00B15F17"/>
    <w:rsid w:val="00B16337"/>
    <w:rsid w:val="00B16348"/>
    <w:rsid w:val="00B163DB"/>
    <w:rsid w:val="00B16401"/>
    <w:rsid w:val="00B1662D"/>
    <w:rsid w:val="00B16B81"/>
    <w:rsid w:val="00B16C32"/>
    <w:rsid w:val="00B1705F"/>
    <w:rsid w:val="00B171E4"/>
    <w:rsid w:val="00B173F8"/>
    <w:rsid w:val="00B17454"/>
    <w:rsid w:val="00B17DA5"/>
    <w:rsid w:val="00B2018E"/>
    <w:rsid w:val="00B201A3"/>
    <w:rsid w:val="00B20C96"/>
    <w:rsid w:val="00B20EA0"/>
    <w:rsid w:val="00B20FF9"/>
    <w:rsid w:val="00B211D1"/>
    <w:rsid w:val="00B211EA"/>
    <w:rsid w:val="00B213E0"/>
    <w:rsid w:val="00B2153C"/>
    <w:rsid w:val="00B21883"/>
    <w:rsid w:val="00B21949"/>
    <w:rsid w:val="00B21995"/>
    <w:rsid w:val="00B21EB6"/>
    <w:rsid w:val="00B21F58"/>
    <w:rsid w:val="00B225B8"/>
    <w:rsid w:val="00B22CC5"/>
    <w:rsid w:val="00B230E5"/>
    <w:rsid w:val="00B23314"/>
    <w:rsid w:val="00B2332C"/>
    <w:rsid w:val="00B2347A"/>
    <w:rsid w:val="00B23630"/>
    <w:rsid w:val="00B23D3C"/>
    <w:rsid w:val="00B24050"/>
    <w:rsid w:val="00B2456F"/>
    <w:rsid w:val="00B249DE"/>
    <w:rsid w:val="00B24B0A"/>
    <w:rsid w:val="00B24B60"/>
    <w:rsid w:val="00B24BE1"/>
    <w:rsid w:val="00B24FFD"/>
    <w:rsid w:val="00B25ADA"/>
    <w:rsid w:val="00B25CAD"/>
    <w:rsid w:val="00B25CB1"/>
    <w:rsid w:val="00B26631"/>
    <w:rsid w:val="00B26964"/>
    <w:rsid w:val="00B26D33"/>
    <w:rsid w:val="00B2705D"/>
    <w:rsid w:val="00B27253"/>
    <w:rsid w:val="00B2790E"/>
    <w:rsid w:val="00B27A2E"/>
    <w:rsid w:val="00B27BF4"/>
    <w:rsid w:val="00B27EBB"/>
    <w:rsid w:val="00B30468"/>
    <w:rsid w:val="00B3063C"/>
    <w:rsid w:val="00B307AA"/>
    <w:rsid w:val="00B30954"/>
    <w:rsid w:val="00B30BAD"/>
    <w:rsid w:val="00B31047"/>
    <w:rsid w:val="00B31244"/>
    <w:rsid w:val="00B315CA"/>
    <w:rsid w:val="00B316BF"/>
    <w:rsid w:val="00B31CC0"/>
    <w:rsid w:val="00B31F79"/>
    <w:rsid w:val="00B31F8B"/>
    <w:rsid w:val="00B32562"/>
    <w:rsid w:val="00B32921"/>
    <w:rsid w:val="00B32AB8"/>
    <w:rsid w:val="00B32CDC"/>
    <w:rsid w:val="00B32EBA"/>
    <w:rsid w:val="00B32F3A"/>
    <w:rsid w:val="00B330D4"/>
    <w:rsid w:val="00B33634"/>
    <w:rsid w:val="00B33F08"/>
    <w:rsid w:val="00B33F1B"/>
    <w:rsid w:val="00B34103"/>
    <w:rsid w:val="00B341C3"/>
    <w:rsid w:val="00B34D2F"/>
    <w:rsid w:val="00B34E74"/>
    <w:rsid w:val="00B350DB"/>
    <w:rsid w:val="00B35305"/>
    <w:rsid w:val="00B35333"/>
    <w:rsid w:val="00B3584E"/>
    <w:rsid w:val="00B359BC"/>
    <w:rsid w:val="00B35B57"/>
    <w:rsid w:val="00B35EAC"/>
    <w:rsid w:val="00B363C5"/>
    <w:rsid w:val="00B364F6"/>
    <w:rsid w:val="00B3686A"/>
    <w:rsid w:val="00B36983"/>
    <w:rsid w:val="00B36D71"/>
    <w:rsid w:val="00B36E64"/>
    <w:rsid w:val="00B36EC4"/>
    <w:rsid w:val="00B36EF0"/>
    <w:rsid w:val="00B37156"/>
    <w:rsid w:val="00B372C5"/>
    <w:rsid w:val="00B372E4"/>
    <w:rsid w:val="00B37429"/>
    <w:rsid w:val="00B374F4"/>
    <w:rsid w:val="00B37580"/>
    <w:rsid w:val="00B37B5C"/>
    <w:rsid w:val="00B37F08"/>
    <w:rsid w:val="00B37F49"/>
    <w:rsid w:val="00B40678"/>
    <w:rsid w:val="00B40860"/>
    <w:rsid w:val="00B40883"/>
    <w:rsid w:val="00B40A2C"/>
    <w:rsid w:val="00B40C10"/>
    <w:rsid w:val="00B40DC1"/>
    <w:rsid w:val="00B41246"/>
    <w:rsid w:val="00B412EE"/>
    <w:rsid w:val="00B41BD5"/>
    <w:rsid w:val="00B4205F"/>
    <w:rsid w:val="00B4217B"/>
    <w:rsid w:val="00B423FC"/>
    <w:rsid w:val="00B42E64"/>
    <w:rsid w:val="00B43073"/>
    <w:rsid w:val="00B43155"/>
    <w:rsid w:val="00B4352C"/>
    <w:rsid w:val="00B437BF"/>
    <w:rsid w:val="00B43833"/>
    <w:rsid w:val="00B43F1F"/>
    <w:rsid w:val="00B441CE"/>
    <w:rsid w:val="00B442BC"/>
    <w:rsid w:val="00B4466D"/>
    <w:rsid w:val="00B448B8"/>
    <w:rsid w:val="00B44991"/>
    <w:rsid w:val="00B44BC3"/>
    <w:rsid w:val="00B44BF3"/>
    <w:rsid w:val="00B452CC"/>
    <w:rsid w:val="00B454F0"/>
    <w:rsid w:val="00B45645"/>
    <w:rsid w:val="00B45A93"/>
    <w:rsid w:val="00B45EBC"/>
    <w:rsid w:val="00B45FC2"/>
    <w:rsid w:val="00B463F7"/>
    <w:rsid w:val="00B46463"/>
    <w:rsid w:val="00B464A1"/>
    <w:rsid w:val="00B46888"/>
    <w:rsid w:val="00B46943"/>
    <w:rsid w:val="00B46A69"/>
    <w:rsid w:val="00B46A76"/>
    <w:rsid w:val="00B46AE1"/>
    <w:rsid w:val="00B46B36"/>
    <w:rsid w:val="00B46CBF"/>
    <w:rsid w:val="00B46FD1"/>
    <w:rsid w:val="00B470B0"/>
    <w:rsid w:val="00B47782"/>
    <w:rsid w:val="00B47A9E"/>
    <w:rsid w:val="00B47D77"/>
    <w:rsid w:val="00B50060"/>
    <w:rsid w:val="00B5080E"/>
    <w:rsid w:val="00B50FB2"/>
    <w:rsid w:val="00B510BB"/>
    <w:rsid w:val="00B51158"/>
    <w:rsid w:val="00B511E7"/>
    <w:rsid w:val="00B5167A"/>
    <w:rsid w:val="00B5201C"/>
    <w:rsid w:val="00B52027"/>
    <w:rsid w:val="00B524D5"/>
    <w:rsid w:val="00B52559"/>
    <w:rsid w:val="00B52625"/>
    <w:rsid w:val="00B52879"/>
    <w:rsid w:val="00B529A1"/>
    <w:rsid w:val="00B52CBE"/>
    <w:rsid w:val="00B52CD0"/>
    <w:rsid w:val="00B52DBE"/>
    <w:rsid w:val="00B52E98"/>
    <w:rsid w:val="00B5316E"/>
    <w:rsid w:val="00B53193"/>
    <w:rsid w:val="00B53323"/>
    <w:rsid w:val="00B53409"/>
    <w:rsid w:val="00B5364F"/>
    <w:rsid w:val="00B5372C"/>
    <w:rsid w:val="00B5395B"/>
    <w:rsid w:val="00B53E3E"/>
    <w:rsid w:val="00B540E4"/>
    <w:rsid w:val="00B54192"/>
    <w:rsid w:val="00B54353"/>
    <w:rsid w:val="00B544A6"/>
    <w:rsid w:val="00B547D8"/>
    <w:rsid w:val="00B547E5"/>
    <w:rsid w:val="00B54932"/>
    <w:rsid w:val="00B54BF9"/>
    <w:rsid w:val="00B54D0A"/>
    <w:rsid w:val="00B54FCC"/>
    <w:rsid w:val="00B5583A"/>
    <w:rsid w:val="00B55D52"/>
    <w:rsid w:val="00B55D76"/>
    <w:rsid w:val="00B55DCB"/>
    <w:rsid w:val="00B55EA9"/>
    <w:rsid w:val="00B5652F"/>
    <w:rsid w:val="00B5658D"/>
    <w:rsid w:val="00B56743"/>
    <w:rsid w:val="00B5683F"/>
    <w:rsid w:val="00B56A3F"/>
    <w:rsid w:val="00B56D11"/>
    <w:rsid w:val="00B575D3"/>
    <w:rsid w:val="00B5790B"/>
    <w:rsid w:val="00B57A7A"/>
    <w:rsid w:val="00B57B0C"/>
    <w:rsid w:val="00B57D58"/>
    <w:rsid w:val="00B601C4"/>
    <w:rsid w:val="00B60281"/>
    <w:rsid w:val="00B60341"/>
    <w:rsid w:val="00B604B8"/>
    <w:rsid w:val="00B606DF"/>
    <w:rsid w:val="00B60B16"/>
    <w:rsid w:val="00B60FB7"/>
    <w:rsid w:val="00B61015"/>
    <w:rsid w:val="00B61166"/>
    <w:rsid w:val="00B6142A"/>
    <w:rsid w:val="00B61465"/>
    <w:rsid w:val="00B618CC"/>
    <w:rsid w:val="00B6197D"/>
    <w:rsid w:val="00B61A05"/>
    <w:rsid w:val="00B623AA"/>
    <w:rsid w:val="00B623D8"/>
    <w:rsid w:val="00B623E0"/>
    <w:rsid w:val="00B628D8"/>
    <w:rsid w:val="00B62914"/>
    <w:rsid w:val="00B62B79"/>
    <w:rsid w:val="00B63060"/>
    <w:rsid w:val="00B63726"/>
    <w:rsid w:val="00B637E6"/>
    <w:rsid w:val="00B63896"/>
    <w:rsid w:val="00B63C74"/>
    <w:rsid w:val="00B64491"/>
    <w:rsid w:val="00B64952"/>
    <w:rsid w:val="00B64CAC"/>
    <w:rsid w:val="00B650B1"/>
    <w:rsid w:val="00B65357"/>
    <w:rsid w:val="00B65360"/>
    <w:rsid w:val="00B655A7"/>
    <w:rsid w:val="00B657EC"/>
    <w:rsid w:val="00B65DCB"/>
    <w:rsid w:val="00B65E48"/>
    <w:rsid w:val="00B66404"/>
    <w:rsid w:val="00B66645"/>
    <w:rsid w:val="00B6666F"/>
    <w:rsid w:val="00B66677"/>
    <w:rsid w:val="00B66D40"/>
    <w:rsid w:val="00B670E3"/>
    <w:rsid w:val="00B6711F"/>
    <w:rsid w:val="00B676BB"/>
    <w:rsid w:val="00B67732"/>
    <w:rsid w:val="00B677D1"/>
    <w:rsid w:val="00B67BE4"/>
    <w:rsid w:val="00B70401"/>
    <w:rsid w:val="00B704B0"/>
    <w:rsid w:val="00B7057F"/>
    <w:rsid w:val="00B7068B"/>
    <w:rsid w:val="00B706E9"/>
    <w:rsid w:val="00B70805"/>
    <w:rsid w:val="00B70C64"/>
    <w:rsid w:val="00B70D4D"/>
    <w:rsid w:val="00B70F14"/>
    <w:rsid w:val="00B71000"/>
    <w:rsid w:val="00B710FD"/>
    <w:rsid w:val="00B7124E"/>
    <w:rsid w:val="00B716D7"/>
    <w:rsid w:val="00B7186F"/>
    <w:rsid w:val="00B718FF"/>
    <w:rsid w:val="00B71AA8"/>
    <w:rsid w:val="00B71AFC"/>
    <w:rsid w:val="00B71EF1"/>
    <w:rsid w:val="00B72117"/>
    <w:rsid w:val="00B721A6"/>
    <w:rsid w:val="00B723E1"/>
    <w:rsid w:val="00B726C3"/>
    <w:rsid w:val="00B726F1"/>
    <w:rsid w:val="00B72B66"/>
    <w:rsid w:val="00B73408"/>
    <w:rsid w:val="00B7350A"/>
    <w:rsid w:val="00B737AA"/>
    <w:rsid w:val="00B73859"/>
    <w:rsid w:val="00B7395D"/>
    <w:rsid w:val="00B73A01"/>
    <w:rsid w:val="00B742D6"/>
    <w:rsid w:val="00B74552"/>
    <w:rsid w:val="00B748D4"/>
    <w:rsid w:val="00B749F1"/>
    <w:rsid w:val="00B74B56"/>
    <w:rsid w:val="00B74CD8"/>
    <w:rsid w:val="00B74D0B"/>
    <w:rsid w:val="00B74D43"/>
    <w:rsid w:val="00B74E9F"/>
    <w:rsid w:val="00B74F83"/>
    <w:rsid w:val="00B74FDE"/>
    <w:rsid w:val="00B750A3"/>
    <w:rsid w:val="00B751DF"/>
    <w:rsid w:val="00B752BC"/>
    <w:rsid w:val="00B7539C"/>
    <w:rsid w:val="00B753E3"/>
    <w:rsid w:val="00B75534"/>
    <w:rsid w:val="00B75690"/>
    <w:rsid w:val="00B759E7"/>
    <w:rsid w:val="00B75A67"/>
    <w:rsid w:val="00B75C5E"/>
    <w:rsid w:val="00B76019"/>
    <w:rsid w:val="00B760B2"/>
    <w:rsid w:val="00B76354"/>
    <w:rsid w:val="00B76A1C"/>
    <w:rsid w:val="00B76A67"/>
    <w:rsid w:val="00B76A91"/>
    <w:rsid w:val="00B76C8C"/>
    <w:rsid w:val="00B7722C"/>
    <w:rsid w:val="00B7740D"/>
    <w:rsid w:val="00B775E2"/>
    <w:rsid w:val="00B7771B"/>
    <w:rsid w:val="00B77C1C"/>
    <w:rsid w:val="00B77CB1"/>
    <w:rsid w:val="00B77DE6"/>
    <w:rsid w:val="00B77EAA"/>
    <w:rsid w:val="00B8000B"/>
    <w:rsid w:val="00B80451"/>
    <w:rsid w:val="00B80606"/>
    <w:rsid w:val="00B8088A"/>
    <w:rsid w:val="00B80C76"/>
    <w:rsid w:val="00B80E4D"/>
    <w:rsid w:val="00B80F70"/>
    <w:rsid w:val="00B81306"/>
    <w:rsid w:val="00B8131E"/>
    <w:rsid w:val="00B81CFF"/>
    <w:rsid w:val="00B81F6F"/>
    <w:rsid w:val="00B81F8F"/>
    <w:rsid w:val="00B82069"/>
    <w:rsid w:val="00B82553"/>
    <w:rsid w:val="00B8259B"/>
    <w:rsid w:val="00B828A7"/>
    <w:rsid w:val="00B828EB"/>
    <w:rsid w:val="00B82A64"/>
    <w:rsid w:val="00B82AE5"/>
    <w:rsid w:val="00B82B14"/>
    <w:rsid w:val="00B82D49"/>
    <w:rsid w:val="00B82EE9"/>
    <w:rsid w:val="00B83092"/>
    <w:rsid w:val="00B832BF"/>
    <w:rsid w:val="00B83E6F"/>
    <w:rsid w:val="00B84085"/>
    <w:rsid w:val="00B841D8"/>
    <w:rsid w:val="00B843AF"/>
    <w:rsid w:val="00B8450E"/>
    <w:rsid w:val="00B84AE5"/>
    <w:rsid w:val="00B84B24"/>
    <w:rsid w:val="00B84C39"/>
    <w:rsid w:val="00B84D81"/>
    <w:rsid w:val="00B84F67"/>
    <w:rsid w:val="00B85385"/>
    <w:rsid w:val="00B85566"/>
    <w:rsid w:val="00B855A9"/>
    <w:rsid w:val="00B859BF"/>
    <w:rsid w:val="00B85AA8"/>
    <w:rsid w:val="00B86159"/>
    <w:rsid w:val="00B86891"/>
    <w:rsid w:val="00B86C96"/>
    <w:rsid w:val="00B86E8B"/>
    <w:rsid w:val="00B86E8C"/>
    <w:rsid w:val="00B86F7A"/>
    <w:rsid w:val="00B87070"/>
    <w:rsid w:val="00B870FE"/>
    <w:rsid w:val="00B87228"/>
    <w:rsid w:val="00B873D1"/>
    <w:rsid w:val="00B8784E"/>
    <w:rsid w:val="00B901F1"/>
    <w:rsid w:val="00B90252"/>
    <w:rsid w:val="00B90463"/>
    <w:rsid w:val="00B90AD7"/>
    <w:rsid w:val="00B90F3E"/>
    <w:rsid w:val="00B91B5D"/>
    <w:rsid w:val="00B91BAD"/>
    <w:rsid w:val="00B921C7"/>
    <w:rsid w:val="00B92290"/>
    <w:rsid w:val="00B9248E"/>
    <w:rsid w:val="00B92619"/>
    <w:rsid w:val="00B92A74"/>
    <w:rsid w:val="00B93263"/>
    <w:rsid w:val="00B932DB"/>
    <w:rsid w:val="00B93696"/>
    <w:rsid w:val="00B93A76"/>
    <w:rsid w:val="00B93D61"/>
    <w:rsid w:val="00B93D85"/>
    <w:rsid w:val="00B93ECF"/>
    <w:rsid w:val="00B94565"/>
    <w:rsid w:val="00B948D6"/>
    <w:rsid w:val="00B9495F"/>
    <w:rsid w:val="00B94C71"/>
    <w:rsid w:val="00B94E34"/>
    <w:rsid w:val="00B94F09"/>
    <w:rsid w:val="00B95683"/>
    <w:rsid w:val="00B956FD"/>
    <w:rsid w:val="00B95BE6"/>
    <w:rsid w:val="00B95EB2"/>
    <w:rsid w:val="00B9635B"/>
    <w:rsid w:val="00B96DF1"/>
    <w:rsid w:val="00B96ECB"/>
    <w:rsid w:val="00B97178"/>
    <w:rsid w:val="00B97481"/>
    <w:rsid w:val="00B97526"/>
    <w:rsid w:val="00B978A6"/>
    <w:rsid w:val="00B97958"/>
    <w:rsid w:val="00B97BD8"/>
    <w:rsid w:val="00BA075C"/>
    <w:rsid w:val="00BA078D"/>
    <w:rsid w:val="00BA08CA"/>
    <w:rsid w:val="00BA1441"/>
    <w:rsid w:val="00BA1517"/>
    <w:rsid w:val="00BA19EB"/>
    <w:rsid w:val="00BA23FF"/>
    <w:rsid w:val="00BA2761"/>
    <w:rsid w:val="00BA27F2"/>
    <w:rsid w:val="00BA2A0D"/>
    <w:rsid w:val="00BA32D4"/>
    <w:rsid w:val="00BA35CD"/>
    <w:rsid w:val="00BA3842"/>
    <w:rsid w:val="00BA39F8"/>
    <w:rsid w:val="00BA3FC2"/>
    <w:rsid w:val="00BA3FE0"/>
    <w:rsid w:val="00BA4409"/>
    <w:rsid w:val="00BA443B"/>
    <w:rsid w:val="00BA4669"/>
    <w:rsid w:val="00BA4714"/>
    <w:rsid w:val="00BA4A40"/>
    <w:rsid w:val="00BA4A56"/>
    <w:rsid w:val="00BA524C"/>
    <w:rsid w:val="00BA52C8"/>
    <w:rsid w:val="00BA59EE"/>
    <w:rsid w:val="00BA6130"/>
    <w:rsid w:val="00BA688E"/>
    <w:rsid w:val="00BA690E"/>
    <w:rsid w:val="00BA6B6B"/>
    <w:rsid w:val="00BA6B7F"/>
    <w:rsid w:val="00BA6DCD"/>
    <w:rsid w:val="00BA711A"/>
    <w:rsid w:val="00BA7597"/>
    <w:rsid w:val="00BA7A8D"/>
    <w:rsid w:val="00BA7FFB"/>
    <w:rsid w:val="00BB02AA"/>
    <w:rsid w:val="00BB0315"/>
    <w:rsid w:val="00BB04A7"/>
    <w:rsid w:val="00BB061B"/>
    <w:rsid w:val="00BB07C2"/>
    <w:rsid w:val="00BB084D"/>
    <w:rsid w:val="00BB08A3"/>
    <w:rsid w:val="00BB09FF"/>
    <w:rsid w:val="00BB0DE0"/>
    <w:rsid w:val="00BB112A"/>
    <w:rsid w:val="00BB17E0"/>
    <w:rsid w:val="00BB1C84"/>
    <w:rsid w:val="00BB2392"/>
    <w:rsid w:val="00BB2527"/>
    <w:rsid w:val="00BB2587"/>
    <w:rsid w:val="00BB294E"/>
    <w:rsid w:val="00BB2A94"/>
    <w:rsid w:val="00BB2BCF"/>
    <w:rsid w:val="00BB2EE3"/>
    <w:rsid w:val="00BB3A9F"/>
    <w:rsid w:val="00BB3AF7"/>
    <w:rsid w:val="00BB3CF2"/>
    <w:rsid w:val="00BB3E95"/>
    <w:rsid w:val="00BB4090"/>
    <w:rsid w:val="00BB4134"/>
    <w:rsid w:val="00BB4583"/>
    <w:rsid w:val="00BB4B2C"/>
    <w:rsid w:val="00BB5088"/>
    <w:rsid w:val="00BB530B"/>
    <w:rsid w:val="00BB54FD"/>
    <w:rsid w:val="00BB55CC"/>
    <w:rsid w:val="00BB59F4"/>
    <w:rsid w:val="00BB5CF1"/>
    <w:rsid w:val="00BB5F0B"/>
    <w:rsid w:val="00BB6265"/>
    <w:rsid w:val="00BB6625"/>
    <w:rsid w:val="00BB6CB4"/>
    <w:rsid w:val="00BB6DD5"/>
    <w:rsid w:val="00BB6E6D"/>
    <w:rsid w:val="00BB6EAA"/>
    <w:rsid w:val="00BB70A7"/>
    <w:rsid w:val="00BB70C7"/>
    <w:rsid w:val="00BB7285"/>
    <w:rsid w:val="00BB7548"/>
    <w:rsid w:val="00BB7671"/>
    <w:rsid w:val="00BB7924"/>
    <w:rsid w:val="00BB7E42"/>
    <w:rsid w:val="00BBF782"/>
    <w:rsid w:val="00BC0086"/>
    <w:rsid w:val="00BC01DA"/>
    <w:rsid w:val="00BC0220"/>
    <w:rsid w:val="00BC0331"/>
    <w:rsid w:val="00BC039A"/>
    <w:rsid w:val="00BC0798"/>
    <w:rsid w:val="00BC0CDF"/>
    <w:rsid w:val="00BC0F69"/>
    <w:rsid w:val="00BC10FB"/>
    <w:rsid w:val="00BC1551"/>
    <w:rsid w:val="00BC1808"/>
    <w:rsid w:val="00BC24D7"/>
    <w:rsid w:val="00BC2530"/>
    <w:rsid w:val="00BC2817"/>
    <w:rsid w:val="00BC2849"/>
    <w:rsid w:val="00BC2C23"/>
    <w:rsid w:val="00BC2F64"/>
    <w:rsid w:val="00BC36DA"/>
    <w:rsid w:val="00BC3839"/>
    <w:rsid w:val="00BC3991"/>
    <w:rsid w:val="00BC3A33"/>
    <w:rsid w:val="00BC3A51"/>
    <w:rsid w:val="00BC3FF4"/>
    <w:rsid w:val="00BC4675"/>
    <w:rsid w:val="00BC47DB"/>
    <w:rsid w:val="00BC4E4B"/>
    <w:rsid w:val="00BC56B0"/>
    <w:rsid w:val="00BC59BF"/>
    <w:rsid w:val="00BC5C08"/>
    <w:rsid w:val="00BC6035"/>
    <w:rsid w:val="00BC6125"/>
    <w:rsid w:val="00BC61A5"/>
    <w:rsid w:val="00BC64A9"/>
    <w:rsid w:val="00BC6793"/>
    <w:rsid w:val="00BC6AFC"/>
    <w:rsid w:val="00BC6E8A"/>
    <w:rsid w:val="00BC7053"/>
    <w:rsid w:val="00BC7832"/>
    <w:rsid w:val="00BD00B6"/>
    <w:rsid w:val="00BD0597"/>
    <w:rsid w:val="00BD05BD"/>
    <w:rsid w:val="00BD0DED"/>
    <w:rsid w:val="00BD1430"/>
    <w:rsid w:val="00BD1784"/>
    <w:rsid w:val="00BD1B3E"/>
    <w:rsid w:val="00BD1F2F"/>
    <w:rsid w:val="00BD23B8"/>
    <w:rsid w:val="00BD2C86"/>
    <w:rsid w:val="00BD310E"/>
    <w:rsid w:val="00BD3364"/>
    <w:rsid w:val="00BD37D7"/>
    <w:rsid w:val="00BD3876"/>
    <w:rsid w:val="00BD3AA9"/>
    <w:rsid w:val="00BD3B76"/>
    <w:rsid w:val="00BD3B99"/>
    <w:rsid w:val="00BD400E"/>
    <w:rsid w:val="00BD411E"/>
    <w:rsid w:val="00BD4199"/>
    <w:rsid w:val="00BD428B"/>
    <w:rsid w:val="00BD4757"/>
    <w:rsid w:val="00BD4780"/>
    <w:rsid w:val="00BD4D88"/>
    <w:rsid w:val="00BD4F1B"/>
    <w:rsid w:val="00BD5464"/>
    <w:rsid w:val="00BD54D4"/>
    <w:rsid w:val="00BD57B6"/>
    <w:rsid w:val="00BD5B32"/>
    <w:rsid w:val="00BD5C28"/>
    <w:rsid w:val="00BD6016"/>
    <w:rsid w:val="00BD6196"/>
    <w:rsid w:val="00BD659A"/>
    <w:rsid w:val="00BD65A0"/>
    <w:rsid w:val="00BD6D79"/>
    <w:rsid w:val="00BD6DA5"/>
    <w:rsid w:val="00BD7174"/>
    <w:rsid w:val="00BD7416"/>
    <w:rsid w:val="00BD756F"/>
    <w:rsid w:val="00BD7B99"/>
    <w:rsid w:val="00BE0019"/>
    <w:rsid w:val="00BE0267"/>
    <w:rsid w:val="00BE0584"/>
    <w:rsid w:val="00BE05FA"/>
    <w:rsid w:val="00BE07FE"/>
    <w:rsid w:val="00BE1674"/>
    <w:rsid w:val="00BE1676"/>
    <w:rsid w:val="00BE18A3"/>
    <w:rsid w:val="00BE192E"/>
    <w:rsid w:val="00BE1DDC"/>
    <w:rsid w:val="00BE1ECD"/>
    <w:rsid w:val="00BE1F73"/>
    <w:rsid w:val="00BE2470"/>
    <w:rsid w:val="00BE25A2"/>
    <w:rsid w:val="00BE2A17"/>
    <w:rsid w:val="00BE2A8B"/>
    <w:rsid w:val="00BE315F"/>
    <w:rsid w:val="00BE335E"/>
    <w:rsid w:val="00BE336B"/>
    <w:rsid w:val="00BE3559"/>
    <w:rsid w:val="00BE36CE"/>
    <w:rsid w:val="00BE3C9E"/>
    <w:rsid w:val="00BE3E06"/>
    <w:rsid w:val="00BE4082"/>
    <w:rsid w:val="00BE449F"/>
    <w:rsid w:val="00BE4553"/>
    <w:rsid w:val="00BE4969"/>
    <w:rsid w:val="00BE4E63"/>
    <w:rsid w:val="00BE55E4"/>
    <w:rsid w:val="00BE55EB"/>
    <w:rsid w:val="00BE5758"/>
    <w:rsid w:val="00BE58FD"/>
    <w:rsid w:val="00BE5B4F"/>
    <w:rsid w:val="00BE6008"/>
    <w:rsid w:val="00BE6106"/>
    <w:rsid w:val="00BE623D"/>
    <w:rsid w:val="00BE62A0"/>
    <w:rsid w:val="00BE62F7"/>
    <w:rsid w:val="00BE637E"/>
    <w:rsid w:val="00BE6718"/>
    <w:rsid w:val="00BE6843"/>
    <w:rsid w:val="00BE68A5"/>
    <w:rsid w:val="00BE6AD0"/>
    <w:rsid w:val="00BE6C3E"/>
    <w:rsid w:val="00BE6C48"/>
    <w:rsid w:val="00BE6CCB"/>
    <w:rsid w:val="00BE6D90"/>
    <w:rsid w:val="00BE6F13"/>
    <w:rsid w:val="00BE7255"/>
    <w:rsid w:val="00BE7A6A"/>
    <w:rsid w:val="00BE7D91"/>
    <w:rsid w:val="00BE7F81"/>
    <w:rsid w:val="00BF02C4"/>
    <w:rsid w:val="00BF078A"/>
    <w:rsid w:val="00BF0A8D"/>
    <w:rsid w:val="00BF1145"/>
    <w:rsid w:val="00BF1653"/>
    <w:rsid w:val="00BF16B3"/>
    <w:rsid w:val="00BF1DE0"/>
    <w:rsid w:val="00BF2035"/>
    <w:rsid w:val="00BF218E"/>
    <w:rsid w:val="00BF2A49"/>
    <w:rsid w:val="00BF2CC3"/>
    <w:rsid w:val="00BF2CFB"/>
    <w:rsid w:val="00BF3060"/>
    <w:rsid w:val="00BF3218"/>
    <w:rsid w:val="00BF32E6"/>
    <w:rsid w:val="00BF3504"/>
    <w:rsid w:val="00BF3723"/>
    <w:rsid w:val="00BF3C00"/>
    <w:rsid w:val="00BF401B"/>
    <w:rsid w:val="00BF42FA"/>
    <w:rsid w:val="00BF4317"/>
    <w:rsid w:val="00BF4346"/>
    <w:rsid w:val="00BF469E"/>
    <w:rsid w:val="00BF4F83"/>
    <w:rsid w:val="00BF5413"/>
    <w:rsid w:val="00BF5781"/>
    <w:rsid w:val="00BF5C55"/>
    <w:rsid w:val="00BF61ED"/>
    <w:rsid w:val="00BF6260"/>
    <w:rsid w:val="00BF64BE"/>
    <w:rsid w:val="00BF6A09"/>
    <w:rsid w:val="00BF6D27"/>
    <w:rsid w:val="00BF6F54"/>
    <w:rsid w:val="00BF6F56"/>
    <w:rsid w:val="00BF6FC0"/>
    <w:rsid w:val="00BF7634"/>
    <w:rsid w:val="00BF7890"/>
    <w:rsid w:val="00BF7997"/>
    <w:rsid w:val="00BF7A8B"/>
    <w:rsid w:val="00BF7A97"/>
    <w:rsid w:val="00BF7B69"/>
    <w:rsid w:val="00BF7C7A"/>
    <w:rsid w:val="00C0011D"/>
    <w:rsid w:val="00C00E01"/>
    <w:rsid w:val="00C01023"/>
    <w:rsid w:val="00C01134"/>
    <w:rsid w:val="00C014CE"/>
    <w:rsid w:val="00C01893"/>
    <w:rsid w:val="00C01B43"/>
    <w:rsid w:val="00C02075"/>
    <w:rsid w:val="00C02571"/>
    <w:rsid w:val="00C026EA"/>
    <w:rsid w:val="00C0297F"/>
    <w:rsid w:val="00C02AAA"/>
    <w:rsid w:val="00C02B72"/>
    <w:rsid w:val="00C02D9F"/>
    <w:rsid w:val="00C0358F"/>
    <w:rsid w:val="00C036BA"/>
    <w:rsid w:val="00C03A26"/>
    <w:rsid w:val="00C03AAF"/>
    <w:rsid w:val="00C040E7"/>
    <w:rsid w:val="00C04374"/>
    <w:rsid w:val="00C046C0"/>
    <w:rsid w:val="00C04723"/>
    <w:rsid w:val="00C047B8"/>
    <w:rsid w:val="00C04E48"/>
    <w:rsid w:val="00C050E4"/>
    <w:rsid w:val="00C05610"/>
    <w:rsid w:val="00C06632"/>
    <w:rsid w:val="00C0663B"/>
    <w:rsid w:val="00C06B53"/>
    <w:rsid w:val="00C06E67"/>
    <w:rsid w:val="00C06F40"/>
    <w:rsid w:val="00C07006"/>
    <w:rsid w:val="00C072E2"/>
    <w:rsid w:val="00C07761"/>
    <w:rsid w:val="00C1002B"/>
    <w:rsid w:val="00C103B7"/>
    <w:rsid w:val="00C103C4"/>
    <w:rsid w:val="00C10A45"/>
    <w:rsid w:val="00C10B4E"/>
    <w:rsid w:val="00C10EF2"/>
    <w:rsid w:val="00C112F7"/>
    <w:rsid w:val="00C119F7"/>
    <w:rsid w:val="00C11A7E"/>
    <w:rsid w:val="00C11AE5"/>
    <w:rsid w:val="00C11B7F"/>
    <w:rsid w:val="00C11CB7"/>
    <w:rsid w:val="00C122CB"/>
    <w:rsid w:val="00C1243D"/>
    <w:rsid w:val="00C125C9"/>
    <w:rsid w:val="00C1280D"/>
    <w:rsid w:val="00C12C01"/>
    <w:rsid w:val="00C130CA"/>
    <w:rsid w:val="00C134AD"/>
    <w:rsid w:val="00C1357F"/>
    <w:rsid w:val="00C1358C"/>
    <w:rsid w:val="00C135BC"/>
    <w:rsid w:val="00C135BF"/>
    <w:rsid w:val="00C13C93"/>
    <w:rsid w:val="00C13CAA"/>
    <w:rsid w:val="00C13CC8"/>
    <w:rsid w:val="00C13FD8"/>
    <w:rsid w:val="00C140E8"/>
    <w:rsid w:val="00C14340"/>
    <w:rsid w:val="00C144A9"/>
    <w:rsid w:val="00C147E4"/>
    <w:rsid w:val="00C149DB"/>
    <w:rsid w:val="00C14A7F"/>
    <w:rsid w:val="00C150BE"/>
    <w:rsid w:val="00C15279"/>
    <w:rsid w:val="00C15356"/>
    <w:rsid w:val="00C153B6"/>
    <w:rsid w:val="00C154B2"/>
    <w:rsid w:val="00C157AD"/>
    <w:rsid w:val="00C157ED"/>
    <w:rsid w:val="00C15969"/>
    <w:rsid w:val="00C15B4A"/>
    <w:rsid w:val="00C15C39"/>
    <w:rsid w:val="00C160DC"/>
    <w:rsid w:val="00C16316"/>
    <w:rsid w:val="00C16898"/>
    <w:rsid w:val="00C16A36"/>
    <w:rsid w:val="00C16A8E"/>
    <w:rsid w:val="00C16E3D"/>
    <w:rsid w:val="00C17036"/>
    <w:rsid w:val="00C1705F"/>
    <w:rsid w:val="00C17115"/>
    <w:rsid w:val="00C17623"/>
    <w:rsid w:val="00C17905"/>
    <w:rsid w:val="00C17BC5"/>
    <w:rsid w:val="00C17C2C"/>
    <w:rsid w:val="00C17F89"/>
    <w:rsid w:val="00C17FFB"/>
    <w:rsid w:val="00C20D29"/>
    <w:rsid w:val="00C20DA6"/>
    <w:rsid w:val="00C20E12"/>
    <w:rsid w:val="00C21328"/>
    <w:rsid w:val="00C21464"/>
    <w:rsid w:val="00C21669"/>
    <w:rsid w:val="00C216A1"/>
    <w:rsid w:val="00C216BE"/>
    <w:rsid w:val="00C21786"/>
    <w:rsid w:val="00C2180C"/>
    <w:rsid w:val="00C219BB"/>
    <w:rsid w:val="00C219CE"/>
    <w:rsid w:val="00C21BAC"/>
    <w:rsid w:val="00C21F05"/>
    <w:rsid w:val="00C21FB7"/>
    <w:rsid w:val="00C2228B"/>
    <w:rsid w:val="00C225A4"/>
    <w:rsid w:val="00C227BB"/>
    <w:rsid w:val="00C22F1E"/>
    <w:rsid w:val="00C23648"/>
    <w:rsid w:val="00C23700"/>
    <w:rsid w:val="00C239D2"/>
    <w:rsid w:val="00C23B26"/>
    <w:rsid w:val="00C24243"/>
    <w:rsid w:val="00C242C0"/>
    <w:rsid w:val="00C24410"/>
    <w:rsid w:val="00C24A03"/>
    <w:rsid w:val="00C25072"/>
    <w:rsid w:val="00C251FF"/>
    <w:rsid w:val="00C25284"/>
    <w:rsid w:val="00C2543A"/>
    <w:rsid w:val="00C2553F"/>
    <w:rsid w:val="00C25617"/>
    <w:rsid w:val="00C25644"/>
    <w:rsid w:val="00C256C7"/>
    <w:rsid w:val="00C25AC4"/>
    <w:rsid w:val="00C25E2D"/>
    <w:rsid w:val="00C265BB"/>
    <w:rsid w:val="00C26860"/>
    <w:rsid w:val="00C269B3"/>
    <w:rsid w:val="00C26BA3"/>
    <w:rsid w:val="00C27276"/>
    <w:rsid w:val="00C272E9"/>
    <w:rsid w:val="00C2739D"/>
    <w:rsid w:val="00C27793"/>
    <w:rsid w:val="00C27852"/>
    <w:rsid w:val="00C27937"/>
    <w:rsid w:val="00C27C50"/>
    <w:rsid w:val="00C300A3"/>
    <w:rsid w:val="00C3022E"/>
    <w:rsid w:val="00C30347"/>
    <w:rsid w:val="00C30543"/>
    <w:rsid w:val="00C30566"/>
    <w:rsid w:val="00C309FD"/>
    <w:rsid w:val="00C30B26"/>
    <w:rsid w:val="00C30E44"/>
    <w:rsid w:val="00C31389"/>
    <w:rsid w:val="00C316D9"/>
    <w:rsid w:val="00C31CAD"/>
    <w:rsid w:val="00C31E7C"/>
    <w:rsid w:val="00C322BD"/>
    <w:rsid w:val="00C32592"/>
    <w:rsid w:val="00C327B5"/>
    <w:rsid w:val="00C3292D"/>
    <w:rsid w:val="00C32A2D"/>
    <w:rsid w:val="00C32D61"/>
    <w:rsid w:val="00C33757"/>
    <w:rsid w:val="00C337CF"/>
    <w:rsid w:val="00C33B38"/>
    <w:rsid w:val="00C3405A"/>
    <w:rsid w:val="00C340F9"/>
    <w:rsid w:val="00C342BF"/>
    <w:rsid w:val="00C342C5"/>
    <w:rsid w:val="00C345F2"/>
    <w:rsid w:val="00C346AF"/>
    <w:rsid w:val="00C34F83"/>
    <w:rsid w:val="00C3581F"/>
    <w:rsid w:val="00C358AD"/>
    <w:rsid w:val="00C35B54"/>
    <w:rsid w:val="00C35DEA"/>
    <w:rsid w:val="00C36317"/>
    <w:rsid w:val="00C36610"/>
    <w:rsid w:val="00C36BCD"/>
    <w:rsid w:val="00C36F48"/>
    <w:rsid w:val="00C3717A"/>
    <w:rsid w:val="00C3725A"/>
    <w:rsid w:val="00C376E1"/>
    <w:rsid w:val="00C3779B"/>
    <w:rsid w:val="00C3798A"/>
    <w:rsid w:val="00C37AE3"/>
    <w:rsid w:val="00C37C72"/>
    <w:rsid w:val="00C37D9C"/>
    <w:rsid w:val="00C37DCB"/>
    <w:rsid w:val="00C37EF5"/>
    <w:rsid w:val="00C40647"/>
    <w:rsid w:val="00C40804"/>
    <w:rsid w:val="00C40A45"/>
    <w:rsid w:val="00C40EBE"/>
    <w:rsid w:val="00C410B8"/>
    <w:rsid w:val="00C411B6"/>
    <w:rsid w:val="00C41306"/>
    <w:rsid w:val="00C4152E"/>
    <w:rsid w:val="00C41538"/>
    <w:rsid w:val="00C41630"/>
    <w:rsid w:val="00C417A5"/>
    <w:rsid w:val="00C41882"/>
    <w:rsid w:val="00C41A54"/>
    <w:rsid w:val="00C41D51"/>
    <w:rsid w:val="00C41E9B"/>
    <w:rsid w:val="00C42075"/>
    <w:rsid w:val="00C42471"/>
    <w:rsid w:val="00C4249F"/>
    <w:rsid w:val="00C4265D"/>
    <w:rsid w:val="00C42A96"/>
    <w:rsid w:val="00C42DDD"/>
    <w:rsid w:val="00C433CC"/>
    <w:rsid w:val="00C43436"/>
    <w:rsid w:val="00C43B03"/>
    <w:rsid w:val="00C44014"/>
    <w:rsid w:val="00C44326"/>
    <w:rsid w:val="00C444EC"/>
    <w:rsid w:val="00C44609"/>
    <w:rsid w:val="00C448CB"/>
    <w:rsid w:val="00C4497F"/>
    <w:rsid w:val="00C44A41"/>
    <w:rsid w:val="00C44CD5"/>
    <w:rsid w:val="00C46221"/>
    <w:rsid w:val="00C46282"/>
    <w:rsid w:val="00C46674"/>
    <w:rsid w:val="00C467E2"/>
    <w:rsid w:val="00C46814"/>
    <w:rsid w:val="00C46A5E"/>
    <w:rsid w:val="00C46CE8"/>
    <w:rsid w:val="00C4703B"/>
    <w:rsid w:val="00C471B3"/>
    <w:rsid w:val="00C473CE"/>
    <w:rsid w:val="00C474B8"/>
    <w:rsid w:val="00C474D8"/>
    <w:rsid w:val="00C47876"/>
    <w:rsid w:val="00C478AC"/>
    <w:rsid w:val="00C47D23"/>
    <w:rsid w:val="00C50122"/>
    <w:rsid w:val="00C502B0"/>
    <w:rsid w:val="00C506CD"/>
    <w:rsid w:val="00C509C4"/>
    <w:rsid w:val="00C50FA1"/>
    <w:rsid w:val="00C5136B"/>
    <w:rsid w:val="00C515C7"/>
    <w:rsid w:val="00C51654"/>
    <w:rsid w:val="00C51D1C"/>
    <w:rsid w:val="00C51DB1"/>
    <w:rsid w:val="00C51E6E"/>
    <w:rsid w:val="00C51EB1"/>
    <w:rsid w:val="00C520CE"/>
    <w:rsid w:val="00C52376"/>
    <w:rsid w:val="00C524C6"/>
    <w:rsid w:val="00C526CD"/>
    <w:rsid w:val="00C52952"/>
    <w:rsid w:val="00C52A31"/>
    <w:rsid w:val="00C52BBB"/>
    <w:rsid w:val="00C52E94"/>
    <w:rsid w:val="00C53014"/>
    <w:rsid w:val="00C5307F"/>
    <w:rsid w:val="00C530E2"/>
    <w:rsid w:val="00C5367F"/>
    <w:rsid w:val="00C536C0"/>
    <w:rsid w:val="00C5391A"/>
    <w:rsid w:val="00C539C8"/>
    <w:rsid w:val="00C53B7B"/>
    <w:rsid w:val="00C54042"/>
    <w:rsid w:val="00C5427F"/>
    <w:rsid w:val="00C544F3"/>
    <w:rsid w:val="00C54623"/>
    <w:rsid w:val="00C5498C"/>
    <w:rsid w:val="00C54EAA"/>
    <w:rsid w:val="00C55518"/>
    <w:rsid w:val="00C55587"/>
    <w:rsid w:val="00C55793"/>
    <w:rsid w:val="00C55B5F"/>
    <w:rsid w:val="00C55BF5"/>
    <w:rsid w:val="00C55ED4"/>
    <w:rsid w:val="00C560C4"/>
    <w:rsid w:val="00C56217"/>
    <w:rsid w:val="00C568E5"/>
    <w:rsid w:val="00C572EF"/>
    <w:rsid w:val="00C57386"/>
    <w:rsid w:val="00C575CD"/>
    <w:rsid w:val="00C576A7"/>
    <w:rsid w:val="00C57960"/>
    <w:rsid w:val="00C579D6"/>
    <w:rsid w:val="00C57CD5"/>
    <w:rsid w:val="00C57D5E"/>
    <w:rsid w:val="00C601E4"/>
    <w:rsid w:val="00C603D7"/>
    <w:rsid w:val="00C603EF"/>
    <w:rsid w:val="00C60AE3"/>
    <w:rsid w:val="00C60B33"/>
    <w:rsid w:val="00C60BAC"/>
    <w:rsid w:val="00C60BBF"/>
    <w:rsid w:val="00C60C77"/>
    <w:rsid w:val="00C60D5D"/>
    <w:rsid w:val="00C60E13"/>
    <w:rsid w:val="00C6147B"/>
    <w:rsid w:val="00C61530"/>
    <w:rsid w:val="00C616E1"/>
    <w:rsid w:val="00C6179B"/>
    <w:rsid w:val="00C62092"/>
    <w:rsid w:val="00C62207"/>
    <w:rsid w:val="00C629AC"/>
    <w:rsid w:val="00C629F2"/>
    <w:rsid w:val="00C62A33"/>
    <w:rsid w:val="00C62AE1"/>
    <w:rsid w:val="00C62DA2"/>
    <w:rsid w:val="00C63A09"/>
    <w:rsid w:val="00C63C03"/>
    <w:rsid w:val="00C63D0B"/>
    <w:rsid w:val="00C63D39"/>
    <w:rsid w:val="00C642E9"/>
    <w:rsid w:val="00C64336"/>
    <w:rsid w:val="00C64648"/>
    <w:rsid w:val="00C647BC"/>
    <w:rsid w:val="00C64867"/>
    <w:rsid w:val="00C64A75"/>
    <w:rsid w:val="00C64B6C"/>
    <w:rsid w:val="00C64DA9"/>
    <w:rsid w:val="00C6573C"/>
    <w:rsid w:val="00C657C4"/>
    <w:rsid w:val="00C65C92"/>
    <w:rsid w:val="00C65F65"/>
    <w:rsid w:val="00C66249"/>
    <w:rsid w:val="00C66287"/>
    <w:rsid w:val="00C66638"/>
    <w:rsid w:val="00C66C6B"/>
    <w:rsid w:val="00C66CC6"/>
    <w:rsid w:val="00C66F63"/>
    <w:rsid w:val="00C6718E"/>
    <w:rsid w:val="00C6759E"/>
    <w:rsid w:val="00C6759F"/>
    <w:rsid w:val="00C67690"/>
    <w:rsid w:val="00C6781D"/>
    <w:rsid w:val="00C67884"/>
    <w:rsid w:val="00C679E0"/>
    <w:rsid w:val="00C67B4F"/>
    <w:rsid w:val="00C67B7F"/>
    <w:rsid w:val="00C67EEF"/>
    <w:rsid w:val="00C67F65"/>
    <w:rsid w:val="00C70126"/>
    <w:rsid w:val="00C7047D"/>
    <w:rsid w:val="00C70535"/>
    <w:rsid w:val="00C705F3"/>
    <w:rsid w:val="00C70C21"/>
    <w:rsid w:val="00C70D94"/>
    <w:rsid w:val="00C71226"/>
    <w:rsid w:val="00C72569"/>
    <w:rsid w:val="00C72852"/>
    <w:rsid w:val="00C72B84"/>
    <w:rsid w:val="00C72BFD"/>
    <w:rsid w:val="00C72C87"/>
    <w:rsid w:val="00C72F4A"/>
    <w:rsid w:val="00C72F76"/>
    <w:rsid w:val="00C72FE2"/>
    <w:rsid w:val="00C732EA"/>
    <w:rsid w:val="00C733B2"/>
    <w:rsid w:val="00C73904"/>
    <w:rsid w:val="00C73ADA"/>
    <w:rsid w:val="00C73CF7"/>
    <w:rsid w:val="00C73D8B"/>
    <w:rsid w:val="00C73E1D"/>
    <w:rsid w:val="00C73EDC"/>
    <w:rsid w:val="00C73F41"/>
    <w:rsid w:val="00C73F74"/>
    <w:rsid w:val="00C73FF7"/>
    <w:rsid w:val="00C741BC"/>
    <w:rsid w:val="00C742B5"/>
    <w:rsid w:val="00C7436A"/>
    <w:rsid w:val="00C7456A"/>
    <w:rsid w:val="00C746F8"/>
    <w:rsid w:val="00C747C2"/>
    <w:rsid w:val="00C747ED"/>
    <w:rsid w:val="00C74C38"/>
    <w:rsid w:val="00C74C7B"/>
    <w:rsid w:val="00C74F9B"/>
    <w:rsid w:val="00C75059"/>
    <w:rsid w:val="00C75198"/>
    <w:rsid w:val="00C756C9"/>
    <w:rsid w:val="00C75942"/>
    <w:rsid w:val="00C75A68"/>
    <w:rsid w:val="00C75C8D"/>
    <w:rsid w:val="00C76607"/>
    <w:rsid w:val="00C768CF"/>
    <w:rsid w:val="00C76C5F"/>
    <w:rsid w:val="00C76E5C"/>
    <w:rsid w:val="00C76E5D"/>
    <w:rsid w:val="00C76F10"/>
    <w:rsid w:val="00C77052"/>
    <w:rsid w:val="00C7707D"/>
    <w:rsid w:val="00C77188"/>
    <w:rsid w:val="00C77292"/>
    <w:rsid w:val="00C772E0"/>
    <w:rsid w:val="00C77554"/>
    <w:rsid w:val="00C77A2E"/>
    <w:rsid w:val="00C77AA3"/>
    <w:rsid w:val="00C77AF9"/>
    <w:rsid w:val="00C77B82"/>
    <w:rsid w:val="00C77BBF"/>
    <w:rsid w:val="00C77F82"/>
    <w:rsid w:val="00C805B7"/>
    <w:rsid w:val="00C80790"/>
    <w:rsid w:val="00C807BA"/>
    <w:rsid w:val="00C80E55"/>
    <w:rsid w:val="00C80F10"/>
    <w:rsid w:val="00C8115E"/>
    <w:rsid w:val="00C811CD"/>
    <w:rsid w:val="00C81662"/>
    <w:rsid w:val="00C816B2"/>
    <w:rsid w:val="00C817BE"/>
    <w:rsid w:val="00C81A0D"/>
    <w:rsid w:val="00C81AE7"/>
    <w:rsid w:val="00C81BB0"/>
    <w:rsid w:val="00C82528"/>
    <w:rsid w:val="00C82B67"/>
    <w:rsid w:val="00C82DE6"/>
    <w:rsid w:val="00C8351C"/>
    <w:rsid w:val="00C835FE"/>
    <w:rsid w:val="00C83805"/>
    <w:rsid w:val="00C83F12"/>
    <w:rsid w:val="00C83FC3"/>
    <w:rsid w:val="00C8412F"/>
    <w:rsid w:val="00C8439D"/>
    <w:rsid w:val="00C84879"/>
    <w:rsid w:val="00C84B76"/>
    <w:rsid w:val="00C84EA5"/>
    <w:rsid w:val="00C85260"/>
    <w:rsid w:val="00C85656"/>
    <w:rsid w:val="00C856D7"/>
    <w:rsid w:val="00C85A5B"/>
    <w:rsid w:val="00C8631C"/>
    <w:rsid w:val="00C86639"/>
    <w:rsid w:val="00C8694B"/>
    <w:rsid w:val="00C86E1A"/>
    <w:rsid w:val="00C87391"/>
    <w:rsid w:val="00C877BB"/>
    <w:rsid w:val="00C87A3C"/>
    <w:rsid w:val="00C901C9"/>
    <w:rsid w:val="00C90329"/>
    <w:rsid w:val="00C903EB"/>
    <w:rsid w:val="00C90ABA"/>
    <w:rsid w:val="00C90B8C"/>
    <w:rsid w:val="00C90D20"/>
    <w:rsid w:val="00C90F91"/>
    <w:rsid w:val="00C911C9"/>
    <w:rsid w:val="00C91621"/>
    <w:rsid w:val="00C916FC"/>
    <w:rsid w:val="00C918DD"/>
    <w:rsid w:val="00C919B6"/>
    <w:rsid w:val="00C919C4"/>
    <w:rsid w:val="00C91D65"/>
    <w:rsid w:val="00C91DD8"/>
    <w:rsid w:val="00C91E0B"/>
    <w:rsid w:val="00C91FC5"/>
    <w:rsid w:val="00C921FB"/>
    <w:rsid w:val="00C9266D"/>
    <w:rsid w:val="00C926C1"/>
    <w:rsid w:val="00C926E0"/>
    <w:rsid w:val="00C9297B"/>
    <w:rsid w:val="00C92BDF"/>
    <w:rsid w:val="00C92C4D"/>
    <w:rsid w:val="00C92D6A"/>
    <w:rsid w:val="00C93179"/>
    <w:rsid w:val="00C931AA"/>
    <w:rsid w:val="00C9331C"/>
    <w:rsid w:val="00C93B1D"/>
    <w:rsid w:val="00C93B3E"/>
    <w:rsid w:val="00C93B4F"/>
    <w:rsid w:val="00C94005"/>
    <w:rsid w:val="00C94347"/>
    <w:rsid w:val="00C945B3"/>
    <w:rsid w:val="00C9476F"/>
    <w:rsid w:val="00C949BB"/>
    <w:rsid w:val="00C951A6"/>
    <w:rsid w:val="00C95668"/>
    <w:rsid w:val="00C95A6B"/>
    <w:rsid w:val="00C95B29"/>
    <w:rsid w:val="00C95CBD"/>
    <w:rsid w:val="00C95D9F"/>
    <w:rsid w:val="00C95E1E"/>
    <w:rsid w:val="00C9606D"/>
    <w:rsid w:val="00C9680F"/>
    <w:rsid w:val="00C96895"/>
    <w:rsid w:val="00C9689F"/>
    <w:rsid w:val="00C96AAC"/>
    <w:rsid w:val="00C972D8"/>
    <w:rsid w:val="00C9774F"/>
    <w:rsid w:val="00C9779A"/>
    <w:rsid w:val="00C97A5D"/>
    <w:rsid w:val="00C97C47"/>
    <w:rsid w:val="00C97CFF"/>
    <w:rsid w:val="00C97DD8"/>
    <w:rsid w:val="00CA0279"/>
    <w:rsid w:val="00CA05DC"/>
    <w:rsid w:val="00CA0616"/>
    <w:rsid w:val="00CA0734"/>
    <w:rsid w:val="00CA07CB"/>
    <w:rsid w:val="00CA0956"/>
    <w:rsid w:val="00CA09C1"/>
    <w:rsid w:val="00CA0A41"/>
    <w:rsid w:val="00CA0C50"/>
    <w:rsid w:val="00CA0C92"/>
    <w:rsid w:val="00CA0F7E"/>
    <w:rsid w:val="00CA1405"/>
    <w:rsid w:val="00CA1520"/>
    <w:rsid w:val="00CA187B"/>
    <w:rsid w:val="00CA19B3"/>
    <w:rsid w:val="00CA1A28"/>
    <w:rsid w:val="00CA1FD5"/>
    <w:rsid w:val="00CA2029"/>
    <w:rsid w:val="00CA2F4B"/>
    <w:rsid w:val="00CA2FA6"/>
    <w:rsid w:val="00CA3154"/>
    <w:rsid w:val="00CA32DA"/>
    <w:rsid w:val="00CA37B3"/>
    <w:rsid w:val="00CA3E4C"/>
    <w:rsid w:val="00CA3FBE"/>
    <w:rsid w:val="00CA43D5"/>
    <w:rsid w:val="00CA4738"/>
    <w:rsid w:val="00CA4759"/>
    <w:rsid w:val="00CA4A2B"/>
    <w:rsid w:val="00CA4C0F"/>
    <w:rsid w:val="00CA4E0C"/>
    <w:rsid w:val="00CA51C8"/>
    <w:rsid w:val="00CA51D6"/>
    <w:rsid w:val="00CA5277"/>
    <w:rsid w:val="00CA53CA"/>
    <w:rsid w:val="00CA5896"/>
    <w:rsid w:val="00CA5898"/>
    <w:rsid w:val="00CA5970"/>
    <w:rsid w:val="00CA5ABF"/>
    <w:rsid w:val="00CA5D29"/>
    <w:rsid w:val="00CA5E71"/>
    <w:rsid w:val="00CA5EF0"/>
    <w:rsid w:val="00CA62C3"/>
    <w:rsid w:val="00CA67A5"/>
    <w:rsid w:val="00CA6935"/>
    <w:rsid w:val="00CA6F5E"/>
    <w:rsid w:val="00CA75C7"/>
    <w:rsid w:val="00CA78BD"/>
    <w:rsid w:val="00CA7DE1"/>
    <w:rsid w:val="00CB0A9B"/>
    <w:rsid w:val="00CB161E"/>
    <w:rsid w:val="00CB1795"/>
    <w:rsid w:val="00CB1797"/>
    <w:rsid w:val="00CB1809"/>
    <w:rsid w:val="00CB2574"/>
    <w:rsid w:val="00CB25E0"/>
    <w:rsid w:val="00CB2649"/>
    <w:rsid w:val="00CB2939"/>
    <w:rsid w:val="00CB2AC4"/>
    <w:rsid w:val="00CB2BCC"/>
    <w:rsid w:val="00CB2C93"/>
    <w:rsid w:val="00CB2CF3"/>
    <w:rsid w:val="00CB2D50"/>
    <w:rsid w:val="00CB31D9"/>
    <w:rsid w:val="00CB3261"/>
    <w:rsid w:val="00CB333A"/>
    <w:rsid w:val="00CB33CC"/>
    <w:rsid w:val="00CB381E"/>
    <w:rsid w:val="00CB38C8"/>
    <w:rsid w:val="00CB3A1A"/>
    <w:rsid w:val="00CB3D80"/>
    <w:rsid w:val="00CB4439"/>
    <w:rsid w:val="00CB46E8"/>
    <w:rsid w:val="00CB49A9"/>
    <w:rsid w:val="00CB5167"/>
    <w:rsid w:val="00CB5444"/>
    <w:rsid w:val="00CB5778"/>
    <w:rsid w:val="00CB5C26"/>
    <w:rsid w:val="00CB5EC4"/>
    <w:rsid w:val="00CB61A5"/>
    <w:rsid w:val="00CB66E4"/>
    <w:rsid w:val="00CB68F3"/>
    <w:rsid w:val="00CB696D"/>
    <w:rsid w:val="00CB6F0A"/>
    <w:rsid w:val="00CB71BD"/>
    <w:rsid w:val="00CB7294"/>
    <w:rsid w:val="00CB74EA"/>
    <w:rsid w:val="00CB7509"/>
    <w:rsid w:val="00CC0010"/>
    <w:rsid w:val="00CC028D"/>
    <w:rsid w:val="00CC03C9"/>
    <w:rsid w:val="00CC06B6"/>
    <w:rsid w:val="00CC0A51"/>
    <w:rsid w:val="00CC13B0"/>
    <w:rsid w:val="00CC1770"/>
    <w:rsid w:val="00CC1823"/>
    <w:rsid w:val="00CC18E0"/>
    <w:rsid w:val="00CC1D39"/>
    <w:rsid w:val="00CC1D5A"/>
    <w:rsid w:val="00CC1EBD"/>
    <w:rsid w:val="00CC22B8"/>
    <w:rsid w:val="00CC232E"/>
    <w:rsid w:val="00CC23D3"/>
    <w:rsid w:val="00CC2EF3"/>
    <w:rsid w:val="00CC3071"/>
    <w:rsid w:val="00CC3100"/>
    <w:rsid w:val="00CC315A"/>
    <w:rsid w:val="00CC35D9"/>
    <w:rsid w:val="00CC37BC"/>
    <w:rsid w:val="00CC39E0"/>
    <w:rsid w:val="00CC39F2"/>
    <w:rsid w:val="00CC3E94"/>
    <w:rsid w:val="00CC3EFD"/>
    <w:rsid w:val="00CC45EF"/>
    <w:rsid w:val="00CC4925"/>
    <w:rsid w:val="00CC49F4"/>
    <w:rsid w:val="00CC4B29"/>
    <w:rsid w:val="00CC4F53"/>
    <w:rsid w:val="00CC4FE4"/>
    <w:rsid w:val="00CC52CB"/>
    <w:rsid w:val="00CC584C"/>
    <w:rsid w:val="00CC5B30"/>
    <w:rsid w:val="00CC5B71"/>
    <w:rsid w:val="00CC5FEA"/>
    <w:rsid w:val="00CC6607"/>
    <w:rsid w:val="00CC66EC"/>
    <w:rsid w:val="00CC68D9"/>
    <w:rsid w:val="00CC68DD"/>
    <w:rsid w:val="00CC6C84"/>
    <w:rsid w:val="00CC6E58"/>
    <w:rsid w:val="00CC75BF"/>
    <w:rsid w:val="00CC76F1"/>
    <w:rsid w:val="00CC7996"/>
    <w:rsid w:val="00CD019D"/>
    <w:rsid w:val="00CD0620"/>
    <w:rsid w:val="00CD065B"/>
    <w:rsid w:val="00CD072A"/>
    <w:rsid w:val="00CD0807"/>
    <w:rsid w:val="00CD0880"/>
    <w:rsid w:val="00CD0A5E"/>
    <w:rsid w:val="00CD0C7B"/>
    <w:rsid w:val="00CD0E73"/>
    <w:rsid w:val="00CD125C"/>
    <w:rsid w:val="00CD1484"/>
    <w:rsid w:val="00CD1570"/>
    <w:rsid w:val="00CD1861"/>
    <w:rsid w:val="00CD1BA4"/>
    <w:rsid w:val="00CD1C20"/>
    <w:rsid w:val="00CD1C48"/>
    <w:rsid w:val="00CD21B9"/>
    <w:rsid w:val="00CD23E3"/>
    <w:rsid w:val="00CD24FD"/>
    <w:rsid w:val="00CD284D"/>
    <w:rsid w:val="00CD2BEB"/>
    <w:rsid w:val="00CD2D2D"/>
    <w:rsid w:val="00CD2EE5"/>
    <w:rsid w:val="00CD3028"/>
    <w:rsid w:val="00CD347F"/>
    <w:rsid w:val="00CD3778"/>
    <w:rsid w:val="00CD379F"/>
    <w:rsid w:val="00CD3D15"/>
    <w:rsid w:val="00CD43AF"/>
    <w:rsid w:val="00CD43B6"/>
    <w:rsid w:val="00CD4E72"/>
    <w:rsid w:val="00CD4F25"/>
    <w:rsid w:val="00CD4F40"/>
    <w:rsid w:val="00CD52A2"/>
    <w:rsid w:val="00CD569C"/>
    <w:rsid w:val="00CD58E6"/>
    <w:rsid w:val="00CD59D3"/>
    <w:rsid w:val="00CD61B9"/>
    <w:rsid w:val="00CD64F6"/>
    <w:rsid w:val="00CD6A80"/>
    <w:rsid w:val="00CD6B49"/>
    <w:rsid w:val="00CD6E06"/>
    <w:rsid w:val="00CD6EA8"/>
    <w:rsid w:val="00CD7789"/>
    <w:rsid w:val="00CD77B6"/>
    <w:rsid w:val="00CD7970"/>
    <w:rsid w:val="00CD7B55"/>
    <w:rsid w:val="00CD7D02"/>
    <w:rsid w:val="00CD7F2F"/>
    <w:rsid w:val="00CE005B"/>
    <w:rsid w:val="00CE0466"/>
    <w:rsid w:val="00CE0524"/>
    <w:rsid w:val="00CE0AE0"/>
    <w:rsid w:val="00CE0F11"/>
    <w:rsid w:val="00CE1117"/>
    <w:rsid w:val="00CE1889"/>
    <w:rsid w:val="00CE1AD2"/>
    <w:rsid w:val="00CE1B83"/>
    <w:rsid w:val="00CE1DBA"/>
    <w:rsid w:val="00CE2011"/>
    <w:rsid w:val="00CE226E"/>
    <w:rsid w:val="00CE22A1"/>
    <w:rsid w:val="00CE2550"/>
    <w:rsid w:val="00CE2645"/>
    <w:rsid w:val="00CE27C6"/>
    <w:rsid w:val="00CE2805"/>
    <w:rsid w:val="00CE2823"/>
    <w:rsid w:val="00CE29AA"/>
    <w:rsid w:val="00CE2B7C"/>
    <w:rsid w:val="00CE2DCC"/>
    <w:rsid w:val="00CE2F20"/>
    <w:rsid w:val="00CE2F48"/>
    <w:rsid w:val="00CE31B5"/>
    <w:rsid w:val="00CE33A4"/>
    <w:rsid w:val="00CE3B1D"/>
    <w:rsid w:val="00CE4013"/>
    <w:rsid w:val="00CE4504"/>
    <w:rsid w:val="00CE45EF"/>
    <w:rsid w:val="00CE4606"/>
    <w:rsid w:val="00CE466A"/>
    <w:rsid w:val="00CE48DC"/>
    <w:rsid w:val="00CE4923"/>
    <w:rsid w:val="00CE4A38"/>
    <w:rsid w:val="00CE4DAF"/>
    <w:rsid w:val="00CE4F2E"/>
    <w:rsid w:val="00CE4FD9"/>
    <w:rsid w:val="00CE515D"/>
    <w:rsid w:val="00CE5220"/>
    <w:rsid w:val="00CE5424"/>
    <w:rsid w:val="00CE56B1"/>
    <w:rsid w:val="00CE574F"/>
    <w:rsid w:val="00CE5AF1"/>
    <w:rsid w:val="00CE5EBD"/>
    <w:rsid w:val="00CE5F7C"/>
    <w:rsid w:val="00CE631E"/>
    <w:rsid w:val="00CE6468"/>
    <w:rsid w:val="00CE6705"/>
    <w:rsid w:val="00CE671A"/>
    <w:rsid w:val="00CE68DF"/>
    <w:rsid w:val="00CE6CC1"/>
    <w:rsid w:val="00CE727E"/>
    <w:rsid w:val="00CE7788"/>
    <w:rsid w:val="00CE7B80"/>
    <w:rsid w:val="00CE7C06"/>
    <w:rsid w:val="00CE7C1C"/>
    <w:rsid w:val="00CE7C51"/>
    <w:rsid w:val="00CE7EF8"/>
    <w:rsid w:val="00CF013C"/>
    <w:rsid w:val="00CF0465"/>
    <w:rsid w:val="00CF0486"/>
    <w:rsid w:val="00CF099B"/>
    <w:rsid w:val="00CF0B18"/>
    <w:rsid w:val="00CF0E71"/>
    <w:rsid w:val="00CF0EE1"/>
    <w:rsid w:val="00CF0F54"/>
    <w:rsid w:val="00CF1449"/>
    <w:rsid w:val="00CF1638"/>
    <w:rsid w:val="00CF164C"/>
    <w:rsid w:val="00CF1759"/>
    <w:rsid w:val="00CF184C"/>
    <w:rsid w:val="00CF1DBC"/>
    <w:rsid w:val="00CF1EA6"/>
    <w:rsid w:val="00CF214C"/>
    <w:rsid w:val="00CF218B"/>
    <w:rsid w:val="00CF2794"/>
    <w:rsid w:val="00CF28D4"/>
    <w:rsid w:val="00CF2911"/>
    <w:rsid w:val="00CF2998"/>
    <w:rsid w:val="00CF337A"/>
    <w:rsid w:val="00CF353E"/>
    <w:rsid w:val="00CF357F"/>
    <w:rsid w:val="00CF3A20"/>
    <w:rsid w:val="00CF3BCF"/>
    <w:rsid w:val="00CF3DB1"/>
    <w:rsid w:val="00CF3E19"/>
    <w:rsid w:val="00CF3E70"/>
    <w:rsid w:val="00CF3EAE"/>
    <w:rsid w:val="00CF4BB4"/>
    <w:rsid w:val="00CF4C4D"/>
    <w:rsid w:val="00CF545C"/>
    <w:rsid w:val="00CF5982"/>
    <w:rsid w:val="00CF59A5"/>
    <w:rsid w:val="00CF5D8C"/>
    <w:rsid w:val="00CF5FB1"/>
    <w:rsid w:val="00CF65E6"/>
    <w:rsid w:val="00CF68DA"/>
    <w:rsid w:val="00CF6C6A"/>
    <w:rsid w:val="00CF756C"/>
    <w:rsid w:val="00CF764C"/>
    <w:rsid w:val="00CF77E8"/>
    <w:rsid w:val="00CF7B3A"/>
    <w:rsid w:val="00CF7FB5"/>
    <w:rsid w:val="00D000AF"/>
    <w:rsid w:val="00D009A2"/>
    <w:rsid w:val="00D009D8"/>
    <w:rsid w:val="00D00E0C"/>
    <w:rsid w:val="00D011EE"/>
    <w:rsid w:val="00D0134D"/>
    <w:rsid w:val="00D017E6"/>
    <w:rsid w:val="00D02087"/>
    <w:rsid w:val="00D0218F"/>
    <w:rsid w:val="00D021AE"/>
    <w:rsid w:val="00D022AF"/>
    <w:rsid w:val="00D02450"/>
    <w:rsid w:val="00D028ED"/>
    <w:rsid w:val="00D02A11"/>
    <w:rsid w:val="00D02B6A"/>
    <w:rsid w:val="00D02D68"/>
    <w:rsid w:val="00D02DAD"/>
    <w:rsid w:val="00D02DEC"/>
    <w:rsid w:val="00D0310B"/>
    <w:rsid w:val="00D0328F"/>
    <w:rsid w:val="00D0346F"/>
    <w:rsid w:val="00D03748"/>
    <w:rsid w:val="00D03774"/>
    <w:rsid w:val="00D03803"/>
    <w:rsid w:val="00D03881"/>
    <w:rsid w:val="00D03E0E"/>
    <w:rsid w:val="00D03E5F"/>
    <w:rsid w:val="00D040E1"/>
    <w:rsid w:val="00D04242"/>
    <w:rsid w:val="00D045D3"/>
    <w:rsid w:val="00D04906"/>
    <w:rsid w:val="00D04AF7"/>
    <w:rsid w:val="00D054B3"/>
    <w:rsid w:val="00D05574"/>
    <w:rsid w:val="00D057DC"/>
    <w:rsid w:val="00D05D7A"/>
    <w:rsid w:val="00D060F1"/>
    <w:rsid w:val="00D0674D"/>
    <w:rsid w:val="00D068FF"/>
    <w:rsid w:val="00D069A0"/>
    <w:rsid w:val="00D069ED"/>
    <w:rsid w:val="00D06EC4"/>
    <w:rsid w:val="00D07091"/>
    <w:rsid w:val="00D0766C"/>
    <w:rsid w:val="00D105C1"/>
    <w:rsid w:val="00D106E3"/>
    <w:rsid w:val="00D10C7B"/>
    <w:rsid w:val="00D10CB7"/>
    <w:rsid w:val="00D11008"/>
    <w:rsid w:val="00D11412"/>
    <w:rsid w:val="00D1171E"/>
    <w:rsid w:val="00D1179C"/>
    <w:rsid w:val="00D11FD3"/>
    <w:rsid w:val="00D120E7"/>
    <w:rsid w:val="00D121FB"/>
    <w:rsid w:val="00D12286"/>
    <w:rsid w:val="00D1228C"/>
    <w:rsid w:val="00D12452"/>
    <w:rsid w:val="00D124D1"/>
    <w:rsid w:val="00D12910"/>
    <w:rsid w:val="00D12AD3"/>
    <w:rsid w:val="00D12BAE"/>
    <w:rsid w:val="00D12E4D"/>
    <w:rsid w:val="00D130FA"/>
    <w:rsid w:val="00D13133"/>
    <w:rsid w:val="00D133C6"/>
    <w:rsid w:val="00D1390D"/>
    <w:rsid w:val="00D13A34"/>
    <w:rsid w:val="00D13A43"/>
    <w:rsid w:val="00D13A7F"/>
    <w:rsid w:val="00D13BF6"/>
    <w:rsid w:val="00D13DB9"/>
    <w:rsid w:val="00D1438C"/>
    <w:rsid w:val="00D14525"/>
    <w:rsid w:val="00D145D2"/>
    <w:rsid w:val="00D1492E"/>
    <w:rsid w:val="00D149E6"/>
    <w:rsid w:val="00D14A48"/>
    <w:rsid w:val="00D14AAA"/>
    <w:rsid w:val="00D14E5C"/>
    <w:rsid w:val="00D14E6C"/>
    <w:rsid w:val="00D14EAD"/>
    <w:rsid w:val="00D14F0B"/>
    <w:rsid w:val="00D153B7"/>
    <w:rsid w:val="00D15469"/>
    <w:rsid w:val="00D15621"/>
    <w:rsid w:val="00D156C2"/>
    <w:rsid w:val="00D15799"/>
    <w:rsid w:val="00D15860"/>
    <w:rsid w:val="00D15920"/>
    <w:rsid w:val="00D15A86"/>
    <w:rsid w:val="00D15B76"/>
    <w:rsid w:val="00D15FF1"/>
    <w:rsid w:val="00D16447"/>
    <w:rsid w:val="00D164B9"/>
    <w:rsid w:val="00D16C2B"/>
    <w:rsid w:val="00D1723F"/>
    <w:rsid w:val="00D175DB"/>
    <w:rsid w:val="00D179DB"/>
    <w:rsid w:val="00D17DC5"/>
    <w:rsid w:val="00D17DF0"/>
    <w:rsid w:val="00D200B2"/>
    <w:rsid w:val="00D2040E"/>
    <w:rsid w:val="00D20470"/>
    <w:rsid w:val="00D20703"/>
    <w:rsid w:val="00D20887"/>
    <w:rsid w:val="00D2099D"/>
    <w:rsid w:val="00D20D27"/>
    <w:rsid w:val="00D20D7E"/>
    <w:rsid w:val="00D20FFE"/>
    <w:rsid w:val="00D21485"/>
    <w:rsid w:val="00D216C2"/>
    <w:rsid w:val="00D219CB"/>
    <w:rsid w:val="00D21B06"/>
    <w:rsid w:val="00D21B63"/>
    <w:rsid w:val="00D21B96"/>
    <w:rsid w:val="00D21E17"/>
    <w:rsid w:val="00D21FA0"/>
    <w:rsid w:val="00D22033"/>
    <w:rsid w:val="00D22119"/>
    <w:rsid w:val="00D222C2"/>
    <w:rsid w:val="00D227C3"/>
    <w:rsid w:val="00D229EB"/>
    <w:rsid w:val="00D22D5B"/>
    <w:rsid w:val="00D230D8"/>
    <w:rsid w:val="00D2333A"/>
    <w:rsid w:val="00D233EB"/>
    <w:rsid w:val="00D234F3"/>
    <w:rsid w:val="00D23618"/>
    <w:rsid w:val="00D23E69"/>
    <w:rsid w:val="00D2406A"/>
    <w:rsid w:val="00D24251"/>
    <w:rsid w:val="00D242CA"/>
    <w:rsid w:val="00D24540"/>
    <w:rsid w:val="00D2468B"/>
    <w:rsid w:val="00D249C5"/>
    <w:rsid w:val="00D24ABC"/>
    <w:rsid w:val="00D24F11"/>
    <w:rsid w:val="00D25153"/>
    <w:rsid w:val="00D252E6"/>
    <w:rsid w:val="00D255BA"/>
    <w:rsid w:val="00D25956"/>
    <w:rsid w:val="00D25A62"/>
    <w:rsid w:val="00D25D93"/>
    <w:rsid w:val="00D25F71"/>
    <w:rsid w:val="00D26242"/>
    <w:rsid w:val="00D2628B"/>
    <w:rsid w:val="00D2656A"/>
    <w:rsid w:val="00D26935"/>
    <w:rsid w:val="00D26A46"/>
    <w:rsid w:val="00D26A56"/>
    <w:rsid w:val="00D26D91"/>
    <w:rsid w:val="00D26E77"/>
    <w:rsid w:val="00D2719A"/>
    <w:rsid w:val="00D273F2"/>
    <w:rsid w:val="00D278C8"/>
    <w:rsid w:val="00D2797C"/>
    <w:rsid w:val="00D27E9D"/>
    <w:rsid w:val="00D27F38"/>
    <w:rsid w:val="00D30007"/>
    <w:rsid w:val="00D3014A"/>
    <w:rsid w:val="00D30649"/>
    <w:rsid w:val="00D30797"/>
    <w:rsid w:val="00D30823"/>
    <w:rsid w:val="00D3091A"/>
    <w:rsid w:val="00D30940"/>
    <w:rsid w:val="00D30FAC"/>
    <w:rsid w:val="00D31197"/>
    <w:rsid w:val="00D311D0"/>
    <w:rsid w:val="00D3130A"/>
    <w:rsid w:val="00D316FA"/>
    <w:rsid w:val="00D3184E"/>
    <w:rsid w:val="00D31BD3"/>
    <w:rsid w:val="00D31C97"/>
    <w:rsid w:val="00D31CFE"/>
    <w:rsid w:val="00D326BE"/>
    <w:rsid w:val="00D329EF"/>
    <w:rsid w:val="00D32BBA"/>
    <w:rsid w:val="00D33060"/>
    <w:rsid w:val="00D339EF"/>
    <w:rsid w:val="00D33B29"/>
    <w:rsid w:val="00D33B45"/>
    <w:rsid w:val="00D3438F"/>
    <w:rsid w:val="00D34AFD"/>
    <w:rsid w:val="00D3510D"/>
    <w:rsid w:val="00D355C9"/>
    <w:rsid w:val="00D358CD"/>
    <w:rsid w:val="00D35FDE"/>
    <w:rsid w:val="00D36294"/>
    <w:rsid w:val="00D364A3"/>
    <w:rsid w:val="00D368BB"/>
    <w:rsid w:val="00D36905"/>
    <w:rsid w:val="00D36931"/>
    <w:rsid w:val="00D36B69"/>
    <w:rsid w:val="00D36B86"/>
    <w:rsid w:val="00D36D28"/>
    <w:rsid w:val="00D36D39"/>
    <w:rsid w:val="00D372F1"/>
    <w:rsid w:val="00D374FD"/>
    <w:rsid w:val="00D37642"/>
    <w:rsid w:val="00D37983"/>
    <w:rsid w:val="00D37D33"/>
    <w:rsid w:val="00D37EAC"/>
    <w:rsid w:val="00D37F94"/>
    <w:rsid w:val="00D400B9"/>
    <w:rsid w:val="00D40533"/>
    <w:rsid w:val="00D40546"/>
    <w:rsid w:val="00D40CFB"/>
    <w:rsid w:val="00D40E0F"/>
    <w:rsid w:val="00D411A3"/>
    <w:rsid w:val="00D413E4"/>
    <w:rsid w:val="00D41533"/>
    <w:rsid w:val="00D4154E"/>
    <w:rsid w:val="00D4194F"/>
    <w:rsid w:val="00D41960"/>
    <w:rsid w:val="00D419B5"/>
    <w:rsid w:val="00D419FB"/>
    <w:rsid w:val="00D41B9E"/>
    <w:rsid w:val="00D41D1E"/>
    <w:rsid w:val="00D41FD8"/>
    <w:rsid w:val="00D428AB"/>
    <w:rsid w:val="00D42919"/>
    <w:rsid w:val="00D429C2"/>
    <w:rsid w:val="00D43151"/>
    <w:rsid w:val="00D439E3"/>
    <w:rsid w:val="00D43A5F"/>
    <w:rsid w:val="00D43E5F"/>
    <w:rsid w:val="00D44011"/>
    <w:rsid w:val="00D442F7"/>
    <w:rsid w:val="00D44694"/>
    <w:rsid w:val="00D44718"/>
    <w:rsid w:val="00D4484F"/>
    <w:rsid w:val="00D4486C"/>
    <w:rsid w:val="00D449CC"/>
    <w:rsid w:val="00D44EC7"/>
    <w:rsid w:val="00D45630"/>
    <w:rsid w:val="00D45869"/>
    <w:rsid w:val="00D45953"/>
    <w:rsid w:val="00D46131"/>
    <w:rsid w:val="00D4624A"/>
    <w:rsid w:val="00D467A1"/>
    <w:rsid w:val="00D46847"/>
    <w:rsid w:val="00D46C86"/>
    <w:rsid w:val="00D46D0E"/>
    <w:rsid w:val="00D46F51"/>
    <w:rsid w:val="00D472E6"/>
    <w:rsid w:val="00D4780B"/>
    <w:rsid w:val="00D47955"/>
    <w:rsid w:val="00D47C48"/>
    <w:rsid w:val="00D47CE9"/>
    <w:rsid w:val="00D47EBD"/>
    <w:rsid w:val="00D50195"/>
    <w:rsid w:val="00D501DF"/>
    <w:rsid w:val="00D50682"/>
    <w:rsid w:val="00D50770"/>
    <w:rsid w:val="00D50997"/>
    <w:rsid w:val="00D509A6"/>
    <w:rsid w:val="00D50A9F"/>
    <w:rsid w:val="00D50BA0"/>
    <w:rsid w:val="00D50BBF"/>
    <w:rsid w:val="00D50CE8"/>
    <w:rsid w:val="00D50CFE"/>
    <w:rsid w:val="00D510C9"/>
    <w:rsid w:val="00D5129D"/>
    <w:rsid w:val="00D515A4"/>
    <w:rsid w:val="00D519F9"/>
    <w:rsid w:val="00D51B15"/>
    <w:rsid w:val="00D51D76"/>
    <w:rsid w:val="00D51D8B"/>
    <w:rsid w:val="00D520AE"/>
    <w:rsid w:val="00D521E9"/>
    <w:rsid w:val="00D52559"/>
    <w:rsid w:val="00D5282F"/>
    <w:rsid w:val="00D5286C"/>
    <w:rsid w:val="00D52D1B"/>
    <w:rsid w:val="00D5332B"/>
    <w:rsid w:val="00D53882"/>
    <w:rsid w:val="00D53AEF"/>
    <w:rsid w:val="00D54089"/>
    <w:rsid w:val="00D548EC"/>
    <w:rsid w:val="00D548FE"/>
    <w:rsid w:val="00D54B95"/>
    <w:rsid w:val="00D5526E"/>
    <w:rsid w:val="00D5550C"/>
    <w:rsid w:val="00D55929"/>
    <w:rsid w:val="00D55EA4"/>
    <w:rsid w:val="00D55F62"/>
    <w:rsid w:val="00D56004"/>
    <w:rsid w:val="00D5648C"/>
    <w:rsid w:val="00D564E3"/>
    <w:rsid w:val="00D56573"/>
    <w:rsid w:val="00D566FE"/>
    <w:rsid w:val="00D56BF1"/>
    <w:rsid w:val="00D56C4D"/>
    <w:rsid w:val="00D56D3E"/>
    <w:rsid w:val="00D56F2D"/>
    <w:rsid w:val="00D56FE0"/>
    <w:rsid w:val="00D5705C"/>
    <w:rsid w:val="00D57253"/>
    <w:rsid w:val="00D5734E"/>
    <w:rsid w:val="00D57529"/>
    <w:rsid w:val="00D578C8"/>
    <w:rsid w:val="00D57913"/>
    <w:rsid w:val="00D6014E"/>
    <w:rsid w:val="00D6031C"/>
    <w:rsid w:val="00D603F1"/>
    <w:rsid w:val="00D60420"/>
    <w:rsid w:val="00D60DC8"/>
    <w:rsid w:val="00D60E7D"/>
    <w:rsid w:val="00D613B5"/>
    <w:rsid w:val="00D615FB"/>
    <w:rsid w:val="00D6161A"/>
    <w:rsid w:val="00D6180C"/>
    <w:rsid w:val="00D6189A"/>
    <w:rsid w:val="00D619DB"/>
    <w:rsid w:val="00D619EE"/>
    <w:rsid w:val="00D61CDB"/>
    <w:rsid w:val="00D61FEA"/>
    <w:rsid w:val="00D62021"/>
    <w:rsid w:val="00D62221"/>
    <w:rsid w:val="00D62307"/>
    <w:rsid w:val="00D627B3"/>
    <w:rsid w:val="00D62C97"/>
    <w:rsid w:val="00D62D13"/>
    <w:rsid w:val="00D62FF8"/>
    <w:rsid w:val="00D632EE"/>
    <w:rsid w:val="00D633A8"/>
    <w:rsid w:val="00D637C5"/>
    <w:rsid w:val="00D63825"/>
    <w:rsid w:val="00D640D2"/>
    <w:rsid w:val="00D641B8"/>
    <w:rsid w:val="00D642BA"/>
    <w:rsid w:val="00D64536"/>
    <w:rsid w:val="00D645F9"/>
    <w:rsid w:val="00D6499C"/>
    <w:rsid w:val="00D649F0"/>
    <w:rsid w:val="00D64A47"/>
    <w:rsid w:val="00D64CEA"/>
    <w:rsid w:val="00D65928"/>
    <w:rsid w:val="00D65973"/>
    <w:rsid w:val="00D65B5E"/>
    <w:rsid w:val="00D65C9B"/>
    <w:rsid w:val="00D65D43"/>
    <w:rsid w:val="00D661D5"/>
    <w:rsid w:val="00D662A7"/>
    <w:rsid w:val="00D6640F"/>
    <w:rsid w:val="00D665DE"/>
    <w:rsid w:val="00D6675E"/>
    <w:rsid w:val="00D66769"/>
    <w:rsid w:val="00D66D10"/>
    <w:rsid w:val="00D66F13"/>
    <w:rsid w:val="00D670D3"/>
    <w:rsid w:val="00D67172"/>
    <w:rsid w:val="00D675C5"/>
    <w:rsid w:val="00D6773F"/>
    <w:rsid w:val="00D678ED"/>
    <w:rsid w:val="00D67A18"/>
    <w:rsid w:val="00D67A2F"/>
    <w:rsid w:val="00D67AF8"/>
    <w:rsid w:val="00D67D90"/>
    <w:rsid w:val="00D70060"/>
    <w:rsid w:val="00D70304"/>
    <w:rsid w:val="00D707CB"/>
    <w:rsid w:val="00D70AB9"/>
    <w:rsid w:val="00D717EA"/>
    <w:rsid w:val="00D71AFA"/>
    <w:rsid w:val="00D71D96"/>
    <w:rsid w:val="00D71EF7"/>
    <w:rsid w:val="00D71F2F"/>
    <w:rsid w:val="00D721E2"/>
    <w:rsid w:val="00D72522"/>
    <w:rsid w:val="00D725C0"/>
    <w:rsid w:val="00D7260B"/>
    <w:rsid w:val="00D726F0"/>
    <w:rsid w:val="00D72805"/>
    <w:rsid w:val="00D72928"/>
    <w:rsid w:val="00D72A2A"/>
    <w:rsid w:val="00D72E0C"/>
    <w:rsid w:val="00D7389B"/>
    <w:rsid w:val="00D73C2A"/>
    <w:rsid w:val="00D74105"/>
    <w:rsid w:val="00D7433A"/>
    <w:rsid w:val="00D74526"/>
    <w:rsid w:val="00D746B2"/>
    <w:rsid w:val="00D74AE4"/>
    <w:rsid w:val="00D74BA0"/>
    <w:rsid w:val="00D74C8D"/>
    <w:rsid w:val="00D74E1D"/>
    <w:rsid w:val="00D74F20"/>
    <w:rsid w:val="00D7500A"/>
    <w:rsid w:val="00D750D2"/>
    <w:rsid w:val="00D75157"/>
    <w:rsid w:val="00D7553E"/>
    <w:rsid w:val="00D75A94"/>
    <w:rsid w:val="00D75D1D"/>
    <w:rsid w:val="00D761D4"/>
    <w:rsid w:val="00D76657"/>
    <w:rsid w:val="00D767F2"/>
    <w:rsid w:val="00D76F41"/>
    <w:rsid w:val="00D7747D"/>
    <w:rsid w:val="00D7752F"/>
    <w:rsid w:val="00D7756B"/>
    <w:rsid w:val="00D77707"/>
    <w:rsid w:val="00D77D39"/>
    <w:rsid w:val="00D77D95"/>
    <w:rsid w:val="00D77E4C"/>
    <w:rsid w:val="00D77EA2"/>
    <w:rsid w:val="00D80079"/>
    <w:rsid w:val="00D80162"/>
    <w:rsid w:val="00D8021F"/>
    <w:rsid w:val="00D802A2"/>
    <w:rsid w:val="00D803A8"/>
    <w:rsid w:val="00D804BB"/>
    <w:rsid w:val="00D806C7"/>
    <w:rsid w:val="00D80C0B"/>
    <w:rsid w:val="00D80C44"/>
    <w:rsid w:val="00D80F06"/>
    <w:rsid w:val="00D8126A"/>
    <w:rsid w:val="00D81437"/>
    <w:rsid w:val="00D8184A"/>
    <w:rsid w:val="00D81A8E"/>
    <w:rsid w:val="00D81AF6"/>
    <w:rsid w:val="00D81D12"/>
    <w:rsid w:val="00D81E6A"/>
    <w:rsid w:val="00D82205"/>
    <w:rsid w:val="00D82381"/>
    <w:rsid w:val="00D824E5"/>
    <w:rsid w:val="00D828A7"/>
    <w:rsid w:val="00D82926"/>
    <w:rsid w:val="00D82C66"/>
    <w:rsid w:val="00D82CF5"/>
    <w:rsid w:val="00D8320D"/>
    <w:rsid w:val="00D83577"/>
    <w:rsid w:val="00D83C25"/>
    <w:rsid w:val="00D83DCA"/>
    <w:rsid w:val="00D83EEB"/>
    <w:rsid w:val="00D83F64"/>
    <w:rsid w:val="00D8458F"/>
    <w:rsid w:val="00D84A34"/>
    <w:rsid w:val="00D84AD4"/>
    <w:rsid w:val="00D84B19"/>
    <w:rsid w:val="00D84BED"/>
    <w:rsid w:val="00D85084"/>
    <w:rsid w:val="00D8517F"/>
    <w:rsid w:val="00D85AE6"/>
    <w:rsid w:val="00D85E21"/>
    <w:rsid w:val="00D85ED2"/>
    <w:rsid w:val="00D85EF0"/>
    <w:rsid w:val="00D861BC"/>
    <w:rsid w:val="00D864B2"/>
    <w:rsid w:val="00D8675B"/>
    <w:rsid w:val="00D86A8F"/>
    <w:rsid w:val="00D86AFE"/>
    <w:rsid w:val="00D86C51"/>
    <w:rsid w:val="00D86E28"/>
    <w:rsid w:val="00D86EE9"/>
    <w:rsid w:val="00D87097"/>
    <w:rsid w:val="00D871FB"/>
    <w:rsid w:val="00D87323"/>
    <w:rsid w:val="00D87551"/>
    <w:rsid w:val="00D8777E"/>
    <w:rsid w:val="00D87A95"/>
    <w:rsid w:val="00D87C5F"/>
    <w:rsid w:val="00D87CB9"/>
    <w:rsid w:val="00D87CD3"/>
    <w:rsid w:val="00D87DBA"/>
    <w:rsid w:val="00D90040"/>
    <w:rsid w:val="00D90137"/>
    <w:rsid w:val="00D90305"/>
    <w:rsid w:val="00D904BC"/>
    <w:rsid w:val="00D9080B"/>
    <w:rsid w:val="00D913FA"/>
    <w:rsid w:val="00D9167D"/>
    <w:rsid w:val="00D92095"/>
    <w:rsid w:val="00D92182"/>
    <w:rsid w:val="00D92293"/>
    <w:rsid w:val="00D92568"/>
    <w:rsid w:val="00D92CBE"/>
    <w:rsid w:val="00D92D20"/>
    <w:rsid w:val="00D92ED4"/>
    <w:rsid w:val="00D92F86"/>
    <w:rsid w:val="00D93136"/>
    <w:rsid w:val="00D93459"/>
    <w:rsid w:val="00D93787"/>
    <w:rsid w:val="00D9389D"/>
    <w:rsid w:val="00D93A60"/>
    <w:rsid w:val="00D944F3"/>
    <w:rsid w:val="00D947D6"/>
    <w:rsid w:val="00D9495D"/>
    <w:rsid w:val="00D94B6D"/>
    <w:rsid w:val="00D94B96"/>
    <w:rsid w:val="00D94BED"/>
    <w:rsid w:val="00D950E7"/>
    <w:rsid w:val="00D956C5"/>
    <w:rsid w:val="00D95AD9"/>
    <w:rsid w:val="00D95EFC"/>
    <w:rsid w:val="00D960AC"/>
    <w:rsid w:val="00D96236"/>
    <w:rsid w:val="00D96579"/>
    <w:rsid w:val="00D96D95"/>
    <w:rsid w:val="00D9723F"/>
    <w:rsid w:val="00D97301"/>
    <w:rsid w:val="00D97546"/>
    <w:rsid w:val="00D97C78"/>
    <w:rsid w:val="00D97CC8"/>
    <w:rsid w:val="00D97CFA"/>
    <w:rsid w:val="00D97DC8"/>
    <w:rsid w:val="00D9FC33"/>
    <w:rsid w:val="00DA0643"/>
    <w:rsid w:val="00DA09BD"/>
    <w:rsid w:val="00DA0B32"/>
    <w:rsid w:val="00DA0B94"/>
    <w:rsid w:val="00DA0BD3"/>
    <w:rsid w:val="00DA0C93"/>
    <w:rsid w:val="00DA131A"/>
    <w:rsid w:val="00DA1C7A"/>
    <w:rsid w:val="00DA1D91"/>
    <w:rsid w:val="00DA22FF"/>
    <w:rsid w:val="00DA2617"/>
    <w:rsid w:val="00DA26B1"/>
    <w:rsid w:val="00DA2DBC"/>
    <w:rsid w:val="00DA2F7F"/>
    <w:rsid w:val="00DA3248"/>
    <w:rsid w:val="00DA3805"/>
    <w:rsid w:val="00DA3831"/>
    <w:rsid w:val="00DA3899"/>
    <w:rsid w:val="00DA39EA"/>
    <w:rsid w:val="00DA410E"/>
    <w:rsid w:val="00DA4272"/>
    <w:rsid w:val="00DA445B"/>
    <w:rsid w:val="00DA4A11"/>
    <w:rsid w:val="00DA4C92"/>
    <w:rsid w:val="00DA4D0D"/>
    <w:rsid w:val="00DA51A9"/>
    <w:rsid w:val="00DA51B4"/>
    <w:rsid w:val="00DA57C6"/>
    <w:rsid w:val="00DA586B"/>
    <w:rsid w:val="00DA5D54"/>
    <w:rsid w:val="00DA5E23"/>
    <w:rsid w:val="00DA5F81"/>
    <w:rsid w:val="00DA621F"/>
    <w:rsid w:val="00DA659F"/>
    <w:rsid w:val="00DA6D50"/>
    <w:rsid w:val="00DA6DB4"/>
    <w:rsid w:val="00DA6F58"/>
    <w:rsid w:val="00DA748B"/>
    <w:rsid w:val="00DA770B"/>
    <w:rsid w:val="00DA78C1"/>
    <w:rsid w:val="00DA7A42"/>
    <w:rsid w:val="00DA7B1F"/>
    <w:rsid w:val="00DA7BC4"/>
    <w:rsid w:val="00DA7BE4"/>
    <w:rsid w:val="00DA7F1A"/>
    <w:rsid w:val="00DB0E8C"/>
    <w:rsid w:val="00DB114E"/>
    <w:rsid w:val="00DB1418"/>
    <w:rsid w:val="00DB189A"/>
    <w:rsid w:val="00DB2023"/>
    <w:rsid w:val="00DB24E7"/>
    <w:rsid w:val="00DB2A19"/>
    <w:rsid w:val="00DB2ACC"/>
    <w:rsid w:val="00DB2AE7"/>
    <w:rsid w:val="00DB2B99"/>
    <w:rsid w:val="00DB2BB4"/>
    <w:rsid w:val="00DB2DCF"/>
    <w:rsid w:val="00DB2DEE"/>
    <w:rsid w:val="00DB2E55"/>
    <w:rsid w:val="00DB3150"/>
    <w:rsid w:val="00DB325C"/>
    <w:rsid w:val="00DB331A"/>
    <w:rsid w:val="00DB333A"/>
    <w:rsid w:val="00DB3477"/>
    <w:rsid w:val="00DB366C"/>
    <w:rsid w:val="00DB3811"/>
    <w:rsid w:val="00DB3BB1"/>
    <w:rsid w:val="00DB3BEB"/>
    <w:rsid w:val="00DB3F7E"/>
    <w:rsid w:val="00DB420F"/>
    <w:rsid w:val="00DB4523"/>
    <w:rsid w:val="00DB4611"/>
    <w:rsid w:val="00DB48C4"/>
    <w:rsid w:val="00DB4D5A"/>
    <w:rsid w:val="00DB4E4C"/>
    <w:rsid w:val="00DB5319"/>
    <w:rsid w:val="00DB5B75"/>
    <w:rsid w:val="00DB5CDA"/>
    <w:rsid w:val="00DB61BB"/>
    <w:rsid w:val="00DB6355"/>
    <w:rsid w:val="00DB6578"/>
    <w:rsid w:val="00DB6666"/>
    <w:rsid w:val="00DB6DD7"/>
    <w:rsid w:val="00DB6E19"/>
    <w:rsid w:val="00DB6F33"/>
    <w:rsid w:val="00DB72A2"/>
    <w:rsid w:val="00DB7770"/>
    <w:rsid w:val="00DB781F"/>
    <w:rsid w:val="00DB7918"/>
    <w:rsid w:val="00DB7A5D"/>
    <w:rsid w:val="00DC0367"/>
    <w:rsid w:val="00DC0752"/>
    <w:rsid w:val="00DC079E"/>
    <w:rsid w:val="00DC0987"/>
    <w:rsid w:val="00DC0F49"/>
    <w:rsid w:val="00DC1079"/>
    <w:rsid w:val="00DC12B7"/>
    <w:rsid w:val="00DC17E5"/>
    <w:rsid w:val="00DC1882"/>
    <w:rsid w:val="00DC1DBD"/>
    <w:rsid w:val="00DC1E58"/>
    <w:rsid w:val="00DC1F7C"/>
    <w:rsid w:val="00DC1F88"/>
    <w:rsid w:val="00DC29E6"/>
    <w:rsid w:val="00DC2CEC"/>
    <w:rsid w:val="00DC316C"/>
    <w:rsid w:val="00DC33B7"/>
    <w:rsid w:val="00DC3699"/>
    <w:rsid w:val="00DC3C37"/>
    <w:rsid w:val="00DC3E19"/>
    <w:rsid w:val="00DC400B"/>
    <w:rsid w:val="00DC4054"/>
    <w:rsid w:val="00DC42E0"/>
    <w:rsid w:val="00DC44F6"/>
    <w:rsid w:val="00DC502A"/>
    <w:rsid w:val="00DC50F8"/>
    <w:rsid w:val="00DC531F"/>
    <w:rsid w:val="00DC5544"/>
    <w:rsid w:val="00DC5595"/>
    <w:rsid w:val="00DC564F"/>
    <w:rsid w:val="00DC58C8"/>
    <w:rsid w:val="00DC639C"/>
    <w:rsid w:val="00DC6441"/>
    <w:rsid w:val="00DC67CB"/>
    <w:rsid w:val="00DC6EC1"/>
    <w:rsid w:val="00DC6FBF"/>
    <w:rsid w:val="00DC70EB"/>
    <w:rsid w:val="00DC73D0"/>
    <w:rsid w:val="00DC73E8"/>
    <w:rsid w:val="00DC75EF"/>
    <w:rsid w:val="00DC7C23"/>
    <w:rsid w:val="00DC7E1B"/>
    <w:rsid w:val="00DD009D"/>
    <w:rsid w:val="00DD09EC"/>
    <w:rsid w:val="00DD0C09"/>
    <w:rsid w:val="00DD0FDD"/>
    <w:rsid w:val="00DD1077"/>
    <w:rsid w:val="00DD1289"/>
    <w:rsid w:val="00DD176E"/>
    <w:rsid w:val="00DD1782"/>
    <w:rsid w:val="00DD1860"/>
    <w:rsid w:val="00DD1A11"/>
    <w:rsid w:val="00DD1A18"/>
    <w:rsid w:val="00DD1AC9"/>
    <w:rsid w:val="00DD2986"/>
    <w:rsid w:val="00DD33E7"/>
    <w:rsid w:val="00DD35A7"/>
    <w:rsid w:val="00DD387A"/>
    <w:rsid w:val="00DD3BF6"/>
    <w:rsid w:val="00DD3D19"/>
    <w:rsid w:val="00DD3D82"/>
    <w:rsid w:val="00DD3DCF"/>
    <w:rsid w:val="00DD4437"/>
    <w:rsid w:val="00DD4830"/>
    <w:rsid w:val="00DD4B3C"/>
    <w:rsid w:val="00DD4B7B"/>
    <w:rsid w:val="00DD4D15"/>
    <w:rsid w:val="00DD4F34"/>
    <w:rsid w:val="00DD506A"/>
    <w:rsid w:val="00DD5121"/>
    <w:rsid w:val="00DD563F"/>
    <w:rsid w:val="00DD56BB"/>
    <w:rsid w:val="00DD58F1"/>
    <w:rsid w:val="00DD599D"/>
    <w:rsid w:val="00DD64CC"/>
    <w:rsid w:val="00DD663F"/>
    <w:rsid w:val="00DD675C"/>
    <w:rsid w:val="00DD6979"/>
    <w:rsid w:val="00DD6C2C"/>
    <w:rsid w:val="00DD6E27"/>
    <w:rsid w:val="00DD7324"/>
    <w:rsid w:val="00DD733C"/>
    <w:rsid w:val="00DD74F7"/>
    <w:rsid w:val="00DD7738"/>
    <w:rsid w:val="00DD7963"/>
    <w:rsid w:val="00DD79DA"/>
    <w:rsid w:val="00DD7D69"/>
    <w:rsid w:val="00DE022A"/>
    <w:rsid w:val="00DE023B"/>
    <w:rsid w:val="00DE08DE"/>
    <w:rsid w:val="00DE0AD3"/>
    <w:rsid w:val="00DE0E57"/>
    <w:rsid w:val="00DE1065"/>
    <w:rsid w:val="00DE113D"/>
    <w:rsid w:val="00DE12A9"/>
    <w:rsid w:val="00DE141F"/>
    <w:rsid w:val="00DE1A1E"/>
    <w:rsid w:val="00DE1F25"/>
    <w:rsid w:val="00DE1F7D"/>
    <w:rsid w:val="00DE20DC"/>
    <w:rsid w:val="00DE288E"/>
    <w:rsid w:val="00DE2CBC"/>
    <w:rsid w:val="00DE2D81"/>
    <w:rsid w:val="00DE2EB2"/>
    <w:rsid w:val="00DE2FCF"/>
    <w:rsid w:val="00DE30AF"/>
    <w:rsid w:val="00DE337E"/>
    <w:rsid w:val="00DE3574"/>
    <w:rsid w:val="00DE35C7"/>
    <w:rsid w:val="00DE377D"/>
    <w:rsid w:val="00DE407C"/>
    <w:rsid w:val="00DE4216"/>
    <w:rsid w:val="00DE45BF"/>
    <w:rsid w:val="00DE4704"/>
    <w:rsid w:val="00DE4A45"/>
    <w:rsid w:val="00DE4C0E"/>
    <w:rsid w:val="00DE4D4D"/>
    <w:rsid w:val="00DE4E81"/>
    <w:rsid w:val="00DE53CA"/>
    <w:rsid w:val="00DE5414"/>
    <w:rsid w:val="00DE55B9"/>
    <w:rsid w:val="00DE58D2"/>
    <w:rsid w:val="00DE58F8"/>
    <w:rsid w:val="00DE59A4"/>
    <w:rsid w:val="00DE5F4A"/>
    <w:rsid w:val="00DE6597"/>
    <w:rsid w:val="00DE6648"/>
    <w:rsid w:val="00DE677D"/>
    <w:rsid w:val="00DE6E37"/>
    <w:rsid w:val="00DE6E58"/>
    <w:rsid w:val="00DE72B9"/>
    <w:rsid w:val="00DE755E"/>
    <w:rsid w:val="00DE7741"/>
    <w:rsid w:val="00DE79C8"/>
    <w:rsid w:val="00DE7C26"/>
    <w:rsid w:val="00DE7E1A"/>
    <w:rsid w:val="00DF000C"/>
    <w:rsid w:val="00DF026D"/>
    <w:rsid w:val="00DF0776"/>
    <w:rsid w:val="00DF07D2"/>
    <w:rsid w:val="00DF09D4"/>
    <w:rsid w:val="00DF0FFE"/>
    <w:rsid w:val="00DF10DE"/>
    <w:rsid w:val="00DF1313"/>
    <w:rsid w:val="00DF1946"/>
    <w:rsid w:val="00DF1977"/>
    <w:rsid w:val="00DF19AE"/>
    <w:rsid w:val="00DF1ACE"/>
    <w:rsid w:val="00DF1F50"/>
    <w:rsid w:val="00DF2401"/>
    <w:rsid w:val="00DF2635"/>
    <w:rsid w:val="00DF2C01"/>
    <w:rsid w:val="00DF3553"/>
    <w:rsid w:val="00DF3728"/>
    <w:rsid w:val="00DF37CD"/>
    <w:rsid w:val="00DF398E"/>
    <w:rsid w:val="00DF3990"/>
    <w:rsid w:val="00DF3FAF"/>
    <w:rsid w:val="00DF40EA"/>
    <w:rsid w:val="00DF4105"/>
    <w:rsid w:val="00DF496F"/>
    <w:rsid w:val="00DF516C"/>
    <w:rsid w:val="00DF5364"/>
    <w:rsid w:val="00DF54EB"/>
    <w:rsid w:val="00DF567E"/>
    <w:rsid w:val="00DF580E"/>
    <w:rsid w:val="00DF58F6"/>
    <w:rsid w:val="00DF597B"/>
    <w:rsid w:val="00DF63EB"/>
    <w:rsid w:val="00DF6518"/>
    <w:rsid w:val="00DF6902"/>
    <w:rsid w:val="00DF6BAE"/>
    <w:rsid w:val="00DF6E6F"/>
    <w:rsid w:val="00DF790D"/>
    <w:rsid w:val="00DF7E90"/>
    <w:rsid w:val="00DF7ED1"/>
    <w:rsid w:val="00DF7F1B"/>
    <w:rsid w:val="00DF7FB8"/>
    <w:rsid w:val="00E006BE"/>
    <w:rsid w:val="00E006D6"/>
    <w:rsid w:val="00E007B7"/>
    <w:rsid w:val="00E009ED"/>
    <w:rsid w:val="00E00A48"/>
    <w:rsid w:val="00E00B6D"/>
    <w:rsid w:val="00E0124D"/>
    <w:rsid w:val="00E01C03"/>
    <w:rsid w:val="00E02006"/>
    <w:rsid w:val="00E02738"/>
    <w:rsid w:val="00E028D6"/>
    <w:rsid w:val="00E028E0"/>
    <w:rsid w:val="00E02915"/>
    <w:rsid w:val="00E0299C"/>
    <w:rsid w:val="00E02ACD"/>
    <w:rsid w:val="00E02B63"/>
    <w:rsid w:val="00E02D09"/>
    <w:rsid w:val="00E030E6"/>
    <w:rsid w:val="00E034E3"/>
    <w:rsid w:val="00E04231"/>
    <w:rsid w:val="00E043A5"/>
    <w:rsid w:val="00E04484"/>
    <w:rsid w:val="00E049BB"/>
    <w:rsid w:val="00E04BE5"/>
    <w:rsid w:val="00E04C73"/>
    <w:rsid w:val="00E04D6F"/>
    <w:rsid w:val="00E04FA5"/>
    <w:rsid w:val="00E053CD"/>
    <w:rsid w:val="00E05441"/>
    <w:rsid w:val="00E05877"/>
    <w:rsid w:val="00E05DF4"/>
    <w:rsid w:val="00E0611C"/>
    <w:rsid w:val="00E06255"/>
    <w:rsid w:val="00E062C8"/>
    <w:rsid w:val="00E064DF"/>
    <w:rsid w:val="00E06619"/>
    <w:rsid w:val="00E0670C"/>
    <w:rsid w:val="00E06877"/>
    <w:rsid w:val="00E06887"/>
    <w:rsid w:val="00E068C4"/>
    <w:rsid w:val="00E06C63"/>
    <w:rsid w:val="00E06CA8"/>
    <w:rsid w:val="00E06DCB"/>
    <w:rsid w:val="00E06E75"/>
    <w:rsid w:val="00E06F65"/>
    <w:rsid w:val="00E0737D"/>
    <w:rsid w:val="00E077CB"/>
    <w:rsid w:val="00E0787F"/>
    <w:rsid w:val="00E079CB"/>
    <w:rsid w:val="00E07A30"/>
    <w:rsid w:val="00E07D7C"/>
    <w:rsid w:val="00E07F76"/>
    <w:rsid w:val="00E10014"/>
    <w:rsid w:val="00E102AF"/>
    <w:rsid w:val="00E102CE"/>
    <w:rsid w:val="00E1048E"/>
    <w:rsid w:val="00E10630"/>
    <w:rsid w:val="00E107C2"/>
    <w:rsid w:val="00E10B3F"/>
    <w:rsid w:val="00E10EB1"/>
    <w:rsid w:val="00E11160"/>
    <w:rsid w:val="00E11353"/>
    <w:rsid w:val="00E11486"/>
    <w:rsid w:val="00E11641"/>
    <w:rsid w:val="00E118C4"/>
    <w:rsid w:val="00E11AB7"/>
    <w:rsid w:val="00E121F0"/>
    <w:rsid w:val="00E12D5E"/>
    <w:rsid w:val="00E12DB9"/>
    <w:rsid w:val="00E12E5C"/>
    <w:rsid w:val="00E1308D"/>
    <w:rsid w:val="00E13399"/>
    <w:rsid w:val="00E133A0"/>
    <w:rsid w:val="00E135AB"/>
    <w:rsid w:val="00E137B0"/>
    <w:rsid w:val="00E13AF4"/>
    <w:rsid w:val="00E1484F"/>
    <w:rsid w:val="00E14987"/>
    <w:rsid w:val="00E14CB7"/>
    <w:rsid w:val="00E14F6E"/>
    <w:rsid w:val="00E14F91"/>
    <w:rsid w:val="00E14FF7"/>
    <w:rsid w:val="00E1552C"/>
    <w:rsid w:val="00E15540"/>
    <w:rsid w:val="00E156B2"/>
    <w:rsid w:val="00E15752"/>
    <w:rsid w:val="00E159F8"/>
    <w:rsid w:val="00E15AAC"/>
    <w:rsid w:val="00E15B56"/>
    <w:rsid w:val="00E15D90"/>
    <w:rsid w:val="00E1604D"/>
    <w:rsid w:val="00E160C9"/>
    <w:rsid w:val="00E16311"/>
    <w:rsid w:val="00E16476"/>
    <w:rsid w:val="00E1655C"/>
    <w:rsid w:val="00E165DF"/>
    <w:rsid w:val="00E16995"/>
    <w:rsid w:val="00E16F19"/>
    <w:rsid w:val="00E1718B"/>
    <w:rsid w:val="00E171AD"/>
    <w:rsid w:val="00E17A81"/>
    <w:rsid w:val="00E17B00"/>
    <w:rsid w:val="00E17C01"/>
    <w:rsid w:val="00E17DB9"/>
    <w:rsid w:val="00E202C0"/>
    <w:rsid w:val="00E2035B"/>
    <w:rsid w:val="00E2044B"/>
    <w:rsid w:val="00E20787"/>
    <w:rsid w:val="00E20C24"/>
    <w:rsid w:val="00E20DD4"/>
    <w:rsid w:val="00E20FA4"/>
    <w:rsid w:val="00E214D0"/>
    <w:rsid w:val="00E215A6"/>
    <w:rsid w:val="00E216B7"/>
    <w:rsid w:val="00E217BC"/>
    <w:rsid w:val="00E2182A"/>
    <w:rsid w:val="00E21924"/>
    <w:rsid w:val="00E21A66"/>
    <w:rsid w:val="00E21A81"/>
    <w:rsid w:val="00E21F5B"/>
    <w:rsid w:val="00E220A1"/>
    <w:rsid w:val="00E227C9"/>
    <w:rsid w:val="00E22A45"/>
    <w:rsid w:val="00E22DD4"/>
    <w:rsid w:val="00E230D6"/>
    <w:rsid w:val="00E2317B"/>
    <w:rsid w:val="00E23342"/>
    <w:rsid w:val="00E234D5"/>
    <w:rsid w:val="00E2374C"/>
    <w:rsid w:val="00E2379A"/>
    <w:rsid w:val="00E238E8"/>
    <w:rsid w:val="00E23995"/>
    <w:rsid w:val="00E23A82"/>
    <w:rsid w:val="00E23B65"/>
    <w:rsid w:val="00E23C0A"/>
    <w:rsid w:val="00E23F53"/>
    <w:rsid w:val="00E24071"/>
    <w:rsid w:val="00E241C9"/>
    <w:rsid w:val="00E24727"/>
    <w:rsid w:val="00E2480D"/>
    <w:rsid w:val="00E24CDF"/>
    <w:rsid w:val="00E2568F"/>
    <w:rsid w:val="00E2575E"/>
    <w:rsid w:val="00E25B9D"/>
    <w:rsid w:val="00E25C79"/>
    <w:rsid w:val="00E25CE9"/>
    <w:rsid w:val="00E263D1"/>
    <w:rsid w:val="00E265B7"/>
    <w:rsid w:val="00E26A0C"/>
    <w:rsid w:val="00E26C17"/>
    <w:rsid w:val="00E26E76"/>
    <w:rsid w:val="00E26EC0"/>
    <w:rsid w:val="00E273FB"/>
    <w:rsid w:val="00E27443"/>
    <w:rsid w:val="00E275A2"/>
    <w:rsid w:val="00E27694"/>
    <w:rsid w:val="00E276E5"/>
    <w:rsid w:val="00E277B3"/>
    <w:rsid w:val="00E27831"/>
    <w:rsid w:val="00E279ED"/>
    <w:rsid w:val="00E27FB9"/>
    <w:rsid w:val="00E301B2"/>
    <w:rsid w:val="00E30446"/>
    <w:rsid w:val="00E3076C"/>
    <w:rsid w:val="00E307C6"/>
    <w:rsid w:val="00E307FF"/>
    <w:rsid w:val="00E30A41"/>
    <w:rsid w:val="00E3183A"/>
    <w:rsid w:val="00E31A59"/>
    <w:rsid w:val="00E31ED8"/>
    <w:rsid w:val="00E321DC"/>
    <w:rsid w:val="00E3222A"/>
    <w:rsid w:val="00E323A6"/>
    <w:rsid w:val="00E32504"/>
    <w:rsid w:val="00E328A9"/>
    <w:rsid w:val="00E32B28"/>
    <w:rsid w:val="00E32C03"/>
    <w:rsid w:val="00E32FDE"/>
    <w:rsid w:val="00E33178"/>
    <w:rsid w:val="00E33215"/>
    <w:rsid w:val="00E337AB"/>
    <w:rsid w:val="00E33CED"/>
    <w:rsid w:val="00E33CF6"/>
    <w:rsid w:val="00E33D29"/>
    <w:rsid w:val="00E34513"/>
    <w:rsid w:val="00E347AB"/>
    <w:rsid w:val="00E348C8"/>
    <w:rsid w:val="00E349DD"/>
    <w:rsid w:val="00E34BF2"/>
    <w:rsid w:val="00E34C34"/>
    <w:rsid w:val="00E35257"/>
    <w:rsid w:val="00E35368"/>
    <w:rsid w:val="00E353CE"/>
    <w:rsid w:val="00E35662"/>
    <w:rsid w:val="00E35824"/>
    <w:rsid w:val="00E35E48"/>
    <w:rsid w:val="00E35E67"/>
    <w:rsid w:val="00E36120"/>
    <w:rsid w:val="00E36131"/>
    <w:rsid w:val="00E3635E"/>
    <w:rsid w:val="00E36874"/>
    <w:rsid w:val="00E36E25"/>
    <w:rsid w:val="00E36EC0"/>
    <w:rsid w:val="00E370B3"/>
    <w:rsid w:val="00E373E6"/>
    <w:rsid w:val="00E375CA"/>
    <w:rsid w:val="00E377CA"/>
    <w:rsid w:val="00E37953"/>
    <w:rsid w:val="00E37A87"/>
    <w:rsid w:val="00E37B21"/>
    <w:rsid w:val="00E37D69"/>
    <w:rsid w:val="00E40182"/>
    <w:rsid w:val="00E401B9"/>
    <w:rsid w:val="00E40249"/>
    <w:rsid w:val="00E40276"/>
    <w:rsid w:val="00E4099C"/>
    <w:rsid w:val="00E40CEB"/>
    <w:rsid w:val="00E40E64"/>
    <w:rsid w:val="00E418C4"/>
    <w:rsid w:val="00E41D34"/>
    <w:rsid w:val="00E41DDD"/>
    <w:rsid w:val="00E420B3"/>
    <w:rsid w:val="00E42143"/>
    <w:rsid w:val="00E42220"/>
    <w:rsid w:val="00E422F2"/>
    <w:rsid w:val="00E424BF"/>
    <w:rsid w:val="00E42735"/>
    <w:rsid w:val="00E42B88"/>
    <w:rsid w:val="00E42E01"/>
    <w:rsid w:val="00E4316F"/>
    <w:rsid w:val="00E4346E"/>
    <w:rsid w:val="00E4396D"/>
    <w:rsid w:val="00E43A8E"/>
    <w:rsid w:val="00E43ACB"/>
    <w:rsid w:val="00E43ADC"/>
    <w:rsid w:val="00E43E77"/>
    <w:rsid w:val="00E44102"/>
    <w:rsid w:val="00E441DF"/>
    <w:rsid w:val="00E44214"/>
    <w:rsid w:val="00E4434F"/>
    <w:rsid w:val="00E443F6"/>
    <w:rsid w:val="00E444C8"/>
    <w:rsid w:val="00E44D43"/>
    <w:rsid w:val="00E4507F"/>
    <w:rsid w:val="00E45148"/>
    <w:rsid w:val="00E45455"/>
    <w:rsid w:val="00E454D9"/>
    <w:rsid w:val="00E45A7A"/>
    <w:rsid w:val="00E46148"/>
    <w:rsid w:val="00E461CC"/>
    <w:rsid w:val="00E46D63"/>
    <w:rsid w:val="00E472C0"/>
    <w:rsid w:val="00E473D4"/>
    <w:rsid w:val="00E4757E"/>
    <w:rsid w:val="00E475B2"/>
    <w:rsid w:val="00E475E1"/>
    <w:rsid w:val="00E477B1"/>
    <w:rsid w:val="00E4783C"/>
    <w:rsid w:val="00E47CA8"/>
    <w:rsid w:val="00E47DCE"/>
    <w:rsid w:val="00E50271"/>
    <w:rsid w:val="00E50346"/>
    <w:rsid w:val="00E504A4"/>
    <w:rsid w:val="00E50710"/>
    <w:rsid w:val="00E50A7E"/>
    <w:rsid w:val="00E50BBE"/>
    <w:rsid w:val="00E50BCF"/>
    <w:rsid w:val="00E50BE4"/>
    <w:rsid w:val="00E50D49"/>
    <w:rsid w:val="00E50D91"/>
    <w:rsid w:val="00E511E4"/>
    <w:rsid w:val="00E514CE"/>
    <w:rsid w:val="00E519EE"/>
    <w:rsid w:val="00E51A7C"/>
    <w:rsid w:val="00E51D47"/>
    <w:rsid w:val="00E51D7D"/>
    <w:rsid w:val="00E51E40"/>
    <w:rsid w:val="00E51FEB"/>
    <w:rsid w:val="00E528E1"/>
    <w:rsid w:val="00E52BF5"/>
    <w:rsid w:val="00E53237"/>
    <w:rsid w:val="00E53337"/>
    <w:rsid w:val="00E53693"/>
    <w:rsid w:val="00E53975"/>
    <w:rsid w:val="00E53A4B"/>
    <w:rsid w:val="00E53B71"/>
    <w:rsid w:val="00E53C69"/>
    <w:rsid w:val="00E53D04"/>
    <w:rsid w:val="00E540A7"/>
    <w:rsid w:val="00E54334"/>
    <w:rsid w:val="00E54428"/>
    <w:rsid w:val="00E54435"/>
    <w:rsid w:val="00E54D11"/>
    <w:rsid w:val="00E5514D"/>
    <w:rsid w:val="00E55234"/>
    <w:rsid w:val="00E55323"/>
    <w:rsid w:val="00E5538F"/>
    <w:rsid w:val="00E5557C"/>
    <w:rsid w:val="00E5575B"/>
    <w:rsid w:val="00E5577F"/>
    <w:rsid w:val="00E559B7"/>
    <w:rsid w:val="00E55D8F"/>
    <w:rsid w:val="00E55EB0"/>
    <w:rsid w:val="00E566A5"/>
    <w:rsid w:val="00E568B9"/>
    <w:rsid w:val="00E571F2"/>
    <w:rsid w:val="00E57925"/>
    <w:rsid w:val="00E57AC4"/>
    <w:rsid w:val="00E57B14"/>
    <w:rsid w:val="00E57FAA"/>
    <w:rsid w:val="00E600B5"/>
    <w:rsid w:val="00E602AA"/>
    <w:rsid w:val="00E6040F"/>
    <w:rsid w:val="00E6060B"/>
    <w:rsid w:val="00E60627"/>
    <w:rsid w:val="00E60734"/>
    <w:rsid w:val="00E607C7"/>
    <w:rsid w:val="00E60C31"/>
    <w:rsid w:val="00E60C71"/>
    <w:rsid w:val="00E60DF7"/>
    <w:rsid w:val="00E60E57"/>
    <w:rsid w:val="00E61054"/>
    <w:rsid w:val="00E61130"/>
    <w:rsid w:val="00E61221"/>
    <w:rsid w:val="00E61F49"/>
    <w:rsid w:val="00E620B3"/>
    <w:rsid w:val="00E62140"/>
    <w:rsid w:val="00E6234A"/>
    <w:rsid w:val="00E62553"/>
    <w:rsid w:val="00E625F8"/>
    <w:rsid w:val="00E626FA"/>
    <w:rsid w:val="00E6273A"/>
    <w:rsid w:val="00E6298F"/>
    <w:rsid w:val="00E62BFD"/>
    <w:rsid w:val="00E631BD"/>
    <w:rsid w:val="00E632CD"/>
    <w:rsid w:val="00E6330B"/>
    <w:rsid w:val="00E63A11"/>
    <w:rsid w:val="00E63BEB"/>
    <w:rsid w:val="00E63C4E"/>
    <w:rsid w:val="00E64675"/>
    <w:rsid w:val="00E6485A"/>
    <w:rsid w:val="00E648B0"/>
    <w:rsid w:val="00E64D00"/>
    <w:rsid w:val="00E64DBF"/>
    <w:rsid w:val="00E65025"/>
    <w:rsid w:val="00E65852"/>
    <w:rsid w:val="00E65CBB"/>
    <w:rsid w:val="00E65CC0"/>
    <w:rsid w:val="00E65E3B"/>
    <w:rsid w:val="00E662F0"/>
    <w:rsid w:val="00E664FA"/>
    <w:rsid w:val="00E665C3"/>
    <w:rsid w:val="00E66625"/>
    <w:rsid w:val="00E666F2"/>
    <w:rsid w:val="00E66C87"/>
    <w:rsid w:val="00E673C0"/>
    <w:rsid w:val="00E674CE"/>
    <w:rsid w:val="00E675C6"/>
    <w:rsid w:val="00E6771C"/>
    <w:rsid w:val="00E677BD"/>
    <w:rsid w:val="00E67A5D"/>
    <w:rsid w:val="00E67A9C"/>
    <w:rsid w:val="00E67C34"/>
    <w:rsid w:val="00E70302"/>
    <w:rsid w:val="00E7033B"/>
    <w:rsid w:val="00E703F0"/>
    <w:rsid w:val="00E7044F"/>
    <w:rsid w:val="00E70782"/>
    <w:rsid w:val="00E707A2"/>
    <w:rsid w:val="00E70C59"/>
    <w:rsid w:val="00E710D1"/>
    <w:rsid w:val="00E71421"/>
    <w:rsid w:val="00E71AC8"/>
    <w:rsid w:val="00E71B11"/>
    <w:rsid w:val="00E71E77"/>
    <w:rsid w:val="00E71F64"/>
    <w:rsid w:val="00E72936"/>
    <w:rsid w:val="00E72ADE"/>
    <w:rsid w:val="00E72BA7"/>
    <w:rsid w:val="00E72FDC"/>
    <w:rsid w:val="00E72FE2"/>
    <w:rsid w:val="00E73A46"/>
    <w:rsid w:val="00E74406"/>
    <w:rsid w:val="00E747B4"/>
    <w:rsid w:val="00E74F4D"/>
    <w:rsid w:val="00E75099"/>
    <w:rsid w:val="00E750F4"/>
    <w:rsid w:val="00E7564A"/>
    <w:rsid w:val="00E75712"/>
    <w:rsid w:val="00E757D9"/>
    <w:rsid w:val="00E75810"/>
    <w:rsid w:val="00E75961"/>
    <w:rsid w:val="00E75B4F"/>
    <w:rsid w:val="00E75B80"/>
    <w:rsid w:val="00E75C2B"/>
    <w:rsid w:val="00E75C70"/>
    <w:rsid w:val="00E7603C"/>
    <w:rsid w:val="00E761FB"/>
    <w:rsid w:val="00E7626C"/>
    <w:rsid w:val="00E76711"/>
    <w:rsid w:val="00E76D33"/>
    <w:rsid w:val="00E76DC9"/>
    <w:rsid w:val="00E76E5F"/>
    <w:rsid w:val="00E770B6"/>
    <w:rsid w:val="00E77384"/>
    <w:rsid w:val="00E77683"/>
    <w:rsid w:val="00E77890"/>
    <w:rsid w:val="00E779ED"/>
    <w:rsid w:val="00E77EE3"/>
    <w:rsid w:val="00E8002B"/>
    <w:rsid w:val="00E8007C"/>
    <w:rsid w:val="00E8020C"/>
    <w:rsid w:val="00E806AF"/>
    <w:rsid w:val="00E80CBD"/>
    <w:rsid w:val="00E8117F"/>
    <w:rsid w:val="00E817A8"/>
    <w:rsid w:val="00E81AF8"/>
    <w:rsid w:val="00E81E1E"/>
    <w:rsid w:val="00E81F5A"/>
    <w:rsid w:val="00E82152"/>
    <w:rsid w:val="00E824FD"/>
    <w:rsid w:val="00E8281F"/>
    <w:rsid w:val="00E82839"/>
    <w:rsid w:val="00E82B3E"/>
    <w:rsid w:val="00E82E58"/>
    <w:rsid w:val="00E82E72"/>
    <w:rsid w:val="00E8301F"/>
    <w:rsid w:val="00E83995"/>
    <w:rsid w:val="00E83D5B"/>
    <w:rsid w:val="00E84198"/>
    <w:rsid w:val="00E84924"/>
    <w:rsid w:val="00E849A2"/>
    <w:rsid w:val="00E84BB9"/>
    <w:rsid w:val="00E84E93"/>
    <w:rsid w:val="00E851E5"/>
    <w:rsid w:val="00E85261"/>
    <w:rsid w:val="00E8541C"/>
    <w:rsid w:val="00E8555F"/>
    <w:rsid w:val="00E85933"/>
    <w:rsid w:val="00E85A7E"/>
    <w:rsid w:val="00E85A81"/>
    <w:rsid w:val="00E85ABE"/>
    <w:rsid w:val="00E85BE6"/>
    <w:rsid w:val="00E85E98"/>
    <w:rsid w:val="00E8615B"/>
    <w:rsid w:val="00E862C7"/>
    <w:rsid w:val="00E862E2"/>
    <w:rsid w:val="00E86533"/>
    <w:rsid w:val="00E867F0"/>
    <w:rsid w:val="00E86A3A"/>
    <w:rsid w:val="00E86ADF"/>
    <w:rsid w:val="00E86CD6"/>
    <w:rsid w:val="00E86F86"/>
    <w:rsid w:val="00E87712"/>
    <w:rsid w:val="00E87BCC"/>
    <w:rsid w:val="00E87F05"/>
    <w:rsid w:val="00E87F16"/>
    <w:rsid w:val="00E87F38"/>
    <w:rsid w:val="00E90B89"/>
    <w:rsid w:val="00E90BEC"/>
    <w:rsid w:val="00E91122"/>
    <w:rsid w:val="00E9183A"/>
    <w:rsid w:val="00E918AB"/>
    <w:rsid w:val="00E91951"/>
    <w:rsid w:val="00E91AA9"/>
    <w:rsid w:val="00E91C42"/>
    <w:rsid w:val="00E91DDF"/>
    <w:rsid w:val="00E92042"/>
    <w:rsid w:val="00E926B3"/>
    <w:rsid w:val="00E929AC"/>
    <w:rsid w:val="00E92A19"/>
    <w:rsid w:val="00E92EEE"/>
    <w:rsid w:val="00E930E5"/>
    <w:rsid w:val="00E932FE"/>
    <w:rsid w:val="00E9381D"/>
    <w:rsid w:val="00E93A6D"/>
    <w:rsid w:val="00E93B81"/>
    <w:rsid w:val="00E93E7F"/>
    <w:rsid w:val="00E941DA"/>
    <w:rsid w:val="00E94395"/>
    <w:rsid w:val="00E943D5"/>
    <w:rsid w:val="00E945F8"/>
    <w:rsid w:val="00E94704"/>
    <w:rsid w:val="00E947AF"/>
    <w:rsid w:val="00E94851"/>
    <w:rsid w:val="00E948DB"/>
    <w:rsid w:val="00E948DC"/>
    <w:rsid w:val="00E949CD"/>
    <w:rsid w:val="00E94AED"/>
    <w:rsid w:val="00E95274"/>
    <w:rsid w:val="00E95335"/>
    <w:rsid w:val="00E95374"/>
    <w:rsid w:val="00E9594E"/>
    <w:rsid w:val="00E95966"/>
    <w:rsid w:val="00E95D2F"/>
    <w:rsid w:val="00E95EF5"/>
    <w:rsid w:val="00E96077"/>
    <w:rsid w:val="00E9646B"/>
    <w:rsid w:val="00E965DF"/>
    <w:rsid w:val="00E968BF"/>
    <w:rsid w:val="00E96CF7"/>
    <w:rsid w:val="00E971E2"/>
    <w:rsid w:val="00E97988"/>
    <w:rsid w:val="00E97DD7"/>
    <w:rsid w:val="00E97E30"/>
    <w:rsid w:val="00EA0216"/>
    <w:rsid w:val="00EA04D4"/>
    <w:rsid w:val="00EA0C90"/>
    <w:rsid w:val="00EA0EE7"/>
    <w:rsid w:val="00EA1492"/>
    <w:rsid w:val="00EA15DE"/>
    <w:rsid w:val="00EA175B"/>
    <w:rsid w:val="00EA1A5F"/>
    <w:rsid w:val="00EA1C7A"/>
    <w:rsid w:val="00EA222D"/>
    <w:rsid w:val="00EA238A"/>
    <w:rsid w:val="00EA264C"/>
    <w:rsid w:val="00EA2778"/>
    <w:rsid w:val="00EA2B52"/>
    <w:rsid w:val="00EA3100"/>
    <w:rsid w:val="00EA336A"/>
    <w:rsid w:val="00EA3453"/>
    <w:rsid w:val="00EA3610"/>
    <w:rsid w:val="00EA3793"/>
    <w:rsid w:val="00EA3B51"/>
    <w:rsid w:val="00EA4124"/>
    <w:rsid w:val="00EA41CD"/>
    <w:rsid w:val="00EA4570"/>
    <w:rsid w:val="00EA486C"/>
    <w:rsid w:val="00EA48B8"/>
    <w:rsid w:val="00EA5088"/>
    <w:rsid w:val="00EA511A"/>
    <w:rsid w:val="00EA529D"/>
    <w:rsid w:val="00EA535B"/>
    <w:rsid w:val="00EA545C"/>
    <w:rsid w:val="00EA57F9"/>
    <w:rsid w:val="00EA5B93"/>
    <w:rsid w:val="00EA62F8"/>
    <w:rsid w:val="00EA63BF"/>
    <w:rsid w:val="00EA66E2"/>
    <w:rsid w:val="00EA6C92"/>
    <w:rsid w:val="00EA6D3E"/>
    <w:rsid w:val="00EA6F2C"/>
    <w:rsid w:val="00EA6F7B"/>
    <w:rsid w:val="00EA72A1"/>
    <w:rsid w:val="00EA72AF"/>
    <w:rsid w:val="00EB014D"/>
    <w:rsid w:val="00EB05F6"/>
    <w:rsid w:val="00EB089B"/>
    <w:rsid w:val="00EB0B18"/>
    <w:rsid w:val="00EB0B55"/>
    <w:rsid w:val="00EB0EA4"/>
    <w:rsid w:val="00EB0F7B"/>
    <w:rsid w:val="00EB1114"/>
    <w:rsid w:val="00EB1240"/>
    <w:rsid w:val="00EB124A"/>
    <w:rsid w:val="00EB12CE"/>
    <w:rsid w:val="00EB12E2"/>
    <w:rsid w:val="00EB1383"/>
    <w:rsid w:val="00EB13DF"/>
    <w:rsid w:val="00EB1477"/>
    <w:rsid w:val="00EB1841"/>
    <w:rsid w:val="00EB1CFE"/>
    <w:rsid w:val="00EB1E17"/>
    <w:rsid w:val="00EB274A"/>
    <w:rsid w:val="00EB2BDE"/>
    <w:rsid w:val="00EB2CF6"/>
    <w:rsid w:val="00EB2DBB"/>
    <w:rsid w:val="00EB327A"/>
    <w:rsid w:val="00EB36DA"/>
    <w:rsid w:val="00EB3ACE"/>
    <w:rsid w:val="00EB3B85"/>
    <w:rsid w:val="00EB4007"/>
    <w:rsid w:val="00EB4316"/>
    <w:rsid w:val="00EB437B"/>
    <w:rsid w:val="00EB48B6"/>
    <w:rsid w:val="00EB4A2C"/>
    <w:rsid w:val="00EB5093"/>
    <w:rsid w:val="00EB52B0"/>
    <w:rsid w:val="00EB5393"/>
    <w:rsid w:val="00EB581B"/>
    <w:rsid w:val="00EB58D2"/>
    <w:rsid w:val="00EB5E52"/>
    <w:rsid w:val="00EB5E73"/>
    <w:rsid w:val="00EB5FE8"/>
    <w:rsid w:val="00EB606D"/>
    <w:rsid w:val="00EB6307"/>
    <w:rsid w:val="00EB6B63"/>
    <w:rsid w:val="00EB6D9E"/>
    <w:rsid w:val="00EB6E89"/>
    <w:rsid w:val="00EB6FE8"/>
    <w:rsid w:val="00EB71F7"/>
    <w:rsid w:val="00EB72D2"/>
    <w:rsid w:val="00EB74B7"/>
    <w:rsid w:val="00EB7774"/>
    <w:rsid w:val="00EB77AD"/>
    <w:rsid w:val="00EB7ACA"/>
    <w:rsid w:val="00EB7D8B"/>
    <w:rsid w:val="00EB7FD1"/>
    <w:rsid w:val="00EB7FE9"/>
    <w:rsid w:val="00EC0030"/>
    <w:rsid w:val="00EC01A6"/>
    <w:rsid w:val="00EC0502"/>
    <w:rsid w:val="00EC05A4"/>
    <w:rsid w:val="00EC085D"/>
    <w:rsid w:val="00EC096A"/>
    <w:rsid w:val="00EC12CE"/>
    <w:rsid w:val="00EC161B"/>
    <w:rsid w:val="00EC1AD0"/>
    <w:rsid w:val="00EC1EDC"/>
    <w:rsid w:val="00EC2793"/>
    <w:rsid w:val="00EC27F4"/>
    <w:rsid w:val="00EC2A99"/>
    <w:rsid w:val="00EC2D87"/>
    <w:rsid w:val="00EC2F46"/>
    <w:rsid w:val="00EC3255"/>
    <w:rsid w:val="00EC3B7D"/>
    <w:rsid w:val="00EC3E63"/>
    <w:rsid w:val="00EC423E"/>
    <w:rsid w:val="00EC429F"/>
    <w:rsid w:val="00EC47A3"/>
    <w:rsid w:val="00EC4BE5"/>
    <w:rsid w:val="00EC4D6F"/>
    <w:rsid w:val="00EC5038"/>
    <w:rsid w:val="00EC5056"/>
    <w:rsid w:val="00EC5181"/>
    <w:rsid w:val="00EC56AF"/>
    <w:rsid w:val="00EC5824"/>
    <w:rsid w:val="00EC5B51"/>
    <w:rsid w:val="00EC5BDB"/>
    <w:rsid w:val="00EC5CCA"/>
    <w:rsid w:val="00EC5CFB"/>
    <w:rsid w:val="00EC6190"/>
    <w:rsid w:val="00EC6B8A"/>
    <w:rsid w:val="00EC6EFB"/>
    <w:rsid w:val="00EC7623"/>
    <w:rsid w:val="00EC7B51"/>
    <w:rsid w:val="00EC7D7E"/>
    <w:rsid w:val="00EC7E5D"/>
    <w:rsid w:val="00EC7ECD"/>
    <w:rsid w:val="00EC7F13"/>
    <w:rsid w:val="00ED057E"/>
    <w:rsid w:val="00ED08E6"/>
    <w:rsid w:val="00ED09ED"/>
    <w:rsid w:val="00ED138C"/>
    <w:rsid w:val="00ED143F"/>
    <w:rsid w:val="00ED1492"/>
    <w:rsid w:val="00ED1959"/>
    <w:rsid w:val="00ED1E44"/>
    <w:rsid w:val="00ED22B9"/>
    <w:rsid w:val="00ED28EF"/>
    <w:rsid w:val="00ED2AD3"/>
    <w:rsid w:val="00ED2CE9"/>
    <w:rsid w:val="00ED30B4"/>
    <w:rsid w:val="00ED34A2"/>
    <w:rsid w:val="00ED34EC"/>
    <w:rsid w:val="00ED3740"/>
    <w:rsid w:val="00ED399D"/>
    <w:rsid w:val="00ED3B74"/>
    <w:rsid w:val="00ED3CCF"/>
    <w:rsid w:val="00ED3D80"/>
    <w:rsid w:val="00ED450D"/>
    <w:rsid w:val="00ED465A"/>
    <w:rsid w:val="00ED4CBB"/>
    <w:rsid w:val="00ED5066"/>
    <w:rsid w:val="00ED51DF"/>
    <w:rsid w:val="00ED5274"/>
    <w:rsid w:val="00ED5461"/>
    <w:rsid w:val="00ED5B24"/>
    <w:rsid w:val="00ED60A6"/>
    <w:rsid w:val="00ED6224"/>
    <w:rsid w:val="00ED6236"/>
    <w:rsid w:val="00ED692C"/>
    <w:rsid w:val="00ED6E9B"/>
    <w:rsid w:val="00ED71F1"/>
    <w:rsid w:val="00ED7222"/>
    <w:rsid w:val="00ED738F"/>
    <w:rsid w:val="00ED7456"/>
    <w:rsid w:val="00ED7B94"/>
    <w:rsid w:val="00EE09C3"/>
    <w:rsid w:val="00EE09E2"/>
    <w:rsid w:val="00EE0CC7"/>
    <w:rsid w:val="00EE0EE3"/>
    <w:rsid w:val="00EE11FA"/>
    <w:rsid w:val="00EE1256"/>
    <w:rsid w:val="00EE1418"/>
    <w:rsid w:val="00EE1589"/>
    <w:rsid w:val="00EE15B3"/>
    <w:rsid w:val="00EE172B"/>
    <w:rsid w:val="00EE1CDD"/>
    <w:rsid w:val="00EE2329"/>
    <w:rsid w:val="00EE27B6"/>
    <w:rsid w:val="00EE2CE5"/>
    <w:rsid w:val="00EE2D63"/>
    <w:rsid w:val="00EE32CB"/>
    <w:rsid w:val="00EE33AF"/>
    <w:rsid w:val="00EE33EC"/>
    <w:rsid w:val="00EE34AB"/>
    <w:rsid w:val="00EE3A35"/>
    <w:rsid w:val="00EE3D50"/>
    <w:rsid w:val="00EE4045"/>
    <w:rsid w:val="00EE409C"/>
    <w:rsid w:val="00EE41BB"/>
    <w:rsid w:val="00EE445C"/>
    <w:rsid w:val="00EE457E"/>
    <w:rsid w:val="00EE45F5"/>
    <w:rsid w:val="00EE4630"/>
    <w:rsid w:val="00EE481B"/>
    <w:rsid w:val="00EE4A2A"/>
    <w:rsid w:val="00EE4B94"/>
    <w:rsid w:val="00EE4CD9"/>
    <w:rsid w:val="00EE4D5E"/>
    <w:rsid w:val="00EE4D83"/>
    <w:rsid w:val="00EE4D97"/>
    <w:rsid w:val="00EE4ED2"/>
    <w:rsid w:val="00EE5069"/>
    <w:rsid w:val="00EE5209"/>
    <w:rsid w:val="00EE5214"/>
    <w:rsid w:val="00EE5300"/>
    <w:rsid w:val="00EE5338"/>
    <w:rsid w:val="00EE549F"/>
    <w:rsid w:val="00EE5562"/>
    <w:rsid w:val="00EE5AC4"/>
    <w:rsid w:val="00EE5AD3"/>
    <w:rsid w:val="00EE5B2C"/>
    <w:rsid w:val="00EE5CA0"/>
    <w:rsid w:val="00EE5DC6"/>
    <w:rsid w:val="00EE5E42"/>
    <w:rsid w:val="00EE6BB1"/>
    <w:rsid w:val="00EE6D67"/>
    <w:rsid w:val="00EE6E04"/>
    <w:rsid w:val="00EE6E86"/>
    <w:rsid w:val="00EE71BF"/>
    <w:rsid w:val="00EE7E3F"/>
    <w:rsid w:val="00EF002F"/>
    <w:rsid w:val="00EF0197"/>
    <w:rsid w:val="00EF0279"/>
    <w:rsid w:val="00EF0748"/>
    <w:rsid w:val="00EF0768"/>
    <w:rsid w:val="00EF0774"/>
    <w:rsid w:val="00EF07C4"/>
    <w:rsid w:val="00EF08C2"/>
    <w:rsid w:val="00EF0C2E"/>
    <w:rsid w:val="00EF1181"/>
    <w:rsid w:val="00EF1218"/>
    <w:rsid w:val="00EF1292"/>
    <w:rsid w:val="00EF141C"/>
    <w:rsid w:val="00EF164C"/>
    <w:rsid w:val="00EF17CF"/>
    <w:rsid w:val="00EF17FE"/>
    <w:rsid w:val="00EF1BD9"/>
    <w:rsid w:val="00EF1EE1"/>
    <w:rsid w:val="00EF2624"/>
    <w:rsid w:val="00EF2775"/>
    <w:rsid w:val="00EF2DE9"/>
    <w:rsid w:val="00EF31FD"/>
    <w:rsid w:val="00EF326E"/>
    <w:rsid w:val="00EF3713"/>
    <w:rsid w:val="00EF3FA5"/>
    <w:rsid w:val="00EF4758"/>
    <w:rsid w:val="00EF4854"/>
    <w:rsid w:val="00EF4A20"/>
    <w:rsid w:val="00EF4C56"/>
    <w:rsid w:val="00EF5826"/>
    <w:rsid w:val="00EF5B21"/>
    <w:rsid w:val="00EF5D4D"/>
    <w:rsid w:val="00EF62AD"/>
    <w:rsid w:val="00EF62C7"/>
    <w:rsid w:val="00EF679E"/>
    <w:rsid w:val="00EF6903"/>
    <w:rsid w:val="00EF6F4E"/>
    <w:rsid w:val="00EF741F"/>
    <w:rsid w:val="00EF75FC"/>
    <w:rsid w:val="00EF761B"/>
    <w:rsid w:val="00EF7806"/>
    <w:rsid w:val="00EF7B54"/>
    <w:rsid w:val="00EF7D4E"/>
    <w:rsid w:val="00EF7DA9"/>
    <w:rsid w:val="00EF7E71"/>
    <w:rsid w:val="00EF7F11"/>
    <w:rsid w:val="00F00394"/>
    <w:rsid w:val="00F00B62"/>
    <w:rsid w:val="00F0108C"/>
    <w:rsid w:val="00F01496"/>
    <w:rsid w:val="00F014D5"/>
    <w:rsid w:val="00F016C3"/>
    <w:rsid w:val="00F0179A"/>
    <w:rsid w:val="00F01820"/>
    <w:rsid w:val="00F01C14"/>
    <w:rsid w:val="00F01FFB"/>
    <w:rsid w:val="00F02433"/>
    <w:rsid w:val="00F02611"/>
    <w:rsid w:val="00F02982"/>
    <w:rsid w:val="00F02C4C"/>
    <w:rsid w:val="00F02C77"/>
    <w:rsid w:val="00F02CED"/>
    <w:rsid w:val="00F02EEF"/>
    <w:rsid w:val="00F031FF"/>
    <w:rsid w:val="00F035B2"/>
    <w:rsid w:val="00F03793"/>
    <w:rsid w:val="00F03D0C"/>
    <w:rsid w:val="00F03D64"/>
    <w:rsid w:val="00F03E62"/>
    <w:rsid w:val="00F04302"/>
    <w:rsid w:val="00F043DF"/>
    <w:rsid w:val="00F045F1"/>
    <w:rsid w:val="00F047AA"/>
    <w:rsid w:val="00F04E9D"/>
    <w:rsid w:val="00F05133"/>
    <w:rsid w:val="00F05673"/>
    <w:rsid w:val="00F05B60"/>
    <w:rsid w:val="00F05C89"/>
    <w:rsid w:val="00F05CA9"/>
    <w:rsid w:val="00F05F44"/>
    <w:rsid w:val="00F05F7E"/>
    <w:rsid w:val="00F06276"/>
    <w:rsid w:val="00F06970"/>
    <w:rsid w:val="00F06A36"/>
    <w:rsid w:val="00F06F08"/>
    <w:rsid w:val="00F07231"/>
    <w:rsid w:val="00F073B9"/>
    <w:rsid w:val="00F073C6"/>
    <w:rsid w:val="00F07F26"/>
    <w:rsid w:val="00F106BB"/>
    <w:rsid w:val="00F10964"/>
    <w:rsid w:val="00F10A12"/>
    <w:rsid w:val="00F11056"/>
    <w:rsid w:val="00F11255"/>
    <w:rsid w:val="00F11341"/>
    <w:rsid w:val="00F11707"/>
    <w:rsid w:val="00F119E1"/>
    <w:rsid w:val="00F11D36"/>
    <w:rsid w:val="00F12470"/>
    <w:rsid w:val="00F1253B"/>
    <w:rsid w:val="00F125E5"/>
    <w:rsid w:val="00F127C5"/>
    <w:rsid w:val="00F1286D"/>
    <w:rsid w:val="00F12B8F"/>
    <w:rsid w:val="00F12E1B"/>
    <w:rsid w:val="00F12F41"/>
    <w:rsid w:val="00F12F60"/>
    <w:rsid w:val="00F1308C"/>
    <w:rsid w:val="00F13147"/>
    <w:rsid w:val="00F13C32"/>
    <w:rsid w:val="00F141B9"/>
    <w:rsid w:val="00F1437E"/>
    <w:rsid w:val="00F14498"/>
    <w:rsid w:val="00F144AD"/>
    <w:rsid w:val="00F14BFC"/>
    <w:rsid w:val="00F14D6A"/>
    <w:rsid w:val="00F15124"/>
    <w:rsid w:val="00F15880"/>
    <w:rsid w:val="00F15CAD"/>
    <w:rsid w:val="00F15E49"/>
    <w:rsid w:val="00F15E5B"/>
    <w:rsid w:val="00F15EA9"/>
    <w:rsid w:val="00F16013"/>
    <w:rsid w:val="00F166F4"/>
    <w:rsid w:val="00F1674C"/>
    <w:rsid w:val="00F16940"/>
    <w:rsid w:val="00F16CC9"/>
    <w:rsid w:val="00F1718C"/>
    <w:rsid w:val="00F173B8"/>
    <w:rsid w:val="00F1740B"/>
    <w:rsid w:val="00F1757F"/>
    <w:rsid w:val="00F175DC"/>
    <w:rsid w:val="00F17808"/>
    <w:rsid w:val="00F17B3C"/>
    <w:rsid w:val="00F17F5C"/>
    <w:rsid w:val="00F20482"/>
    <w:rsid w:val="00F205D8"/>
    <w:rsid w:val="00F20C7D"/>
    <w:rsid w:val="00F20D86"/>
    <w:rsid w:val="00F20EEB"/>
    <w:rsid w:val="00F21026"/>
    <w:rsid w:val="00F213D7"/>
    <w:rsid w:val="00F2155D"/>
    <w:rsid w:val="00F216BD"/>
    <w:rsid w:val="00F21CD3"/>
    <w:rsid w:val="00F21D1F"/>
    <w:rsid w:val="00F21F80"/>
    <w:rsid w:val="00F22087"/>
    <w:rsid w:val="00F224E6"/>
    <w:rsid w:val="00F226CB"/>
    <w:rsid w:val="00F229B3"/>
    <w:rsid w:val="00F230B7"/>
    <w:rsid w:val="00F23149"/>
    <w:rsid w:val="00F2320D"/>
    <w:rsid w:val="00F236C3"/>
    <w:rsid w:val="00F23743"/>
    <w:rsid w:val="00F238FC"/>
    <w:rsid w:val="00F23943"/>
    <w:rsid w:val="00F23EEE"/>
    <w:rsid w:val="00F241D5"/>
    <w:rsid w:val="00F24276"/>
    <w:rsid w:val="00F24568"/>
    <w:rsid w:val="00F245B8"/>
    <w:rsid w:val="00F245FF"/>
    <w:rsid w:val="00F24827"/>
    <w:rsid w:val="00F24A68"/>
    <w:rsid w:val="00F24A9D"/>
    <w:rsid w:val="00F24BB1"/>
    <w:rsid w:val="00F24EFC"/>
    <w:rsid w:val="00F24FF9"/>
    <w:rsid w:val="00F250E5"/>
    <w:rsid w:val="00F257C5"/>
    <w:rsid w:val="00F26381"/>
    <w:rsid w:val="00F266E5"/>
    <w:rsid w:val="00F2725D"/>
    <w:rsid w:val="00F276F2"/>
    <w:rsid w:val="00F2783B"/>
    <w:rsid w:val="00F300E7"/>
    <w:rsid w:val="00F3014A"/>
    <w:rsid w:val="00F304D8"/>
    <w:rsid w:val="00F306C6"/>
    <w:rsid w:val="00F30B32"/>
    <w:rsid w:val="00F31252"/>
    <w:rsid w:val="00F31756"/>
    <w:rsid w:val="00F31B08"/>
    <w:rsid w:val="00F31EA1"/>
    <w:rsid w:val="00F31F51"/>
    <w:rsid w:val="00F31F56"/>
    <w:rsid w:val="00F31F64"/>
    <w:rsid w:val="00F32261"/>
    <w:rsid w:val="00F322A2"/>
    <w:rsid w:val="00F3251B"/>
    <w:rsid w:val="00F3254C"/>
    <w:rsid w:val="00F3275E"/>
    <w:rsid w:val="00F3287A"/>
    <w:rsid w:val="00F3306C"/>
    <w:rsid w:val="00F3316D"/>
    <w:rsid w:val="00F331D8"/>
    <w:rsid w:val="00F33361"/>
    <w:rsid w:val="00F3371E"/>
    <w:rsid w:val="00F33BD7"/>
    <w:rsid w:val="00F33CBB"/>
    <w:rsid w:val="00F33D9D"/>
    <w:rsid w:val="00F344EE"/>
    <w:rsid w:val="00F34ABE"/>
    <w:rsid w:val="00F34B5B"/>
    <w:rsid w:val="00F34D6B"/>
    <w:rsid w:val="00F354FC"/>
    <w:rsid w:val="00F357A8"/>
    <w:rsid w:val="00F35A29"/>
    <w:rsid w:val="00F362B3"/>
    <w:rsid w:val="00F364E5"/>
    <w:rsid w:val="00F36B43"/>
    <w:rsid w:val="00F36CB6"/>
    <w:rsid w:val="00F36FEF"/>
    <w:rsid w:val="00F373DC"/>
    <w:rsid w:val="00F375F2"/>
    <w:rsid w:val="00F37676"/>
    <w:rsid w:val="00F378A3"/>
    <w:rsid w:val="00F37C51"/>
    <w:rsid w:val="00F37E05"/>
    <w:rsid w:val="00F4004F"/>
    <w:rsid w:val="00F40187"/>
    <w:rsid w:val="00F40594"/>
    <w:rsid w:val="00F40F35"/>
    <w:rsid w:val="00F412F2"/>
    <w:rsid w:val="00F41381"/>
    <w:rsid w:val="00F41415"/>
    <w:rsid w:val="00F4149E"/>
    <w:rsid w:val="00F41584"/>
    <w:rsid w:val="00F41898"/>
    <w:rsid w:val="00F41BC5"/>
    <w:rsid w:val="00F42334"/>
    <w:rsid w:val="00F427E6"/>
    <w:rsid w:val="00F4283F"/>
    <w:rsid w:val="00F42A2F"/>
    <w:rsid w:val="00F42A9A"/>
    <w:rsid w:val="00F42C75"/>
    <w:rsid w:val="00F42D93"/>
    <w:rsid w:val="00F42FB1"/>
    <w:rsid w:val="00F4332B"/>
    <w:rsid w:val="00F435AF"/>
    <w:rsid w:val="00F435E6"/>
    <w:rsid w:val="00F43CBE"/>
    <w:rsid w:val="00F43D3B"/>
    <w:rsid w:val="00F43E0C"/>
    <w:rsid w:val="00F43E75"/>
    <w:rsid w:val="00F440C0"/>
    <w:rsid w:val="00F440F9"/>
    <w:rsid w:val="00F447FF"/>
    <w:rsid w:val="00F44E52"/>
    <w:rsid w:val="00F44F9A"/>
    <w:rsid w:val="00F451B9"/>
    <w:rsid w:val="00F45275"/>
    <w:rsid w:val="00F45378"/>
    <w:rsid w:val="00F45967"/>
    <w:rsid w:val="00F45B32"/>
    <w:rsid w:val="00F45B63"/>
    <w:rsid w:val="00F45BBF"/>
    <w:rsid w:val="00F45BD2"/>
    <w:rsid w:val="00F45D93"/>
    <w:rsid w:val="00F46426"/>
    <w:rsid w:val="00F464F0"/>
    <w:rsid w:val="00F46513"/>
    <w:rsid w:val="00F46939"/>
    <w:rsid w:val="00F46B5B"/>
    <w:rsid w:val="00F46F8F"/>
    <w:rsid w:val="00F46F92"/>
    <w:rsid w:val="00F470C7"/>
    <w:rsid w:val="00F4726F"/>
    <w:rsid w:val="00F4727A"/>
    <w:rsid w:val="00F47512"/>
    <w:rsid w:val="00F4756E"/>
    <w:rsid w:val="00F47A66"/>
    <w:rsid w:val="00F47BBC"/>
    <w:rsid w:val="00F47D4A"/>
    <w:rsid w:val="00F502A5"/>
    <w:rsid w:val="00F503C5"/>
    <w:rsid w:val="00F50639"/>
    <w:rsid w:val="00F509D2"/>
    <w:rsid w:val="00F51409"/>
    <w:rsid w:val="00F51AC1"/>
    <w:rsid w:val="00F51C71"/>
    <w:rsid w:val="00F51CF7"/>
    <w:rsid w:val="00F51E80"/>
    <w:rsid w:val="00F5246C"/>
    <w:rsid w:val="00F52643"/>
    <w:rsid w:val="00F52877"/>
    <w:rsid w:val="00F52D5C"/>
    <w:rsid w:val="00F52E9C"/>
    <w:rsid w:val="00F530FA"/>
    <w:rsid w:val="00F53783"/>
    <w:rsid w:val="00F53896"/>
    <w:rsid w:val="00F53CA6"/>
    <w:rsid w:val="00F54121"/>
    <w:rsid w:val="00F5428B"/>
    <w:rsid w:val="00F54395"/>
    <w:rsid w:val="00F544C2"/>
    <w:rsid w:val="00F54B6D"/>
    <w:rsid w:val="00F54C7C"/>
    <w:rsid w:val="00F54F53"/>
    <w:rsid w:val="00F55233"/>
    <w:rsid w:val="00F554EA"/>
    <w:rsid w:val="00F55540"/>
    <w:rsid w:val="00F55908"/>
    <w:rsid w:val="00F55A7A"/>
    <w:rsid w:val="00F55C87"/>
    <w:rsid w:val="00F55D0F"/>
    <w:rsid w:val="00F5616D"/>
    <w:rsid w:val="00F563E1"/>
    <w:rsid w:val="00F56613"/>
    <w:rsid w:val="00F56696"/>
    <w:rsid w:val="00F566CF"/>
    <w:rsid w:val="00F56776"/>
    <w:rsid w:val="00F568DE"/>
    <w:rsid w:val="00F569AD"/>
    <w:rsid w:val="00F56D0C"/>
    <w:rsid w:val="00F56F75"/>
    <w:rsid w:val="00F570D8"/>
    <w:rsid w:val="00F57426"/>
    <w:rsid w:val="00F57986"/>
    <w:rsid w:val="00F57D1E"/>
    <w:rsid w:val="00F57DA6"/>
    <w:rsid w:val="00F57E56"/>
    <w:rsid w:val="00F6006C"/>
    <w:rsid w:val="00F60234"/>
    <w:rsid w:val="00F6024E"/>
    <w:rsid w:val="00F60437"/>
    <w:rsid w:val="00F60451"/>
    <w:rsid w:val="00F604D7"/>
    <w:rsid w:val="00F60562"/>
    <w:rsid w:val="00F605C1"/>
    <w:rsid w:val="00F607A5"/>
    <w:rsid w:val="00F60865"/>
    <w:rsid w:val="00F60BEE"/>
    <w:rsid w:val="00F60EFD"/>
    <w:rsid w:val="00F61270"/>
    <w:rsid w:val="00F612BC"/>
    <w:rsid w:val="00F61845"/>
    <w:rsid w:val="00F6190C"/>
    <w:rsid w:val="00F61D4D"/>
    <w:rsid w:val="00F61EF1"/>
    <w:rsid w:val="00F62072"/>
    <w:rsid w:val="00F6240C"/>
    <w:rsid w:val="00F62606"/>
    <w:rsid w:val="00F62664"/>
    <w:rsid w:val="00F626D8"/>
    <w:rsid w:val="00F627A9"/>
    <w:rsid w:val="00F628C8"/>
    <w:rsid w:val="00F62ACF"/>
    <w:rsid w:val="00F62C69"/>
    <w:rsid w:val="00F62DDC"/>
    <w:rsid w:val="00F6304A"/>
    <w:rsid w:val="00F63292"/>
    <w:rsid w:val="00F63AFB"/>
    <w:rsid w:val="00F63BD1"/>
    <w:rsid w:val="00F63E16"/>
    <w:rsid w:val="00F6459D"/>
    <w:rsid w:val="00F64614"/>
    <w:rsid w:val="00F64643"/>
    <w:rsid w:val="00F647F6"/>
    <w:rsid w:val="00F64A50"/>
    <w:rsid w:val="00F650E0"/>
    <w:rsid w:val="00F65249"/>
    <w:rsid w:val="00F6589D"/>
    <w:rsid w:val="00F65C08"/>
    <w:rsid w:val="00F6655C"/>
    <w:rsid w:val="00F66572"/>
    <w:rsid w:val="00F66630"/>
    <w:rsid w:val="00F667ED"/>
    <w:rsid w:val="00F668D7"/>
    <w:rsid w:val="00F66BBC"/>
    <w:rsid w:val="00F66FD4"/>
    <w:rsid w:val="00F6751A"/>
    <w:rsid w:val="00F6757C"/>
    <w:rsid w:val="00F67912"/>
    <w:rsid w:val="00F67D64"/>
    <w:rsid w:val="00F7011B"/>
    <w:rsid w:val="00F701BA"/>
    <w:rsid w:val="00F70769"/>
    <w:rsid w:val="00F7097C"/>
    <w:rsid w:val="00F70A75"/>
    <w:rsid w:val="00F71C27"/>
    <w:rsid w:val="00F71EE0"/>
    <w:rsid w:val="00F71F00"/>
    <w:rsid w:val="00F7224B"/>
    <w:rsid w:val="00F722B2"/>
    <w:rsid w:val="00F725B2"/>
    <w:rsid w:val="00F72B2E"/>
    <w:rsid w:val="00F72D73"/>
    <w:rsid w:val="00F72EDD"/>
    <w:rsid w:val="00F731BF"/>
    <w:rsid w:val="00F73232"/>
    <w:rsid w:val="00F73A82"/>
    <w:rsid w:val="00F73B2D"/>
    <w:rsid w:val="00F73E1C"/>
    <w:rsid w:val="00F74100"/>
    <w:rsid w:val="00F7429B"/>
    <w:rsid w:val="00F74415"/>
    <w:rsid w:val="00F74F56"/>
    <w:rsid w:val="00F74F85"/>
    <w:rsid w:val="00F75244"/>
    <w:rsid w:val="00F75C0B"/>
    <w:rsid w:val="00F761C6"/>
    <w:rsid w:val="00F7689E"/>
    <w:rsid w:val="00F76A7A"/>
    <w:rsid w:val="00F77120"/>
    <w:rsid w:val="00F77802"/>
    <w:rsid w:val="00F778B0"/>
    <w:rsid w:val="00F778FC"/>
    <w:rsid w:val="00F77C98"/>
    <w:rsid w:val="00F77CC6"/>
    <w:rsid w:val="00F801A5"/>
    <w:rsid w:val="00F807B6"/>
    <w:rsid w:val="00F8094D"/>
    <w:rsid w:val="00F80985"/>
    <w:rsid w:val="00F81799"/>
    <w:rsid w:val="00F81877"/>
    <w:rsid w:val="00F8193A"/>
    <w:rsid w:val="00F8199C"/>
    <w:rsid w:val="00F81B53"/>
    <w:rsid w:val="00F81D48"/>
    <w:rsid w:val="00F82170"/>
    <w:rsid w:val="00F821CD"/>
    <w:rsid w:val="00F821F9"/>
    <w:rsid w:val="00F826AF"/>
    <w:rsid w:val="00F8314C"/>
    <w:rsid w:val="00F83158"/>
    <w:rsid w:val="00F83180"/>
    <w:rsid w:val="00F83195"/>
    <w:rsid w:val="00F833FD"/>
    <w:rsid w:val="00F83BAC"/>
    <w:rsid w:val="00F83DDF"/>
    <w:rsid w:val="00F83F7E"/>
    <w:rsid w:val="00F83FC5"/>
    <w:rsid w:val="00F84432"/>
    <w:rsid w:val="00F8479C"/>
    <w:rsid w:val="00F84D10"/>
    <w:rsid w:val="00F85100"/>
    <w:rsid w:val="00F8613E"/>
    <w:rsid w:val="00F862EA"/>
    <w:rsid w:val="00F862FD"/>
    <w:rsid w:val="00F8643F"/>
    <w:rsid w:val="00F865BB"/>
    <w:rsid w:val="00F86890"/>
    <w:rsid w:val="00F86A3F"/>
    <w:rsid w:val="00F86D48"/>
    <w:rsid w:val="00F86DAD"/>
    <w:rsid w:val="00F86EBE"/>
    <w:rsid w:val="00F873C5"/>
    <w:rsid w:val="00F876F6"/>
    <w:rsid w:val="00F877A7"/>
    <w:rsid w:val="00F879E3"/>
    <w:rsid w:val="00F87AAF"/>
    <w:rsid w:val="00F87B67"/>
    <w:rsid w:val="00F87F0F"/>
    <w:rsid w:val="00F900BA"/>
    <w:rsid w:val="00F9026D"/>
    <w:rsid w:val="00F90663"/>
    <w:rsid w:val="00F90778"/>
    <w:rsid w:val="00F907EF"/>
    <w:rsid w:val="00F908E6"/>
    <w:rsid w:val="00F9106F"/>
    <w:rsid w:val="00F912A6"/>
    <w:rsid w:val="00F9144D"/>
    <w:rsid w:val="00F91873"/>
    <w:rsid w:val="00F918BB"/>
    <w:rsid w:val="00F91B8C"/>
    <w:rsid w:val="00F91D28"/>
    <w:rsid w:val="00F91EE1"/>
    <w:rsid w:val="00F91EE7"/>
    <w:rsid w:val="00F91F48"/>
    <w:rsid w:val="00F91F49"/>
    <w:rsid w:val="00F92199"/>
    <w:rsid w:val="00F92564"/>
    <w:rsid w:val="00F92821"/>
    <w:rsid w:val="00F92A6A"/>
    <w:rsid w:val="00F92BC0"/>
    <w:rsid w:val="00F92C0B"/>
    <w:rsid w:val="00F93207"/>
    <w:rsid w:val="00F93569"/>
    <w:rsid w:val="00F936AB"/>
    <w:rsid w:val="00F936F6"/>
    <w:rsid w:val="00F93909"/>
    <w:rsid w:val="00F93A58"/>
    <w:rsid w:val="00F93B84"/>
    <w:rsid w:val="00F93BF4"/>
    <w:rsid w:val="00F93D1D"/>
    <w:rsid w:val="00F93F4B"/>
    <w:rsid w:val="00F93FB9"/>
    <w:rsid w:val="00F943DB"/>
    <w:rsid w:val="00F94A04"/>
    <w:rsid w:val="00F95004"/>
    <w:rsid w:val="00F9529E"/>
    <w:rsid w:val="00F9577E"/>
    <w:rsid w:val="00F958ED"/>
    <w:rsid w:val="00F95B3C"/>
    <w:rsid w:val="00F95E81"/>
    <w:rsid w:val="00F969A8"/>
    <w:rsid w:val="00F969E8"/>
    <w:rsid w:val="00F96B94"/>
    <w:rsid w:val="00F96BBE"/>
    <w:rsid w:val="00F96CB4"/>
    <w:rsid w:val="00F96D69"/>
    <w:rsid w:val="00F96DC0"/>
    <w:rsid w:val="00F96E8E"/>
    <w:rsid w:val="00F971D1"/>
    <w:rsid w:val="00F977DA"/>
    <w:rsid w:val="00F97C54"/>
    <w:rsid w:val="00F97C5E"/>
    <w:rsid w:val="00F97E0B"/>
    <w:rsid w:val="00FA0008"/>
    <w:rsid w:val="00FA041E"/>
    <w:rsid w:val="00FA04EC"/>
    <w:rsid w:val="00FA0763"/>
    <w:rsid w:val="00FA09D4"/>
    <w:rsid w:val="00FA0D2E"/>
    <w:rsid w:val="00FA0E16"/>
    <w:rsid w:val="00FA111E"/>
    <w:rsid w:val="00FA1650"/>
    <w:rsid w:val="00FA1B10"/>
    <w:rsid w:val="00FA1BF2"/>
    <w:rsid w:val="00FA1F41"/>
    <w:rsid w:val="00FA21C0"/>
    <w:rsid w:val="00FA29B9"/>
    <w:rsid w:val="00FA2A7E"/>
    <w:rsid w:val="00FA3011"/>
    <w:rsid w:val="00FA357B"/>
    <w:rsid w:val="00FA3822"/>
    <w:rsid w:val="00FA3C81"/>
    <w:rsid w:val="00FA452F"/>
    <w:rsid w:val="00FA4577"/>
    <w:rsid w:val="00FA4714"/>
    <w:rsid w:val="00FA48C6"/>
    <w:rsid w:val="00FA4FC6"/>
    <w:rsid w:val="00FA500B"/>
    <w:rsid w:val="00FA508E"/>
    <w:rsid w:val="00FA53BC"/>
    <w:rsid w:val="00FA53CF"/>
    <w:rsid w:val="00FA5D90"/>
    <w:rsid w:val="00FA5EA1"/>
    <w:rsid w:val="00FA5F82"/>
    <w:rsid w:val="00FA65D3"/>
    <w:rsid w:val="00FA69DD"/>
    <w:rsid w:val="00FA716D"/>
    <w:rsid w:val="00FA71EE"/>
    <w:rsid w:val="00FA7247"/>
    <w:rsid w:val="00FA76A9"/>
    <w:rsid w:val="00FA7826"/>
    <w:rsid w:val="00FA7DEA"/>
    <w:rsid w:val="00FB0655"/>
    <w:rsid w:val="00FB06C7"/>
    <w:rsid w:val="00FB0712"/>
    <w:rsid w:val="00FB0CD9"/>
    <w:rsid w:val="00FB0E00"/>
    <w:rsid w:val="00FB1010"/>
    <w:rsid w:val="00FB1033"/>
    <w:rsid w:val="00FB1228"/>
    <w:rsid w:val="00FB1B4C"/>
    <w:rsid w:val="00FB1C84"/>
    <w:rsid w:val="00FB207A"/>
    <w:rsid w:val="00FB227B"/>
    <w:rsid w:val="00FB22C7"/>
    <w:rsid w:val="00FB255A"/>
    <w:rsid w:val="00FB26B6"/>
    <w:rsid w:val="00FB2C8A"/>
    <w:rsid w:val="00FB3115"/>
    <w:rsid w:val="00FB3133"/>
    <w:rsid w:val="00FB34B8"/>
    <w:rsid w:val="00FB36C4"/>
    <w:rsid w:val="00FB377C"/>
    <w:rsid w:val="00FB3CC6"/>
    <w:rsid w:val="00FB41DE"/>
    <w:rsid w:val="00FB425B"/>
    <w:rsid w:val="00FB4C73"/>
    <w:rsid w:val="00FB4C7C"/>
    <w:rsid w:val="00FB4DCF"/>
    <w:rsid w:val="00FB4DE7"/>
    <w:rsid w:val="00FB4E9C"/>
    <w:rsid w:val="00FB4F16"/>
    <w:rsid w:val="00FB4F62"/>
    <w:rsid w:val="00FB50A1"/>
    <w:rsid w:val="00FB5436"/>
    <w:rsid w:val="00FB5633"/>
    <w:rsid w:val="00FB57B1"/>
    <w:rsid w:val="00FB5C54"/>
    <w:rsid w:val="00FB5E5E"/>
    <w:rsid w:val="00FB600B"/>
    <w:rsid w:val="00FB604E"/>
    <w:rsid w:val="00FB6065"/>
    <w:rsid w:val="00FB6172"/>
    <w:rsid w:val="00FB617A"/>
    <w:rsid w:val="00FB6188"/>
    <w:rsid w:val="00FB648E"/>
    <w:rsid w:val="00FB6709"/>
    <w:rsid w:val="00FB6751"/>
    <w:rsid w:val="00FB6902"/>
    <w:rsid w:val="00FB6B28"/>
    <w:rsid w:val="00FB6C3C"/>
    <w:rsid w:val="00FB7069"/>
    <w:rsid w:val="00FB732C"/>
    <w:rsid w:val="00FB7611"/>
    <w:rsid w:val="00FB763F"/>
    <w:rsid w:val="00FB7872"/>
    <w:rsid w:val="00FB7B9F"/>
    <w:rsid w:val="00FB7BAB"/>
    <w:rsid w:val="00FB7EBA"/>
    <w:rsid w:val="00FC02DB"/>
    <w:rsid w:val="00FC02F5"/>
    <w:rsid w:val="00FC044F"/>
    <w:rsid w:val="00FC05DB"/>
    <w:rsid w:val="00FC0638"/>
    <w:rsid w:val="00FC0B0A"/>
    <w:rsid w:val="00FC0CEF"/>
    <w:rsid w:val="00FC0E4A"/>
    <w:rsid w:val="00FC0E60"/>
    <w:rsid w:val="00FC1260"/>
    <w:rsid w:val="00FC17AC"/>
    <w:rsid w:val="00FC1803"/>
    <w:rsid w:val="00FC1A82"/>
    <w:rsid w:val="00FC1AFC"/>
    <w:rsid w:val="00FC2085"/>
    <w:rsid w:val="00FC2917"/>
    <w:rsid w:val="00FC3092"/>
    <w:rsid w:val="00FC39E2"/>
    <w:rsid w:val="00FC4017"/>
    <w:rsid w:val="00FC421C"/>
    <w:rsid w:val="00FC43CE"/>
    <w:rsid w:val="00FC4A48"/>
    <w:rsid w:val="00FC4B19"/>
    <w:rsid w:val="00FC4EBF"/>
    <w:rsid w:val="00FC4F86"/>
    <w:rsid w:val="00FC5046"/>
    <w:rsid w:val="00FC51A2"/>
    <w:rsid w:val="00FC544A"/>
    <w:rsid w:val="00FC54E5"/>
    <w:rsid w:val="00FC56FF"/>
    <w:rsid w:val="00FC5950"/>
    <w:rsid w:val="00FC5A78"/>
    <w:rsid w:val="00FC5ADB"/>
    <w:rsid w:val="00FC5FEA"/>
    <w:rsid w:val="00FC667B"/>
    <w:rsid w:val="00FC679D"/>
    <w:rsid w:val="00FC680B"/>
    <w:rsid w:val="00FC6A67"/>
    <w:rsid w:val="00FC6E72"/>
    <w:rsid w:val="00FC7104"/>
    <w:rsid w:val="00FC718B"/>
    <w:rsid w:val="00FC7EC0"/>
    <w:rsid w:val="00FC7FCE"/>
    <w:rsid w:val="00FD05C5"/>
    <w:rsid w:val="00FD0960"/>
    <w:rsid w:val="00FD0A47"/>
    <w:rsid w:val="00FD0E2F"/>
    <w:rsid w:val="00FD146F"/>
    <w:rsid w:val="00FD1929"/>
    <w:rsid w:val="00FD1A0B"/>
    <w:rsid w:val="00FD1D98"/>
    <w:rsid w:val="00FD1D9E"/>
    <w:rsid w:val="00FD1DDF"/>
    <w:rsid w:val="00FD21DB"/>
    <w:rsid w:val="00FD235F"/>
    <w:rsid w:val="00FD24D6"/>
    <w:rsid w:val="00FD28F0"/>
    <w:rsid w:val="00FD2BDA"/>
    <w:rsid w:val="00FD326C"/>
    <w:rsid w:val="00FD32B0"/>
    <w:rsid w:val="00FD344F"/>
    <w:rsid w:val="00FD35E5"/>
    <w:rsid w:val="00FD3C49"/>
    <w:rsid w:val="00FD3DD2"/>
    <w:rsid w:val="00FD4344"/>
    <w:rsid w:val="00FD456C"/>
    <w:rsid w:val="00FD4A36"/>
    <w:rsid w:val="00FD4B07"/>
    <w:rsid w:val="00FD4C8F"/>
    <w:rsid w:val="00FD4D10"/>
    <w:rsid w:val="00FD4DB5"/>
    <w:rsid w:val="00FD4EE6"/>
    <w:rsid w:val="00FD5B63"/>
    <w:rsid w:val="00FD5EB6"/>
    <w:rsid w:val="00FD5FCF"/>
    <w:rsid w:val="00FD64DF"/>
    <w:rsid w:val="00FD6548"/>
    <w:rsid w:val="00FD6992"/>
    <w:rsid w:val="00FD6E15"/>
    <w:rsid w:val="00FD7160"/>
    <w:rsid w:val="00FD7242"/>
    <w:rsid w:val="00FD75FA"/>
    <w:rsid w:val="00FD7976"/>
    <w:rsid w:val="00FD7A32"/>
    <w:rsid w:val="00FD7A4B"/>
    <w:rsid w:val="00FD7A58"/>
    <w:rsid w:val="00FE008B"/>
    <w:rsid w:val="00FE0118"/>
    <w:rsid w:val="00FE01EB"/>
    <w:rsid w:val="00FE0450"/>
    <w:rsid w:val="00FE0477"/>
    <w:rsid w:val="00FE0AE0"/>
    <w:rsid w:val="00FE0C42"/>
    <w:rsid w:val="00FE0F3F"/>
    <w:rsid w:val="00FE1BD4"/>
    <w:rsid w:val="00FE207B"/>
    <w:rsid w:val="00FE221A"/>
    <w:rsid w:val="00FE24AD"/>
    <w:rsid w:val="00FE24BA"/>
    <w:rsid w:val="00FE269E"/>
    <w:rsid w:val="00FE26FA"/>
    <w:rsid w:val="00FE27B7"/>
    <w:rsid w:val="00FE2864"/>
    <w:rsid w:val="00FE2A68"/>
    <w:rsid w:val="00FE2B60"/>
    <w:rsid w:val="00FE2C2F"/>
    <w:rsid w:val="00FE2CC7"/>
    <w:rsid w:val="00FE3128"/>
    <w:rsid w:val="00FE3378"/>
    <w:rsid w:val="00FE3913"/>
    <w:rsid w:val="00FE3981"/>
    <w:rsid w:val="00FE3A35"/>
    <w:rsid w:val="00FE3AF2"/>
    <w:rsid w:val="00FE3D5C"/>
    <w:rsid w:val="00FE43B1"/>
    <w:rsid w:val="00FE45E1"/>
    <w:rsid w:val="00FE4718"/>
    <w:rsid w:val="00FE473B"/>
    <w:rsid w:val="00FE4B9F"/>
    <w:rsid w:val="00FE4BE4"/>
    <w:rsid w:val="00FE51BB"/>
    <w:rsid w:val="00FE549F"/>
    <w:rsid w:val="00FE54E8"/>
    <w:rsid w:val="00FE5556"/>
    <w:rsid w:val="00FE58F8"/>
    <w:rsid w:val="00FE5A6E"/>
    <w:rsid w:val="00FE5BBC"/>
    <w:rsid w:val="00FE5F9E"/>
    <w:rsid w:val="00FE614F"/>
    <w:rsid w:val="00FE634B"/>
    <w:rsid w:val="00FE6C91"/>
    <w:rsid w:val="00FE7469"/>
    <w:rsid w:val="00FE7540"/>
    <w:rsid w:val="00FE765F"/>
    <w:rsid w:val="00FE7A8D"/>
    <w:rsid w:val="00FE7EBB"/>
    <w:rsid w:val="00FF0148"/>
    <w:rsid w:val="00FF01F8"/>
    <w:rsid w:val="00FF0215"/>
    <w:rsid w:val="00FF0360"/>
    <w:rsid w:val="00FF04A4"/>
    <w:rsid w:val="00FF05C1"/>
    <w:rsid w:val="00FF0B31"/>
    <w:rsid w:val="00FF0B46"/>
    <w:rsid w:val="00FF0B69"/>
    <w:rsid w:val="00FF0DF0"/>
    <w:rsid w:val="00FF13C8"/>
    <w:rsid w:val="00FF179F"/>
    <w:rsid w:val="00FF186B"/>
    <w:rsid w:val="00FF19ED"/>
    <w:rsid w:val="00FF1B20"/>
    <w:rsid w:val="00FF1B8E"/>
    <w:rsid w:val="00FF1DCA"/>
    <w:rsid w:val="00FF21A8"/>
    <w:rsid w:val="00FF2371"/>
    <w:rsid w:val="00FF2684"/>
    <w:rsid w:val="00FF2805"/>
    <w:rsid w:val="00FF284A"/>
    <w:rsid w:val="00FF28E8"/>
    <w:rsid w:val="00FF2AA5"/>
    <w:rsid w:val="00FF2B04"/>
    <w:rsid w:val="00FF2B4A"/>
    <w:rsid w:val="00FF2C64"/>
    <w:rsid w:val="00FF2CF2"/>
    <w:rsid w:val="00FF2D1D"/>
    <w:rsid w:val="00FF36E7"/>
    <w:rsid w:val="00FF3772"/>
    <w:rsid w:val="00FF3DD0"/>
    <w:rsid w:val="00FF40F5"/>
    <w:rsid w:val="00FF41C8"/>
    <w:rsid w:val="00FF4245"/>
    <w:rsid w:val="00FF43CA"/>
    <w:rsid w:val="00FF47A6"/>
    <w:rsid w:val="00FF480F"/>
    <w:rsid w:val="00FF4864"/>
    <w:rsid w:val="00FF486C"/>
    <w:rsid w:val="00FF48DA"/>
    <w:rsid w:val="00FF4CA8"/>
    <w:rsid w:val="00FF512F"/>
    <w:rsid w:val="00FF530E"/>
    <w:rsid w:val="00FF5672"/>
    <w:rsid w:val="00FF56EB"/>
    <w:rsid w:val="00FF56F4"/>
    <w:rsid w:val="00FF57F3"/>
    <w:rsid w:val="00FF5A68"/>
    <w:rsid w:val="00FF5A76"/>
    <w:rsid w:val="00FF5ADD"/>
    <w:rsid w:val="00FF6206"/>
    <w:rsid w:val="00FF64D9"/>
    <w:rsid w:val="00FF64DD"/>
    <w:rsid w:val="00FF65DF"/>
    <w:rsid w:val="00FF6846"/>
    <w:rsid w:val="00FF6953"/>
    <w:rsid w:val="00FF6AF0"/>
    <w:rsid w:val="00FF7041"/>
    <w:rsid w:val="00FF740E"/>
    <w:rsid w:val="00FF786F"/>
    <w:rsid w:val="00FF7B62"/>
    <w:rsid w:val="00FF7C58"/>
    <w:rsid w:val="011E2FFA"/>
    <w:rsid w:val="014CAD24"/>
    <w:rsid w:val="01550755"/>
    <w:rsid w:val="016358C9"/>
    <w:rsid w:val="0198B674"/>
    <w:rsid w:val="01E55C47"/>
    <w:rsid w:val="01FB751D"/>
    <w:rsid w:val="020B979D"/>
    <w:rsid w:val="0210E3EA"/>
    <w:rsid w:val="022052FA"/>
    <w:rsid w:val="024E3C7F"/>
    <w:rsid w:val="0266829C"/>
    <w:rsid w:val="02714C70"/>
    <w:rsid w:val="0272A9FD"/>
    <w:rsid w:val="027F4926"/>
    <w:rsid w:val="0294A3EF"/>
    <w:rsid w:val="02ACBD38"/>
    <w:rsid w:val="02AD63E2"/>
    <w:rsid w:val="02B144C2"/>
    <w:rsid w:val="02F1119C"/>
    <w:rsid w:val="03081520"/>
    <w:rsid w:val="03214841"/>
    <w:rsid w:val="0322C6E1"/>
    <w:rsid w:val="03351120"/>
    <w:rsid w:val="035DFEFE"/>
    <w:rsid w:val="0371E05B"/>
    <w:rsid w:val="037AC6EC"/>
    <w:rsid w:val="03A3A775"/>
    <w:rsid w:val="03A40255"/>
    <w:rsid w:val="03A6B78A"/>
    <w:rsid w:val="03E641B4"/>
    <w:rsid w:val="040192E0"/>
    <w:rsid w:val="041B5604"/>
    <w:rsid w:val="048712C4"/>
    <w:rsid w:val="04ACDCCC"/>
    <w:rsid w:val="04D05766"/>
    <w:rsid w:val="04F56E88"/>
    <w:rsid w:val="04F6611A"/>
    <w:rsid w:val="04FDE4BE"/>
    <w:rsid w:val="0505958F"/>
    <w:rsid w:val="052EDD74"/>
    <w:rsid w:val="055FBF73"/>
    <w:rsid w:val="057102F3"/>
    <w:rsid w:val="059EDA1C"/>
    <w:rsid w:val="05AAABC0"/>
    <w:rsid w:val="05BEDABA"/>
    <w:rsid w:val="05C235A8"/>
    <w:rsid w:val="05D6C5E1"/>
    <w:rsid w:val="0610E55B"/>
    <w:rsid w:val="063384D1"/>
    <w:rsid w:val="06682E7E"/>
    <w:rsid w:val="066B09FB"/>
    <w:rsid w:val="06C350C6"/>
    <w:rsid w:val="06DDA997"/>
    <w:rsid w:val="06DE9675"/>
    <w:rsid w:val="06F1F172"/>
    <w:rsid w:val="06F9D7FB"/>
    <w:rsid w:val="07445638"/>
    <w:rsid w:val="075A4F9C"/>
    <w:rsid w:val="0761DF95"/>
    <w:rsid w:val="077CEEF2"/>
    <w:rsid w:val="07B1C486"/>
    <w:rsid w:val="07BA0D53"/>
    <w:rsid w:val="07EB6133"/>
    <w:rsid w:val="081704EF"/>
    <w:rsid w:val="083AC227"/>
    <w:rsid w:val="08533980"/>
    <w:rsid w:val="0856BE4E"/>
    <w:rsid w:val="086716E5"/>
    <w:rsid w:val="087A4D82"/>
    <w:rsid w:val="08A4171B"/>
    <w:rsid w:val="08B35A5D"/>
    <w:rsid w:val="08E487AB"/>
    <w:rsid w:val="09061183"/>
    <w:rsid w:val="0908D03F"/>
    <w:rsid w:val="093B705E"/>
    <w:rsid w:val="0954A8BD"/>
    <w:rsid w:val="0973861B"/>
    <w:rsid w:val="09A0A9DB"/>
    <w:rsid w:val="09A20322"/>
    <w:rsid w:val="09A8DDC6"/>
    <w:rsid w:val="09B24611"/>
    <w:rsid w:val="09DF6196"/>
    <w:rsid w:val="09EF922E"/>
    <w:rsid w:val="0A2B1A10"/>
    <w:rsid w:val="0A5FA75A"/>
    <w:rsid w:val="0A78A69B"/>
    <w:rsid w:val="0AD9CB05"/>
    <w:rsid w:val="0AE75129"/>
    <w:rsid w:val="0B0A21B7"/>
    <w:rsid w:val="0B2AD6D6"/>
    <w:rsid w:val="0B54C82A"/>
    <w:rsid w:val="0B827C69"/>
    <w:rsid w:val="0B8FDC2F"/>
    <w:rsid w:val="0B967395"/>
    <w:rsid w:val="0B9AEB07"/>
    <w:rsid w:val="0B9E3C8A"/>
    <w:rsid w:val="0BC26B5C"/>
    <w:rsid w:val="0BC9E76A"/>
    <w:rsid w:val="0C098F76"/>
    <w:rsid w:val="0C0DC7B6"/>
    <w:rsid w:val="0C15E10B"/>
    <w:rsid w:val="0C33EE20"/>
    <w:rsid w:val="0C57B923"/>
    <w:rsid w:val="0C6DEABA"/>
    <w:rsid w:val="0C8C385F"/>
    <w:rsid w:val="0C926B00"/>
    <w:rsid w:val="0CA7D479"/>
    <w:rsid w:val="0CBA31D9"/>
    <w:rsid w:val="0CC49558"/>
    <w:rsid w:val="0CC57BC2"/>
    <w:rsid w:val="0CC6C7AD"/>
    <w:rsid w:val="0CE431A0"/>
    <w:rsid w:val="0CEBE907"/>
    <w:rsid w:val="0CF057B7"/>
    <w:rsid w:val="0CFA4F1B"/>
    <w:rsid w:val="0D17E74D"/>
    <w:rsid w:val="0D250EB0"/>
    <w:rsid w:val="0D27D785"/>
    <w:rsid w:val="0DC3D068"/>
    <w:rsid w:val="0DE0B2F5"/>
    <w:rsid w:val="0DE7C99C"/>
    <w:rsid w:val="0E0AE286"/>
    <w:rsid w:val="0E3A3F40"/>
    <w:rsid w:val="0E461868"/>
    <w:rsid w:val="0E58ED9A"/>
    <w:rsid w:val="0E80F6FA"/>
    <w:rsid w:val="0E937669"/>
    <w:rsid w:val="0E9C09E0"/>
    <w:rsid w:val="0EDF13C9"/>
    <w:rsid w:val="0EDFB657"/>
    <w:rsid w:val="0EE0E0A2"/>
    <w:rsid w:val="0F1AE1AD"/>
    <w:rsid w:val="0F27F749"/>
    <w:rsid w:val="0F2E8FD2"/>
    <w:rsid w:val="0F3E22BA"/>
    <w:rsid w:val="0F46C566"/>
    <w:rsid w:val="0F5F41DF"/>
    <w:rsid w:val="0F8FFC7D"/>
    <w:rsid w:val="0F9BBC82"/>
    <w:rsid w:val="0FB4FA24"/>
    <w:rsid w:val="0FBFC746"/>
    <w:rsid w:val="0FED268B"/>
    <w:rsid w:val="0FF14ACB"/>
    <w:rsid w:val="0FF8C843"/>
    <w:rsid w:val="1012A6B2"/>
    <w:rsid w:val="1021CB90"/>
    <w:rsid w:val="102EADE3"/>
    <w:rsid w:val="103E27F0"/>
    <w:rsid w:val="103EAFAD"/>
    <w:rsid w:val="10454B4E"/>
    <w:rsid w:val="1062C017"/>
    <w:rsid w:val="1099AE1A"/>
    <w:rsid w:val="10B72250"/>
    <w:rsid w:val="10CC7DC9"/>
    <w:rsid w:val="10DFBFAE"/>
    <w:rsid w:val="10ED1860"/>
    <w:rsid w:val="10F75ADE"/>
    <w:rsid w:val="11066458"/>
    <w:rsid w:val="1119FA1A"/>
    <w:rsid w:val="11629846"/>
    <w:rsid w:val="11891D37"/>
    <w:rsid w:val="11939224"/>
    <w:rsid w:val="119697C5"/>
    <w:rsid w:val="11A7323F"/>
    <w:rsid w:val="11AAC40B"/>
    <w:rsid w:val="11B2E4EF"/>
    <w:rsid w:val="11BB3CC3"/>
    <w:rsid w:val="121630B0"/>
    <w:rsid w:val="123BCC5D"/>
    <w:rsid w:val="12576583"/>
    <w:rsid w:val="12821DAC"/>
    <w:rsid w:val="129CCBF1"/>
    <w:rsid w:val="12FA3B60"/>
    <w:rsid w:val="1322D3BC"/>
    <w:rsid w:val="136DD91C"/>
    <w:rsid w:val="139DA388"/>
    <w:rsid w:val="1411F228"/>
    <w:rsid w:val="1427E8A2"/>
    <w:rsid w:val="14439A21"/>
    <w:rsid w:val="1453BCCF"/>
    <w:rsid w:val="14883CFD"/>
    <w:rsid w:val="15018C1A"/>
    <w:rsid w:val="15034FAE"/>
    <w:rsid w:val="1519A842"/>
    <w:rsid w:val="1533D702"/>
    <w:rsid w:val="15359797"/>
    <w:rsid w:val="1561AA70"/>
    <w:rsid w:val="1567A849"/>
    <w:rsid w:val="15824763"/>
    <w:rsid w:val="1589BEC3"/>
    <w:rsid w:val="15E53EF9"/>
    <w:rsid w:val="15EB2DC3"/>
    <w:rsid w:val="15F20B85"/>
    <w:rsid w:val="15F867BF"/>
    <w:rsid w:val="162129C1"/>
    <w:rsid w:val="164D3DEC"/>
    <w:rsid w:val="16916D9E"/>
    <w:rsid w:val="169E8436"/>
    <w:rsid w:val="16A3C167"/>
    <w:rsid w:val="16B8D98D"/>
    <w:rsid w:val="16E56F32"/>
    <w:rsid w:val="16F005EE"/>
    <w:rsid w:val="172D9EF6"/>
    <w:rsid w:val="173CDB06"/>
    <w:rsid w:val="17498376"/>
    <w:rsid w:val="174F2F7E"/>
    <w:rsid w:val="1754A9D6"/>
    <w:rsid w:val="177DFC88"/>
    <w:rsid w:val="1786E208"/>
    <w:rsid w:val="178DBC98"/>
    <w:rsid w:val="17D3EA9C"/>
    <w:rsid w:val="17E75E77"/>
    <w:rsid w:val="17F8EA8E"/>
    <w:rsid w:val="18150A2A"/>
    <w:rsid w:val="1824C05D"/>
    <w:rsid w:val="1837F10C"/>
    <w:rsid w:val="184A0538"/>
    <w:rsid w:val="186556C0"/>
    <w:rsid w:val="187C313E"/>
    <w:rsid w:val="18BD87A9"/>
    <w:rsid w:val="19037B25"/>
    <w:rsid w:val="190689CA"/>
    <w:rsid w:val="1939A418"/>
    <w:rsid w:val="19610E20"/>
    <w:rsid w:val="196CB9FB"/>
    <w:rsid w:val="1970485D"/>
    <w:rsid w:val="19E2EEC4"/>
    <w:rsid w:val="19EBAE7A"/>
    <w:rsid w:val="1A1C8303"/>
    <w:rsid w:val="1A2C3D91"/>
    <w:rsid w:val="1A30A4ED"/>
    <w:rsid w:val="1A750D7E"/>
    <w:rsid w:val="1AF3B2BA"/>
    <w:rsid w:val="1B186E60"/>
    <w:rsid w:val="1B20B305"/>
    <w:rsid w:val="1B4ED866"/>
    <w:rsid w:val="1B55F9A7"/>
    <w:rsid w:val="1B5EC70A"/>
    <w:rsid w:val="1B753645"/>
    <w:rsid w:val="1B857651"/>
    <w:rsid w:val="1BB842DA"/>
    <w:rsid w:val="1BC642F6"/>
    <w:rsid w:val="1BCCBB39"/>
    <w:rsid w:val="1BD5F1A5"/>
    <w:rsid w:val="1BD72410"/>
    <w:rsid w:val="1C0E8C3E"/>
    <w:rsid w:val="1C1414DC"/>
    <w:rsid w:val="1C1581AB"/>
    <w:rsid w:val="1C16F011"/>
    <w:rsid w:val="1C47A51E"/>
    <w:rsid w:val="1C4C254F"/>
    <w:rsid w:val="1C8C1401"/>
    <w:rsid w:val="1C9AD038"/>
    <w:rsid w:val="1CC95C66"/>
    <w:rsid w:val="1CCFCA8F"/>
    <w:rsid w:val="1D110FBB"/>
    <w:rsid w:val="1D18AB0B"/>
    <w:rsid w:val="1D1BF032"/>
    <w:rsid w:val="1D1D2A7C"/>
    <w:rsid w:val="1D295282"/>
    <w:rsid w:val="1D699FCA"/>
    <w:rsid w:val="1D776BFB"/>
    <w:rsid w:val="1D8BCC19"/>
    <w:rsid w:val="1D8D5FB5"/>
    <w:rsid w:val="1DA5FD86"/>
    <w:rsid w:val="1E16FC85"/>
    <w:rsid w:val="1E49A2FD"/>
    <w:rsid w:val="1E61AED1"/>
    <w:rsid w:val="1E71BD89"/>
    <w:rsid w:val="1EAFEAA9"/>
    <w:rsid w:val="1ECD394E"/>
    <w:rsid w:val="1F018491"/>
    <w:rsid w:val="1F15DE03"/>
    <w:rsid w:val="1F193A9B"/>
    <w:rsid w:val="1F3935EB"/>
    <w:rsid w:val="1F397AAF"/>
    <w:rsid w:val="1F3C93E2"/>
    <w:rsid w:val="1F4D0B00"/>
    <w:rsid w:val="1F710DA2"/>
    <w:rsid w:val="1F73F476"/>
    <w:rsid w:val="1F77C46D"/>
    <w:rsid w:val="1FA80B80"/>
    <w:rsid w:val="2005F460"/>
    <w:rsid w:val="201DD86A"/>
    <w:rsid w:val="20251ACF"/>
    <w:rsid w:val="205A1C56"/>
    <w:rsid w:val="2073B540"/>
    <w:rsid w:val="207AFA8F"/>
    <w:rsid w:val="2087335F"/>
    <w:rsid w:val="20AB0404"/>
    <w:rsid w:val="20B725C9"/>
    <w:rsid w:val="20C8DB95"/>
    <w:rsid w:val="210E58A7"/>
    <w:rsid w:val="21257CD2"/>
    <w:rsid w:val="213C4B57"/>
    <w:rsid w:val="216F2A91"/>
    <w:rsid w:val="2187513E"/>
    <w:rsid w:val="21D28BD4"/>
    <w:rsid w:val="21D92F02"/>
    <w:rsid w:val="21F00CAA"/>
    <w:rsid w:val="21FE8946"/>
    <w:rsid w:val="22215A3C"/>
    <w:rsid w:val="22429DCF"/>
    <w:rsid w:val="22456966"/>
    <w:rsid w:val="22611269"/>
    <w:rsid w:val="226D77C0"/>
    <w:rsid w:val="22D9E019"/>
    <w:rsid w:val="237AC93C"/>
    <w:rsid w:val="23947836"/>
    <w:rsid w:val="23965A76"/>
    <w:rsid w:val="23A8088D"/>
    <w:rsid w:val="23BB8602"/>
    <w:rsid w:val="23BD14B3"/>
    <w:rsid w:val="23DD00CF"/>
    <w:rsid w:val="23F3AB0F"/>
    <w:rsid w:val="2405A2CC"/>
    <w:rsid w:val="2429D97F"/>
    <w:rsid w:val="243031B4"/>
    <w:rsid w:val="2439CCC2"/>
    <w:rsid w:val="244601F5"/>
    <w:rsid w:val="244AD887"/>
    <w:rsid w:val="24AE59B1"/>
    <w:rsid w:val="24B0C275"/>
    <w:rsid w:val="24B864A3"/>
    <w:rsid w:val="24D660FC"/>
    <w:rsid w:val="24DEAE81"/>
    <w:rsid w:val="24F329E4"/>
    <w:rsid w:val="24FCC88F"/>
    <w:rsid w:val="250262F2"/>
    <w:rsid w:val="251DDEB0"/>
    <w:rsid w:val="25437FD5"/>
    <w:rsid w:val="254D34A0"/>
    <w:rsid w:val="2559D41C"/>
    <w:rsid w:val="2580F110"/>
    <w:rsid w:val="2591AA9B"/>
    <w:rsid w:val="259CCD4D"/>
    <w:rsid w:val="25BA3DF5"/>
    <w:rsid w:val="25CB1447"/>
    <w:rsid w:val="25E4C679"/>
    <w:rsid w:val="25E8FE86"/>
    <w:rsid w:val="25EAE681"/>
    <w:rsid w:val="25F8DA27"/>
    <w:rsid w:val="26355140"/>
    <w:rsid w:val="2643FB27"/>
    <w:rsid w:val="2651D95A"/>
    <w:rsid w:val="269FE314"/>
    <w:rsid w:val="26A94462"/>
    <w:rsid w:val="26B8BF15"/>
    <w:rsid w:val="26C8CB9F"/>
    <w:rsid w:val="26C8D679"/>
    <w:rsid w:val="26E249F0"/>
    <w:rsid w:val="26E8029F"/>
    <w:rsid w:val="26F23466"/>
    <w:rsid w:val="26F56BF8"/>
    <w:rsid w:val="2715C730"/>
    <w:rsid w:val="2738EF3B"/>
    <w:rsid w:val="276497F0"/>
    <w:rsid w:val="277AD733"/>
    <w:rsid w:val="278FE960"/>
    <w:rsid w:val="27BEFDF9"/>
    <w:rsid w:val="27CB9F00"/>
    <w:rsid w:val="27D15D9D"/>
    <w:rsid w:val="27DA190E"/>
    <w:rsid w:val="27EFC90C"/>
    <w:rsid w:val="27F74F8B"/>
    <w:rsid w:val="28120DBE"/>
    <w:rsid w:val="282084BF"/>
    <w:rsid w:val="2892BC11"/>
    <w:rsid w:val="28B985D8"/>
    <w:rsid w:val="28D71705"/>
    <w:rsid w:val="28EAE990"/>
    <w:rsid w:val="2914C31C"/>
    <w:rsid w:val="2914CD6E"/>
    <w:rsid w:val="29473E0D"/>
    <w:rsid w:val="29476F38"/>
    <w:rsid w:val="29480E75"/>
    <w:rsid w:val="297C86EA"/>
    <w:rsid w:val="29AB1370"/>
    <w:rsid w:val="29BA3658"/>
    <w:rsid w:val="29C976FF"/>
    <w:rsid w:val="29DD2DA2"/>
    <w:rsid w:val="29EA65CE"/>
    <w:rsid w:val="29EB8EB6"/>
    <w:rsid w:val="2A3BDE50"/>
    <w:rsid w:val="2A690EFB"/>
    <w:rsid w:val="2A8D72DB"/>
    <w:rsid w:val="2ADB5242"/>
    <w:rsid w:val="2ADFEF4A"/>
    <w:rsid w:val="2AE81982"/>
    <w:rsid w:val="2AF0FA17"/>
    <w:rsid w:val="2B0FBADD"/>
    <w:rsid w:val="2B47D76B"/>
    <w:rsid w:val="2B4E3993"/>
    <w:rsid w:val="2B586191"/>
    <w:rsid w:val="2B5C02A2"/>
    <w:rsid w:val="2B658E37"/>
    <w:rsid w:val="2B994B03"/>
    <w:rsid w:val="2BA36A94"/>
    <w:rsid w:val="2BA65673"/>
    <w:rsid w:val="2BC01B6D"/>
    <w:rsid w:val="2BC678CE"/>
    <w:rsid w:val="2BEBDC1E"/>
    <w:rsid w:val="2BF243C2"/>
    <w:rsid w:val="2C2016E5"/>
    <w:rsid w:val="2C2687D6"/>
    <w:rsid w:val="2C64B471"/>
    <w:rsid w:val="2C87A6D6"/>
    <w:rsid w:val="2C9BBBC0"/>
    <w:rsid w:val="2CC1F1D1"/>
    <w:rsid w:val="2CDCCC3C"/>
    <w:rsid w:val="2CEB9E2E"/>
    <w:rsid w:val="2CEBBCE6"/>
    <w:rsid w:val="2CF121C8"/>
    <w:rsid w:val="2D4EB227"/>
    <w:rsid w:val="2D536BCD"/>
    <w:rsid w:val="2D6970DF"/>
    <w:rsid w:val="2D6EB6E3"/>
    <w:rsid w:val="2D87A40E"/>
    <w:rsid w:val="2D898419"/>
    <w:rsid w:val="2DBC405A"/>
    <w:rsid w:val="2DC06BCE"/>
    <w:rsid w:val="2DEC627F"/>
    <w:rsid w:val="2E33B566"/>
    <w:rsid w:val="2E8C1484"/>
    <w:rsid w:val="2E8C7A54"/>
    <w:rsid w:val="2E903CEB"/>
    <w:rsid w:val="2EF9F93A"/>
    <w:rsid w:val="2F265B06"/>
    <w:rsid w:val="2F2829FE"/>
    <w:rsid w:val="2F348488"/>
    <w:rsid w:val="2F5DDA49"/>
    <w:rsid w:val="2F73C313"/>
    <w:rsid w:val="2FA1C24C"/>
    <w:rsid w:val="2FD89C36"/>
    <w:rsid w:val="2FE4AB3E"/>
    <w:rsid w:val="2FF8DFDF"/>
    <w:rsid w:val="2FFD15D2"/>
    <w:rsid w:val="30036131"/>
    <w:rsid w:val="303226AE"/>
    <w:rsid w:val="3042A00C"/>
    <w:rsid w:val="30717B60"/>
    <w:rsid w:val="30889DD1"/>
    <w:rsid w:val="30C03A1C"/>
    <w:rsid w:val="314FDDFB"/>
    <w:rsid w:val="319F27A3"/>
    <w:rsid w:val="31B3361B"/>
    <w:rsid w:val="31B86E15"/>
    <w:rsid w:val="31DF5A17"/>
    <w:rsid w:val="31F6FC87"/>
    <w:rsid w:val="31FB9B8D"/>
    <w:rsid w:val="32163E4B"/>
    <w:rsid w:val="322541E2"/>
    <w:rsid w:val="3233046C"/>
    <w:rsid w:val="3245C804"/>
    <w:rsid w:val="326B2D03"/>
    <w:rsid w:val="327518A1"/>
    <w:rsid w:val="3289C22D"/>
    <w:rsid w:val="329B2D6F"/>
    <w:rsid w:val="32A10BE8"/>
    <w:rsid w:val="32F91EE3"/>
    <w:rsid w:val="33132C44"/>
    <w:rsid w:val="3326C092"/>
    <w:rsid w:val="3334427A"/>
    <w:rsid w:val="335DF9B9"/>
    <w:rsid w:val="3393B9FB"/>
    <w:rsid w:val="33EC7D14"/>
    <w:rsid w:val="340F27B6"/>
    <w:rsid w:val="34332CCD"/>
    <w:rsid w:val="3448FE90"/>
    <w:rsid w:val="346C3DAC"/>
    <w:rsid w:val="346F0562"/>
    <w:rsid w:val="34723ED7"/>
    <w:rsid w:val="347BD6A4"/>
    <w:rsid w:val="34ACBB1A"/>
    <w:rsid w:val="34B465B0"/>
    <w:rsid w:val="34BD90C8"/>
    <w:rsid w:val="34EA0080"/>
    <w:rsid w:val="35055C20"/>
    <w:rsid w:val="350A71B4"/>
    <w:rsid w:val="350C4B67"/>
    <w:rsid w:val="35113EBF"/>
    <w:rsid w:val="35222034"/>
    <w:rsid w:val="3524EA32"/>
    <w:rsid w:val="353D65FF"/>
    <w:rsid w:val="35459D9A"/>
    <w:rsid w:val="35471BB1"/>
    <w:rsid w:val="356CC42E"/>
    <w:rsid w:val="35AB35AA"/>
    <w:rsid w:val="35FCA3BB"/>
    <w:rsid w:val="363416DA"/>
    <w:rsid w:val="366C5FD2"/>
    <w:rsid w:val="36710123"/>
    <w:rsid w:val="367547C0"/>
    <w:rsid w:val="369DB834"/>
    <w:rsid w:val="369FB1D7"/>
    <w:rsid w:val="36BB78D9"/>
    <w:rsid w:val="36C700C7"/>
    <w:rsid w:val="36D84DA3"/>
    <w:rsid w:val="36DD926F"/>
    <w:rsid w:val="36ECBDE9"/>
    <w:rsid w:val="36F0C18B"/>
    <w:rsid w:val="370A87B2"/>
    <w:rsid w:val="3714D2D1"/>
    <w:rsid w:val="372C0D37"/>
    <w:rsid w:val="3735C817"/>
    <w:rsid w:val="376298B4"/>
    <w:rsid w:val="37AC302D"/>
    <w:rsid w:val="37C4ED0B"/>
    <w:rsid w:val="37C7EDDD"/>
    <w:rsid w:val="37DEBE66"/>
    <w:rsid w:val="38227110"/>
    <w:rsid w:val="383BAA9C"/>
    <w:rsid w:val="3847558E"/>
    <w:rsid w:val="389204F9"/>
    <w:rsid w:val="38998809"/>
    <w:rsid w:val="38B3C14C"/>
    <w:rsid w:val="38B41F72"/>
    <w:rsid w:val="38C34533"/>
    <w:rsid w:val="38CC8B09"/>
    <w:rsid w:val="38D2515E"/>
    <w:rsid w:val="38DFC163"/>
    <w:rsid w:val="396728D2"/>
    <w:rsid w:val="3971C800"/>
    <w:rsid w:val="397EE7AB"/>
    <w:rsid w:val="39B7293A"/>
    <w:rsid w:val="39C076BC"/>
    <w:rsid w:val="39CCC3EF"/>
    <w:rsid w:val="39F3B37E"/>
    <w:rsid w:val="3A07C20E"/>
    <w:rsid w:val="3A0EA620"/>
    <w:rsid w:val="3A1DB2E2"/>
    <w:rsid w:val="3A34375B"/>
    <w:rsid w:val="3A418A5B"/>
    <w:rsid w:val="3A57F312"/>
    <w:rsid w:val="3A5FB199"/>
    <w:rsid w:val="3A686694"/>
    <w:rsid w:val="3A6ED823"/>
    <w:rsid w:val="3A708E63"/>
    <w:rsid w:val="3A7660A2"/>
    <w:rsid w:val="3A855A07"/>
    <w:rsid w:val="3A89B3EE"/>
    <w:rsid w:val="3AA6F05D"/>
    <w:rsid w:val="3AAC197D"/>
    <w:rsid w:val="3B170440"/>
    <w:rsid w:val="3B2A4E43"/>
    <w:rsid w:val="3B2F3F0C"/>
    <w:rsid w:val="3B4A3438"/>
    <w:rsid w:val="3B8C0352"/>
    <w:rsid w:val="3B987877"/>
    <w:rsid w:val="3BAEABF3"/>
    <w:rsid w:val="3BB511CF"/>
    <w:rsid w:val="3BC8562B"/>
    <w:rsid w:val="3BFA174B"/>
    <w:rsid w:val="3C30F34B"/>
    <w:rsid w:val="3C403C2D"/>
    <w:rsid w:val="3C4EA291"/>
    <w:rsid w:val="3CA7B4A0"/>
    <w:rsid w:val="3CF2BA3D"/>
    <w:rsid w:val="3CF4145C"/>
    <w:rsid w:val="3D0D63F6"/>
    <w:rsid w:val="3D121954"/>
    <w:rsid w:val="3D45DD95"/>
    <w:rsid w:val="3D4CB69F"/>
    <w:rsid w:val="3D4F2165"/>
    <w:rsid w:val="3D696010"/>
    <w:rsid w:val="3D781B15"/>
    <w:rsid w:val="3D96E17D"/>
    <w:rsid w:val="3D9DBD52"/>
    <w:rsid w:val="3DC467E9"/>
    <w:rsid w:val="3DFC383A"/>
    <w:rsid w:val="3E18E160"/>
    <w:rsid w:val="3E316E66"/>
    <w:rsid w:val="3E391BFB"/>
    <w:rsid w:val="3E3F225C"/>
    <w:rsid w:val="3E657451"/>
    <w:rsid w:val="3E71CC62"/>
    <w:rsid w:val="3E8FACE4"/>
    <w:rsid w:val="3ED15150"/>
    <w:rsid w:val="3F250D6E"/>
    <w:rsid w:val="3F2B11FB"/>
    <w:rsid w:val="3F33BAEC"/>
    <w:rsid w:val="3F39C9B6"/>
    <w:rsid w:val="3F3BE181"/>
    <w:rsid w:val="3F556386"/>
    <w:rsid w:val="3F5B33BC"/>
    <w:rsid w:val="3FB8E028"/>
    <w:rsid w:val="3FCA120B"/>
    <w:rsid w:val="3FE2C7AA"/>
    <w:rsid w:val="3FF057D7"/>
    <w:rsid w:val="3FF97FBF"/>
    <w:rsid w:val="3FFAC83A"/>
    <w:rsid w:val="401F4BCD"/>
    <w:rsid w:val="4021E3C7"/>
    <w:rsid w:val="4088A799"/>
    <w:rsid w:val="408B6643"/>
    <w:rsid w:val="408B9659"/>
    <w:rsid w:val="40A9EF90"/>
    <w:rsid w:val="40AF00D8"/>
    <w:rsid w:val="40C4C479"/>
    <w:rsid w:val="40E83669"/>
    <w:rsid w:val="4152D0F9"/>
    <w:rsid w:val="41642AF8"/>
    <w:rsid w:val="4199AE89"/>
    <w:rsid w:val="41BF3742"/>
    <w:rsid w:val="41D43891"/>
    <w:rsid w:val="41DA4A21"/>
    <w:rsid w:val="41E0A8CC"/>
    <w:rsid w:val="421957D9"/>
    <w:rsid w:val="422EFD8C"/>
    <w:rsid w:val="4263EE72"/>
    <w:rsid w:val="4286A679"/>
    <w:rsid w:val="42D38552"/>
    <w:rsid w:val="42E472EA"/>
    <w:rsid w:val="435BD512"/>
    <w:rsid w:val="4364B894"/>
    <w:rsid w:val="4371A12B"/>
    <w:rsid w:val="43834808"/>
    <w:rsid w:val="4389C97A"/>
    <w:rsid w:val="43A483EF"/>
    <w:rsid w:val="43B1C2EA"/>
    <w:rsid w:val="43C3AEC4"/>
    <w:rsid w:val="444C2891"/>
    <w:rsid w:val="444CF589"/>
    <w:rsid w:val="445C5741"/>
    <w:rsid w:val="447D85BC"/>
    <w:rsid w:val="448F6814"/>
    <w:rsid w:val="44FD76A4"/>
    <w:rsid w:val="45052ED4"/>
    <w:rsid w:val="45296931"/>
    <w:rsid w:val="45586564"/>
    <w:rsid w:val="45630597"/>
    <w:rsid w:val="4579817B"/>
    <w:rsid w:val="45838795"/>
    <w:rsid w:val="458547E7"/>
    <w:rsid w:val="45E3135A"/>
    <w:rsid w:val="45E65E28"/>
    <w:rsid w:val="46046F91"/>
    <w:rsid w:val="46082EE2"/>
    <w:rsid w:val="46169213"/>
    <w:rsid w:val="461DA8E9"/>
    <w:rsid w:val="461E11BB"/>
    <w:rsid w:val="462C93B7"/>
    <w:rsid w:val="46392E63"/>
    <w:rsid w:val="463D9D8B"/>
    <w:rsid w:val="464A5BCD"/>
    <w:rsid w:val="469BDA5E"/>
    <w:rsid w:val="46BCCAFE"/>
    <w:rsid w:val="46F943F4"/>
    <w:rsid w:val="47020C61"/>
    <w:rsid w:val="47330978"/>
    <w:rsid w:val="473DB217"/>
    <w:rsid w:val="47486AC7"/>
    <w:rsid w:val="475C922E"/>
    <w:rsid w:val="476748B7"/>
    <w:rsid w:val="47B4F281"/>
    <w:rsid w:val="47B7E0BF"/>
    <w:rsid w:val="47D68783"/>
    <w:rsid w:val="47D96C7A"/>
    <w:rsid w:val="47F7E694"/>
    <w:rsid w:val="47FA6435"/>
    <w:rsid w:val="4805A820"/>
    <w:rsid w:val="48095E33"/>
    <w:rsid w:val="4836835A"/>
    <w:rsid w:val="48475E3D"/>
    <w:rsid w:val="484B477F"/>
    <w:rsid w:val="487BCA1C"/>
    <w:rsid w:val="48BF0A39"/>
    <w:rsid w:val="4928447E"/>
    <w:rsid w:val="4970D4C8"/>
    <w:rsid w:val="4980DE37"/>
    <w:rsid w:val="498306A0"/>
    <w:rsid w:val="498C2664"/>
    <w:rsid w:val="49BE2ABA"/>
    <w:rsid w:val="49C9F109"/>
    <w:rsid w:val="49E78DC1"/>
    <w:rsid w:val="49F71049"/>
    <w:rsid w:val="4A2F17F3"/>
    <w:rsid w:val="4A3DBDD5"/>
    <w:rsid w:val="4AE66C26"/>
    <w:rsid w:val="4B0D947A"/>
    <w:rsid w:val="4B160510"/>
    <w:rsid w:val="4B2B8C42"/>
    <w:rsid w:val="4B3E5563"/>
    <w:rsid w:val="4B526D69"/>
    <w:rsid w:val="4B537AC6"/>
    <w:rsid w:val="4B69C16D"/>
    <w:rsid w:val="4B929DB4"/>
    <w:rsid w:val="4BFDAEDF"/>
    <w:rsid w:val="4C5877FA"/>
    <w:rsid w:val="4C64D75D"/>
    <w:rsid w:val="4C89EE18"/>
    <w:rsid w:val="4CAAC81D"/>
    <w:rsid w:val="4CFD8872"/>
    <w:rsid w:val="4CFEBC26"/>
    <w:rsid w:val="4D170D99"/>
    <w:rsid w:val="4D464464"/>
    <w:rsid w:val="4D5EDA57"/>
    <w:rsid w:val="4D69637C"/>
    <w:rsid w:val="4DDA37D1"/>
    <w:rsid w:val="4DF90F4A"/>
    <w:rsid w:val="4E01E4C7"/>
    <w:rsid w:val="4E337ECA"/>
    <w:rsid w:val="4E3D23F5"/>
    <w:rsid w:val="4E4F2E36"/>
    <w:rsid w:val="4E63BBF6"/>
    <w:rsid w:val="4E8D6270"/>
    <w:rsid w:val="4E92CE24"/>
    <w:rsid w:val="4EA9F892"/>
    <w:rsid w:val="4EB0239F"/>
    <w:rsid w:val="4EB98A89"/>
    <w:rsid w:val="4F2B497C"/>
    <w:rsid w:val="4F399F7E"/>
    <w:rsid w:val="4F422FBB"/>
    <w:rsid w:val="4F4241C1"/>
    <w:rsid w:val="4F498532"/>
    <w:rsid w:val="4F7EF822"/>
    <w:rsid w:val="4FADB70A"/>
    <w:rsid w:val="4FD3A49D"/>
    <w:rsid w:val="50013D5E"/>
    <w:rsid w:val="501C0EFF"/>
    <w:rsid w:val="5038A1A3"/>
    <w:rsid w:val="5045CEE0"/>
    <w:rsid w:val="5055E182"/>
    <w:rsid w:val="5076D097"/>
    <w:rsid w:val="509F964B"/>
    <w:rsid w:val="50CAD006"/>
    <w:rsid w:val="50E38340"/>
    <w:rsid w:val="510E809B"/>
    <w:rsid w:val="512CF393"/>
    <w:rsid w:val="515F6862"/>
    <w:rsid w:val="517A0A6C"/>
    <w:rsid w:val="51CC3D7F"/>
    <w:rsid w:val="51E00396"/>
    <w:rsid w:val="5208FEE2"/>
    <w:rsid w:val="52119BD7"/>
    <w:rsid w:val="5217B0D9"/>
    <w:rsid w:val="522B68C7"/>
    <w:rsid w:val="5279683A"/>
    <w:rsid w:val="528A5B1C"/>
    <w:rsid w:val="52A6166D"/>
    <w:rsid w:val="52B21BA0"/>
    <w:rsid w:val="52D36B17"/>
    <w:rsid w:val="52DF08E9"/>
    <w:rsid w:val="52EE40DF"/>
    <w:rsid w:val="52F39347"/>
    <w:rsid w:val="530089CE"/>
    <w:rsid w:val="5301E56C"/>
    <w:rsid w:val="532220AE"/>
    <w:rsid w:val="5339FF49"/>
    <w:rsid w:val="5340A5EE"/>
    <w:rsid w:val="5352C601"/>
    <w:rsid w:val="5353CBE6"/>
    <w:rsid w:val="538537F6"/>
    <w:rsid w:val="53AE9C65"/>
    <w:rsid w:val="53B961A0"/>
    <w:rsid w:val="53D1E466"/>
    <w:rsid w:val="54145E50"/>
    <w:rsid w:val="54196481"/>
    <w:rsid w:val="54725616"/>
    <w:rsid w:val="547B61C6"/>
    <w:rsid w:val="54CD5441"/>
    <w:rsid w:val="54D7BFAE"/>
    <w:rsid w:val="54E2B61A"/>
    <w:rsid w:val="550545F4"/>
    <w:rsid w:val="5509C30E"/>
    <w:rsid w:val="557A9AC6"/>
    <w:rsid w:val="557C94BF"/>
    <w:rsid w:val="5587F6A8"/>
    <w:rsid w:val="55893AA2"/>
    <w:rsid w:val="559CB7AE"/>
    <w:rsid w:val="559D05B3"/>
    <w:rsid w:val="55B9DAF5"/>
    <w:rsid w:val="55BD9C0A"/>
    <w:rsid w:val="55D0CBBD"/>
    <w:rsid w:val="55EE5F92"/>
    <w:rsid w:val="5614B053"/>
    <w:rsid w:val="5627C1E4"/>
    <w:rsid w:val="562F7EA2"/>
    <w:rsid w:val="5677A4E5"/>
    <w:rsid w:val="56B452EE"/>
    <w:rsid w:val="56C18ED5"/>
    <w:rsid w:val="56C44A7C"/>
    <w:rsid w:val="56E525D1"/>
    <w:rsid w:val="56EDFC40"/>
    <w:rsid w:val="56F487D1"/>
    <w:rsid w:val="56FF47D9"/>
    <w:rsid w:val="570F776A"/>
    <w:rsid w:val="571AE71E"/>
    <w:rsid w:val="5725D1B6"/>
    <w:rsid w:val="573540D8"/>
    <w:rsid w:val="5740F811"/>
    <w:rsid w:val="5770DCC4"/>
    <w:rsid w:val="578D9EC9"/>
    <w:rsid w:val="57EF1BB8"/>
    <w:rsid w:val="57F9765D"/>
    <w:rsid w:val="580551E5"/>
    <w:rsid w:val="5828C9D6"/>
    <w:rsid w:val="58388799"/>
    <w:rsid w:val="58467AFD"/>
    <w:rsid w:val="586E64BD"/>
    <w:rsid w:val="589C58AD"/>
    <w:rsid w:val="58BB48A7"/>
    <w:rsid w:val="58D5DB6E"/>
    <w:rsid w:val="59211F9E"/>
    <w:rsid w:val="592B714B"/>
    <w:rsid w:val="592D35EA"/>
    <w:rsid w:val="593D4BA1"/>
    <w:rsid w:val="5955F6E1"/>
    <w:rsid w:val="596B1452"/>
    <w:rsid w:val="59800501"/>
    <w:rsid w:val="5984E3D0"/>
    <w:rsid w:val="59C71D76"/>
    <w:rsid w:val="59E08879"/>
    <w:rsid w:val="59EF60CF"/>
    <w:rsid w:val="5A00126F"/>
    <w:rsid w:val="5A093A72"/>
    <w:rsid w:val="5A2686A0"/>
    <w:rsid w:val="5A3A2639"/>
    <w:rsid w:val="5A3B3EB4"/>
    <w:rsid w:val="5A486532"/>
    <w:rsid w:val="5A6491F1"/>
    <w:rsid w:val="5A689345"/>
    <w:rsid w:val="5A79F821"/>
    <w:rsid w:val="5A9817D9"/>
    <w:rsid w:val="5AA1F724"/>
    <w:rsid w:val="5ACEAD77"/>
    <w:rsid w:val="5AE5BC90"/>
    <w:rsid w:val="5AE60320"/>
    <w:rsid w:val="5B33A91F"/>
    <w:rsid w:val="5B42A78D"/>
    <w:rsid w:val="5B4F9564"/>
    <w:rsid w:val="5B5FE701"/>
    <w:rsid w:val="5B8EB5C9"/>
    <w:rsid w:val="5B9C5324"/>
    <w:rsid w:val="5BD71AC7"/>
    <w:rsid w:val="5BECAF34"/>
    <w:rsid w:val="5C2AD05A"/>
    <w:rsid w:val="5C31F0DB"/>
    <w:rsid w:val="5C53D8BB"/>
    <w:rsid w:val="5C57F9C5"/>
    <w:rsid w:val="5C6DB838"/>
    <w:rsid w:val="5C8D8E0C"/>
    <w:rsid w:val="5CBB2134"/>
    <w:rsid w:val="5CBB8552"/>
    <w:rsid w:val="5CCBD3D4"/>
    <w:rsid w:val="5D295AAD"/>
    <w:rsid w:val="5D3B325A"/>
    <w:rsid w:val="5D3E4BAC"/>
    <w:rsid w:val="5D48A4AF"/>
    <w:rsid w:val="5D519D17"/>
    <w:rsid w:val="5D87B7DE"/>
    <w:rsid w:val="5D936403"/>
    <w:rsid w:val="5DA795F2"/>
    <w:rsid w:val="5DAA98FB"/>
    <w:rsid w:val="5DB99D81"/>
    <w:rsid w:val="5DE8E6BC"/>
    <w:rsid w:val="5E0E0E82"/>
    <w:rsid w:val="5E505F64"/>
    <w:rsid w:val="5E9A7F9A"/>
    <w:rsid w:val="5EA35C6C"/>
    <w:rsid w:val="5EA9FFB4"/>
    <w:rsid w:val="5F59186D"/>
    <w:rsid w:val="5F64FD78"/>
    <w:rsid w:val="5F6C1B16"/>
    <w:rsid w:val="5F7434B4"/>
    <w:rsid w:val="5F81FA2D"/>
    <w:rsid w:val="5F853ACB"/>
    <w:rsid w:val="5F8C1CCD"/>
    <w:rsid w:val="5F9468A6"/>
    <w:rsid w:val="5F9A7F11"/>
    <w:rsid w:val="5FA4EF41"/>
    <w:rsid w:val="5FB4CA57"/>
    <w:rsid w:val="5FBF6D5D"/>
    <w:rsid w:val="5FCD7B66"/>
    <w:rsid w:val="5FEA865A"/>
    <w:rsid w:val="600E1D2E"/>
    <w:rsid w:val="60316209"/>
    <w:rsid w:val="604C2640"/>
    <w:rsid w:val="604F3241"/>
    <w:rsid w:val="60668D64"/>
    <w:rsid w:val="607C512F"/>
    <w:rsid w:val="608BF928"/>
    <w:rsid w:val="60B8873A"/>
    <w:rsid w:val="60ECA9CF"/>
    <w:rsid w:val="61462015"/>
    <w:rsid w:val="61523EF4"/>
    <w:rsid w:val="61BBB2C9"/>
    <w:rsid w:val="61E37F5E"/>
    <w:rsid w:val="61ED9CD7"/>
    <w:rsid w:val="620795CB"/>
    <w:rsid w:val="621220BF"/>
    <w:rsid w:val="625031BC"/>
    <w:rsid w:val="62569168"/>
    <w:rsid w:val="6286A4B2"/>
    <w:rsid w:val="62966C57"/>
    <w:rsid w:val="62AB4FFF"/>
    <w:rsid w:val="62B4FD6D"/>
    <w:rsid w:val="62D51E9A"/>
    <w:rsid w:val="62E2031C"/>
    <w:rsid w:val="62E4A0FE"/>
    <w:rsid w:val="62FBDD9E"/>
    <w:rsid w:val="6321F4D1"/>
    <w:rsid w:val="6332007E"/>
    <w:rsid w:val="6337DF7A"/>
    <w:rsid w:val="6349B344"/>
    <w:rsid w:val="6363A2B4"/>
    <w:rsid w:val="63685CD2"/>
    <w:rsid w:val="63AE82BC"/>
    <w:rsid w:val="63FE2BAC"/>
    <w:rsid w:val="640D02E6"/>
    <w:rsid w:val="6445C2A4"/>
    <w:rsid w:val="648061BE"/>
    <w:rsid w:val="64828DB2"/>
    <w:rsid w:val="64B32D85"/>
    <w:rsid w:val="6529AC6D"/>
    <w:rsid w:val="654675F5"/>
    <w:rsid w:val="658016C9"/>
    <w:rsid w:val="65AEC8AE"/>
    <w:rsid w:val="65AFFF5D"/>
    <w:rsid w:val="65B76AC6"/>
    <w:rsid w:val="65BC784F"/>
    <w:rsid w:val="65DEEF2C"/>
    <w:rsid w:val="65E1B7CC"/>
    <w:rsid w:val="65E88137"/>
    <w:rsid w:val="66030FB9"/>
    <w:rsid w:val="665BCB40"/>
    <w:rsid w:val="66750E66"/>
    <w:rsid w:val="66AB7A21"/>
    <w:rsid w:val="66BD1282"/>
    <w:rsid w:val="66F81264"/>
    <w:rsid w:val="670EB557"/>
    <w:rsid w:val="67194654"/>
    <w:rsid w:val="6724B09D"/>
    <w:rsid w:val="678AFCF3"/>
    <w:rsid w:val="67C21CB1"/>
    <w:rsid w:val="67F0DD47"/>
    <w:rsid w:val="67FCD308"/>
    <w:rsid w:val="68175CD0"/>
    <w:rsid w:val="6848AF7C"/>
    <w:rsid w:val="68A8D5C2"/>
    <w:rsid w:val="68C13BEF"/>
    <w:rsid w:val="68CD7986"/>
    <w:rsid w:val="691867C6"/>
    <w:rsid w:val="691BC3BA"/>
    <w:rsid w:val="696685A8"/>
    <w:rsid w:val="6974C2CB"/>
    <w:rsid w:val="6976FE6F"/>
    <w:rsid w:val="698875AC"/>
    <w:rsid w:val="6995147F"/>
    <w:rsid w:val="69E0C269"/>
    <w:rsid w:val="69FFC0AA"/>
    <w:rsid w:val="6A2DFF61"/>
    <w:rsid w:val="6A360B6C"/>
    <w:rsid w:val="6A3C53D4"/>
    <w:rsid w:val="6A4B7354"/>
    <w:rsid w:val="6A6699B9"/>
    <w:rsid w:val="6A6A000E"/>
    <w:rsid w:val="6A776A83"/>
    <w:rsid w:val="6A89A056"/>
    <w:rsid w:val="6AD1086C"/>
    <w:rsid w:val="6AD497F1"/>
    <w:rsid w:val="6AFB3FAC"/>
    <w:rsid w:val="6AFFB965"/>
    <w:rsid w:val="6B0C5487"/>
    <w:rsid w:val="6B148E1A"/>
    <w:rsid w:val="6B2E1E3D"/>
    <w:rsid w:val="6B3E4B57"/>
    <w:rsid w:val="6BB27DD9"/>
    <w:rsid w:val="6BCFD5E9"/>
    <w:rsid w:val="6C3584F8"/>
    <w:rsid w:val="6C4948E5"/>
    <w:rsid w:val="6C75607F"/>
    <w:rsid w:val="6C8023D0"/>
    <w:rsid w:val="6CE4F2FE"/>
    <w:rsid w:val="6CF53DE9"/>
    <w:rsid w:val="6D2825DE"/>
    <w:rsid w:val="6D77B15B"/>
    <w:rsid w:val="6D7E1818"/>
    <w:rsid w:val="6D92FD8E"/>
    <w:rsid w:val="6DB7CCC1"/>
    <w:rsid w:val="6E12084B"/>
    <w:rsid w:val="6E52D475"/>
    <w:rsid w:val="6E55F7B4"/>
    <w:rsid w:val="6E690E6E"/>
    <w:rsid w:val="6E6AE058"/>
    <w:rsid w:val="6E7D9068"/>
    <w:rsid w:val="6E831C69"/>
    <w:rsid w:val="6E8FDF60"/>
    <w:rsid w:val="6E9874FA"/>
    <w:rsid w:val="6EA9624D"/>
    <w:rsid w:val="6EACA2D4"/>
    <w:rsid w:val="6EAD2541"/>
    <w:rsid w:val="6F1668BE"/>
    <w:rsid w:val="6F492BA2"/>
    <w:rsid w:val="6F4D68EA"/>
    <w:rsid w:val="6F72A81A"/>
    <w:rsid w:val="6F8545C7"/>
    <w:rsid w:val="6FC318D5"/>
    <w:rsid w:val="700284C4"/>
    <w:rsid w:val="7012BAA8"/>
    <w:rsid w:val="70276862"/>
    <w:rsid w:val="70287EEB"/>
    <w:rsid w:val="702FA527"/>
    <w:rsid w:val="7045A7D8"/>
    <w:rsid w:val="70659CD4"/>
    <w:rsid w:val="707F2B3C"/>
    <w:rsid w:val="7086E6EE"/>
    <w:rsid w:val="70A31BE1"/>
    <w:rsid w:val="70A3C006"/>
    <w:rsid w:val="70F56F90"/>
    <w:rsid w:val="70FFC717"/>
    <w:rsid w:val="71112A04"/>
    <w:rsid w:val="715C126F"/>
    <w:rsid w:val="7163DA89"/>
    <w:rsid w:val="7167CF6C"/>
    <w:rsid w:val="7187FF2B"/>
    <w:rsid w:val="71A88B38"/>
    <w:rsid w:val="71B0DBCF"/>
    <w:rsid w:val="71B77225"/>
    <w:rsid w:val="71DE2301"/>
    <w:rsid w:val="71EAD0D7"/>
    <w:rsid w:val="720268E0"/>
    <w:rsid w:val="729E851C"/>
    <w:rsid w:val="72B7BEF5"/>
    <w:rsid w:val="72D786CE"/>
    <w:rsid w:val="72F6A036"/>
    <w:rsid w:val="7311836B"/>
    <w:rsid w:val="731C51DF"/>
    <w:rsid w:val="73269B3C"/>
    <w:rsid w:val="732C6E6E"/>
    <w:rsid w:val="733589BB"/>
    <w:rsid w:val="73609B7D"/>
    <w:rsid w:val="73BF4D5D"/>
    <w:rsid w:val="73C38DE7"/>
    <w:rsid w:val="73C76722"/>
    <w:rsid w:val="73F09C30"/>
    <w:rsid w:val="7400625F"/>
    <w:rsid w:val="740C5BE0"/>
    <w:rsid w:val="74461761"/>
    <w:rsid w:val="74731C2F"/>
    <w:rsid w:val="74EA67E6"/>
    <w:rsid w:val="7513C9AA"/>
    <w:rsid w:val="751788A8"/>
    <w:rsid w:val="75315984"/>
    <w:rsid w:val="758B7199"/>
    <w:rsid w:val="759746AA"/>
    <w:rsid w:val="75C3D7D1"/>
    <w:rsid w:val="75CA1FD8"/>
    <w:rsid w:val="75E94BD9"/>
    <w:rsid w:val="7611A5FE"/>
    <w:rsid w:val="76215522"/>
    <w:rsid w:val="76650AF5"/>
    <w:rsid w:val="7682BC41"/>
    <w:rsid w:val="76CD5A50"/>
    <w:rsid w:val="76E61C3D"/>
    <w:rsid w:val="7709A72C"/>
    <w:rsid w:val="7711908C"/>
    <w:rsid w:val="77274FA6"/>
    <w:rsid w:val="773AB802"/>
    <w:rsid w:val="773E100E"/>
    <w:rsid w:val="77536F64"/>
    <w:rsid w:val="775628A2"/>
    <w:rsid w:val="77701CD7"/>
    <w:rsid w:val="7776403C"/>
    <w:rsid w:val="7777B489"/>
    <w:rsid w:val="77CC9ED5"/>
    <w:rsid w:val="77D3253C"/>
    <w:rsid w:val="77E70BE3"/>
    <w:rsid w:val="77E7F12B"/>
    <w:rsid w:val="780B5537"/>
    <w:rsid w:val="7811BC80"/>
    <w:rsid w:val="7822A582"/>
    <w:rsid w:val="784B5414"/>
    <w:rsid w:val="7864CC41"/>
    <w:rsid w:val="7877450B"/>
    <w:rsid w:val="788B86FD"/>
    <w:rsid w:val="78B963DB"/>
    <w:rsid w:val="78C31B5E"/>
    <w:rsid w:val="78C6E1F8"/>
    <w:rsid w:val="78E29DCC"/>
    <w:rsid w:val="78E66A12"/>
    <w:rsid w:val="78EC4056"/>
    <w:rsid w:val="790FAC4E"/>
    <w:rsid w:val="796AE66E"/>
    <w:rsid w:val="79844FB2"/>
    <w:rsid w:val="79846321"/>
    <w:rsid w:val="798B218F"/>
    <w:rsid w:val="798BD1D5"/>
    <w:rsid w:val="799A0C49"/>
    <w:rsid w:val="79A46C37"/>
    <w:rsid w:val="79CE28CB"/>
    <w:rsid w:val="79EA877E"/>
    <w:rsid w:val="79F0B7A6"/>
    <w:rsid w:val="79FC6094"/>
    <w:rsid w:val="7A088043"/>
    <w:rsid w:val="7A1F77C3"/>
    <w:rsid w:val="7A63B6B5"/>
    <w:rsid w:val="7A63E7AC"/>
    <w:rsid w:val="7A7E040B"/>
    <w:rsid w:val="7A8ADEDF"/>
    <w:rsid w:val="7AAAB81B"/>
    <w:rsid w:val="7AC2DB82"/>
    <w:rsid w:val="7ACB2C16"/>
    <w:rsid w:val="7B51490B"/>
    <w:rsid w:val="7B6520DD"/>
    <w:rsid w:val="7B9CC01C"/>
    <w:rsid w:val="7BB137BD"/>
    <w:rsid w:val="7BC401DA"/>
    <w:rsid w:val="7BD44550"/>
    <w:rsid w:val="7C177702"/>
    <w:rsid w:val="7C413240"/>
    <w:rsid w:val="7C485E22"/>
    <w:rsid w:val="7C50DB97"/>
    <w:rsid w:val="7C5F586C"/>
    <w:rsid w:val="7CA5880E"/>
    <w:rsid w:val="7CAC9DD3"/>
    <w:rsid w:val="7CB40244"/>
    <w:rsid w:val="7CC7FC5F"/>
    <w:rsid w:val="7D3CDE1A"/>
    <w:rsid w:val="7D6C3E6D"/>
    <w:rsid w:val="7D703D7E"/>
    <w:rsid w:val="7D897B04"/>
    <w:rsid w:val="7DDD299F"/>
    <w:rsid w:val="7DEE97D3"/>
    <w:rsid w:val="7DF09C55"/>
    <w:rsid w:val="7DF30069"/>
    <w:rsid w:val="7E00B8D1"/>
    <w:rsid w:val="7E30A468"/>
    <w:rsid w:val="7E531179"/>
    <w:rsid w:val="7E60372B"/>
    <w:rsid w:val="7E662F6F"/>
    <w:rsid w:val="7E6F0E30"/>
    <w:rsid w:val="7E74DA28"/>
    <w:rsid w:val="7E8D3B46"/>
    <w:rsid w:val="7ED9F5CB"/>
    <w:rsid w:val="7EF1ADBA"/>
    <w:rsid w:val="7EFC6422"/>
    <w:rsid w:val="7F3C70AB"/>
    <w:rsid w:val="7F5FE922"/>
    <w:rsid w:val="7FA9B9B4"/>
    <w:rsid w:val="7FAB5909"/>
    <w:rsid w:val="7FE8977B"/>
    <w:rsid w:val="7FF233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335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10" w:unhideWhenUsed="1"/>
    <w:lsdException w:name="footer" w:semiHidden="1"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D65"/>
    <w:rPr>
      <w:sz w:val="22"/>
    </w:rPr>
  </w:style>
  <w:style w:type="paragraph" w:styleId="Heading1">
    <w:name w:val="heading 1"/>
    <w:aliases w:val="Heading 1 Section Heading"/>
    <w:basedOn w:val="Normal"/>
    <w:next w:val="Normal"/>
    <w:link w:val="Heading1Char"/>
    <w:uiPriority w:val="1"/>
    <w:qFormat/>
    <w:rsid w:val="00D449CC"/>
    <w:pPr>
      <w:keepNext/>
      <w:keepLines/>
      <w:numPr>
        <w:numId w:val="228"/>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2 main heading,Heading 2 Main Heading"/>
    <w:basedOn w:val="Normal"/>
    <w:next w:val="Normal"/>
    <w:link w:val="Heading2Char"/>
    <w:uiPriority w:val="1"/>
    <w:unhideWhenUsed/>
    <w:qFormat/>
    <w:rsid w:val="003D71B9"/>
    <w:pPr>
      <w:keepNext/>
      <w:keepLines/>
      <w:numPr>
        <w:ilvl w:val="1"/>
        <w:numId w:val="228"/>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3 sub heading,Heading 3 Sub Heading"/>
    <w:basedOn w:val="Normal"/>
    <w:next w:val="Normal"/>
    <w:link w:val="Heading3Char"/>
    <w:uiPriority w:val="1"/>
    <w:unhideWhenUsed/>
    <w:qFormat/>
    <w:rsid w:val="00B32921"/>
    <w:pPr>
      <w:keepNext/>
      <w:keepLines/>
      <w:numPr>
        <w:ilvl w:val="2"/>
        <w:numId w:val="228"/>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1"/>
    <w:unhideWhenUsed/>
    <w:qFormat/>
    <w:rsid w:val="00D449CC"/>
    <w:pPr>
      <w:keepNext/>
      <w:keepLines/>
      <w:numPr>
        <w:ilvl w:val="3"/>
        <w:numId w:val="228"/>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1"/>
    <w:unhideWhenUsed/>
    <w:qFormat/>
    <w:rsid w:val="00D449CC"/>
    <w:pPr>
      <w:keepNext/>
      <w:keepLines/>
      <w:numPr>
        <w:ilvl w:val="4"/>
        <w:numId w:val="228"/>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1"/>
    <w:unhideWhenUsed/>
    <w:qFormat/>
    <w:rsid w:val="00D449CC"/>
    <w:pPr>
      <w:keepNext/>
      <w:keepLines/>
      <w:numPr>
        <w:ilvl w:val="5"/>
        <w:numId w:val="228"/>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D449CC"/>
    <w:pPr>
      <w:keepNext/>
      <w:keepLines/>
      <w:numPr>
        <w:ilvl w:val="6"/>
        <w:numId w:val="228"/>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D449CC"/>
    <w:pPr>
      <w:keepNext/>
      <w:keepLines/>
      <w:numPr>
        <w:ilvl w:val="7"/>
        <w:numId w:val="228"/>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D449CC"/>
    <w:pPr>
      <w:keepNext/>
      <w:keepLines/>
      <w:numPr>
        <w:ilvl w:val="8"/>
        <w:numId w:val="228"/>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Heading Char"/>
    <w:basedOn w:val="DefaultParagraphFont"/>
    <w:link w:val="Heading1"/>
    <w:uiPriority w:val="1"/>
    <w:rsid w:val="00D449CC"/>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2 main heading Char,Heading 2 Main Heading Char"/>
    <w:basedOn w:val="DefaultParagraphFont"/>
    <w:link w:val="Heading2"/>
    <w:uiPriority w:val="1"/>
    <w:rsid w:val="003D71B9"/>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h3 sub heading Char,Heading 3 Sub Heading Char"/>
    <w:basedOn w:val="DefaultParagraphFont"/>
    <w:link w:val="Heading3"/>
    <w:uiPriority w:val="1"/>
    <w:rsid w:val="00B329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1"/>
    <w:rsid w:val="00D449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1"/>
    <w:rsid w:val="00D449CC"/>
    <w:rPr>
      <w:rFonts w:eastAsiaTheme="majorEastAsia" w:cstheme="majorBidi"/>
      <w:color w:val="0F4761" w:themeColor="accent1" w:themeShade="BF"/>
    </w:rPr>
  </w:style>
  <w:style w:type="character" w:customStyle="1" w:styleId="Heading6Char">
    <w:name w:val="Heading 6 Char"/>
    <w:basedOn w:val="DefaultParagraphFont"/>
    <w:link w:val="Heading6"/>
    <w:uiPriority w:val="1"/>
    <w:rsid w:val="00D449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D449CC"/>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D449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D449CC"/>
    <w:rPr>
      <w:rFonts w:eastAsiaTheme="majorEastAsia" w:cstheme="majorBidi"/>
      <w:color w:val="272727" w:themeColor="text1" w:themeTint="D8"/>
    </w:rPr>
  </w:style>
  <w:style w:type="paragraph" w:styleId="Title">
    <w:name w:val="Title"/>
    <w:basedOn w:val="Normal"/>
    <w:next w:val="Normal"/>
    <w:link w:val="TitleChar"/>
    <w:uiPriority w:val="10"/>
    <w:qFormat/>
    <w:rsid w:val="00D449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49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49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49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49CC"/>
    <w:pPr>
      <w:spacing w:before="160"/>
      <w:jc w:val="center"/>
    </w:pPr>
    <w:rPr>
      <w:i/>
      <w:iCs/>
      <w:color w:val="404040" w:themeColor="text1" w:themeTint="BF"/>
    </w:rPr>
  </w:style>
  <w:style w:type="character" w:customStyle="1" w:styleId="QuoteChar">
    <w:name w:val="Quote Char"/>
    <w:basedOn w:val="DefaultParagraphFont"/>
    <w:link w:val="Quote"/>
    <w:uiPriority w:val="29"/>
    <w:rsid w:val="00D449CC"/>
    <w:rPr>
      <w:i/>
      <w:iCs/>
      <w:color w:val="404040" w:themeColor="text1" w:themeTint="BF"/>
    </w:rPr>
  </w:style>
  <w:style w:type="paragraph" w:styleId="ListParagraph">
    <w:name w:val="List Paragraph"/>
    <w:aliases w:val="Bullet point,List Paragraph1,List Paragraph11,Recommendation,List Bullet 1,L,0Bullet,List Bullet Cab,#List Paragraph,Bullet Level 1,Bullet Point,Bulletr List Paragraph,Content descriptions,FooterText,List Paragraph2,Bullet points,列,CV tex"/>
    <w:basedOn w:val="Normal"/>
    <w:link w:val="ListParagraphChar"/>
    <w:uiPriority w:val="34"/>
    <w:qFormat/>
    <w:rsid w:val="00D449CC"/>
    <w:pPr>
      <w:ind w:left="720"/>
      <w:contextualSpacing/>
    </w:pPr>
  </w:style>
  <w:style w:type="character" w:styleId="IntenseEmphasis">
    <w:name w:val="Intense Emphasis"/>
    <w:basedOn w:val="DefaultParagraphFont"/>
    <w:uiPriority w:val="21"/>
    <w:qFormat/>
    <w:rsid w:val="00D449CC"/>
    <w:rPr>
      <w:i/>
      <w:iCs/>
      <w:color w:val="0F4761" w:themeColor="accent1" w:themeShade="BF"/>
    </w:rPr>
  </w:style>
  <w:style w:type="paragraph" w:styleId="IntenseQuote">
    <w:name w:val="Intense Quote"/>
    <w:basedOn w:val="Normal"/>
    <w:next w:val="Normal"/>
    <w:link w:val="IntenseQuoteChar"/>
    <w:uiPriority w:val="30"/>
    <w:qFormat/>
    <w:rsid w:val="00D449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49CC"/>
    <w:rPr>
      <w:i/>
      <w:iCs/>
      <w:color w:val="0F4761" w:themeColor="accent1" w:themeShade="BF"/>
    </w:rPr>
  </w:style>
  <w:style w:type="character" w:styleId="IntenseReference">
    <w:name w:val="Intense Reference"/>
    <w:basedOn w:val="DefaultParagraphFont"/>
    <w:uiPriority w:val="32"/>
    <w:qFormat/>
    <w:rsid w:val="00D449CC"/>
    <w:rPr>
      <w:b/>
      <w:bCs/>
      <w:smallCaps/>
      <w:color w:val="0F4761" w:themeColor="accent1" w:themeShade="BF"/>
      <w:spacing w:val="5"/>
    </w:rPr>
  </w:style>
  <w:style w:type="character" w:styleId="Hyperlink">
    <w:name w:val="Hyperlink"/>
    <w:basedOn w:val="DefaultParagraphFont"/>
    <w:uiPriority w:val="99"/>
    <w:unhideWhenUsed/>
    <w:rsid w:val="00D449CC"/>
    <w:rPr>
      <w:color w:val="275317" w:themeColor="accent6" w:themeShade="80"/>
      <w:u w:val="single"/>
    </w:rPr>
  </w:style>
  <w:style w:type="paragraph" w:styleId="CommentText">
    <w:name w:val="annotation text"/>
    <w:basedOn w:val="Normal"/>
    <w:link w:val="CommentTextChar"/>
    <w:uiPriority w:val="99"/>
    <w:unhideWhenUsed/>
    <w:rsid w:val="00D449CC"/>
    <w:pPr>
      <w:spacing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D449CC"/>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D449CC"/>
    <w:rPr>
      <w:sz w:val="16"/>
      <w:szCs w:val="16"/>
    </w:r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nhideWhenUsed/>
    <w:qFormat/>
    <w:rsid w:val="00D449CC"/>
    <w:pPr>
      <w:spacing w:after="0" w:line="240" w:lineRule="auto"/>
    </w:pPr>
    <w:rPr>
      <w:kern w:val="0"/>
      <w:sz w:val="20"/>
      <w:szCs w:val="20"/>
      <w14:ligatures w14:val="none"/>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rsid w:val="00D449CC"/>
    <w:rPr>
      <w:kern w:val="0"/>
      <w:sz w:val="20"/>
      <w:szCs w:val="20"/>
      <w14:ligatures w14:val="none"/>
    </w:rPr>
  </w:style>
  <w:style w:type="character" w:styleId="FootnoteReference">
    <w:name w:val="footnote reference"/>
    <w:aliases w:val="fr,(NECG) Footnote Reference,Ref,de nota al pie"/>
    <w:basedOn w:val="DefaultParagraphFont"/>
    <w:unhideWhenUsed/>
    <w:rsid w:val="00D449CC"/>
    <w:rPr>
      <w:vertAlign w:val="superscript"/>
    </w:rPr>
  </w:style>
  <w:style w:type="character" w:customStyle="1" w:styleId="ListParagraphChar">
    <w:name w:val="List Paragraph Char"/>
    <w:aliases w:val="Bullet point Char,List Paragraph1 Char,List Paragraph11 Char,Recommendation Char,List Bullet 1 Char,L Char,0Bullet Char,List Bullet Cab Char,#List Paragraph Char,Bullet Level 1 Char,Bullet Point Char,Bulletr List Paragraph Char"/>
    <w:link w:val="ListParagraph"/>
    <w:uiPriority w:val="34"/>
    <w:locked/>
    <w:rsid w:val="00D449CC"/>
  </w:style>
  <w:style w:type="character" w:customStyle="1" w:styleId="normaltextrun">
    <w:name w:val="normaltextrun"/>
    <w:basedOn w:val="DefaultParagraphFont"/>
    <w:rsid w:val="00586334"/>
  </w:style>
  <w:style w:type="paragraph" w:styleId="NoSpacing">
    <w:name w:val="No Spacing"/>
    <w:uiPriority w:val="1"/>
    <w:qFormat/>
    <w:rsid w:val="00C76E5C"/>
    <w:pPr>
      <w:spacing w:after="0" w:line="240" w:lineRule="auto"/>
    </w:pPr>
    <w:rPr>
      <w:rFonts w:eastAsiaTheme="minorEastAsia"/>
      <w:kern w:val="0"/>
      <w:sz w:val="22"/>
      <w:szCs w:val="22"/>
      <w14:ligatures w14:val="none"/>
    </w:rPr>
  </w:style>
  <w:style w:type="paragraph" w:styleId="Caption">
    <w:name w:val="caption"/>
    <w:basedOn w:val="Normal"/>
    <w:next w:val="Normal"/>
    <w:uiPriority w:val="3"/>
    <w:unhideWhenUsed/>
    <w:qFormat/>
    <w:rsid w:val="00C76E5C"/>
    <w:pPr>
      <w:spacing w:line="240" w:lineRule="auto"/>
    </w:pPr>
    <w:rPr>
      <w:rFonts w:eastAsiaTheme="minorEastAsia"/>
      <w:b/>
      <w:bCs/>
      <w:smallCaps/>
      <w:color w:val="0E2841" w:themeColor="text2"/>
      <w:kern w:val="0"/>
      <w:szCs w:val="22"/>
      <w14:ligatures w14:val="none"/>
    </w:rPr>
  </w:style>
  <w:style w:type="character" w:styleId="Strong">
    <w:name w:val="Strong"/>
    <w:basedOn w:val="DefaultParagraphFont"/>
    <w:uiPriority w:val="22"/>
    <w:qFormat/>
    <w:rsid w:val="00C76E5C"/>
    <w:rPr>
      <w:b/>
      <w:bCs/>
    </w:rPr>
  </w:style>
  <w:style w:type="character" w:styleId="Emphasis">
    <w:name w:val="Emphasis"/>
    <w:basedOn w:val="DefaultParagraphFont"/>
    <w:uiPriority w:val="20"/>
    <w:qFormat/>
    <w:rsid w:val="00C76E5C"/>
    <w:rPr>
      <w:i/>
      <w:iCs/>
    </w:rPr>
  </w:style>
  <w:style w:type="character" w:styleId="SubtleEmphasis">
    <w:name w:val="Subtle Emphasis"/>
    <w:basedOn w:val="DefaultParagraphFont"/>
    <w:uiPriority w:val="19"/>
    <w:qFormat/>
    <w:rsid w:val="00C76E5C"/>
    <w:rPr>
      <w:i/>
      <w:iCs/>
      <w:color w:val="595959" w:themeColor="text1" w:themeTint="A6"/>
    </w:rPr>
  </w:style>
  <w:style w:type="character" w:styleId="SubtleReference">
    <w:name w:val="Subtle Reference"/>
    <w:basedOn w:val="DefaultParagraphFont"/>
    <w:uiPriority w:val="31"/>
    <w:qFormat/>
    <w:rsid w:val="00C76E5C"/>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unhideWhenUsed/>
    <w:qFormat/>
    <w:rsid w:val="00C76E5C"/>
    <w:pPr>
      <w:spacing w:before="400" w:after="40" w:line="240" w:lineRule="auto"/>
      <w:outlineLvl w:val="9"/>
    </w:pPr>
    <w:rPr>
      <w:color w:val="0A2F41" w:themeColor="accent1" w:themeShade="80"/>
      <w:kern w:val="0"/>
      <w:sz w:val="36"/>
      <w:szCs w:val="36"/>
      <w14:ligatures w14:val="none"/>
    </w:rPr>
  </w:style>
  <w:style w:type="paragraph" w:styleId="Header">
    <w:name w:val="header"/>
    <w:basedOn w:val="Normal"/>
    <w:link w:val="HeaderChar"/>
    <w:uiPriority w:val="10"/>
    <w:unhideWhenUsed/>
    <w:rsid w:val="00C76E5C"/>
    <w:pPr>
      <w:tabs>
        <w:tab w:val="center" w:pos="4513"/>
        <w:tab w:val="right" w:pos="9026"/>
      </w:tabs>
      <w:spacing w:after="0" w:line="240" w:lineRule="auto"/>
    </w:pPr>
    <w:rPr>
      <w:rFonts w:eastAsiaTheme="minorEastAsia"/>
      <w:kern w:val="0"/>
      <w:szCs w:val="22"/>
      <w14:ligatures w14:val="none"/>
    </w:rPr>
  </w:style>
  <w:style w:type="character" w:customStyle="1" w:styleId="HeaderChar">
    <w:name w:val="Header Char"/>
    <w:basedOn w:val="DefaultParagraphFont"/>
    <w:link w:val="Header"/>
    <w:uiPriority w:val="10"/>
    <w:rsid w:val="00C76E5C"/>
    <w:rPr>
      <w:rFonts w:eastAsiaTheme="minorEastAsia"/>
      <w:kern w:val="0"/>
      <w:sz w:val="22"/>
      <w:szCs w:val="22"/>
      <w14:ligatures w14:val="none"/>
    </w:rPr>
  </w:style>
  <w:style w:type="paragraph" w:styleId="Footer">
    <w:name w:val="footer"/>
    <w:basedOn w:val="Normal"/>
    <w:link w:val="FooterChar"/>
    <w:uiPriority w:val="99"/>
    <w:unhideWhenUsed/>
    <w:qFormat/>
    <w:rsid w:val="00C76E5C"/>
    <w:pPr>
      <w:tabs>
        <w:tab w:val="center" w:pos="4513"/>
        <w:tab w:val="right" w:pos="9026"/>
      </w:tabs>
      <w:spacing w:after="0" w:line="240" w:lineRule="auto"/>
    </w:pPr>
    <w:rPr>
      <w:rFonts w:eastAsiaTheme="minorEastAsia"/>
      <w:kern w:val="0"/>
      <w:szCs w:val="22"/>
      <w14:ligatures w14:val="none"/>
    </w:rPr>
  </w:style>
  <w:style w:type="character" w:customStyle="1" w:styleId="FooterChar">
    <w:name w:val="Footer Char"/>
    <w:basedOn w:val="DefaultParagraphFont"/>
    <w:link w:val="Footer"/>
    <w:uiPriority w:val="99"/>
    <w:rsid w:val="00C76E5C"/>
    <w:rPr>
      <w:rFonts w:eastAsiaTheme="minorEastAsia"/>
      <w:kern w:val="0"/>
      <w:sz w:val="22"/>
      <w:szCs w:val="22"/>
      <w14:ligatures w14:val="none"/>
    </w:rPr>
  </w:style>
  <w:style w:type="character" w:styleId="PlaceholderText">
    <w:name w:val="Placeholder Text"/>
    <w:basedOn w:val="DefaultParagraphFont"/>
    <w:uiPriority w:val="99"/>
    <w:semiHidden/>
    <w:rsid w:val="00C76E5C"/>
    <w:rPr>
      <w:color w:val="808080"/>
    </w:rPr>
  </w:style>
  <w:style w:type="paragraph" w:styleId="BalloonText">
    <w:name w:val="Balloon Text"/>
    <w:basedOn w:val="Normal"/>
    <w:link w:val="BalloonTextChar"/>
    <w:uiPriority w:val="99"/>
    <w:semiHidden/>
    <w:unhideWhenUsed/>
    <w:rsid w:val="00C76E5C"/>
    <w:pPr>
      <w:spacing w:after="0" w:line="240" w:lineRule="auto"/>
    </w:pPr>
    <w:rPr>
      <w:rFonts w:ascii="Segoe UI" w:eastAsiaTheme="minorEastAsia"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C76E5C"/>
    <w:rPr>
      <w:rFonts w:ascii="Segoe UI" w:eastAsiaTheme="minorEastAsia" w:hAnsi="Segoe UI" w:cs="Segoe UI"/>
      <w:kern w:val="0"/>
      <w:sz w:val="18"/>
      <w:szCs w:val="18"/>
      <w14:ligatures w14:val="none"/>
    </w:rPr>
  </w:style>
  <w:style w:type="paragraph" w:customStyle="1" w:styleId="CLASSIFICATION">
    <w:name w:val="CLASSIFICATION"/>
    <w:basedOn w:val="Normal"/>
    <w:link w:val="CLASSIFICATIONChar"/>
    <w:autoRedefine/>
    <w:uiPriority w:val="99"/>
    <w:unhideWhenUsed/>
    <w:rsid w:val="00C76E5C"/>
    <w:pPr>
      <w:spacing w:line="259" w:lineRule="auto"/>
      <w:jc w:val="center"/>
    </w:pPr>
    <w:rPr>
      <w:rFonts w:ascii="Segoe UI" w:eastAsiaTheme="minorEastAsia" w:hAnsi="Segoe UI"/>
      <w:caps/>
      <w:color w:val="4EA72E" w:themeColor="accent6"/>
      <w:kern w:val="0"/>
      <w:sz w:val="18"/>
      <w:szCs w:val="22"/>
      <w14:ligatures w14:val="none"/>
    </w:rPr>
  </w:style>
  <w:style w:type="paragraph" w:customStyle="1" w:styleId="BOXHeading2">
    <w:name w:val="BOX Heading 2"/>
    <w:basedOn w:val="Heading2"/>
    <w:next w:val="BOXText"/>
    <w:uiPriority w:val="6"/>
    <w:rsid w:val="00C76E5C"/>
    <w:pPr>
      <w:pBdr>
        <w:top w:val="single" w:sz="48" w:space="1" w:color="E0E8F2"/>
        <w:left w:val="single" w:sz="48" w:space="4" w:color="E0E8F2"/>
        <w:bottom w:val="single" w:sz="48" w:space="1" w:color="E0E8F2"/>
        <w:right w:val="single" w:sz="48" w:space="4" w:color="E0E8F2"/>
      </w:pBdr>
      <w:shd w:val="clear" w:color="auto" w:fill="E0E8F2"/>
      <w:spacing w:before="40" w:after="0" w:line="240" w:lineRule="auto"/>
      <w:ind w:left="227" w:right="227"/>
    </w:pPr>
    <w:rPr>
      <w:kern w:val="0"/>
      <w14:ligatures w14:val="none"/>
    </w:rPr>
  </w:style>
  <w:style w:type="character" w:customStyle="1" w:styleId="CLASSIFICATIONChar">
    <w:name w:val="CLASSIFICATION Char"/>
    <w:basedOn w:val="DefaultParagraphFont"/>
    <w:link w:val="CLASSIFICATION"/>
    <w:uiPriority w:val="99"/>
    <w:rsid w:val="00C76E5C"/>
    <w:rPr>
      <w:rFonts w:ascii="Segoe UI" w:eastAsiaTheme="minorEastAsia" w:hAnsi="Segoe UI"/>
      <w:caps/>
      <w:color w:val="4EA72E" w:themeColor="accent6"/>
      <w:kern w:val="0"/>
      <w:sz w:val="18"/>
      <w:szCs w:val="22"/>
      <w14:ligatures w14:val="none"/>
    </w:rPr>
  </w:style>
  <w:style w:type="paragraph" w:customStyle="1" w:styleId="BOXText">
    <w:name w:val="BOX Text"/>
    <w:basedOn w:val="Normal"/>
    <w:uiPriority w:val="4"/>
    <w:rsid w:val="00C76E5C"/>
    <w:p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line="259" w:lineRule="auto"/>
      <w:ind w:left="227" w:right="227"/>
    </w:pPr>
    <w:rPr>
      <w:rFonts w:eastAsiaTheme="minorEastAsia"/>
      <w:color w:val="000000" w:themeColor="text1"/>
      <w:kern w:val="0"/>
      <w:szCs w:val="22"/>
      <w14:ligatures w14:val="none"/>
    </w:rPr>
  </w:style>
  <w:style w:type="paragraph" w:customStyle="1" w:styleId="BOXBulletedList">
    <w:name w:val="BOX Bulleted List"/>
    <w:basedOn w:val="BOXText"/>
    <w:uiPriority w:val="5"/>
    <w:rsid w:val="00C76E5C"/>
    <w:pPr>
      <w:numPr>
        <w:numId w:val="6"/>
      </w:numPr>
      <w:ind w:left="511"/>
    </w:pPr>
  </w:style>
  <w:style w:type="table" w:styleId="TableGrid">
    <w:name w:val="Table Grid"/>
    <w:basedOn w:val="TableNormal"/>
    <w:uiPriority w:val="59"/>
    <w:rsid w:val="00C76E5C"/>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C76E5C"/>
    <w:pPr>
      <w:spacing w:after="0" w:line="240" w:lineRule="auto"/>
    </w:pPr>
    <w:rPr>
      <w:rFonts w:eastAsiaTheme="minorEastAsia"/>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Figure">
    <w:name w:val="Figure"/>
    <w:basedOn w:val="Normal"/>
    <w:uiPriority w:val="2"/>
    <w:rsid w:val="00C76E5C"/>
    <w:pPr>
      <w:numPr>
        <w:numId w:val="10"/>
      </w:numPr>
      <w:spacing w:before="240" w:line="259" w:lineRule="auto"/>
    </w:pPr>
    <w:rPr>
      <w:rFonts w:asciiTheme="majorHAnsi" w:eastAsiaTheme="minorEastAsia" w:hAnsiTheme="majorHAnsi" w:cs="Segoe UI"/>
      <w:color w:val="0E2841" w:themeColor="text2"/>
      <w:kern w:val="0"/>
      <w:szCs w:val="22"/>
      <w14:ligatures w14:val="none"/>
    </w:rPr>
  </w:style>
  <w:style w:type="paragraph" w:customStyle="1" w:styleId="TBLHeading">
    <w:name w:val="TBL Heading"/>
    <w:basedOn w:val="Normal"/>
    <w:autoRedefine/>
    <w:uiPriority w:val="11"/>
    <w:rsid w:val="00C76E5C"/>
    <w:pPr>
      <w:spacing w:before="120" w:after="120" w:line="240" w:lineRule="auto"/>
    </w:pPr>
    <w:rPr>
      <w:rFonts w:ascii="Calibri" w:eastAsia="Aptos" w:hAnsi="Calibri" w:cs="Calibri"/>
      <w:b/>
      <w:bCs/>
      <w:color w:val="FFFFFF" w:themeColor="background1"/>
      <w:sz w:val="20"/>
      <w:szCs w:val="20"/>
    </w:rPr>
  </w:style>
  <w:style w:type="paragraph" w:customStyle="1" w:styleId="TBLText">
    <w:name w:val="TBL Text"/>
    <w:basedOn w:val="Normal"/>
    <w:uiPriority w:val="9"/>
    <w:rsid w:val="00C76E5C"/>
    <w:pPr>
      <w:spacing w:after="0" w:line="240" w:lineRule="auto"/>
    </w:pPr>
    <w:rPr>
      <w:rFonts w:eastAsiaTheme="minorEastAsia"/>
      <w:kern w:val="0"/>
      <w:sz w:val="18"/>
      <w:szCs w:val="18"/>
      <w14:ligatures w14:val="none"/>
    </w:rPr>
  </w:style>
  <w:style w:type="paragraph" w:customStyle="1" w:styleId="TBLBulletedList">
    <w:name w:val="TBL Bulleted List"/>
    <w:basedOn w:val="TBLText"/>
    <w:uiPriority w:val="10"/>
    <w:rsid w:val="00C76E5C"/>
    <w:pPr>
      <w:numPr>
        <w:numId w:val="7"/>
      </w:numPr>
      <w:ind w:left="206" w:hanging="206"/>
    </w:pPr>
  </w:style>
  <w:style w:type="paragraph" w:customStyle="1" w:styleId="TBLNumberedList">
    <w:name w:val="TBL Numbered List"/>
    <w:basedOn w:val="TBLText"/>
    <w:uiPriority w:val="10"/>
    <w:rsid w:val="00C76E5C"/>
    <w:pPr>
      <w:ind w:left="720" w:hanging="360"/>
    </w:pPr>
  </w:style>
  <w:style w:type="paragraph" w:customStyle="1" w:styleId="BOXHeading3">
    <w:name w:val="BOX Heading 3"/>
    <w:basedOn w:val="BOXHeading2"/>
    <w:next w:val="BOXText"/>
    <w:uiPriority w:val="6"/>
    <w:rsid w:val="00C76E5C"/>
    <w:pPr>
      <w:outlineLvl w:val="2"/>
    </w:pPr>
    <w:rPr>
      <w:rFonts w:cstheme="minorHAnsi"/>
      <w:sz w:val="24"/>
      <w:szCs w:val="26"/>
    </w:rPr>
  </w:style>
  <w:style w:type="paragraph" w:customStyle="1" w:styleId="BulletedList-Level1">
    <w:name w:val="Bulleted List - Level 1"/>
    <w:basedOn w:val="ListParagraph"/>
    <w:uiPriority w:val="1"/>
    <w:rsid w:val="00C76E5C"/>
    <w:pPr>
      <w:numPr>
        <w:numId w:val="8"/>
      </w:numPr>
      <w:spacing w:line="259" w:lineRule="auto"/>
    </w:pPr>
    <w:rPr>
      <w:rFonts w:eastAsiaTheme="minorEastAsia"/>
      <w:kern w:val="0"/>
      <w:szCs w:val="22"/>
      <w14:ligatures w14:val="none"/>
    </w:rPr>
  </w:style>
  <w:style w:type="paragraph" w:customStyle="1" w:styleId="BulletedList-Level2">
    <w:name w:val="Bulleted List - Level 2"/>
    <w:basedOn w:val="BulletedList-Level1"/>
    <w:uiPriority w:val="1"/>
    <w:rsid w:val="00C76E5C"/>
    <w:pPr>
      <w:numPr>
        <w:numId w:val="13"/>
      </w:numPr>
    </w:pPr>
  </w:style>
  <w:style w:type="paragraph" w:customStyle="1" w:styleId="BulletedList-Level3">
    <w:name w:val="Bulleted List - Level 3"/>
    <w:basedOn w:val="ListParagraph"/>
    <w:uiPriority w:val="1"/>
    <w:rsid w:val="00C76E5C"/>
    <w:pPr>
      <w:numPr>
        <w:numId w:val="14"/>
      </w:numPr>
      <w:spacing w:line="259" w:lineRule="auto"/>
      <w:ind w:left="1135"/>
    </w:pPr>
    <w:rPr>
      <w:rFonts w:eastAsiaTheme="minorEastAsia"/>
      <w:kern w:val="0"/>
      <w:szCs w:val="22"/>
      <w14:ligatures w14:val="none"/>
    </w:rPr>
  </w:style>
  <w:style w:type="paragraph" w:customStyle="1" w:styleId="NumberedList-Level1">
    <w:name w:val="Numbered List - Level 1"/>
    <w:basedOn w:val="ListParagraph"/>
    <w:uiPriority w:val="1"/>
    <w:rsid w:val="00C76E5C"/>
    <w:pPr>
      <w:numPr>
        <w:numId w:val="9"/>
      </w:numPr>
      <w:spacing w:line="259" w:lineRule="auto"/>
      <w:ind w:left="568" w:hanging="284"/>
    </w:pPr>
    <w:rPr>
      <w:rFonts w:eastAsiaTheme="minorEastAsia"/>
      <w:kern w:val="0"/>
      <w:szCs w:val="22"/>
      <w14:ligatures w14:val="none"/>
    </w:rPr>
  </w:style>
  <w:style w:type="paragraph" w:customStyle="1" w:styleId="NumberedList-level2">
    <w:name w:val="Numbered List - level 2"/>
    <w:basedOn w:val="ListParagraph"/>
    <w:uiPriority w:val="1"/>
    <w:rsid w:val="00C76E5C"/>
    <w:pPr>
      <w:numPr>
        <w:ilvl w:val="1"/>
        <w:numId w:val="9"/>
      </w:numPr>
      <w:spacing w:line="259" w:lineRule="auto"/>
    </w:pPr>
    <w:rPr>
      <w:rFonts w:eastAsiaTheme="minorEastAsia"/>
      <w:kern w:val="0"/>
      <w:szCs w:val="22"/>
      <w14:ligatures w14:val="none"/>
    </w:rPr>
  </w:style>
  <w:style w:type="paragraph" w:customStyle="1" w:styleId="NumberedList-Level3">
    <w:name w:val="Numbered List - Level 3"/>
    <w:basedOn w:val="ListParagraph"/>
    <w:uiPriority w:val="1"/>
    <w:rsid w:val="00C76E5C"/>
    <w:pPr>
      <w:numPr>
        <w:ilvl w:val="2"/>
        <w:numId w:val="9"/>
      </w:numPr>
      <w:spacing w:line="259" w:lineRule="auto"/>
    </w:pPr>
    <w:rPr>
      <w:rFonts w:eastAsiaTheme="minorEastAsia"/>
      <w:kern w:val="0"/>
      <w:szCs w:val="22"/>
      <w14:ligatures w14:val="none"/>
    </w:rPr>
  </w:style>
  <w:style w:type="paragraph" w:customStyle="1" w:styleId="BoxDark-HeadingLevel1">
    <w:name w:val="Box Dark - Heading Level 1"/>
    <w:basedOn w:val="BOXHeading2"/>
    <w:uiPriority w:val="9"/>
    <w:rsid w:val="00C76E5C"/>
    <w:pPr>
      <w:pBdr>
        <w:top w:val="single" w:sz="48" w:space="1" w:color="156082" w:themeColor="accent1"/>
        <w:left w:val="single" w:sz="48" w:space="4" w:color="156082" w:themeColor="accent1"/>
        <w:bottom w:val="single" w:sz="48" w:space="1" w:color="156082" w:themeColor="accent1"/>
        <w:right w:val="single" w:sz="48" w:space="4" w:color="156082" w:themeColor="accent1"/>
      </w:pBdr>
      <w:shd w:val="clear" w:color="auto" w:fill="156082" w:themeFill="accent1"/>
    </w:pPr>
    <w:rPr>
      <w:color w:val="FFFFFF" w:themeColor="background1"/>
    </w:rPr>
  </w:style>
  <w:style w:type="paragraph" w:styleId="TOC1">
    <w:name w:val="toc 1"/>
    <w:basedOn w:val="Normal"/>
    <w:next w:val="Normal"/>
    <w:autoRedefine/>
    <w:uiPriority w:val="39"/>
    <w:unhideWhenUsed/>
    <w:rsid w:val="00C76E5C"/>
    <w:pPr>
      <w:spacing w:after="100" w:line="259" w:lineRule="auto"/>
    </w:pPr>
    <w:rPr>
      <w:rFonts w:eastAsiaTheme="minorEastAsia"/>
      <w:kern w:val="0"/>
      <w:szCs w:val="22"/>
      <w14:ligatures w14:val="none"/>
    </w:rPr>
  </w:style>
  <w:style w:type="paragraph" w:styleId="TOC2">
    <w:name w:val="toc 2"/>
    <w:basedOn w:val="Normal"/>
    <w:next w:val="Normal"/>
    <w:autoRedefine/>
    <w:uiPriority w:val="39"/>
    <w:unhideWhenUsed/>
    <w:rsid w:val="00C76E5C"/>
    <w:pPr>
      <w:spacing w:after="100" w:line="259" w:lineRule="auto"/>
      <w:ind w:left="220"/>
    </w:pPr>
    <w:rPr>
      <w:rFonts w:eastAsiaTheme="minorEastAsia"/>
      <w:kern w:val="0"/>
      <w:szCs w:val="22"/>
      <w14:ligatures w14:val="none"/>
    </w:rPr>
  </w:style>
  <w:style w:type="paragraph" w:styleId="TOC3">
    <w:name w:val="toc 3"/>
    <w:basedOn w:val="Normal"/>
    <w:next w:val="Normal"/>
    <w:autoRedefine/>
    <w:uiPriority w:val="39"/>
    <w:unhideWhenUsed/>
    <w:rsid w:val="00C76E5C"/>
    <w:pPr>
      <w:spacing w:after="100" w:line="259" w:lineRule="auto"/>
      <w:ind w:left="440"/>
    </w:pPr>
    <w:rPr>
      <w:rFonts w:eastAsiaTheme="minorEastAsia"/>
      <w:kern w:val="0"/>
      <w:szCs w:val="22"/>
      <w14:ligatures w14:val="none"/>
    </w:rPr>
  </w:style>
  <w:style w:type="paragraph" w:customStyle="1" w:styleId="BoxDark-HeadingLevel3">
    <w:name w:val="Box Dark - Heading Level 3"/>
    <w:basedOn w:val="BOXHeading3"/>
    <w:uiPriority w:val="9"/>
    <w:rsid w:val="00C76E5C"/>
    <w:pPr>
      <w:pBdr>
        <w:top w:val="single" w:sz="48" w:space="1" w:color="156082" w:themeColor="accent1"/>
        <w:left w:val="single" w:sz="48" w:space="4" w:color="156082" w:themeColor="accent1"/>
        <w:bottom w:val="single" w:sz="48" w:space="1" w:color="156082" w:themeColor="accent1"/>
        <w:right w:val="single" w:sz="48" w:space="4" w:color="156082" w:themeColor="accent1"/>
      </w:pBdr>
      <w:shd w:val="clear" w:color="auto" w:fill="156082" w:themeFill="accent1"/>
    </w:pPr>
    <w:rPr>
      <w:color w:val="FFFFFF" w:themeColor="background1"/>
    </w:rPr>
  </w:style>
  <w:style w:type="paragraph" w:customStyle="1" w:styleId="BoxDark-Text">
    <w:name w:val="Box Dark - Text"/>
    <w:basedOn w:val="BOXText"/>
    <w:uiPriority w:val="7"/>
    <w:rsid w:val="00C76E5C"/>
    <w:pPr>
      <w:pBdr>
        <w:top w:val="single" w:sz="48" w:space="1" w:color="156082" w:themeColor="accent1"/>
        <w:left w:val="single" w:sz="48" w:space="4" w:color="156082" w:themeColor="accent1"/>
        <w:bottom w:val="single" w:sz="48" w:space="1" w:color="156082" w:themeColor="accent1"/>
        <w:right w:val="single" w:sz="48" w:space="4" w:color="156082" w:themeColor="accent1"/>
      </w:pBdr>
      <w:shd w:val="clear" w:color="auto" w:fill="156082"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C76E5C"/>
    <w:pPr>
      <w:pBdr>
        <w:top w:val="single" w:sz="48" w:space="1" w:color="156082" w:themeColor="accent1"/>
        <w:left w:val="single" w:sz="48" w:space="4" w:color="156082" w:themeColor="accent1"/>
        <w:bottom w:val="single" w:sz="48" w:space="1" w:color="156082" w:themeColor="accent1"/>
        <w:right w:val="single" w:sz="48" w:space="4" w:color="156082" w:themeColor="accent1"/>
      </w:pBdr>
      <w:shd w:val="clear" w:color="auto" w:fill="156082" w:themeFill="accent1"/>
    </w:pPr>
    <w:rPr>
      <w:rFonts w:ascii="Segoe UI Semilight" w:hAnsi="Segoe UI Semilight"/>
    </w:rPr>
  </w:style>
  <w:style w:type="paragraph" w:customStyle="1" w:styleId="BOXNumberedList">
    <w:name w:val="BOX Numbered List"/>
    <w:basedOn w:val="BOXText"/>
    <w:uiPriority w:val="5"/>
    <w:rsid w:val="00C76E5C"/>
    <w:pPr>
      <w:numPr>
        <w:numId w:val="11"/>
      </w:numPr>
    </w:pPr>
  </w:style>
  <w:style w:type="paragraph" w:customStyle="1" w:styleId="BoxDark-NumberedList">
    <w:name w:val="Box Dark - Numbered List"/>
    <w:basedOn w:val="BOXNumberedList"/>
    <w:uiPriority w:val="8"/>
    <w:rsid w:val="00C76E5C"/>
    <w:pPr>
      <w:numPr>
        <w:numId w:val="12"/>
      </w:numPr>
      <w:pBdr>
        <w:top w:val="single" w:sz="48" w:space="1" w:color="156082" w:themeColor="accent1"/>
        <w:left w:val="single" w:sz="48" w:space="4" w:color="156082" w:themeColor="accent1"/>
        <w:bottom w:val="single" w:sz="48" w:space="1" w:color="156082" w:themeColor="accent1"/>
        <w:right w:val="single" w:sz="48" w:space="4" w:color="156082" w:themeColor="accent1"/>
      </w:pBdr>
      <w:shd w:val="clear" w:color="auto" w:fill="156082" w:themeFill="accent1"/>
      <w:ind w:left="584" w:hanging="357"/>
    </w:pPr>
  </w:style>
  <w:style w:type="table" w:customStyle="1" w:styleId="Custom1">
    <w:name w:val="Custom 1"/>
    <w:basedOn w:val="TableNormal"/>
    <w:uiPriority w:val="99"/>
    <w:rsid w:val="00C76E5C"/>
    <w:pPr>
      <w:spacing w:after="0" w:line="240" w:lineRule="auto"/>
    </w:pPr>
    <w:rPr>
      <w:rFonts w:eastAsiaTheme="minorEastAsia"/>
      <w:kern w:val="0"/>
      <w:sz w:val="18"/>
      <w:szCs w:val="22"/>
      <w14:ligatures w14:val="none"/>
    </w:rPr>
    <w:tblPr>
      <w:tblStyleRowBandSize w:val="1"/>
      <w:tblBorders>
        <w:top w:val="single" w:sz="4" w:space="0" w:color="156082" w:themeColor="accent1"/>
        <w:bottom w:val="single" w:sz="12" w:space="0" w:color="156082" w:themeColor="accent1"/>
        <w:insideH w:val="single" w:sz="4" w:space="0" w:color="156082" w:themeColor="accent1"/>
      </w:tblBorders>
      <w:tblCellMar>
        <w:top w:w="57" w:type="dxa"/>
        <w:bottom w:w="57" w:type="dxa"/>
      </w:tblCellMar>
    </w:tblPr>
    <w:tblStylePr w:type="firstRow">
      <w:rPr>
        <w:rFonts w:asciiTheme="minorHAnsi" w:hAnsiTheme="minorHAnsi"/>
        <w:b/>
        <w:sz w:val="18"/>
      </w:rPr>
      <w:tblPr/>
      <w:tcPr>
        <w:shd w:val="clear" w:color="auto" w:fill="156082" w:themeFill="accent1"/>
      </w:tcPr>
    </w:tblStylePr>
    <w:tblStylePr w:type="band1Horz">
      <w:tblPr/>
      <w:tcPr>
        <w:shd w:val="clear" w:color="auto" w:fill="E8E8E8" w:themeFill="background2"/>
      </w:tcPr>
    </w:tblStylePr>
  </w:style>
  <w:style w:type="table" w:customStyle="1" w:styleId="Style1">
    <w:name w:val="Style1"/>
    <w:basedOn w:val="Custom1"/>
    <w:uiPriority w:val="99"/>
    <w:rsid w:val="00C76E5C"/>
    <w:tblPr>
      <w:tblBorders>
        <w:top w:val="none" w:sz="0" w:space="0" w:color="auto"/>
        <w:left w:val="single" w:sz="4" w:space="0" w:color="156082" w:themeColor="accent1"/>
        <w:bottom w:val="single" w:sz="4" w:space="0" w:color="156082" w:themeColor="accent1"/>
        <w:right w:val="single" w:sz="4" w:space="0" w:color="156082" w:themeColor="accent1"/>
        <w:insideH w:val="none" w:sz="0" w:space="0" w:color="auto"/>
        <w:insideV w:val="single" w:sz="4" w:space="0" w:color="156082" w:themeColor="accent1"/>
      </w:tblBorders>
    </w:tblPr>
    <w:tblStylePr w:type="firstRow">
      <w:rPr>
        <w:rFonts w:asciiTheme="minorHAnsi" w:hAnsiTheme="minorHAnsi"/>
        <w:b/>
        <w:sz w:val="18"/>
      </w:rPr>
      <w:tblPr/>
      <w:tcPr>
        <w:shd w:val="clear" w:color="auto" w:fill="156082" w:themeFill="accent1"/>
      </w:tcPr>
    </w:tblStylePr>
    <w:tblStylePr w:type="firstCol">
      <w:rPr>
        <w:b/>
      </w:rPr>
      <w:tblPr/>
      <w:tcPr>
        <w:shd w:val="clear" w:color="auto" w:fill="156082" w:themeFill="accent1"/>
      </w:tcPr>
    </w:tblStylePr>
    <w:tblStylePr w:type="band1Horz">
      <w:tblPr/>
      <w:tcPr>
        <w:shd w:val="clear" w:color="auto" w:fill="E8E8E8" w:themeFill="background2"/>
      </w:tcPr>
    </w:tblStylePr>
  </w:style>
  <w:style w:type="paragraph" w:customStyle="1" w:styleId="EmphasisPanelBullet">
    <w:name w:val="Emphasis Panel Bullet"/>
    <w:uiPriority w:val="11"/>
    <w:rsid w:val="00C76E5C"/>
    <w:pPr>
      <w:keepLines/>
      <w:numPr>
        <w:numId w:val="15"/>
      </w:numPr>
      <w:pBdr>
        <w:top w:val="single" w:sz="4" w:space="8" w:color="E8E8E8" w:themeColor="background2"/>
        <w:left w:val="single" w:sz="4" w:space="8" w:color="E8E8E8" w:themeColor="background2"/>
        <w:bottom w:val="single" w:sz="4" w:space="8" w:color="E8E8E8" w:themeColor="background2"/>
        <w:right w:val="single" w:sz="4" w:space="8" w:color="E8E8E8" w:themeColor="background2"/>
      </w:pBdr>
      <w:shd w:val="clear" w:color="auto" w:fill="E8E8E8" w:themeFill="background2"/>
      <w:spacing w:before="120" w:after="120" w:line="264" w:lineRule="auto"/>
      <w:ind w:right="215"/>
    </w:pPr>
    <w:rPr>
      <w:rFonts w:eastAsia="Times New Roman" w:cstheme="minorHAnsi"/>
      <w:color w:val="262626" w:themeColor="text1" w:themeTint="D9"/>
      <w:kern w:val="0"/>
      <w:sz w:val="20"/>
      <w:szCs w:val="22"/>
      <w:lang w:val="en-US"/>
      <w14:ligatures w14:val="none"/>
    </w:rPr>
  </w:style>
  <w:style w:type="paragraph" w:customStyle="1" w:styleId="TableNumbering">
    <w:name w:val="Table Numbering"/>
    <w:uiPriority w:val="11"/>
    <w:rsid w:val="00C76E5C"/>
    <w:pPr>
      <w:numPr>
        <w:numId w:val="16"/>
      </w:numPr>
      <w:spacing w:before="40" w:after="40" w:line="264" w:lineRule="auto"/>
    </w:pPr>
    <w:rPr>
      <w:color w:val="000000" w:themeColor="text1"/>
      <w:kern w:val="0"/>
      <w:sz w:val="18"/>
      <w:szCs w:val="20"/>
      <w14:ligatures w14:val="none"/>
    </w:rPr>
  </w:style>
  <w:style w:type="character" w:styleId="FollowedHyperlink">
    <w:name w:val="FollowedHyperlink"/>
    <w:basedOn w:val="DefaultParagraphFont"/>
    <w:uiPriority w:val="99"/>
    <w:semiHidden/>
    <w:unhideWhenUsed/>
    <w:rsid w:val="00C76E5C"/>
    <w:rPr>
      <w:color w:val="96607D" w:themeColor="followedHyperlink"/>
      <w:u w:val="single"/>
    </w:rPr>
  </w:style>
  <w:style w:type="paragraph" w:styleId="ListBullet">
    <w:name w:val="List Bullet"/>
    <w:basedOn w:val="Normal"/>
    <w:uiPriority w:val="98"/>
    <w:unhideWhenUsed/>
    <w:qFormat/>
    <w:rsid w:val="00C76E5C"/>
    <w:pPr>
      <w:numPr>
        <w:numId w:val="17"/>
      </w:numPr>
      <w:spacing w:line="259" w:lineRule="auto"/>
      <w:contextualSpacing/>
    </w:pPr>
    <w:rPr>
      <w:rFonts w:eastAsiaTheme="minorEastAsia"/>
      <w:kern w:val="0"/>
      <w:szCs w:val="22"/>
      <w14:ligatures w14:val="none"/>
    </w:rPr>
  </w:style>
  <w:style w:type="paragraph" w:styleId="BodyText">
    <w:name w:val="Body Text"/>
    <w:aliases w:val="Body Text Cab,CAB - Body Text,CAB Body Text"/>
    <w:link w:val="BodyTextChar"/>
    <w:qFormat/>
    <w:rsid w:val="00C76E5C"/>
    <w:pPr>
      <w:spacing w:before="120" w:after="0" w:line="240" w:lineRule="auto"/>
    </w:pPr>
    <w:rPr>
      <w:rFonts w:ascii="Arial" w:hAnsi="Arial"/>
      <w:kern w:val="0"/>
      <w:sz w:val="22"/>
      <w:szCs w:val="22"/>
      <w14:ligatures w14:val="none"/>
    </w:rPr>
  </w:style>
  <w:style w:type="character" w:customStyle="1" w:styleId="BodyTextChar">
    <w:name w:val="Body Text Char"/>
    <w:aliases w:val="Body Text Cab Char,CAB - Body Text Char,CAB Body Text Char"/>
    <w:basedOn w:val="DefaultParagraphFont"/>
    <w:link w:val="BodyText"/>
    <w:rsid w:val="00C76E5C"/>
    <w:rPr>
      <w:rFonts w:ascii="Arial" w:hAnsi="Arial"/>
      <w:kern w:val="0"/>
      <w:sz w:val="22"/>
      <w:szCs w:val="22"/>
      <w14:ligatures w14:val="none"/>
    </w:rPr>
  </w:style>
  <w:style w:type="paragraph" w:customStyle="1" w:styleId="CABNumberedParagraph">
    <w:name w:val="CAB Numbered Paragraph"/>
    <w:basedOn w:val="Normal"/>
    <w:uiPriority w:val="98"/>
    <w:rsid w:val="00C76E5C"/>
    <w:pPr>
      <w:numPr>
        <w:ilvl w:val="1"/>
        <w:numId w:val="18"/>
      </w:numPr>
      <w:tabs>
        <w:tab w:val="clear" w:pos="340"/>
      </w:tabs>
      <w:spacing w:after="200" w:line="276" w:lineRule="auto"/>
      <w:ind w:left="567" w:hanging="567"/>
    </w:pPr>
    <w:rPr>
      <w:rFonts w:ascii="Arial" w:hAnsi="Arial"/>
      <w:kern w:val="0"/>
      <w:szCs w:val="22"/>
      <w14:ligatures w14:val="none"/>
    </w:rPr>
  </w:style>
  <w:style w:type="paragraph" w:customStyle="1" w:styleId="CABBodyTextBold">
    <w:name w:val="CAB Body Text Bold"/>
    <w:basedOn w:val="BodyText"/>
    <w:rsid w:val="00C76E5C"/>
    <w:rPr>
      <w:b/>
      <w:bCs/>
    </w:rPr>
  </w:style>
  <w:style w:type="character" w:customStyle="1" w:styleId="ui-provider">
    <w:name w:val="ui-provider"/>
    <w:basedOn w:val="DefaultParagraphFont"/>
    <w:rsid w:val="00C76E5C"/>
  </w:style>
  <w:style w:type="paragraph" w:customStyle="1" w:styleId="CABH1">
    <w:name w:val="CAB H1"/>
    <w:basedOn w:val="Normal"/>
    <w:link w:val="CABH1Char"/>
    <w:uiPriority w:val="98"/>
    <w:rsid w:val="00C76E5C"/>
    <w:pPr>
      <w:tabs>
        <w:tab w:val="center" w:pos="1313"/>
        <w:tab w:val="left" w:pos="5932"/>
      </w:tabs>
      <w:spacing w:before="240" w:after="60" w:line="240" w:lineRule="auto"/>
    </w:pPr>
    <w:rPr>
      <w:rFonts w:ascii="Arial" w:hAnsi="Arial"/>
      <w:b/>
      <w:color w:val="003865"/>
      <w:kern w:val="0"/>
      <w:sz w:val="40"/>
      <w:szCs w:val="20"/>
      <w14:ligatures w14:val="none"/>
    </w:rPr>
  </w:style>
  <w:style w:type="character" w:customStyle="1" w:styleId="CABH1Char">
    <w:name w:val="CAB H1 Char"/>
    <w:basedOn w:val="DefaultParagraphFont"/>
    <w:link w:val="CABH1"/>
    <w:uiPriority w:val="98"/>
    <w:rsid w:val="00C76E5C"/>
    <w:rPr>
      <w:rFonts w:ascii="Arial" w:hAnsi="Arial"/>
      <w:b/>
      <w:color w:val="003865"/>
      <w:kern w:val="0"/>
      <w:sz w:val="40"/>
      <w:szCs w:val="20"/>
      <w14:ligatures w14:val="none"/>
    </w:rPr>
  </w:style>
  <w:style w:type="paragraph" w:customStyle="1" w:styleId="CABNETParagraph">
    <w:name w:val="CABNET Paragraph."/>
    <w:basedOn w:val="Normal"/>
    <w:link w:val="CABNETParagraphChar"/>
    <w:uiPriority w:val="98"/>
    <w:rsid w:val="00C76E5C"/>
    <w:pPr>
      <w:spacing w:before="120" w:after="120" w:line="240" w:lineRule="auto"/>
    </w:pPr>
    <w:rPr>
      <w:rFonts w:ascii="Arial" w:hAnsi="Arial" w:cstheme="minorHAnsi"/>
      <w:kern w:val="0"/>
      <w:szCs w:val="22"/>
      <w14:ligatures w14:val="none"/>
    </w:rPr>
  </w:style>
  <w:style w:type="character" w:customStyle="1" w:styleId="CABNETParagraphChar">
    <w:name w:val="CABNET Paragraph. Char"/>
    <w:basedOn w:val="DefaultParagraphFont"/>
    <w:link w:val="CABNETParagraph"/>
    <w:uiPriority w:val="98"/>
    <w:rsid w:val="00C76E5C"/>
    <w:rPr>
      <w:rFonts w:ascii="Arial" w:hAnsi="Arial" w:cstheme="minorHAnsi"/>
      <w:kern w:val="0"/>
      <w:sz w:val="22"/>
      <w:szCs w:val="22"/>
      <w14:ligatures w14:val="none"/>
    </w:rPr>
  </w:style>
  <w:style w:type="paragraph" w:styleId="Revision">
    <w:name w:val="Revision"/>
    <w:hidden/>
    <w:uiPriority w:val="99"/>
    <w:semiHidden/>
    <w:rsid w:val="00C76E5C"/>
    <w:pPr>
      <w:spacing w:after="0" w:line="240" w:lineRule="auto"/>
    </w:pPr>
    <w:rPr>
      <w:rFonts w:eastAsiaTheme="minorEastAsia"/>
      <w:kern w:val="0"/>
      <w:sz w:val="22"/>
      <w:szCs w:val="22"/>
      <w14:ligatures w14:val="none"/>
    </w:rPr>
  </w:style>
  <w:style w:type="paragraph" w:styleId="NormalWeb">
    <w:name w:val="Normal (Web)"/>
    <w:basedOn w:val="Normal"/>
    <w:uiPriority w:val="99"/>
    <w:unhideWhenUsed/>
    <w:rsid w:val="00C76E5C"/>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CommentSubject">
    <w:name w:val="annotation subject"/>
    <w:basedOn w:val="CommentText"/>
    <w:next w:val="CommentText"/>
    <w:link w:val="CommentSubjectChar"/>
    <w:uiPriority w:val="99"/>
    <w:semiHidden/>
    <w:unhideWhenUsed/>
    <w:rsid w:val="00C76E5C"/>
    <w:rPr>
      <w:b/>
      <w:bCs/>
    </w:rPr>
  </w:style>
  <w:style w:type="character" w:customStyle="1" w:styleId="CommentSubjectChar">
    <w:name w:val="Comment Subject Char"/>
    <w:basedOn w:val="CommentTextChar"/>
    <w:link w:val="CommentSubject"/>
    <w:uiPriority w:val="99"/>
    <w:semiHidden/>
    <w:rsid w:val="00C76E5C"/>
    <w:rPr>
      <w:rFonts w:eastAsiaTheme="minorEastAsia"/>
      <w:b/>
      <w:bCs/>
      <w:kern w:val="0"/>
      <w:sz w:val="20"/>
      <w:szCs w:val="20"/>
      <w14:ligatures w14:val="none"/>
    </w:rPr>
  </w:style>
  <w:style w:type="character" w:customStyle="1" w:styleId="UnresolvedMention">
    <w:name w:val="Unresolved Mention"/>
    <w:basedOn w:val="DefaultParagraphFont"/>
    <w:uiPriority w:val="99"/>
    <w:semiHidden/>
    <w:unhideWhenUsed/>
    <w:rsid w:val="00C76E5C"/>
    <w:rPr>
      <w:color w:val="605E5C"/>
      <w:shd w:val="clear" w:color="auto" w:fill="E1DFDD"/>
    </w:rPr>
  </w:style>
  <w:style w:type="paragraph" w:styleId="EndnoteText">
    <w:name w:val="endnote text"/>
    <w:basedOn w:val="Normal"/>
    <w:link w:val="EndnoteTextChar"/>
    <w:uiPriority w:val="99"/>
    <w:semiHidden/>
    <w:unhideWhenUsed/>
    <w:rsid w:val="00C76E5C"/>
    <w:pPr>
      <w:spacing w:after="0" w:line="240" w:lineRule="auto"/>
    </w:pPr>
    <w:rPr>
      <w:rFonts w:eastAsiaTheme="minorEastAsia"/>
      <w:kern w:val="0"/>
      <w:sz w:val="20"/>
      <w:szCs w:val="20"/>
      <w14:ligatures w14:val="none"/>
    </w:rPr>
  </w:style>
  <w:style w:type="character" w:customStyle="1" w:styleId="EndnoteTextChar">
    <w:name w:val="Endnote Text Char"/>
    <w:basedOn w:val="DefaultParagraphFont"/>
    <w:link w:val="EndnoteText"/>
    <w:uiPriority w:val="99"/>
    <w:semiHidden/>
    <w:rsid w:val="00C76E5C"/>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C76E5C"/>
    <w:rPr>
      <w:vertAlign w:val="superscript"/>
    </w:rPr>
  </w:style>
  <w:style w:type="character" w:customStyle="1" w:styleId="eop">
    <w:name w:val="eop"/>
    <w:basedOn w:val="DefaultParagraphFont"/>
    <w:rsid w:val="00C76E5C"/>
  </w:style>
  <w:style w:type="paragraph" w:customStyle="1" w:styleId="TableText">
    <w:name w:val="TableText"/>
    <w:basedOn w:val="Normal"/>
    <w:uiPriority w:val="1"/>
    <w:rsid w:val="00C76E5C"/>
    <w:pPr>
      <w:spacing w:before="120" w:after="120" w:line="259" w:lineRule="auto"/>
    </w:pPr>
    <w:rPr>
      <w:rFonts w:eastAsiaTheme="majorEastAsia"/>
      <w:kern w:val="0"/>
      <w:sz w:val="20"/>
      <w:szCs w:val="20"/>
      <w14:ligatures w14:val="none"/>
    </w:rPr>
  </w:style>
  <w:style w:type="character" w:customStyle="1" w:styleId="cf01">
    <w:name w:val="cf01"/>
    <w:basedOn w:val="DefaultParagraphFont"/>
    <w:rsid w:val="00C76E5C"/>
    <w:rPr>
      <w:rFonts w:ascii="Segoe UI" w:hAnsi="Segoe UI" w:cs="Segoe UI" w:hint="default"/>
      <w:sz w:val="18"/>
      <w:szCs w:val="18"/>
    </w:rPr>
  </w:style>
  <w:style w:type="character" w:customStyle="1" w:styleId="Mention">
    <w:name w:val="Mention"/>
    <w:basedOn w:val="DefaultParagraphFont"/>
    <w:uiPriority w:val="99"/>
    <w:unhideWhenUsed/>
    <w:rsid w:val="00C76E5C"/>
    <w:rPr>
      <w:color w:val="2B579A"/>
      <w:shd w:val="clear" w:color="auto" w:fill="E1DFDD"/>
    </w:rPr>
  </w:style>
  <w:style w:type="table" w:styleId="ListTable3">
    <w:name w:val="List Table 3"/>
    <w:basedOn w:val="TableNormal"/>
    <w:uiPriority w:val="48"/>
    <w:rsid w:val="00C76E5C"/>
    <w:pPr>
      <w:spacing w:after="0" w:line="240" w:lineRule="auto"/>
    </w:pPr>
    <w:rPr>
      <w:rFonts w:eastAsiaTheme="minorEastAsia"/>
      <w:kern w:val="0"/>
      <w:sz w:val="22"/>
      <w:szCs w:val="22"/>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1">
    <w:name w:val="List Table 2 Accent 1"/>
    <w:basedOn w:val="TableNormal"/>
    <w:uiPriority w:val="47"/>
    <w:rsid w:val="00C76E5C"/>
    <w:pPr>
      <w:spacing w:after="0" w:line="240" w:lineRule="auto"/>
    </w:pPr>
    <w:rPr>
      <w:rFonts w:eastAsiaTheme="minorEastAsia"/>
      <w:kern w:val="0"/>
      <w:sz w:val="22"/>
      <w:szCs w:val="22"/>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
    <w:name w:val="Grid Table 4"/>
    <w:basedOn w:val="TableNormal"/>
    <w:uiPriority w:val="49"/>
    <w:rsid w:val="00C76E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BookTitle">
    <w:name w:val="Book Title"/>
    <w:basedOn w:val="DefaultParagraphFont"/>
    <w:uiPriority w:val="33"/>
    <w:qFormat/>
    <w:rsid w:val="00C76E5C"/>
    <w:rPr>
      <w:b/>
      <w:bCs/>
      <w:smallCaps/>
      <w:spacing w:val="10"/>
    </w:rPr>
  </w:style>
  <w:style w:type="paragraph" w:customStyle="1" w:styleId="MBPoint">
    <w:name w:val="MB Point"/>
    <w:basedOn w:val="Normal"/>
    <w:link w:val="MBPointChar"/>
    <w:uiPriority w:val="1"/>
    <w:qFormat/>
    <w:rsid w:val="00C76E5C"/>
    <w:pPr>
      <w:numPr>
        <w:numId w:val="5"/>
      </w:numPr>
      <w:spacing w:after="60" w:line="240" w:lineRule="auto"/>
    </w:pPr>
    <w:rPr>
      <w:rFonts w:eastAsiaTheme="minorEastAsia"/>
      <w:kern w:val="0"/>
      <w14:ligatures w14:val="none"/>
    </w:rPr>
  </w:style>
  <w:style w:type="character" w:customStyle="1" w:styleId="MBPointChar">
    <w:name w:val="MB Point Char"/>
    <w:basedOn w:val="DefaultParagraphFont"/>
    <w:link w:val="MBPoint"/>
    <w:uiPriority w:val="1"/>
    <w:rsid w:val="00C76E5C"/>
    <w:rPr>
      <w:rFonts w:eastAsiaTheme="minorEastAsia"/>
      <w:kern w:val="0"/>
      <w14:ligatures w14:val="none"/>
    </w:rPr>
  </w:style>
  <w:style w:type="paragraph" w:styleId="ListBullet2">
    <w:name w:val="List Bullet 2"/>
    <w:basedOn w:val="Normal"/>
    <w:uiPriority w:val="98"/>
    <w:qFormat/>
    <w:rsid w:val="00C76E5C"/>
    <w:pPr>
      <w:spacing w:after="200" w:line="259" w:lineRule="auto"/>
      <w:ind w:left="568" w:hanging="284"/>
      <w:contextualSpacing/>
    </w:pPr>
    <w:rPr>
      <w:kern w:val="0"/>
      <w:szCs w:val="22"/>
      <w14:ligatures w14:val="none"/>
    </w:rPr>
  </w:style>
  <w:style w:type="table" w:styleId="ListTable4-Accent2">
    <w:name w:val="List Table 4 Accent 2"/>
    <w:basedOn w:val="TableNormal"/>
    <w:uiPriority w:val="49"/>
    <w:rsid w:val="00C76E5C"/>
    <w:pPr>
      <w:spacing w:after="0" w:line="240" w:lineRule="auto"/>
    </w:pPr>
    <w:rPr>
      <w:rFonts w:eastAsiaTheme="minorEastAsia"/>
      <w:kern w:val="0"/>
      <w:sz w:val="22"/>
      <w:szCs w:val="22"/>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1">
    <w:name w:val="Grid Table 4 Accent 1"/>
    <w:basedOn w:val="TableNormal"/>
    <w:uiPriority w:val="49"/>
    <w:rsid w:val="00C76E5C"/>
    <w:pPr>
      <w:spacing w:after="0" w:line="240" w:lineRule="auto"/>
    </w:pPr>
    <w:rPr>
      <w:rFonts w:eastAsiaTheme="minorEastAsia"/>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Deloittetable">
    <w:name w:val="Deloitte table"/>
    <w:basedOn w:val="TableNormal"/>
    <w:uiPriority w:val="99"/>
    <w:rsid w:val="00C76E5C"/>
    <w:pPr>
      <w:spacing w:after="0" w:line="240" w:lineRule="atLeast"/>
      <w:ind w:left="57" w:right="57"/>
    </w:pPr>
    <w:rPr>
      <w:rFonts w:ascii="Verdana" w:hAnsi="Verdana"/>
      <w:kern w:val="0"/>
      <w:sz w:val="17"/>
      <w:szCs w:val="18"/>
      <w:lang w:val="en-GB"/>
      <w14:ligatures w14:val="none"/>
    </w:rPr>
    <w:tblPr>
      <w:tblBorders>
        <w:top w:val="single" w:sz="4" w:space="0" w:color="196B24"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196B24" w:themeColor="accent3"/>
        </w:tcBorders>
      </w:tcPr>
    </w:tblStylePr>
  </w:style>
  <w:style w:type="paragraph" w:customStyle="1" w:styleId="Source">
    <w:name w:val="Source"/>
    <w:basedOn w:val="Caption"/>
    <w:next w:val="Normal"/>
    <w:uiPriority w:val="6"/>
    <w:qFormat/>
    <w:rsid w:val="00C76E5C"/>
    <w:pPr>
      <w:spacing w:before="120" w:after="240" w:line="240" w:lineRule="atLeast"/>
    </w:pPr>
    <w:rPr>
      <w:rFonts w:ascii="Calibri Light" w:eastAsiaTheme="minorHAnsi" w:hAnsi="Calibri Light"/>
      <w:b w:val="0"/>
      <w:bCs w:val="0"/>
      <w:iCs/>
      <w:smallCaps w:val="0"/>
      <w:color w:val="4EA72E" w:themeColor="accent6"/>
      <w:sz w:val="14"/>
      <w:szCs w:val="18"/>
    </w:rPr>
  </w:style>
  <w:style w:type="paragraph" w:customStyle="1" w:styleId="ExecutiveHeading">
    <w:name w:val="Executive Heading"/>
    <w:basedOn w:val="Normal"/>
    <w:next w:val="Normal"/>
    <w:uiPriority w:val="3"/>
    <w:rsid w:val="00C76E5C"/>
    <w:pPr>
      <w:keepNext/>
      <w:keepLines/>
      <w:pageBreakBefore/>
      <w:numPr>
        <w:numId w:val="22"/>
      </w:numPr>
      <w:spacing w:after="480" w:line="720" w:lineRule="atLeast"/>
      <w:outlineLvl w:val="0"/>
    </w:pPr>
    <w:rPr>
      <w:rFonts w:ascii="Calibri Light" w:hAnsi="Calibri Light"/>
      <w:kern w:val="0"/>
      <w:sz w:val="60"/>
      <w:szCs w:val="18"/>
      <w14:ligatures w14:val="none"/>
    </w:rPr>
  </w:style>
  <w:style w:type="paragraph" w:customStyle="1" w:styleId="ExecChartCaption">
    <w:name w:val="Exec Chart Caption"/>
    <w:basedOn w:val="Caption"/>
    <w:next w:val="Normal"/>
    <w:uiPriority w:val="4"/>
    <w:rsid w:val="00C76E5C"/>
    <w:pPr>
      <w:keepNext/>
      <w:keepLines/>
      <w:numPr>
        <w:ilvl w:val="2"/>
        <w:numId w:val="22"/>
      </w:numPr>
      <w:spacing w:before="240" w:after="240" w:line="240" w:lineRule="atLeast"/>
      <w:ind w:left="2160" w:hanging="360"/>
    </w:pPr>
    <w:rPr>
      <w:rFonts w:ascii="Calibri Light" w:eastAsia="Times New Roman" w:hAnsi="Calibri Light" w:cs="Times New Roman"/>
      <w:b w:val="0"/>
      <w:bCs w:val="0"/>
      <w:iCs/>
      <w:smallCaps w:val="0"/>
      <w:color w:val="4EA72E" w:themeColor="accent6"/>
      <w:sz w:val="17"/>
      <w:szCs w:val="20"/>
    </w:rPr>
  </w:style>
  <w:style w:type="paragraph" w:customStyle="1" w:styleId="ExecFigureCaption">
    <w:name w:val="Exec Figure Caption"/>
    <w:basedOn w:val="Caption"/>
    <w:next w:val="Normal"/>
    <w:uiPriority w:val="4"/>
    <w:rsid w:val="00C76E5C"/>
    <w:pPr>
      <w:keepNext/>
      <w:keepLines/>
      <w:numPr>
        <w:ilvl w:val="3"/>
        <w:numId w:val="22"/>
      </w:numPr>
      <w:spacing w:before="240" w:after="240" w:line="240" w:lineRule="atLeast"/>
      <w:ind w:left="2880" w:hanging="360"/>
    </w:pPr>
    <w:rPr>
      <w:rFonts w:ascii="Calibri Light" w:eastAsia="Times New Roman" w:hAnsi="Calibri Light" w:cs="Times New Roman"/>
      <w:b w:val="0"/>
      <w:bCs w:val="0"/>
      <w:iCs/>
      <w:smallCaps w:val="0"/>
      <w:color w:val="4EA72E" w:themeColor="accent6"/>
      <w:sz w:val="17"/>
      <w:szCs w:val="20"/>
    </w:rPr>
  </w:style>
  <w:style w:type="paragraph" w:customStyle="1" w:styleId="ExecTableCaption">
    <w:name w:val="Exec Table Caption"/>
    <w:basedOn w:val="Caption"/>
    <w:next w:val="Normal"/>
    <w:uiPriority w:val="4"/>
    <w:rsid w:val="00C76E5C"/>
    <w:pPr>
      <w:keepNext/>
      <w:keepLines/>
      <w:numPr>
        <w:ilvl w:val="1"/>
        <w:numId w:val="22"/>
      </w:numPr>
      <w:spacing w:before="240" w:after="240" w:line="240" w:lineRule="atLeast"/>
      <w:ind w:left="1440" w:hanging="360"/>
    </w:pPr>
    <w:rPr>
      <w:rFonts w:ascii="Calibri Light" w:eastAsia="Times New Roman" w:hAnsi="Calibri Light" w:cs="Times New Roman"/>
      <w:b w:val="0"/>
      <w:bCs w:val="0"/>
      <w:iCs/>
      <w:smallCaps w:val="0"/>
      <w:color w:val="4EA72E" w:themeColor="accent6"/>
      <w:sz w:val="17"/>
      <w:szCs w:val="20"/>
    </w:rPr>
  </w:style>
  <w:style w:type="table" w:styleId="GridTable4-Accent2">
    <w:name w:val="Grid Table 4 Accent 2"/>
    <w:basedOn w:val="TableNormal"/>
    <w:uiPriority w:val="49"/>
    <w:rsid w:val="00C76E5C"/>
    <w:pPr>
      <w:spacing w:after="0" w:line="240" w:lineRule="auto"/>
    </w:pPr>
    <w:rPr>
      <w:rFonts w:eastAsiaTheme="minorEastAsia"/>
      <w:kern w:val="0"/>
      <w:sz w:val="22"/>
      <w:szCs w:val="22"/>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C76E5C"/>
    <w:pPr>
      <w:spacing w:after="0" w:line="240" w:lineRule="auto"/>
    </w:pPr>
    <w:rPr>
      <w:rFonts w:eastAsiaTheme="minorEastAsia"/>
      <w:kern w:val="0"/>
      <w:sz w:val="22"/>
      <w:szCs w:val="22"/>
      <w14:ligatures w14:val="non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character" w:styleId="PageNumber">
    <w:name w:val="page number"/>
    <w:basedOn w:val="DefaultParagraphFont"/>
    <w:uiPriority w:val="10"/>
    <w:semiHidden/>
    <w:rsid w:val="00C76E5C"/>
    <w:rPr>
      <w:lang w:val="en-AU"/>
    </w:rPr>
  </w:style>
  <w:style w:type="character" w:customStyle="1" w:styleId="superscript">
    <w:name w:val="superscript"/>
    <w:basedOn w:val="DefaultParagraphFont"/>
    <w:rsid w:val="00C76E5C"/>
  </w:style>
  <w:style w:type="paragraph" w:customStyle="1" w:styleId="paragraph">
    <w:name w:val="paragraph"/>
    <w:basedOn w:val="Normal"/>
    <w:rsid w:val="00C76E5C"/>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customStyle="1" w:styleId="TabletextLeft">
    <w:name w:val="Table text Left"/>
    <w:basedOn w:val="Normal"/>
    <w:uiPriority w:val="5"/>
    <w:rsid w:val="002913FB"/>
    <w:pPr>
      <w:spacing w:after="0" w:line="200" w:lineRule="atLeast"/>
      <w:ind w:left="57" w:right="57"/>
    </w:pPr>
    <w:rPr>
      <w:rFonts w:ascii="Calibri Light" w:hAnsi="Calibri Light"/>
      <w:kern w:val="0"/>
      <w:sz w:val="17"/>
      <w:szCs w:val="18"/>
      <w14:ligatures w14:val="none"/>
    </w:rPr>
  </w:style>
  <w:style w:type="paragraph" w:styleId="ListBullet4">
    <w:name w:val="List Bullet 4"/>
    <w:basedOn w:val="Normal"/>
    <w:uiPriority w:val="99"/>
    <w:semiHidden/>
    <w:rsid w:val="00586B70"/>
    <w:pPr>
      <w:numPr>
        <w:numId w:val="113"/>
      </w:numPr>
      <w:spacing w:after="170" w:line="240" w:lineRule="atLeast"/>
      <w:contextualSpacing/>
    </w:pPr>
    <w:rPr>
      <w:rFonts w:ascii="Calibri Light" w:hAnsi="Calibri Light"/>
      <w:kern w:val="0"/>
      <w:sz w:val="18"/>
      <w:szCs w:val="18"/>
      <w14:ligatures w14:val="none"/>
    </w:rPr>
  </w:style>
  <w:style w:type="paragraph" w:customStyle="1" w:styleId="CaptionTable">
    <w:name w:val="Caption_Table"/>
    <w:basedOn w:val="Normal"/>
    <w:next w:val="Normal"/>
    <w:uiPriority w:val="4"/>
    <w:qFormat/>
    <w:rsid w:val="00586B70"/>
    <w:pPr>
      <w:keepNext/>
      <w:keepLines/>
      <w:spacing w:before="240" w:after="240" w:line="240" w:lineRule="atLeast"/>
    </w:pPr>
    <w:rPr>
      <w:rFonts w:ascii="Calibri Light" w:eastAsia="Times New Roman" w:hAnsi="Calibri Light" w:cs="Times New Roman"/>
      <w:color w:val="4EA72E" w:themeColor="accent6"/>
      <w:kern w:val="0"/>
      <w:sz w:val="17"/>
      <w:szCs w:val="20"/>
      <w14:ligatures w14:val="none"/>
    </w:rPr>
  </w:style>
  <w:style w:type="paragraph" w:customStyle="1" w:styleId="CaptionFigure">
    <w:name w:val="Caption_Figure"/>
    <w:basedOn w:val="Normal"/>
    <w:next w:val="Normal"/>
    <w:uiPriority w:val="4"/>
    <w:qFormat/>
    <w:rsid w:val="00586B70"/>
    <w:pPr>
      <w:keepNext/>
      <w:keepLines/>
      <w:spacing w:after="170" w:line="240" w:lineRule="atLeast"/>
    </w:pPr>
    <w:rPr>
      <w:rFonts w:ascii="Calibri Light" w:hAnsi="Calibri Light"/>
      <w:bCs/>
      <w:color w:val="4EA72E" w:themeColor="accent6"/>
      <w:kern w:val="0"/>
      <w:sz w:val="17"/>
      <w:szCs w:val="22"/>
      <w14:ligatures w14:val="none"/>
    </w:rPr>
  </w:style>
  <w:style w:type="paragraph" w:customStyle="1" w:styleId="CaptionChart">
    <w:name w:val="Caption_Chart"/>
    <w:basedOn w:val="Normal"/>
    <w:next w:val="Normal"/>
    <w:uiPriority w:val="4"/>
    <w:qFormat/>
    <w:rsid w:val="00586B70"/>
    <w:pPr>
      <w:keepNext/>
      <w:keepLines/>
      <w:spacing w:after="170" w:line="240" w:lineRule="atLeast"/>
    </w:pPr>
    <w:rPr>
      <w:rFonts w:ascii="Calibri Light" w:hAnsi="Calibri Light"/>
      <w:color w:val="4EA72E" w:themeColor="accent6"/>
      <w:kern w:val="0"/>
      <w:sz w:val="17"/>
      <w:szCs w:val="18"/>
      <w14:ligatures w14:val="none"/>
    </w:rPr>
  </w:style>
  <w:style w:type="table" w:styleId="GridTable1Light-Accent1">
    <w:name w:val="Grid Table 1 Light Accent 1"/>
    <w:basedOn w:val="TableNormal"/>
    <w:uiPriority w:val="46"/>
    <w:rsid w:val="00337AEA"/>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337AEA"/>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paragraph" w:styleId="TOC4">
    <w:name w:val="toc 4"/>
    <w:basedOn w:val="Normal"/>
    <w:next w:val="Normal"/>
    <w:autoRedefine/>
    <w:uiPriority w:val="39"/>
    <w:unhideWhenUsed/>
    <w:rsid w:val="0038047C"/>
    <w:pPr>
      <w:spacing w:after="100"/>
      <w:ind w:left="720"/>
    </w:pPr>
    <w:rPr>
      <w:rFonts w:eastAsiaTheme="minorEastAsia"/>
      <w:lang w:eastAsia="en-AU"/>
    </w:rPr>
  </w:style>
  <w:style w:type="paragraph" w:styleId="TOC5">
    <w:name w:val="toc 5"/>
    <w:basedOn w:val="Normal"/>
    <w:next w:val="Normal"/>
    <w:autoRedefine/>
    <w:uiPriority w:val="39"/>
    <w:unhideWhenUsed/>
    <w:rsid w:val="0038047C"/>
    <w:pPr>
      <w:spacing w:after="100"/>
      <w:ind w:left="960"/>
    </w:pPr>
    <w:rPr>
      <w:rFonts w:eastAsiaTheme="minorEastAsia"/>
      <w:lang w:eastAsia="en-AU"/>
    </w:rPr>
  </w:style>
  <w:style w:type="paragraph" w:styleId="TOC6">
    <w:name w:val="toc 6"/>
    <w:basedOn w:val="Normal"/>
    <w:next w:val="Normal"/>
    <w:autoRedefine/>
    <w:uiPriority w:val="39"/>
    <w:unhideWhenUsed/>
    <w:rsid w:val="0038047C"/>
    <w:pPr>
      <w:spacing w:after="100"/>
      <w:ind w:left="1200"/>
    </w:pPr>
    <w:rPr>
      <w:rFonts w:eastAsiaTheme="minorEastAsia"/>
      <w:lang w:eastAsia="en-AU"/>
    </w:rPr>
  </w:style>
  <w:style w:type="paragraph" w:styleId="TOC7">
    <w:name w:val="toc 7"/>
    <w:basedOn w:val="Normal"/>
    <w:next w:val="Normal"/>
    <w:autoRedefine/>
    <w:uiPriority w:val="39"/>
    <w:unhideWhenUsed/>
    <w:rsid w:val="0038047C"/>
    <w:pPr>
      <w:spacing w:after="100"/>
      <w:ind w:left="1440"/>
    </w:pPr>
    <w:rPr>
      <w:rFonts w:eastAsiaTheme="minorEastAsia"/>
      <w:lang w:eastAsia="en-AU"/>
    </w:rPr>
  </w:style>
  <w:style w:type="paragraph" w:styleId="TOC8">
    <w:name w:val="toc 8"/>
    <w:basedOn w:val="Normal"/>
    <w:next w:val="Normal"/>
    <w:autoRedefine/>
    <w:uiPriority w:val="39"/>
    <w:unhideWhenUsed/>
    <w:rsid w:val="0038047C"/>
    <w:pPr>
      <w:spacing w:after="100"/>
      <w:ind w:left="1680"/>
    </w:pPr>
    <w:rPr>
      <w:rFonts w:eastAsiaTheme="minorEastAsia"/>
      <w:lang w:eastAsia="en-AU"/>
    </w:rPr>
  </w:style>
  <w:style w:type="paragraph" w:styleId="TOC9">
    <w:name w:val="toc 9"/>
    <w:basedOn w:val="Normal"/>
    <w:next w:val="Normal"/>
    <w:autoRedefine/>
    <w:uiPriority w:val="39"/>
    <w:unhideWhenUsed/>
    <w:rsid w:val="0038047C"/>
    <w:pPr>
      <w:spacing w:after="100"/>
      <w:ind w:left="1920"/>
    </w:pPr>
    <w:rPr>
      <w:rFonts w:eastAsiaTheme="minorEastAsia"/>
      <w:lang w:eastAsia="en-AU"/>
    </w:rPr>
  </w:style>
  <w:style w:type="table" w:styleId="GridTable4-Accent4">
    <w:name w:val="Grid Table 4 Accent 4"/>
    <w:basedOn w:val="TableNormal"/>
    <w:uiPriority w:val="49"/>
    <w:rsid w:val="00F93F4B"/>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5Dark-Accent2">
    <w:name w:val="Grid Table 5 Dark Accent 2"/>
    <w:basedOn w:val="TableNormal"/>
    <w:uiPriority w:val="50"/>
    <w:rsid w:val="00F93F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character" w:customStyle="1" w:styleId="fui-styledtext">
    <w:name w:val="fui-styledtext"/>
    <w:basedOn w:val="DefaultParagraphFont"/>
    <w:rsid w:val="004F1199"/>
  </w:style>
  <w:style w:type="table" w:styleId="GridTable6Colorful-Accent4">
    <w:name w:val="Grid Table 6 Colorful Accent 4"/>
    <w:basedOn w:val="TableNormal"/>
    <w:uiPriority w:val="51"/>
    <w:rsid w:val="001002DC"/>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1">
    <w:name w:val="Grid Table 6 Colorful Accent 1"/>
    <w:basedOn w:val="TableNormal"/>
    <w:uiPriority w:val="51"/>
    <w:rsid w:val="001002DC"/>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Custom11">
    <w:name w:val="Custom 11"/>
    <w:basedOn w:val="TableNormal"/>
    <w:uiPriority w:val="99"/>
    <w:rsid w:val="009C1150"/>
    <w:pPr>
      <w:spacing w:after="0" w:line="240" w:lineRule="auto"/>
    </w:pPr>
    <w:rPr>
      <w:rFonts w:eastAsiaTheme="minorEastAsia"/>
      <w:kern w:val="0"/>
      <w:sz w:val="18"/>
      <w:szCs w:val="21"/>
      <w14:ligatures w14:val="none"/>
    </w:rPr>
    <w:tblPr>
      <w:tblStyleRowBandSize w:val="1"/>
      <w:tblBorders>
        <w:top w:val="single" w:sz="4" w:space="0" w:color="156082" w:themeColor="accent1"/>
        <w:bottom w:val="single" w:sz="12" w:space="0" w:color="156082" w:themeColor="accent1"/>
        <w:insideH w:val="single" w:sz="4" w:space="0" w:color="156082" w:themeColor="accent1"/>
      </w:tblBorders>
      <w:tblCellMar>
        <w:top w:w="57" w:type="dxa"/>
        <w:bottom w:w="57" w:type="dxa"/>
      </w:tblCellMar>
    </w:tblPr>
    <w:tblStylePr w:type="firstRow">
      <w:rPr>
        <w:rFonts w:asciiTheme="minorHAnsi" w:hAnsiTheme="minorHAnsi"/>
        <w:b/>
        <w:sz w:val="18"/>
      </w:rPr>
      <w:tblPr/>
      <w:tcPr>
        <w:shd w:val="clear" w:color="auto" w:fill="156082" w:themeFill="accent1"/>
      </w:tcPr>
    </w:tblStylePr>
    <w:tblStylePr w:type="band1Horz">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7114">
      <w:bodyDiv w:val="1"/>
      <w:marLeft w:val="0"/>
      <w:marRight w:val="0"/>
      <w:marTop w:val="0"/>
      <w:marBottom w:val="0"/>
      <w:divBdr>
        <w:top w:val="none" w:sz="0" w:space="0" w:color="auto"/>
        <w:left w:val="none" w:sz="0" w:space="0" w:color="auto"/>
        <w:bottom w:val="none" w:sz="0" w:space="0" w:color="auto"/>
        <w:right w:val="none" w:sz="0" w:space="0" w:color="auto"/>
      </w:divBdr>
    </w:div>
    <w:div w:id="5443425">
      <w:bodyDiv w:val="1"/>
      <w:marLeft w:val="0"/>
      <w:marRight w:val="0"/>
      <w:marTop w:val="0"/>
      <w:marBottom w:val="0"/>
      <w:divBdr>
        <w:top w:val="none" w:sz="0" w:space="0" w:color="auto"/>
        <w:left w:val="none" w:sz="0" w:space="0" w:color="auto"/>
        <w:bottom w:val="none" w:sz="0" w:space="0" w:color="auto"/>
        <w:right w:val="none" w:sz="0" w:space="0" w:color="auto"/>
      </w:divBdr>
    </w:div>
    <w:div w:id="14695360">
      <w:bodyDiv w:val="1"/>
      <w:marLeft w:val="0"/>
      <w:marRight w:val="0"/>
      <w:marTop w:val="0"/>
      <w:marBottom w:val="0"/>
      <w:divBdr>
        <w:top w:val="none" w:sz="0" w:space="0" w:color="auto"/>
        <w:left w:val="none" w:sz="0" w:space="0" w:color="auto"/>
        <w:bottom w:val="none" w:sz="0" w:space="0" w:color="auto"/>
        <w:right w:val="none" w:sz="0" w:space="0" w:color="auto"/>
      </w:divBdr>
    </w:div>
    <w:div w:id="23865968">
      <w:bodyDiv w:val="1"/>
      <w:marLeft w:val="0"/>
      <w:marRight w:val="0"/>
      <w:marTop w:val="0"/>
      <w:marBottom w:val="0"/>
      <w:divBdr>
        <w:top w:val="none" w:sz="0" w:space="0" w:color="auto"/>
        <w:left w:val="none" w:sz="0" w:space="0" w:color="auto"/>
        <w:bottom w:val="none" w:sz="0" w:space="0" w:color="auto"/>
        <w:right w:val="none" w:sz="0" w:space="0" w:color="auto"/>
      </w:divBdr>
    </w:div>
    <w:div w:id="62528890">
      <w:bodyDiv w:val="1"/>
      <w:marLeft w:val="0"/>
      <w:marRight w:val="0"/>
      <w:marTop w:val="0"/>
      <w:marBottom w:val="0"/>
      <w:divBdr>
        <w:top w:val="none" w:sz="0" w:space="0" w:color="auto"/>
        <w:left w:val="none" w:sz="0" w:space="0" w:color="auto"/>
        <w:bottom w:val="none" w:sz="0" w:space="0" w:color="auto"/>
        <w:right w:val="none" w:sz="0" w:space="0" w:color="auto"/>
      </w:divBdr>
    </w:div>
    <w:div w:id="75978975">
      <w:bodyDiv w:val="1"/>
      <w:marLeft w:val="0"/>
      <w:marRight w:val="0"/>
      <w:marTop w:val="0"/>
      <w:marBottom w:val="0"/>
      <w:divBdr>
        <w:top w:val="none" w:sz="0" w:space="0" w:color="auto"/>
        <w:left w:val="none" w:sz="0" w:space="0" w:color="auto"/>
        <w:bottom w:val="none" w:sz="0" w:space="0" w:color="auto"/>
        <w:right w:val="none" w:sz="0" w:space="0" w:color="auto"/>
      </w:divBdr>
    </w:div>
    <w:div w:id="96603395">
      <w:bodyDiv w:val="1"/>
      <w:marLeft w:val="0"/>
      <w:marRight w:val="0"/>
      <w:marTop w:val="0"/>
      <w:marBottom w:val="0"/>
      <w:divBdr>
        <w:top w:val="none" w:sz="0" w:space="0" w:color="auto"/>
        <w:left w:val="none" w:sz="0" w:space="0" w:color="auto"/>
        <w:bottom w:val="none" w:sz="0" w:space="0" w:color="auto"/>
        <w:right w:val="none" w:sz="0" w:space="0" w:color="auto"/>
      </w:divBdr>
    </w:div>
    <w:div w:id="106200567">
      <w:bodyDiv w:val="1"/>
      <w:marLeft w:val="0"/>
      <w:marRight w:val="0"/>
      <w:marTop w:val="0"/>
      <w:marBottom w:val="0"/>
      <w:divBdr>
        <w:top w:val="none" w:sz="0" w:space="0" w:color="auto"/>
        <w:left w:val="none" w:sz="0" w:space="0" w:color="auto"/>
        <w:bottom w:val="none" w:sz="0" w:space="0" w:color="auto"/>
        <w:right w:val="none" w:sz="0" w:space="0" w:color="auto"/>
      </w:divBdr>
    </w:div>
    <w:div w:id="106898390">
      <w:bodyDiv w:val="1"/>
      <w:marLeft w:val="0"/>
      <w:marRight w:val="0"/>
      <w:marTop w:val="0"/>
      <w:marBottom w:val="0"/>
      <w:divBdr>
        <w:top w:val="none" w:sz="0" w:space="0" w:color="auto"/>
        <w:left w:val="none" w:sz="0" w:space="0" w:color="auto"/>
        <w:bottom w:val="none" w:sz="0" w:space="0" w:color="auto"/>
        <w:right w:val="none" w:sz="0" w:space="0" w:color="auto"/>
      </w:divBdr>
    </w:div>
    <w:div w:id="110130368">
      <w:bodyDiv w:val="1"/>
      <w:marLeft w:val="0"/>
      <w:marRight w:val="0"/>
      <w:marTop w:val="0"/>
      <w:marBottom w:val="0"/>
      <w:divBdr>
        <w:top w:val="none" w:sz="0" w:space="0" w:color="auto"/>
        <w:left w:val="none" w:sz="0" w:space="0" w:color="auto"/>
        <w:bottom w:val="none" w:sz="0" w:space="0" w:color="auto"/>
        <w:right w:val="none" w:sz="0" w:space="0" w:color="auto"/>
      </w:divBdr>
    </w:div>
    <w:div w:id="111629197">
      <w:bodyDiv w:val="1"/>
      <w:marLeft w:val="0"/>
      <w:marRight w:val="0"/>
      <w:marTop w:val="0"/>
      <w:marBottom w:val="0"/>
      <w:divBdr>
        <w:top w:val="none" w:sz="0" w:space="0" w:color="auto"/>
        <w:left w:val="none" w:sz="0" w:space="0" w:color="auto"/>
        <w:bottom w:val="none" w:sz="0" w:space="0" w:color="auto"/>
        <w:right w:val="none" w:sz="0" w:space="0" w:color="auto"/>
      </w:divBdr>
    </w:div>
    <w:div w:id="115025462">
      <w:bodyDiv w:val="1"/>
      <w:marLeft w:val="0"/>
      <w:marRight w:val="0"/>
      <w:marTop w:val="0"/>
      <w:marBottom w:val="0"/>
      <w:divBdr>
        <w:top w:val="none" w:sz="0" w:space="0" w:color="auto"/>
        <w:left w:val="none" w:sz="0" w:space="0" w:color="auto"/>
        <w:bottom w:val="none" w:sz="0" w:space="0" w:color="auto"/>
        <w:right w:val="none" w:sz="0" w:space="0" w:color="auto"/>
      </w:divBdr>
    </w:div>
    <w:div w:id="127162315">
      <w:bodyDiv w:val="1"/>
      <w:marLeft w:val="0"/>
      <w:marRight w:val="0"/>
      <w:marTop w:val="0"/>
      <w:marBottom w:val="0"/>
      <w:divBdr>
        <w:top w:val="none" w:sz="0" w:space="0" w:color="auto"/>
        <w:left w:val="none" w:sz="0" w:space="0" w:color="auto"/>
        <w:bottom w:val="none" w:sz="0" w:space="0" w:color="auto"/>
        <w:right w:val="none" w:sz="0" w:space="0" w:color="auto"/>
      </w:divBdr>
    </w:div>
    <w:div w:id="134951348">
      <w:bodyDiv w:val="1"/>
      <w:marLeft w:val="0"/>
      <w:marRight w:val="0"/>
      <w:marTop w:val="0"/>
      <w:marBottom w:val="0"/>
      <w:divBdr>
        <w:top w:val="none" w:sz="0" w:space="0" w:color="auto"/>
        <w:left w:val="none" w:sz="0" w:space="0" w:color="auto"/>
        <w:bottom w:val="none" w:sz="0" w:space="0" w:color="auto"/>
        <w:right w:val="none" w:sz="0" w:space="0" w:color="auto"/>
      </w:divBdr>
    </w:div>
    <w:div w:id="156656283">
      <w:bodyDiv w:val="1"/>
      <w:marLeft w:val="0"/>
      <w:marRight w:val="0"/>
      <w:marTop w:val="0"/>
      <w:marBottom w:val="0"/>
      <w:divBdr>
        <w:top w:val="none" w:sz="0" w:space="0" w:color="auto"/>
        <w:left w:val="none" w:sz="0" w:space="0" w:color="auto"/>
        <w:bottom w:val="none" w:sz="0" w:space="0" w:color="auto"/>
        <w:right w:val="none" w:sz="0" w:space="0" w:color="auto"/>
      </w:divBdr>
    </w:div>
    <w:div w:id="162208118">
      <w:bodyDiv w:val="1"/>
      <w:marLeft w:val="0"/>
      <w:marRight w:val="0"/>
      <w:marTop w:val="0"/>
      <w:marBottom w:val="0"/>
      <w:divBdr>
        <w:top w:val="none" w:sz="0" w:space="0" w:color="auto"/>
        <w:left w:val="none" w:sz="0" w:space="0" w:color="auto"/>
        <w:bottom w:val="none" w:sz="0" w:space="0" w:color="auto"/>
        <w:right w:val="none" w:sz="0" w:space="0" w:color="auto"/>
      </w:divBdr>
    </w:div>
    <w:div w:id="168718709">
      <w:bodyDiv w:val="1"/>
      <w:marLeft w:val="0"/>
      <w:marRight w:val="0"/>
      <w:marTop w:val="0"/>
      <w:marBottom w:val="0"/>
      <w:divBdr>
        <w:top w:val="none" w:sz="0" w:space="0" w:color="auto"/>
        <w:left w:val="none" w:sz="0" w:space="0" w:color="auto"/>
        <w:bottom w:val="none" w:sz="0" w:space="0" w:color="auto"/>
        <w:right w:val="none" w:sz="0" w:space="0" w:color="auto"/>
      </w:divBdr>
    </w:div>
    <w:div w:id="189729284">
      <w:bodyDiv w:val="1"/>
      <w:marLeft w:val="0"/>
      <w:marRight w:val="0"/>
      <w:marTop w:val="0"/>
      <w:marBottom w:val="0"/>
      <w:divBdr>
        <w:top w:val="none" w:sz="0" w:space="0" w:color="auto"/>
        <w:left w:val="none" w:sz="0" w:space="0" w:color="auto"/>
        <w:bottom w:val="none" w:sz="0" w:space="0" w:color="auto"/>
        <w:right w:val="none" w:sz="0" w:space="0" w:color="auto"/>
      </w:divBdr>
    </w:div>
    <w:div w:id="254361811">
      <w:bodyDiv w:val="1"/>
      <w:marLeft w:val="0"/>
      <w:marRight w:val="0"/>
      <w:marTop w:val="0"/>
      <w:marBottom w:val="0"/>
      <w:divBdr>
        <w:top w:val="none" w:sz="0" w:space="0" w:color="auto"/>
        <w:left w:val="none" w:sz="0" w:space="0" w:color="auto"/>
        <w:bottom w:val="none" w:sz="0" w:space="0" w:color="auto"/>
        <w:right w:val="none" w:sz="0" w:space="0" w:color="auto"/>
      </w:divBdr>
    </w:div>
    <w:div w:id="269631123">
      <w:bodyDiv w:val="1"/>
      <w:marLeft w:val="0"/>
      <w:marRight w:val="0"/>
      <w:marTop w:val="0"/>
      <w:marBottom w:val="0"/>
      <w:divBdr>
        <w:top w:val="none" w:sz="0" w:space="0" w:color="auto"/>
        <w:left w:val="none" w:sz="0" w:space="0" w:color="auto"/>
        <w:bottom w:val="none" w:sz="0" w:space="0" w:color="auto"/>
        <w:right w:val="none" w:sz="0" w:space="0" w:color="auto"/>
      </w:divBdr>
    </w:div>
    <w:div w:id="272788447">
      <w:bodyDiv w:val="1"/>
      <w:marLeft w:val="0"/>
      <w:marRight w:val="0"/>
      <w:marTop w:val="0"/>
      <w:marBottom w:val="0"/>
      <w:divBdr>
        <w:top w:val="none" w:sz="0" w:space="0" w:color="auto"/>
        <w:left w:val="none" w:sz="0" w:space="0" w:color="auto"/>
        <w:bottom w:val="none" w:sz="0" w:space="0" w:color="auto"/>
        <w:right w:val="none" w:sz="0" w:space="0" w:color="auto"/>
      </w:divBdr>
    </w:div>
    <w:div w:id="283121453">
      <w:bodyDiv w:val="1"/>
      <w:marLeft w:val="0"/>
      <w:marRight w:val="0"/>
      <w:marTop w:val="0"/>
      <w:marBottom w:val="0"/>
      <w:divBdr>
        <w:top w:val="none" w:sz="0" w:space="0" w:color="auto"/>
        <w:left w:val="none" w:sz="0" w:space="0" w:color="auto"/>
        <w:bottom w:val="none" w:sz="0" w:space="0" w:color="auto"/>
        <w:right w:val="none" w:sz="0" w:space="0" w:color="auto"/>
      </w:divBdr>
    </w:div>
    <w:div w:id="293296142">
      <w:bodyDiv w:val="1"/>
      <w:marLeft w:val="0"/>
      <w:marRight w:val="0"/>
      <w:marTop w:val="0"/>
      <w:marBottom w:val="0"/>
      <w:divBdr>
        <w:top w:val="none" w:sz="0" w:space="0" w:color="auto"/>
        <w:left w:val="none" w:sz="0" w:space="0" w:color="auto"/>
        <w:bottom w:val="none" w:sz="0" w:space="0" w:color="auto"/>
        <w:right w:val="none" w:sz="0" w:space="0" w:color="auto"/>
      </w:divBdr>
    </w:div>
    <w:div w:id="305669181">
      <w:bodyDiv w:val="1"/>
      <w:marLeft w:val="0"/>
      <w:marRight w:val="0"/>
      <w:marTop w:val="0"/>
      <w:marBottom w:val="0"/>
      <w:divBdr>
        <w:top w:val="none" w:sz="0" w:space="0" w:color="auto"/>
        <w:left w:val="none" w:sz="0" w:space="0" w:color="auto"/>
        <w:bottom w:val="none" w:sz="0" w:space="0" w:color="auto"/>
        <w:right w:val="none" w:sz="0" w:space="0" w:color="auto"/>
      </w:divBdr>
    </w:div>
    <w:div w:id="306276889">
      <w:bodyDiv w:val="1"/>
      <w:marLeft w:val="0"/>
      <w:marRight w:val="0"/>
      <w:marTop w:val="0"/>
      <w:marBottom w:val="0"/>
      <w:divBdr>
        <w:top w:val="none" w:sz="0" w:space="0" w:color="auto"/>
        <w:left w:val="none" w:sz="0" w:space="0" w:color="auto"/>
        <w:bottom w:val="none" w:sz="0" w:space="0" w:color="auto"/>
        <w:right w:val="none" w:sz="0" w:space="0" w:color="auto"/>
      </w:divBdr>
    </w:div>
    <w:div w:id="319316221">
      <w:bodyDiv w:val="1"/>
      <w:marLeft w:val="0"/>
      <w:marRight w:val="0"/>
      <w:marTop w:val="0"/>
      <w:marBottom w:val="0"/>
      <w:divBdr>
        <w:top w:val="none" w:sz="0" w:space="0" w:color="auto"/>
        <w:left w:val="none" w:sz="0" w:space="0" w:color="auto"/>
        <w:bottom w:val="none" w:sz="0" w:space="0" w:color="auto"/>
        <w:right w:val="none" w:sz="0" w:space="0" w:color="auto"/>
      </w:divBdr>
    </w:div>
    <w:div w:id="340817943">
      <w:bodyDiv w:val="1"/>
      <w:marLeft w:val="0"/>
      <w:marRight w:val="0"/>
      <w:marTop w:val="0"/>
      <w:marBottom w:val="0"/>
      <w:divBdr>
        <w:top w:val="none" w:sz="0" w:space="0" w:color="auto"/>
        <w:left w:val="none" w:sz="0" w:space="0" w:color="auto"/>
        <w:bottom w:val="none" w:sz="0" w:space="0" w:color="auto"/>
        <w:right w:val="none" w:sz="0" w:space="0" w:color="auto"/>
      </w:divBdr>
    </w:div>
    <w:div w:id="362480617">
      <w:bodyDiv w:val="1"/>
      <w:marLeft w:val="0"/>
      <w:marRight w:val="0"/>
      <w:marTop w:val="0"/>
      <w:marBottom w:val="0"/>
      <w:divBdr>
        <w:top w:val="none" w:sz="0" w:space="0" w:color="auto"/>
        <w:left w:val="none" w:sz="0" w:space="0" w:color="auto"/>
        <w:bottom w:val="none" w:sz="0" w:space="0" w:color="auto"/>
        <w:right w:val="none" w:sz="0" w:space="0" w:color="auto"/>
      </w:divBdr>
    </w:div>
    <w:div w:id="388185215">
      <w:bodyDiv w:val="1"/>
      <w:marLeft w:val="0"/>
      <w:marRight w:val="0"/>
      <w:marTop w:val="0"/>
      <w:marBottom w:val="0"/>
      <w:divBdr>
        <w:top w:val="none" w:sz="0" w:space="0" w:color="auto"/>
        <w:left w:val="none" w:sz="0" w:space="0" w:color="auto"/>
        <w:bottom w:val="none" w:sz="0" w:space="0" w:color="auto"/>
        <w:right w:val="none" w:sz="0" w:space="0" w:color="auto"/>
      </w:divBdr>
    </w:div>
    <w:div w:id="413824230">
      <w:bodyDiv w:val="1"/>
      <w:marLeft w:val="0"/>
      <w:marRight w:val="0"/>
      <w:marTop w:val="0"/>
      <w:marBottom w:val="0"/>
      <w:divBdr>
        <w:top w:val="none" w:sz="0" w:space="0" w:color="auto"/>
        <w:left w:val="none" w:sz="0" w:space="0" w:color="auto"/>
        <w:bottom w:val="none" w:sz="0" w:space="0" w:color="auto"/>
        <w:right w:val="none" w:sz="0" w:space="0" w:color="auto"/>
      </w:divBdr>
    </w:div>
    <w:div w:id="421487090">
      <w:bodyDiv w:val="1"/>
      <w:marLeft w:val="0"/>
      <w:marRight w:val="0"/>
      <w:marTop w:val="0"/>
      <w:marBottom w:val="0"/>
      <w:divBdr>
        <w:top w:val="none" w:sz="0" w:space="0" w:color="auto"/>
        <w:left w:val="none" w:sz="0" w:space="0" w:color="auto"/>
        <w:bottom w:val="none" w:sz="0" w:space="0" w:color="auto"/>
        <w:right w:val="none" w:sz="0" w:space="0" w:color="auto"/>
      </w:divBdr>
    </w:div>
    <w:div w:id="422724254">
      <w:bodyDiv w:val="1"/>
      <w:marLeft w:val="0"/>
      <w:marRight w:val="0"/>
      <w:marTop w:val="0"/>
      <w:marBottom w:val="0"/>
      <w:divBdr>
        <w:top w:val="none" w:sz="0" w:space="0" w:color="auto"/>
        <w:left w:val="none" w:sz="0" w:space="0" w:color="auto"/>
        <w:bottom w:val="none" w:sz="0" w:space="0" w:color="auto"/>
        <w:right w:val="none" w:sz="0" w:space="0" w:color="auto"/>
      </w:divBdr>
    </w:div>
    <w:div w:id="441806467">
      <w:bodyDiv w:val="1"/>
      <w:marLeft w:val="0"/>
      <w:marRight w:val="0"/>
      <w:marTop w:val="0"/>
      <w:marBottom w:val="0"/>
      <w:divBdr>
        <w:top w:val="none" w:sz="0" w:space="0" w:color="auto"/>
        <w:left w:val="none" w:sz="0" w:space="0" w:color="auto"/>
        <w:bottom w:val="none" w:sz="0" w:space="0" w:color="auto"/>
        <w:right w:val="none" w:sz="0" w:space="0" w:color="auto"/>
      </w:divBdr>
    </w:div>
    <w:div w:id="445543783">
      <w:bodyDiv w:val="1"/>
      <w:marLeft w:val="0"/>
      <w:marRight w:val="0"/>
      <w:marTop w:val="0"/>
      <w:marBottom w:val="0"/>
      <w:divBdr>
        <w:top w:val="none" w:sz="0" w:space="0" w:color="auto"/>
        <w:left w:val="none" w:sz="0" w:space="0" w:color="auto"/>
        <w:bottom w:val="none" w:sz="0" w:space="0" w:color="auto"/>
        <w:right w:val="none" w:sz="0" w:space="0" w:color="auto"/>
      </w:divBdr>
    </w:div>
    <w:div w:id="471675802">
      <w:bodyDiv w:val="1"/>
      <w:marLeft w:val="0"/>
      <w:marRight w:val="0"/>
      <w:marTop w:val="0"/>
      <w:marBottom w:val="0"/>
      <w:divBdr>
        <w:top w:val="none" w:sz="0" w:space="0" w:color="auto"/>
        <w:left w:val="none" w:sz="0" w:space="0" w:color="auto"/>
        <w:bottom w:val="none" w:sz="0" w:space="0" w:color="auto"/>
        <w:right w:val="none" w:sz="0" w:space="0" w:color="auto"/>
      </w:divBdr>
    </w:div>
    <w:div w:id="488861498">
      <w:bodyDiv w:val="1"/>
      <w:marLeft w:val="0"/>
      <w:marRight w:val="0"/>
      <w:marTop w:val="0"/>
      <w:marBottom w:val="0"/>
      <w:divBdr>
        <w:top w:val="none" w:sz="0" w:space="0" w:color="auto"/>
        <w:left w:val="none" w:sz="0" w:space="0" w:color="auto"/>
        <w:bottom w:val="none" w:sz="0" w:space="0" w:color="auto"/>
        <w:right w:val="none" w:sz="0" w:space="0" w:color="auto"/>
      </w:divBdr>
      <w:divsChild>
        <w:div w:id="51271035">
          <w:marLeft w:val="0"/>
          <w:marRight w:val="0"/>
          <w:marTop w:val="0"/>
          <w:marBottom w:val="0"/>
          <w:divBdr>
            <w:top w:val="none" w:sz="0" w:space="0" w:color="auto"/>
            <w:left w:val="none" w:sz="0" w:space="0" w:color="auto"/>
            <w:bottom w:val="none" w:sz="0" w:space="0" w:color="auto"/>
            <w:right w:val="none" w:sz="0" w:space="0" w:color="auto"/>
          </w:divBdr>
          <w:divsChild>
            <w:div w:id="1141460417">
              <w:marLeft w:val="0"/>
              <w:marRight w:val="0"/>
              <w:marTop w:val="0"/>
              <w:marBottom w:val="0"/>
              <w:divBdr>
                <w:top w:val="none" w:sz="0" w:space="0" w:color="auto"/>
                <w:left w:val="none" w:sz="0" w:space="0" w:color="auto"/>
                <w:bottom w:val="none" w:sz="0" w:space="0" w:color="auto"/>
                <w:right w:val="none" w:sz="0" w:space="0" w:color="auto"/>
              </w:divBdr>
            </w:div>
          </w:divsChild>
        </w:div>
        <w:div w:id="95828499">
          <w:marLeft w:val="0"/>
          <w:marRight w:val="0"/>
          <w:marTop w:val="0"/>
          <w:marBottom w:val="0"/>
          <w:divBdr>
            <w:top w:val="none" w:sz="0" w:space="0" w:color="auto"/>
            <w:left w:val="none" w:sz="0" w:space="0" w:color="auto"/>
            <w:bottom w:val="none" w:sz="0" w:space="0" w:color="auto"/>
            <w:right w:val="none" w:sz="0" w:space="0" w:color="auto"/>
          </w:divBdr>
          <w:divsChild>
            <w:div w:id="1909682714">
              <w:marLeft w:val="0"/>
              <w:marRight w:val="0"/>
              <w:marTop w:val="0"/>
              <w:marBottom w:val="0"/>
              <w:divBdr>
                <w:top w:val="none" w:sz="0" w:space="0" w:color="auto"/>
                <w:left w:val="none" w:sz="0" w:space="0" w:color="auto"/>
                <w:bottom w:val="none" w:sz="0" w:space="0" w:color="auto"/>
                <w:right w:val="none" w:sz="0" w:space="0" w:color="auto"/>
              </w:divBdr>
            </w:div>
          </w:divsChild>
        </w:div>
        <w:div w:id="113838959">
          <w:marLeft w:val="0"/>
          <w:marRight w:val="0"/>
          <w:marTop w:val="0"/>
          <w:marBottom w:val="0"/>
          <w:divBdr>
            <w:top w:val="none" w:sz="0" w:space="0" w:color="auto"/>
            <w:left w:val="none" w:sz="0" w:space="0" w:color="auto"/>
            <w:bottom w:val="none" w:sz="0" w:space="0" w:color="auto"/>
            <w:right w:val="none" w:sz="0" w:space="0" w:color="auto"/>
          </w:divBdr>
          <w:divsChild>
            <w:div w:id="151067073">
              <w:marLeft w:val="0"/>
              <w:marRight w:val="0"/>
              <w:marTop w:val="0"/>
              <w:marBottom w:val="0"/>
              <w:divBdr>
                <w:top w:val="none" w:sz="0" w:space="0" w:color="auto"/>
                <w:left w:val="none" w:sz="0" w:space="0" w:color="auto"/>
                <w:bottom w:val="none" w:sz="0" w:space="0" w:color="auto"/>
                <w:right w:val="none" w:sz="0" w:space="0" w:color="auto"/>
              </w:divBdr>
            </w:div>
          </w:divsChild>
        </w:div>
        <w:div w:id="292756460">
          <w:marLeft w:val="0"/>
          <w:marRight w:val="0"/>
          <w:marTop w:val="0"/>
          <w:marBottom w:val="0"/>
          <w:divBdr>
            <w:top w:val="none" w:sz="0" w:space="0" w:color="auto"/>
            <w:left w:val="none" w:sz="0" w:space="0" w:color="auto"/>
            <w:bottom w:val="none" w:sz="0" w:space="0" w:color="auto"/>
            <w:right w:val="none" w:sz="0" w:space="0" w:color="auto"/>
          </w:divBdr>
          <w:divsChild>
            <w:div w:id="150609746">
              <w:marLeft w:val="0"/>
              <w:marRight w:val="0"/>
              <w:marTop w:val="0"/>
              <w:marBottom w:val="0"/>
              <w:divBdr>
                <w:top w:val="none" w:sz="0" w:space="0" w:color="auto"/>
                <w:left w:val="none" w:sz="0" w:space="0" w:color="auto"/>
                <w:bottom w:val="none" w:sz="0" w:space="0" w:color="auto"/>
                <w:right w:val="none" w:sz="0" w:space="0" w:color="auto"/>
              </w:divBdr>
            </w:div>
          </w:divsChild>
        </w:div>
        <w:div w:id="624626464">
          <w:marLeft w:val="0"/>
          <w:marRight w:val="0"/>
          <w:marTop w:val="0"/>
          <w:marBottom w:val="0"/>
          <w:divBdr>
            <w:top w:val="none" w:sz="0" w:space="0" w:color="auto"/>
            <w:left w:val="none" w:sz="0" w:space="0" w:color="auto"/>
            <w:bottom w:val="none" w:sz="0" w:space="0" w:color="auto"/>
            <w:right w:val="none" w:sz="0" w:space="0" w:color="auto"/>
          </w:divBdr>
          <w:divsChild>
            <w:div w:id="627395083">
              <w:marLeft w:val="0"/>
              <w:marRight w:val="0"/>
              <w:marTop w:val="0"/>
              <w:marBottom w:val="0"/>
              <w:divBdr>
                <w:top w:val="none" w:sz="0" w:space="0" w:color="auto"/>
                <w:left w:val="none" w:sz="0" w:space="0" w:color="auto"/>
                <w:bottom w:val="none" w:sz="0" w:space="0" w:color="auto"/>
                <w:right w:val="none" w:sz="0" w:space="0" w:color="auto"/>
              </w:divBdr>
            </w:div>
          </w:divsChild>
        </w:div>
        <w:div w:id="640307612">
          <w:marLeft w:val="0"/>
          <w:marRight w:val="0"/>
          <w:marTop w:val="0"/>
          <w:marBottom w:val="0"/>
          <w:divBdr>
            <w:top w:val="none" w:sz="0" w:space="0" w:color="auto"/>
            <w:left w:val="none" w:sz="0" w:space="0" w:color="auto"/>
            <w:bottom w:val="none" w:sz="0" w:space="0" w:color="auto"/>
            <w:right w:val="none" w:sz="0" w:space="0" w:color="auto"/>
          </w:divBdr>
          <w:divsChild>
            <w:div w:id="2135587683">
              <w:marLeft w:val="0"/>
              <w:marRight w:val="0"/>
              <w:marTop w:val="0"/>
              <w:marBottom w:val="0"/>
              <w:divBdr>
                <w:top w:val="none" w:sz="0" w:space="0" w:color="auto"/>
                <w:left w:val="none" w:sz="0" w:space="0" w:color="auto"/>
                <w:bottom w:val="none" w:sz="0" w:space="0" w:color="auto"/>
                <w:right w:val="none" w:sz="0" w:space="0" w:color="auto"/>
              </w:divBdr>
            </w:div>
          </w:divsChild>
        </w:div>
        <w:div w:id="698823941">
          <w:marLeft w:val="0"/>
          <w:marRight w:val="0"/>
          <w:marTop w:val="0"/>
          <w:marBottom w:val="0"/>
          <w:divBdr>
            <w:top w:val="none" w:sz="0" w:space="0" w:color="auto"/>
            <w:left w:val="none" w:sz="0" w:space="0" w:color="auto"/>
            <w:bottom w:val="none" w:sz="0" w:space="0" w:color="auto"/>
            <w:right w:val="none" w:sz="0" w:space="0" w:color="auto"/>
          </w:divBdr>
          <w:divsChild>
            <w:div w:id="2015719099">
              <w:marLeft w:val="0"/>
              <w:marRight w:val="0"/>
              <w:marTop w:val="0"/>
              <w:marBottom w:val="0"/>
              <w:divBdr>
                <w:top w:val="none" w:sz="0" w:space="0" w:color="auto"/>
                <w:left w:val="none" w:sz="0" w:space="0" w:color="auto"/>
                <w:bottom w:val="none" w:sz="0" w:space="0" w:color="auto"/>
                <w:right w:val="none" w:sz="0" w:space="0" w:color="auto"/>
              </w:divBdr>
            </w:div>
          </w:divsChild>
        </w:div>
        <w:div w:id="716583851">
          <w:marLeft w:val="0"/>
          <w:marRight w:val="0"/>
          <w:marTop w:val="0"/>
          <w:marBottom w:val="0"/>
          <w:divBdr>
            <w:top w:val="none" w:sz="0" w:space="0" w:color="auto"/>
            <w:left w:val="none" w:sz="0" w:space="0" w:color="auto"/>
            <w:bottom w:val="none" w:sz="0" w:space="0" w:color="auto"/>
            <w:right w:val="none" w:sz="0" w:space="0" w:color="auto"/>
          </w:divBdr>
          <w:divsChild>
            <w:div w:id="2129006397">
              <w:marLeft w:val="0"/>
              <w:marRight w:val="0"/>
              <w:marTop w:val="0"/>
              <w:marBottom w:val="0"/>
              <w:divBdr>
                <w:top w:val="none" w:sz="0" w:space="0" w:color="auto"/>
                <w:left w:val="none" w:sz="0" w:space="0" w:color="auto"/>
                <w:bottom w:val="none" w:sz="0" w:space="0" w:color="auto"/>
                <w:right w:val="none" w:sz="0" w:space="0" w:color="auto"/>
              </w:divBdr>
            </w:div>
          </w:divsChild>
        </w:div>
        <w:div w:id="753167258">
          <w:marLeft w:val="0"/>
          <w:marRight w:val="0"/>
          <w:marTop w:val="0"/>
          <w:marBottom w:val="0"/>
          <w:divBdr>
            <w:top w:val="none" w:sz="0" w:space="0" w:color="auto"/>
            <w:left w:val="none" w:sz="0" w:space="0" w:color="auto"/>
            <w:bottom w:val="none" w:sz="0" w:space="0" w:color="auto"/>
            <w:right w:val="none" w:sz="0" w:space="0" w:color="auto"/>
          </w:divBdr>
          <w:divsChild>
            <w:div w:id="1352414436">
              <w:marLeft w:val="0"/>
              <w:marRight w:val="0"/>
              <w:marTop w:val="0"/>
              <w:marBottom w:val="0"/>
              <w:divBdr>
                <w:top w:val="none" w:sz="0" w:space="0" w:color="auto"/>
                <w:left w:val="none" w:sz="0" w:space="0" w:color="auto"/>
                <w:bottom w:val="none" w:sz="0" w:space="0" w:color="auto"/>
                <w:right w:val="none" w:sz="0" w:space="0" w:color="auto"/>
              </w:divBdr>
            </w:div>
          </w:divsChild>
        </w:div>
        <w:div w:id="779683877">
          <w:marLeft w:val="0"/>
          <w:marRight w:val="0"/>
          <w:marTop w:val="0"/>
          <w:marBottom w:val="0"/>
          <w:divBdr>
            <w:top w:val="none" w:sz="0" w:space="0" w:color="auto"/>
            <w:left w:val="none" w:sz="0" w:space="0" w:color="auto"/>
            <w:bottom w:val="none" w:sz="0" w:space="0" w:color="auto"/>
            <w:right w:val="none" w:sz="0" w:space="0" w:color="auto"/>
          </w:divBdr>
          <w:divsChild>
            <w:div w:id="593127656">
              <w:marLeft w:val="0"/>
              <w:marRight w:val="0"/>
              <w:marTop w:val="0"/>
              <w:marBottom w:val="0"/>
              <w:divBdr>
                <w:top w:val="none" w:sz="0" w:space="0" w:color="auto"/>
                <w:left w:val="none" w:sz="0" w:space="0" w:color="auto"/>
                <w:bottom w:val="none" w:sz="0" w:space="0" w:color="auto"/>
                <w:right w:val="none" w:sz="0" w:space="0" w:color="auto"/>
              </w:divBdr>
            </w:div>
          </w:divsChild>
        </w:div>
        <w:div w:id="784273646">
          <w:marLeft w:val="0"/>
          <w:marRight w:val="0"/>
          <w:marTop w:val="0"/>
          <w:marBottom w:val="0"/>
          <w:divBdr>
            <w:top w:val="none" w:sz="0" w:space="0" w:color="auto"/>
            <w:left w:val="none" w:sz="0" w:space="0" w:color="auto"/>
            <w:bottom w:val="none" w:sz="0" w:space="0" w:color="auto"/>
            <w:right w:val="none" w:sz="0" w:space="0" w:color="auto"/>
          </w:divBdr>
          <w:divsChild>
            <w:div w:id="860119879">
              <w:marLeft w:val="0"/>
              <w:marRight w:val="0"/>
              <w:marTop w:val="0"/>
              <w:marBottom w:val="0"/>
              <w:divBdr>
                <w:top w:val="none" w:sz="0" w:space="0" w:color="auto"/>
                <w:left w:val="none" w:sz="0" w:space="0" w:color="auto"/>
                <w:bottom w:val="none" w:sz="0" w:space="0" w:color="auto"/>
                <w:right w:val="none" w:sz="0" w:space="0" w:color="auto"/>
              </w:divBdr>
            </w:div>
          </w:divsChild>
        </w:div>
        <w:div w:id="800149667">
          <w:marLeft w:val="0"/>
          <w:marRight w:val="0"/>
          <w:marTop w:val="0"/>
          <w:marBottom w:val="0"/>
          <w:divBdr>
            <w:top w:val="none" w:sz="0" w:space="0" w:color="auto"/>
            <w:left w:val="none" w:sz="0" w:space="0" w:color="auto"/>
            <w:bottom w:val="none" w:sz="0" w:space="0" w:color="auto"/>
            <w:right w:val="none" w:sz="0" w:space="0" w:color="auto"/>
          </w:divBdr>
          <w:divsChild>
            <w:div w:id="340622232">
              <w:marLeft w:val="0"/>
              <w:marRight w:val="0"/>
              <w:marTop w:val="0"/>
              <w:marBottom w:val="0"/>
              <w:divBdr>
                <w:top w:val="none" w:sz="0" w:space="0" w:color="auto"/>
                <w:left w:val="none" w:sz="0" w:space="0" w:color="auto"/>
                <w:bottom w:val="none" w:sz="0" w:space="0" w:color="auto"/>
                <w:right w:val="none" w:sz="0" w:space="0" w:color="auto"/>
              </w:divBdr>
            </w:div>
          </w:divsChild>
        </w:div>
        <w:div w:id="851652200">
          <w:marLeft w:val="0"/>
          <w:marRight w:val="0"/>
          <w:marTop w:val="0"/>
          <w:marBottom w:val="0"/>
          <w:divBdr>
            <w:top w:val="none" w:sz="0" w:space="0" w:color="auto"/>
            <w:left w:val="none" w:sz="0" w:space="0" w:color="auto"/>
            <w:bottom w:val="none" w:sz="0" w:space="0" w:color="auto"/>
            <w:right w:val="none" w:sz="0" w:space="0" w:color="auto"/>
          </w:divBdr>
          <w:divsChild>
            <w:div w:id="647981732">
              <w:marLeft w:val="0"/>
              <w:marRight w:val="0"/>
              <w:marTop w:val="0"/>
              <w:marBottom w:val="0"/>
              <w:divBdr>
                <w:top w:val="none" w:sz="0" w:space="0" w:color="auto"/>
                <w:left w:val="none" w:sz="0" w:space="0" w:color="auto"/>
                <w:bottom w:val="none" w:sz="0" w:space="0" w:color="auto"/>
                <w:right w:val="none" w:sz="0" w:space="0" w:color="auto"/>
              </w:divBdr>
            </w:div>
          </w:divsChild>
        </w:div>
        <w:div w:id="893345007">
          <w:marLeft w:val="0"/>
          <w:marRight w:val="0"/>
          <w:marTop w:val="0"/>
          <w:marBottom w:val="0"/>
          <w:divBdr>
            <w:top w:val="none" w:sz="0" w:space="0" w:color="auto"/>
            <w:left w:val="none" w:sz="0" w:space="0" w:color="auto"/>
            <w:bottom w:val="none" w:sz="0" w:space="0" w:color="auto"/>
            <w:right w:val="none" w:sz="0" w:space="0" w:color="auto"/>
          </w:divBdr>
          <w:divsChild>
            <w:div w:id="68580258">
              <w:marLeft w:val="0"/>
              <w:marRight w:val="0"/>
              <w:marTop w:val="0"/>
              <w:marBottom w:val="0"/>
              <w:divBdr>
                <w:top w:val="none" w:sz="0" w:space="0" w:color="auto"/>
                <w:left w:val="none" w:sz="0" w:space="0" w:color="auto"/>
                <w:bottom w:val="none" w:sz="0" w:space="0" w:color="auto"/>
                <w:right w:val="none" w:sz="0" w:space="0" w:color="auto"/>
              </w:divBdr>
            </w:div>
          </w:divsChild>
        </w:div>
        <w:div w:id="965237743">
          <w:marLeft w:val="0"/>
          <w:marRight w:val="0"/>
          <w:marTop w:val="0"/>
          <w:marBottom w:val="0"/>
          <w:divBdr>
            <w:top w:val="none" w:sz="0" w:space="0" w:color="auto"/>
            <w:left w:val="none" w:sz="0" w:space="0" w:color="auto"/>
            <w:bottom w:val="none" w:sz="0" w:space="0" w:color="auto"/>
            <w:right w:val="none" w:sz="0" w:space="0" w:color="auto"/>
          </w:divBdr>
          <w:divsChild>
            <w:div w:id="1334065815">
              <w:marLeft w:val="0"/>
              <w:marRight w:val="0"/>
              <w:marTop w:val="0"/>
              <w:marBottom w:val="0"/>
              <w:divBdr>
                <w:top w:val="none" w:sz="0" w:space="0" w:color="auto"/>
                <w:left w:val="none" w:sz="0" w:space="0" w:color="auto"/>
                <w:bottom w:val="none" w:sz="0" w:space="0" w:color="auto"/>
                <w:right w:val="none" w:sz="0" w:space="0" w:color="auto"/>
              </w:divBdr>
            </w:div>
          </w:divsChild>
        </w:div>
        <w:div w:id="1059667651">
          <w:marLeft w:val="0"/>
          <w:marRight w:val="0"/>
          <w:marTop w:val="0"/>
          <w:marBottom w:val="0"/>
          <w:divBdr>
            <w:top w:val="none" w:sz="0" w:space="0" w:color="auto"/>
            <w:left w:val="none" w:sz="0" w:space="0" w:color="auto"/>
            <w:bottom w:val="none" w:sz="0" w:space="0" w:color="auto"/>
            <w:right w:val="none" w:sz="0" w:space="0" w:color="auto"/>
          </w:divBdr>
          <w:divsChild>
            <w:div w:id="1499152243">
              <w:marLeft w:val="0"/>
              <w:marRight w:val="0"/>
              <w:marTop w:val="0"/>
              <w:marBottom w:val="0"/>
              <w:divBdr>
                <w:top w:val="none" w:sz="0" w:space="0" w:color="auto"/>
                <w:left w:val="none" w:sz="0" w:space="0" w:color="auto"/>
                <w:bottom w:val="none" w:sz="0" w:space="0" w:color="auto"/>
                <w:right w:val="none" w:sz="0" w:space="0" w:color="auto"/>
              </w:divBdr>
            </w:div>
          </w:divsChild>
        </w:div>
        <w:div w:id="1195776360">
          <w:marLeft w:val="0"/>
          <w:marRight w:val="0"/>
          <w:marTop w:val="0"/>
          <w:marBottom w:val="0"/>
          <w:divBdr>
            <w:top w:val="none" w:sz="0" w:space="0" w:color="auto"/>
            <w:left w:val="none" w:sz="0" w:space="0" w:color="auto"/>
            <w:bottom w:val="none" w:sz="0" w:space="0" w:color="auto"/>
            <w:right w:val="none" w:sz="0" w:space="0" w:color="auto"/>
          </w:divBdr>
          <w:divsChild>
            <w:div w:id="2085180984">
              <w:marLeft w:val="0"/>
              <w:marRight w:val="0"/>
              <w:marTop w:val="0"/>
              <w:marBottom w:val="0"/>
              <w:divBdr>
                <w:top w:val="none" w:sz="0" w:space="0" w:color="auto"/>
                <w:left w:val="none" w:sz="0" w:space="0" w:color="auto"/>
                <w:bottom w:val="none" w:sz="0" w:space="0" w:color="auto"/>
                <w:right w:val="none" w:sz="0" w:space="0" w:color="auto"/>
              </w:divBdr>
            </w:div>
          </w:divsChild>
        </w:div>
        <w:div w:id="1217201768">
          <w:marLeft w:val="0"/>
          <w:marRight w:val="0"/>
          <w:marTop w:val="0"/>
          <w:marBottom w:val="0"/>
          <w:divBdr>
            <w:top w:val="none" w:sz="0" w:space="0" w:color="auto"/>
            <w:left w:val="none" w:sz="0" w:space="0" w:color="auto"/>
            <w:bottom w:val="none" w:sz="0" w:space="0" w:color="auto"/>
            <w:right w:val="none" w:sz="0" w:space="0" w:color="auto"/>
          </w:divBdr>
          <w:divsChild>
            <w:div w:id="808672591">
              <w:marLeft w:val="0"/>
              <w:marRight w:val="0"/>
              <w:marTop w:val="0"/>
              <w:marBottom w:val="0"/>
              <w:divBdr>
                <w:top w:val="none" w:sz="0" w:space="0" w:color="auto"/>
                <w:left w:val="none" w:sz="0" w:space="0" w:color="auto"/>
                <w:bottom w:val="none" w:sz="0" w:space="0" w:color="auto"/>
                <w:right w:val="none" w:sz="0" w:space="0" w:color="auto"/>
              </w:divBdr>
            </w:div>
          </w:divsChild>
        </w:div>
        <w:div w:id="1282764780">
          <w:marLeft w:val="0"/>
          <w:marRight w:val="0"/>
          <w:marTop w:val="0"/>
          <w:marBottom w:val="0"/>
          <w:divBdr>
            <w:top w:val="none" w:sz="0" w:space="0" w:color="auto"/>
            <w:left w:val="none" w:sz="0" w:space="0" w:color="auto"/>
            <w:bottom w:val="none" w:sz="0" w:space="0" w:color="auto"/>
            <w:right w:val="none" w:sz="0" w:space="0" w:color="auto"/>
          </w:divBdr>
          <w:divsChild>
            <w:div w:id="1195727830">
              <w:marLeft w:val="0"/>
              <w:marRight w:val="0"/>
              <w:marTop w:val="0"/>
              <w:marBottom w:val="0"/>
              <w:divBdr>
                <w:top w:val="none" w:sz="0" w:space="0" w:color="auto"/>
                <w:left w:val="none" w:sz="0" w:space="0" w:color="auto"/>
                <w:bottom w:val="none" w:sz="0" w:space="0" w:color="auto"/>
                <w:right w:val="none" w:sz="0" w:space="0" w:color="auto"/>
              </w:divBdr>
            </w:div>
          </w:divsChild>
        </w:div>
        <w:div w:id="1368991308">
          <w:marLeft w:val="0"/>
          <w:marRight w:val="0"/>
          <w:marTop w:val="0"/>
          <w:marBottom w:val="0"/>
          <w:divBdr>
            <w:top w:val="none" w:sz="0" w:space="0" w:color="auto"/>
            <w:left w:val="none" w:sz="0" w:space="0" w:color="auto"/>
            <w:bottom w:val="none" w:sz="0" w:space="0" w:color="auto"/>
            <w:right w:val="none" w:sz="0" w:space="0" w:color="auto"/>
          </w:divBdr>
          <w:divsChild>
            <w:div w:id="499083523">
              <w:marLeft w:val="0"/>
              <w:marRight w:val="0"/>
              <w:marTop w:val="0"/>
              <w:marBottom w:val="0"/>
              <w:divBdr>
                <w:top w:val="none" w:sz="0" w:space="0" w:color="auto"/>
                <w:left w:val="none" w:sz="0" w:space="0" w:color="auto"/>
                <w:bottom w:val="none" w:sz="0" w:space="0" w:color="auto"/>
                <w:right w:val="none" w:sz="0" w:space="0" w:color="auto"/>
              </w:divBdr>
            </w:div>
          </w:divsChild>
        </w:div>
        <w:div w:id="1545947842">
          <w:marLeft w:val="0"/>
          <w:marRight w:val="0"/>
          <w:marTop w:val="0"/>
          <w:marBottom w:val="0"/>
          <w:divBdr>
            <w:top w:val="none" w:sz="0" w:space="0" w:color="auto"/>
            <w:left w:val="none" w:sz="0" w:space="0" w:color="auto"/>
            <w:bottom w:val="none" w:sz="0" w:space="0" w:color="auto"/>
            <w:right w:val="none" w:sz="0" w:space="0" w:color="auto"/>
          </w:divBdr>
          <w:divsChild>
            <w:div w:id="1329796130">
              <w:marLeft w:val="0"/>
              <w:marRight w:val="0"/>
              <w:marTop w:val="0"/>
              <w:marBottom w:val="0"/>
              <w:divBdr>
                <w:top w:val="none" w:sz="0" w:space="0" w:color="auto"/>
                <w:left w:val="none" w:sz="0" w:space="0" w:color="auto"/>
                <w:bottom w:val="none" w:sz="0" w:space="0" w:color="auto"/>
                <w:right w:val="none" w:sz="0" w:space="0" w:color="auto"/>
              </w:divBdr>
            </w:div>
          </w:divsChild>
        </w:div>
        <w:div w:id="1555390878">
          <w:marLeft w:val="0"/>
          <w:marRight w:val="0"/>
          <w:marTop w:val="0"/>
          <w:marBottom w:val="0"/>
          <w:divBdr>
            <w:top w:val="none" w:sz="0" w:space="0" w:color="auto"/>
            <w:left w:val="none" w:sz="0" w:space="0" w:color="auto"/>
            <w:bottom w:val="none" w:sz="0" w:space="0" w:color="auto"/>
            <w:right w:val="none" w:sz="0" w:space="0" w:color="auto"/>
          </w:divBdr>
          <w:divsChild>
            <w:div w:id="2047873514">
              <w:marLeft w:val="0"/>
              <w:marRight w:val="0"/>
              <w:marTop w:val="0"/>
              <w:marBottom w:val="0"/>
              <w:divBdr>
                <w:top w:val="none" w:sz="0" w:space="0" w:color="auto"/>
                <w:left w:val="none" w:sz="0" w:space="0" w:color="auto"/>
                <w:bottom w:val="none" w:sz="0" w:space="0" w:color="auto"/>
                <w:right w:val="none" w:sz="0" w:space="0" w:color="auto"/>
              </w:divBdr>
            </w:div>
          </w:divsChild>
        </w:div>
        <w:div w:id="1703246445">
          <w:marLeft w:val="0"/>
          <w:marRight w:val="0"/>
          <w:marTop w:val="0"/>
          <w:marBottom w:val="0"/>
          <w:divBdr>
            <w:top w:val="none" w:sz="0" w:space="0" w:color="auto"/>
            <w:left w:val="none" w:sz="0" w:space="0" w:color="auto"/>
            <w:bottom w:val="none" w:sz="0" w:space="0" w:color="auto"/>
            <w:right w:val="none" w:sz="0" w:space="0" w:color="auto"/>
          </w:divBdr>
          <w:divsChild>
            <w:div w:id="864369057">
              <w:marLeft w:val="0"/>
              <w:marRight w:val="0"/>
              <w:marTop w:val="0"/>
              <w:marBottom w:val="0"/>
              <w:divBdr>
                <w:top w:val="none" w:sz="0" w:space="0" w:color="auto"/>
                <w:left w:val="none" w:sz="0" w:space="0" w:color="auto"/>
                <w:bottom w:val="none" w:sz="0" w:space="0" w:color="auto"/>
                <w:right w:val="none" w:sz="0" w:space="0" w:color="auto"/>
              </w:divBdr>
            </w:div>
          </w:divsChild>
        </w:div>
        <w:div w:id="1714161131">
          <w:marLeft w:val="0"/>
          <w:marRight w:val="0"/>
          <w:marTop w:val="0"/>
          <w:marBottom w:val="0"/>
          <w:divBdr>
            <w:top w:val="none" w:sz="0" w:space="0" w:color="auto"/>
            <w:left w:val="none" w:sz="0" w:space="0" w:color="auto"/>
            <w:bottom w:val="none" w:sz="0" w:space="0" w:color="auto"/>
            <w:right w:val="none" w:sz="0" w:space="0" w:color="auto"/>
          </w:divBdr>
          <w:divsChild>
            <w:div w:id="781924388">
              <w:marLeft w:val="0"/>
              <w:marRight w:val="0"/>
              <w:marTop w:val="0"/>
              <w:marBottom w:val="0"/>
              <w:divBdr>
                <w:top w:val="none" w:sz="0" w:space="0" w:color="auto"/>
                <w:left w:val="none" w:sz="0" w:space="0" w:color="auto"/>
                <w:bottom w:val="none" w:sz="0" w:space="0" w:color="auto"/>
                <w:right w:val="none" w:sz="0" w:space="0" w:color="auto"/>
              </w:divBdr>
            </w:div>
          </w:divsChild>
        </w:div>
        <w:div w:id="1714885519">
          <w:marLeft w:val="0"/>
          <w:marRight w:val="0"/>
          <w:marTop w:val="0"/>
          <w:marBottom w:val="0"/>
          <w:divBdr>
            <w:top w:val="none" w:sz="0" w:space="0" w:color="auto"/>
            <w:left w:val="none" w:sz="0" w:space="0" w:color="auto"/>
            <w:bottom w:val="none" w:sz="0" w:space="0" w:color="auto"/>
            <w:right w:val="none" w:sz="0" w:space="0" w:color="auto"/>
          </w:divBdr>
          <w:divsChild>
            <w:div w:id="1392921087">
              <w:marLeft w:val="0"/>
              <w:marRight w:val="0"/>
              <w:marTop w:val="0"/>
              <w:marBottom w:val="0"/>
              <w:divBdr>
                <w:top w:val="none" w:sz="0" w:space="0" w:color="auto"/>
                <w:left w:val="none" w:sz="0" w:space="0" w:color="auto"/>
                <w:bottom w:val="none" w:sz="0" w:space="0" w:color="auto"/>
                <w:right w:val="none" w:sz="0" w:space="0" w:color="auto"/>
              </w:divBdr>
            </w:div>
          </w:divsChild>
        </w:div>
        <w:div w:id="1980843055">
          <w:marLeft w:val="0"/>
          <w:marRight w:val="0"/>
          <w:marTop w:val="0"/>
          <w:marBottom w:val="0"/>
          <w:divBdr>
            <w:top w:val="none" w:sz="0" w:space="0" w:color="auto"/>
            <w:left w:val="none" w:sz="0" w:space="0" w:color="auto"/>
            <w:bottom w:val="none" w:sz="0" w:space="0" w:color="auto"/>
            <w:right w:val="none" w:sz="0" w:space="0" w:color="auto"/>
          </w:divBdr>
          <w:divsChild>
            <w:div w:id="1322735715">
              <w:marLeft w:val="0"/>
              <w:marRight w:val="0"/>
              <w:marTop w:val="0"/>
              <w:marBottom w:val="0"/>
              <w:divBdr>
                <w:top w:val="none" w:sz="0" w:space="0" w:color="auto"/>
                <w:left w:val="none" w:sz="0" w:space="0" w:color="auto"/>
                <w:bottom w:val="none" w:sz="0" w:space="0" w:color="auto"/>
                <w:right w:val="none" w:sz="0" w:space="0" w:color="auto"/>
              </w:divBdr>
            </w:div>
          </w:divsChild>
        </w:div>
        <w:div w:id="2062095512">
          <w:marLeft w:val="0"/>
          <w:marRight w:val="0"/>
          <w:marTop w:val="0"/>
          <w:marBottom w:val="0"/>
          <w:divBdr>
            <w:top w:val="none" w:sz="0" w:space="0" w:color="auto"/>
            <w:left w:val="none" w:sz="0" w:space="0" w:color="auto"/>
            <w:bottom w:val="none" w:sz="0" w:space="0" w:color="auto"/>
            <w:right w:val="none" w:sz="0" w:space="0" w:color="auto"/>
          </w:divBdr>
          <w:divsChild>
            <w:div w:id="1268542788">
              <w:marLeft w:val="0"/>
              <w:marRight w:val="0"/>
              <w:marTop w:val="0"/>
              <w:marBottom w:val="0"/>
              <w:divBdr>
                <w:top w:val="none" w:sz="0" w:space="0" w:color="auto"/>
                <w:left w:val="none" w:sz="0" w:space="0" w:color="auto"/>
                <w:bottom w:val="none" w:sz="0" w:space="0" w:color="auto"/>
                <w:right w:val="none" w:sz="0" w:space="0" w:color="auto"/>
              </w:divBdr>
            </w:div>
          </w:divsChild>
        </w:div>
        <w:div w:id="2088766609">
          <w:marLeft w:val="0"/>
          <w:marRight w:val="0"/>
          <w:marTop w:val="0"/>
          <w:marBottom w:val="0"/>
          <w:divBdr>
            <w:top w:val="none" w:sz="0" w:space="0" w:color="auto"/>
            <w:left w:val="none" w:sz="0" w:space="0" w:color="auto"/>
            <w:bottom w:val="none" w:sz="0" w:space="0" w:color="auto"/>
            <w:right w:val="none" w:sz="0" w:space="0" w:color="auto"/>
          </w:divBdr>
          <w:divsChild>
            <w:div w:id="2305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17181">
      <w:bodyDiv w:val="1"/>
      <w:marLeft w:val="0"/>
      <w:marRight w:val="0"/>
      <w:marTop w:val="0"/>
      <w:marBottom w:val="0"/>
      <w:divBdr>
        <w:top w:val="none" w:sz="0" w:space="0" w:color="auto"/>
        <w:left w:val="none" w:sz="0" w:space="0" w:color="auto"/>
        <w:bottom w:val="none" w:sz="0" w:space="0" w:color="auto"/>
        <w:right w:val="none" w:sz="0" w:space="0" w:color="auto"/>
      </w:divBdr>
    </w:div>
    <w:div w:id="553859296">
      <w:bodyDiv w:val="1"/>
      <w:marLeft w:val="0"/>
      <w:marRight w:val="0"/>
      <w:marTop w:val="0"/>
      <w:marBottom w:val="0"/>
      <w:divBdr>
        <w:top w:val="none" w:sz="0" w:space="0" w:color="auto"/>
        <w:left w:val="none" w:sz="0" w:space="0" w:color="auto"/>
        <w:bottom w:val="none" w:sz="0" w:space="0" w:color="auto"/>
        <w:right w:val="none" w:sz="0" w:space="0" w:color="auto"/>
      </w:divBdr>
      <w:divsChild>
        <w:div w:id="1246584">
          <w:marLeft w:val="0"/>
          <w:marRight w:val="0"/>
          <w:marTop w:val="0"/>
          <w:marBottom w:val="0"/>
          <w:divBdr>
            <w:top w:val="none" w:sz="0" w:space="0" w:color="auto"/>
            <w:left w:val="none" w:sz="0" w:space="0" w:color="auto"/>
            <w:bottom w:val="none" w:sz="0" w:space="0" w:color="auto"/>
            <w:right w:val="none" w:sz="0" w:space="0" w:color="auto"/>
          </w:divBdr>
          <w:divsChild>
            <w:div w:id="1701739382">
              <w:marLeft w:val="0"/>
              <w:marRight w:val="0"/>
              <w:marTop w:val="0"/>
              <w:marBottom w:val="0"/>
              <w:divBdr>
                <w:top w:val="none" w:sz="0" w:space="0" w:color="auto"/>
                <w:left w:val="none" w:sz="0" w:space="0" w:color="auto"/>
                <w:bottom w:val="none" w:sz="0" w:space="0" w:color="auto"/>
                <w:right w:val="none" w:sz="0" w:space="0" w:color="auto"/>
              </w:divBdr>
            </w:div>
          </w:divsChild>
        </w:div>
        <w:div w:id="16348205">
          <w:marLeft w:val="0"/>
          <w:marRight w:val="0"/>
          <w:marTop w:val="0"/>
          <w:marBottom w:val="0"/>
          <w:divBdr>
            <w:top w:val="none" w:sz="0" w:space="0" w:color="auto"/>
            <w:left w:val="none" w:sz="0" w:space="0" w:color="auto"/>
            <w:bottom w:val="none" w:sz="0" w:space="0" w:color="auto"/>
            <w:right w:val="none" w:sz="0" w:space="0" w:color="auto"/>
          </w:divBdr>
          <w:divsChild>
            <w:div w:id="663818528">
              <w:marLeft w:val="0"/>
              <w:marRight w:val="0"/>
              <w:marTop w:val="0"/>
              <w:marBottom w:val="0"/>
              <w:divBdr>
                <w:top w:val="none" w:sz="0" w:space="0" w:color="auto"/>
                <w:left w:val="none" w:sz="0" w:space="0" w:color="auto"/>
                <w:bottom w:val="none" w:sz="0" w:space="0" w:color="auto"/>
                <w:right w:val="none" w:sz="0" w:space="0" w:color="auto"/>
              </w:divBdr>
            </w:div>
          </w:divsChild>
        </w:div>
        <w:div w:id="21513249">
          <w:marLeft w:val="0"/>
          <w:marRight w:val="0"/>
          <w:marTop w:val="0"/>
          <w:marBottom w:val="0"/>
          <w:divBdr>
            <w:top w:val="none" w:sz="0" w:space="0" w:color="auto"/>
            <w:left w:val="none" w:sz="0" w:space="0" w:color="auto"/>
            <w:bottom w:val="none" w:sz="0" w:space="0" w:color="auto"/>
            <w:right w:val="none" w:sz="0" w:space="0" w:color="auto"/>
          </w:divBdr>
          <w:divsChild>
            <w:div w:id="75589089">
              <w:marLeft w:val="0"/>
              <w:marRight w:val="0"/>
              <w:marTop w:val="0"/>
              <w:marBottom w:val="0"/>
              <w:divBdr>
                <w:top w:val="none" w:sz="0" w:space="0" w:color="auto"/>
                <w:left w:val="none" w:sz="0" w:space="0" w:color="auto"/>
                <w:bottom w:val="none" w:sz="0" w:space="0" w:color="auto"/>
                <w:right w:val="none" w:sz="0" w:space="0" w:color="auto"/>
              </w:divBdr>
            </w:div>
          </w:divsChild>
        </w:div>
        <w:div w:id="32660325">
          <w:marLeft w:val="0"/>
          <w:marRight w:val="0"/>
          <w:marTop w:val="0"/>
          <w:marBottom w:val="0"/>
          <w:divBdr>
            <w:top w:val="none" w:sz="0" w:space="0" w:color="auto"/>
            <w:left w:val="none" w:sz="0" w:space="0" w:color="auto"/>
            <w:bottom w:val="none" w:sz="0" w:space="0" w:color="auto"/>
            <w:right w:val="none" w:sz="0" w:space="0" w:color="auto"/>
          </w:divBdr>
          <w:divsChild>
            <w:div w:id="1897737936">
              <w:marLeft w:val="0"/>
              <w:marRight w:val="0"/>
              <w:marTop w:val="0"/>
              <w:marBottom w:val="0"/>
              <w:divBdr>
                <w:top w:val="none" w:sz="0" w:space="0" w:color="auto"/>
                <w:left w:val="none" w:sz="0" w:space="0" w:color="auto"/>
                <w:bottom w:val="none" w:sz="0" w:space="0" w:color="auto"/>
                <w:right w:val="none" w:sz="0" w:space="0" w:color="auto"/>
              </w:divBdr>
            </w:div>
          </w:divsChild>
        </w:div>
        <w:div w:id="56126134">
          <w:marLeft w:val="0"/>
          <w:marRight w:val="0"/>
          <w:marTop w:val="0"/>
          <w:marBottom w:val="0"/>
          <w:divBdr>
            <w:top w:val="none" w:sz="0" w:space="0" w:color="auto"/>
            <w:left w:val="none" w:sz="0" w:space="0" w:color="auto"/>
            <w:bottom w:val="none" w:sz="0" w:space="0" w:color="auto"/>
            <w:right w:val="none" w:sz="0" w:space="0" w:color="auto"/>
          </w:divBdr>
          <w:divsChild>
            <w:div w:id="1024214561">
              <w:marLeft w:val="0"/>
              <w:marRight w:val="0"/>
              <w:marTop w:val="0"/>
              <w:marBottom w:val="0"/>
              <w:divBdr>
                <w:top w:val="none" w:sz="0" w:space="0" w:color="auto"/>
                <w:left w:val="none" w:sz="0" w:space="0" w:color="auto"/>
                <w:bottom w:val="none" w:sz="0" w:space="0" w:color="auto"/>
                <w:right w:val="none" w:sz="0" w:space="0" w:color="auto"/>
              </w:divBdr>
            </w:div>
          </w:divsChild>
        </w:div>
        <w:div w:id="68961266">
          <w:marLeft w:val="0"/>
          <w:marRight w:val="0"/>
          <w:marTop w:val="0"/>
          <w:marBottom w:val="0"/>
          <w:divBdr>
            <w:top w:val="none" w:sz="0" w:space="0" w:color="auto"/>
            <w:left w:val="none" w:sz="0" w:space="0" w:color="auto"/>
            <w:bottom w:val="none" w:sz="0" w:space="0" w:color="auto"/>
            <w:right w:val="none" w:sz="0" w:space="0" w:color="auto"/>
          </w:divBdr>
          <w:divsChild>
            <w:div w:id="601298769">
              <w:marLeft w:val="0"/>
              <w:marRight w:val="0"/>
              <w:marTop w:val="0"/>
              <w:marBottom w:val="0"/>
              <w:divBdr>
                <w:top w:val="none" w:sz="0" w:space="0" w:color="auto"/>
                <w:left w:val="none" w:sz="0" w:space="0" w:color="auto"/>
                <w:bottom w:val="none" w:sz="0" w:space="0" w:color="auto"/>
                <w:right w:val="none" w:sz="0" w:space="0" w:color="auto"/>
              </w:divBdr>
            </w:div>
          </w:divsChild>
        </w:div>
        <w:div w:id="75786260">
          <w:marLeft w:val="0"/>
          <w:marRight w:val="0"/>
          <w:marTop w:val="0"/>
          <w:marBottom w:val="0"/>
          <w:divBdr>
            <w:top w:val="none" w:sz="0" w:space="0" w:color="auto"/>
            <w:left w:val="none" w:sz="0" w:space="0" w:color="auto"/>
            <w:bottom w:val="none" w:sz="0" w:space="0" w:color="auto"/>
            <w:right w:val="none" w:sz="0" w:space="0" w:color="auto"/>
          </w:divBdr>
          <w:divsChild>
            <w:div w:id="1334719161">
              <w:marLeft w:val="0"/>
              <w:marRight w:val="0"/>
              <w:marTop w:val="0"/>
              <w:marBottom w:val="0"/>
              <w:divBdr>
                <w:top w:val="none" w:sz="0" w:space="0" w:color="auto"/>
                <w:left w:val="none" w:sz="0" w:space="0" w:color="auto"/>
                <w:bottom w:val="none" w:sz="0" w:space="0" w:color="auto"/>
                <w:right w:val="none" w:sz="0" w:space="0" w:color="auto"/>
              </w:divBdr>
            </w:div>
          </w:divsChild>
        </w:div>
        <w:div w:id="302084762">
          <w:marLeft w:val="0"/>
          <w:marRight w:val="0"/>
          <w:marTop w:val="0"/>
          <w:marBottom w:val="0"/>
          <w:divBdr>
            <w:top w:val="none" w:sz="0" w:space="0" w:color="auto"/>
            <w:left w:val="none" w:sz="0" w:space="0" w:color="auto"/>
            <w:bottom w:val="none" w:sz="0" w:space="0" w:color="auto"/>
            <w:right w:val="none" w:sz="0" w:space="0" w:color="auto"/>
          </w:divBdr>
          <w:divsChild>
            <w:div w:id="186677647">
              <w:marLeft w:val="0"/>
              <w:marRight w:val="0"/>
              <w:marTop w:val="0"/>
              <w:marBottom w:val="0"/>
              <w:divBdr>
                <w:top w:val="none" w:sz="0" w:space="0" w:color="auto"/>
                <w:left w:val="none" w:sz="0" w:space="0" w:color="auto"/>
                <w:bottom w:val="none" w:sz="0" w:space="0" w:color="auto"/>
                <w:right w:val="none" w:sz="0" w:space="0" w:color="auto"/>
              </w:divBdr>
            </w:div>
          </w:divsChild>
        </w:div>
        <w:div w:id="341275119">
          <w:marLeft w:val="0"/>
          <w:marRight w:val="0"/>
          <w:marTop w:val="0"/>
          <w:marBottom w:val="0"/>
          <w:divBdr>
            <w:top w:val="none" w:sz="0" w:space="0" w:color="auto"/>
            <w:left w:val="none" w:sz="0" w:space="0" w:color="auto"/>
            <w:bottom w:val="none" w:sz="0" w:space="0" w:color="auto"/>
            <w:right w:val="none" w:sz="0" w:space="0" w:color="auto"/>
          </w:divBdr>
          <w:divsChild>
            <w:div w:id="1364792118">
              <w:marLeft w:val="0"/>
              <w:marRight w:val="0"/>
              <w:marTop w:val="0"/>
              <w:marBottom w:val="0"/>
              <w:divBdr>
                <w:top w:val="none" w:sz="0" w:space="0" w:color="auto"/>
                <w:left w:val="none" w:sz="0" w:space="0" w:color="auto"/>
                <w:bottom w:val="none" w:sz="0" w:space="0" w:color="auto"/>
                <w:right w:val="none" w:sz="0" w:space="0" w:color="auto"/>
              </w:divBdr>
            </w:div>
          </w:divsChild>
        </w:div>
        <w:div w:id="658113670">
          <w:marLeft w:val="0"/>
          <w:marRight w:val="0"/>
          <w:marTop w:val="0"/>
          <w:marBottom w:val="0"/>
          <w:divBdr>
            <w:top w:val="none" w:sz="0" w:space="0" w:color="auto"/>
            <w:left w:val="none" w:sz="0" w:space="0" w:color="auto"/>
            <w:bottom w:val="none" w:sz="0" w:space="0" w:color="auto"/>
            <w:right w:val="none" w:sz="0" w:space="0" w:color="auto"/>
          </w:divBdr>
          <w:divsChild>
            <w:div w:id="74321198">
              <w:marLeft w:val="0"/>
              <w:marRight w:val="0"/>
              <w:marTop w:val="0"/>
              <w:marBottom w:val="0"/>
              <w:divBdr>
                <w:top w:val="none" w:sz="0" w:space="0" w:color="auto"/>
                <w:left w:val="none" w:sz="0" w:space="0" w:color="auto"/>
                <w:bottom w:val="none" w:sz="0" w:space="0" w:color="auto"/>
                <w:right w:val="none" w:sz="0" w:space="0" w:color="auto"/>
              </w:divBdr>
            </w:div>
          </w:divsChild>
        </w:div>
        <w:div w:id="865796403">
          <w:marLeft w:val="0"/>
          <w:marRight w:val="0"/>
          <w:marTop w:val="0"/>
          <w:marBottom w:val="0"/>
          <w:divBdr>
            <w:top w:val="none" w:sz="0" w:space="0" w:color="auto"/>
            <w:left w:val="none" w:sz="0" w:space="0" w:color="auto"/>
            <w:bottom w:val="none" w:sz="0" w:space="0" w:color="auto"/>
            <w:right w:val="none" w:sz="0" w:space="0" w:color="auto"/>
          </w:divBdr>
          <w:divsChild>
            <w:div w:id="1292983190">
              <w:marLeft w:val="0"/>
              <w:marRight w:val="0"/>
              <w:marTop w:val="0"/>
              <w:marBottom w:val="0"/>
              <w:divBdr>
                <w:top w:val="none" w:sz="0" w:space="0" w:color="auto"/>
                <w:left w:val="none" w:sz="0" w:space="0" w:color="auto"/>
                <w:bottom w:val="none" w:sz="0" w:space="0" w:color="auto"/>
                <w:right w:val="none" w:sz="0" w:space="0" w:color="auto"/>
              </w:divBdr>
            </w:div>
          </w:divsChild>
        </w:div>
        <w:div w:id="969167806">
          <w:marLeft w:val="0"/>
          <w:marRight w:val="0"/>
          <w:marTop w:val="0"/>
          <w:marBottom w:val="0"/>
          <w:divBdr>
            <w:top w:val="none" w:sz="0" w:space="0" w:color="auto"/>
            <w:left w:val="none" w:sz="0" w:space="0" w:color="auto"/>
            <w:bottom w:val="none" w:sz="0" w:space="0" w:color="auto"/>
            <w:right w:val="none" w:sz="0" w:space="0" w:color="auto"/>
          </w:divBdr>
          <w:divsChild>
            <w:div w:id="1425959214">
              <w:marLeft w:val="0"/>
              <w:marRight w:val="0"/>
              <w:marTop w:val="0"/>
              <w:marBottom w:val="0"/>
              <w:divBdr>
                <w:top w:val="none" w:sz="0" w:space="0" w:color="auto"/>
                <w:left w:val="none" w:sz="0" w:space="0" w:color="auto"/>
                <w:bottom w:val="none" w:sz="0" w:space="0" w:color="auto"/>
                <w:right w:val="none" w:sz="0" w:space="0" w:color="auto"/>
              </w:divBdr>
            </w:div>
          </w:divsChild>
        </w:div>
        <w:div w:id="971594314">
          <w:marLeft w:val="0"/>
          <w:marRight w:val="0"/>
          <w:marTop w:val="0"/>
          <w:marBottom w:val="0"/>
          <w:divBdr>
            <w:top w:val="none" w:sz="0" w:space="0" w:color="auto"/>
            <w:left w:val="none" w:sz="0" w:space="0" w:color="auto"/>
            <w:bottom w:val="none" w:sz="0" w:space="0" w:color="auto"/>
            <w:right w:val="none" w:sz="0" w:space="0" w:color="auto"/>
          </w:divBdr>
          <w:divsChild>
            <w:div w:id="90778238">
              <w:marLeft w:val="0"/>
              <w:marRight w:val="0"/>
              <w:marTop w:val="0"/>
              <w:marBottom w:val="0"/>
              <w:divBdr>
                <w:top w:val="none" w:sz="0" w:space="0" w:color="auto"/>
                <w:left w:val="none" w:sz="0" w:space="0" w:color="auto"/>
                <w:bottom w:val="none" w:sz="0" w:space="0" w:color="auto"/>
                <w:right w:val="none" w:sz="0" w:space="0" w:color="auto"/>
              </w:divBdr>
            </w:div>
          </w:divsChild>
        </w:div>
        <w:div w:id="980773368">
          <w:marLeft w:val="0"/>
          <w:marRight w:val="0"/>
          <w:marTop w:val="0"/>
          <w:marBottom w:val="0"/>
          <w:divBdr>
            <w:top w:val="none" w:sz="0" w:space="0" w:color="auto"/>
            <w:left w:val="none" w:sz="0" w:space="0" w:color="auto"/>
            <w:bottom w:val="none" w:sz="0" w:space="0" w:color="auto"/>
            <w:right w:val="none" w:sz="0" w:space="0" w:color="auto"/>
          </w:divBdr>
          <w:divsChild>
            <w:div w:id="88475687">
              <w:marLeft w:val="0"/>
              <w:marRight w:val="0"/>
              <w:marTop w:val="0"/>
              <w:marBottom w:val="0"/>
              <w:divBdr>
                <w:top w:val="none" w:sz="0" w:space="0" w:color="auto"/>
                <w:left w:val="none" w:sz="0" w:space="0" w:color="auto"/>
                <w:bottom w:val="none" w:sz="0" w:space="0" w:color="auto"/>
                <w:right w:val="none" w:sz="0" w:space="0" w:color="auto"/>
              </w:divBdr>
            </w:div>
          </w:divsChild>
        </w:div>
        <w:div w:id="1002392490">
          <w:marLeft w:val="0"/>
          <w:marRight w:val="0"/>
          <w:marTop w:val="0"/>
          <w:marBottom w:val="0"/>
          <w:divBdr>
            <w:top w:val="none" w:sz="0" w:space="0" w:color="auto"/>
            <w:left w:val="none" w:sz="0" w:space="0" w:color="auto"/>
            <w:bottom w:val="none" w:sz="0" w:space="0" w:color="auto"/>
            <w:right w:val="none" w:sz="0" w:space="0" w:color="auto"/>
          </w:divBdr>
          <w:divsChild>
            <w:div w:id="1994140646">
              <w:marLeft w:val="0"/>
              <w:marRight w:val="0"/>
              <w:marTop w:val="0"/>
              <w:marBottom w:val="0"/>
              <w:divBdr>
                <w:top w:val="none" w:sz="0" w:space="0" w:color="auto"/>
                <w:left w:val="none" w:sz="0" w:space="0" w:color="auto"/>
                <w:bottom w:val="none" w:sz="0" w:space="0" w:color="auto"/>
                <w:right w:val="none" w:sz="0" w:space="0" w:color="auto"/>
              </w:divBdr>
            </w:div>
          </w:divsChild>
        </w:div>
        <w:div w:id="1024479324">
          <w:marLeft w:val="0"/>
          <w:marRight w:val="0"/>
          <w:marTop w:val="0"/>
          <w:marBottom w:val="0"/>
          <w:divBdr>
            <w:top w:val="none" w:sz="0" w:space="0" w:color="auto"/>
            <w:left w:val="none" w:sz="0" w:space="0" w:color="auto"/>
            <w:bottom w:val="none" w:sz="0" w:space="0" w:color="auto"/>
            <w:right w:val="none" w:sz="0" w:space="0" w:color="auto"/>
          </w:divBdr>
          <w:divsChild>
            <w:div w:id="2633823">
              <w:marLeft w:val="0"/>
              <w:marRight w:val="0"/>
              <w:marTop w:val="0"/>
              <w:marBottom w:val="0"/>
              <w:divBdr>
                <w:top w:val="none" w:sz="0" w:space="0" w:color="auto"/>
                <w:left w:val="none" w:sz="0" w:space="0" w:color="auto"/>
                <w:bottom w:val="none" w:sz="0" w:space="0" w:color="auto"/>
                <w:right w:val="none" w:sz="0" w:space="0" w:color="auto"/>
              </w:divBdr>
            </w:div>
          </w:divsChild>
        </w:div>
        <w:div w:id="1064377439">
          <w:marLeft w:val="0"/>
          <w:marRight w:val="0"/>
          <w:marTop w:val="0"/>
          <w:marBottom w:val="0"/>
          <w:divBdr>
            <w:top w:val="none" w:sz="0" w:space="0" w:color="auto"/>
            <w:left w:val="none" w:sz="0" w:space="0" w:color="auto"/>
            <w:bottom w:val="none" w:sz="0" w:space="0" w:color="auto"/>
            <w:right w:val="none" w:sz="0" w:space="0" w:color="auto"/>
          </w:divBdr>
          <w:divsChild>
            <w:div w:id="1419868127">
              <w:marLeft w:val="0"/>
              <w:marRight w:val="0"/>
              <w:marTop w:val="0"/>
              <w:marBottom w:val="0"/>
              <w:divBdr>
                <w:top w:val="none" w:sz="0" w:space="0" w:color="auto"/>
                <w:left w:val="none" w:sz="0" w:space="0" w:color="auto"/>
                <w:bottom w:val="none" w:sz="0" w:space="0" w:color="auto"/>
                <w:right w:val="none" w:sz="0" w:space="0" w:color="auto"/>
              </w:divBdr>
            </w:div>
          </w:divsChild>
        </w:div>
        <w:div w:id="1188300699">
          <w:marLeft w:val="0"/>
          <w:marRight w:val="0"/>
          <w:marTop w:val="0"/>
          <w:marBottom w:val="0"/>
          <w:divBdr>
            <w:top w:val="none" w:sz="0" w:space="0" w:color="auto"/>
            <w:left w:val="none" w:sz="0" w:space="0" w:color="auto"/>
            <w:bottom w:val="none" w:sz="0" w:space="0" w:color="auto"/>
            <w:right w:val="none" w:sz="0" w:space="0" w:color="auto"/>
          </w:divBdr>
          <w:divsChild>
            <w:div w:id="16931114">
              <w:marLeft w:val="0"/>
              <w:marRight w:val="0"/>
              <w:marTop w:val="0"/>
              <w:marBottom w:val="0"/>
              <w:divBdr>
                <w:top w:val="none" w:sz="0" w:space="0" w:color="auto"/>
                <w:left w:val="none" w:sz="0" w:space="0" w:color="auto"/>
                <w:bottom w:val="none" w:sz="0" w:space="0" w:color="auto"/>
                <w:right w:val="none" w:sz="0" w:space="0" w:color="auto"/>
              </w:divBdr>
            </w:div>
          </w:divsChild>
        </w:div>
        <w:div w:id="1438941061">
          <w:marLeft w:val="0"/>
          <w:marRight w:val="0"/>
          <w:marTop w:val="0"/>
          <w:marBottom w:val="0"/>
          <w:divBdr>
            <w:top w:val="none" w:sz="0" w:space="0" w:color="auto"/>
            <w:left w:val="none" w:sz="0" w:space="0" w:color="auto"/>
            <w:bottom w:val="none" w:sz="0" w:space="0" w:color="auto"/>
            <w:right w:val="none" w:sz="0" w:space="0" w:color="auto"/>
          </w:divBdr>
          <w:divsChild>
            <w:div w:id="672949007">
              <w:marLeft w:val="0"/>
              <w:marRight w:val="0"/>
              <w:marTop w:val="0"/>
              <w:marBottom w:val="0"/>
              <w:divBdr>
                <w:top w:val="none" w:sz="0" w:space="0" w:color="auto"/>
                <w:left w:val="none" w:sz="0" w:space="0" w:color="auto"/>
                <w:bottom w:val="none" w:sz="0" w:space="0" w:color="auto"/>
                <w:right w:val="none" w:sz="0" w:space="0" w:color="auto"/>
              </w:divBdr>
            </w:div>
          </w:divsChild>
        </w:div>
        <w:div w:id="1478449442">
          <w:marLeft w:val="0"/>
          <w:marRight w:val="0"/>
          <w:marTop w:val="0"/>
          <w:marBottom w:val="0"/>
          <w:divBdr>
            <w:top w:val="none" w:sz="0" w:space="0" w:color="auto"/>
            <w:left w:val="none" w:sz="0" w:space="0" w:color="auto"/>
            <w:bottom w:val="none" w:sz="0" w:space="0" w:color="auto"/>
            <w:right w:val="none" w:sz="0" w:space="0" w:color="auto"/>
          </w:divBdr>
          <w:divsChild>
            <w:div w:id="1712269300">
              <w:marLeft w:val="0"/>
              <w:marRight w:val="0"/>
              <w:marTop w:val="0"/>
              <w:marBottom w:val="0"/>
              <w:divBdr>
                <w:top w:val="none" w:sz="0" w:space="0" w:color="auto"/>
                <w:left w:val="none" w:sz="0" w:space="0" w:color="auto"/>
                <w:bottom w:val="none" w:sz="0" w:space="0" w:color="auto"/>
                <w:right w:val="none" w:sz="0" w:space="0" w:color="auto"/>
              </w:divBdr>
            </w:div>
          </w:divsChild>
        </w:div>
        <w:div w:id="1491677410">
          <w:marLeft w:val="0"/>
          <w:marRight w:val="0"/>
          <w:marTop w:val="0"/>
          <w:marBottom w:val="0"/>
          <w:divBdr>
            <w:top w:val="none" w:sz="0" w:space="0" w:color="auto"/>
            <w:left w:val="none" w:sz="0" w:space="0" w:color="auto"/>
            <w:bottom w:val="none" w:sz="0" w:space="0" w:color="auto"/>
            <w:right w:val="none" w:sz="0" w:space="0" w:color="auto"/>
          </w:divBdr>
          <w:divsChild>
            <w:div w:id="1203327117">
              <w:marLeft w:val="0"/>
              <w:marRight w:val="0"/>
              <w:marTop w:val="0"/>
              <w:marBottom w:val="0"/>
              <w:divBdr>
                <w:top w:val="none" w:sz="0" w:space="0" w:color="auto"/>
                <w:left w:val="none" w:sz="0" w:space="0" w:color="auto"/>
                <w:bottom w:val="none" w:sz="0" w:space="0" w:color="auto"/>
                <w:right w:val="none" w:sz="0" w:space="0" w:color="auto"/>
              </w:divBdr>
            </w:div>
          </w:divsChild>
        </w:div>
        <w:div w:id="1608073967">
          <w:marLeft w:val="0"/>
          <w:marRight w:val="0"/>
          <w:marTop w:val="0"/>
          <w:marBottom w:val="0"/>
          <w:divBdr>
            <w:top w:val="none" w:sz="0" w:space="0" w:color="auto"/>
            <w:left w:val="none" w:sz="0" w:space="0" w:color="auto"/>
            <w:bottom w:val="none" w:sz="0" w:space="0" w:color="auto"/>
            <w:right w:val="none" w:sz="0" w:space="0" w:color="auto"/>
          </w:divBdr>
          <w:divsChild>
            <w:div w:id="920026627">
              <w:marLeft w:val="0"/>
              <w:marRight w:val="0"/>
              <w:marTop w:val="0"/>
              <w:marBottom w:val="0"/>
              <w:divBdr>
                <w:top w:val="none" w:sz="0" w:space="0" w:color="auto"/>
                <w:left w:val="none" w:sz="0" w:space="0" w:color="auto"/>
                <w:bottom w:val="none" w:sz="0" w:space="0" w:color="auto"/>
                <w:right w:val="none" w:sz="0" w:space="0" w:color="auto"/>
              </w:divBdr>
            </w:div>
          </w:divsChild>
        </w:div>
        <w:div w:id="1737315482">
          <w:marLeft w:val="0"/>
          <w:marRight w:val="0"/>
          <w:marTop w:val="0"/>
          <w:marBottom w:val="0"/>
          <w:divBdr>
            <w:top w:val="none" w:sz="0" w:space="0" w:color="auto"/>
            <w:left w:val="none" w:sz="0" w:space="0" w:color="auto"/>
            <w:bottom w:val="none" w:sz="0" w:space="0" w:color="auto"/>
            <w:right w:val="none" w:sz="0" w:space="0" w:color="auto"/>
          </w:divBdr>
          <w:divsChild>
            <w:div w:id="413356374">
              <w:marLeft w:val="0"/>
              <w:marRight w:val="0"/>
              <w:marTop w:val="0"/>
              <w:marBottom w:val="0"/>
              <w:divBdr>
                <w:top w:val="none" w:sz="0" w:space="0" w:color="auto"/>
                <w:left w:val="none" w:sz="0" w:space="0" w:color="auto"/>
                <w:bottom w:val="none" w:sz="0" w:space="0" w:color="auto"/>
                <w:right w:val="none" w:sz="0" w:space="0" w:color="auto"/>
              </w:divBdr>
            </w:div>
          </w:divsChild>
        </w:div>
        <w:div w:id="1746997950">
          <w:marLeft w:val="0"/>
          <w:marRight w:val="0"/>
          <w:marTop w:val="0"/>
          <w:marBottom w:val="0"/>
          <w:divBdr>
            <w:top w:val="none" w:sz="0" w:space="0" w:color="auto"/>
            <w:left w:val="none" w:sz="0" w:space="0" w:color="auto"/>
            <w:bottom w:val="none" w:sz="0" w:space="0" w:color="auto"/>
            <w:right w:val="none" w:sz="0" w:space="0" w:color="auto"/>
          </w:divBdr>
          <w:divsChild>
            <w:div w:id="1708139645">
              <w:marLeft w:val="0"/>
              <w:marRight w:val="0"/>
              <w:marTop w:val="0"/>
              <w:marBottom w:val="0"/>
              <w:divBdr>
                <w:top w:val="none" w:sz="0" w:space="0" w:color="auto"/>
                <w:left w:val="none" w:sz="0" w:space="0" w:color="auto"/>
                <w:bottom w:val="none" w:sz="0" w:space="0" w:color="auto"/>
                <w:right w:val="none" w:sz="0" w:space="0" w:color="auto"/>
              </w:divBdr>
            </w:div>
          </w:divsChild>
        </w:div>
        <w:div w:id="1807426671">
          <w:marLeft w:val="0"/>
          <w:marRight w:val="0"/>
          <w:marTop w:val="0"/>
          <w:marBottom w:val="0"/>
          <w:divBdr>
            <w:top w:val="none" w:sz="0" w:space="0" w:color="auto"/>
            <w:left w:val="none" w:sz="0" w:space="0" w:color="auto"/>
            <w:bottom w:val="none" w:sz="0" w:space="0" w:color="auto"/>
            <w:right w:val="none" w:sz="0" w:space="0" w:color="auto"/>
          </w:divBdr>
          <w:divsChild>
            <w:div w:id="222445155">
              <w:marLeft w:val="0"/>
              <w:marRight w:val="0"/>
              <w:marTop w:val="0"/>
              <w:marBottom w:val="0"/>
              <w:divBdr>
                <w:top w:val="none" w:sz="0" w:space="0" w:color="auto"/>
                <w:left w:val="none" w:sz="0" w:space="0" w:color="auto"/>
                <w:bottom w:val="none" w:sz="0" w:space="0" w:color="auto"/>
                <w:right w:val="none" w:sz="0" w:space="0" w:color="auto"/>
              </w:divBdr>
            </w:div>
          </w:divsChild>
        </w:div>
        <w:div w:id="1831604021">
          <w:marLeft w:val="0"/>
          <w:marRight w:val="0"/>
          <w:marTop w:val="0"/>
          <w:marBottom w:val="0"/>
          <w:divBdr>
            <w:top w:val="none" w:sz="0" w:space="0" w:color="auto"/>
            <w:left w:val="none" w:sz="0" w:space="0" w:color="auto"/>
            <w:bottom w:val="none" w:sz="0" w:space="0" w:color="auto"/>
            <w:right w:val="none" w:sz="0" w:space="0" w:color="auto"/>
          </w:divBdr>
          <w:divsChild>
            <w:div w:id="924074068">
              <w:marLeft w:val="0"/>
              <w:marRight w:val="0"/>
              <w:marTop w:val="0"/>
              <w:marBottom w:val="0"/>
              <w:divBdr>
                <w:top w:val="none" w:sz="0" w:space="0" w:color="auto"/>
                <w:left w:val="none" w:sz="0" w:space="0" w:color="auto"/>
                <w:bottom w:val="none" w:sz="0" w:space="0" w:color="auto"/>
                <w:right w:val="none" w:sz="0" w:space="0" w:color="auto"/>
              </w:divBdr>
            </w:div>
          </w:divsChild>
        </w:div>
        <w:div w:id="1877624029">
          <w:marLeft w:val="0"/>
          <w:marRight w:val="0"/>
          <w:marTop w:val="0"/>
          <w:marBottom w:val="0"/>
          <w:divBdr>
            <w:top w:val="none" w:sz="0" w:space="0" w:color="auto"/>
            <w:left w:val="none" w:sz="0" w:space="0" w:color="auto"/>
            <w:bottom w:val="none" w:sz="0" w:space="0" w:color="auto"/>
            <w:right w:val="none" w:sz="0" w:space="0" w:color="auto"/>
          </w:divBdr>
          <w:divsChild>
            <w:div w:id="939219153">
              <w:marLeft w:val="0"/>
              <w:marRight w:val="0"/>
              <w:marTop w:val="0"/>
              <w:marBottom w:val="0"/>
              <w:divBdr>
                <w:top w:val="none" w:sz="0" w:space="0" w:color="auto"/>
                <w:left w:val="none" w:sz="0" w:space="0" w:color="auto"/>
                <w:bottom w:val="none" w:sz="0" w:space="0" w:color="auto"/>
                <w:right w:val="none" w:sz="0" w:space="0" w:color="auto"/>
              </w:divBdr>
            </w:div>
          </w:divsChild>
        </w:div>
        <w:div w:id="1924757498">
          <w:marLeft w:val="0"/>
          <w:marRight w:val="0"/>
          <w:marTop w:val="0"/>
          <w:marBottom w:val="0"/>
          <w:divBdr>
            <w:top w:val="none" w:sz="0" w:space="0" w:color="auto"/>
            <w:left w:val="none" w:sz="0" w:space="0" w:color="auto"/>
            <w:bottom w:val="none" w:sz="0" w:space="0" w:color="auto"/>
            <w:right w:val="none" w:sz="0" w:space="0" w:color="auto"/>
          </w:divBdr>
          <w:divsChild>
            <w:div w:id="12716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18358">
      <w:bodyDiv w:val="1"/>
      <w:marLeft w:val="0"/>
      <w:marRight w:val="0"/>
      <w:marTop w:val="0"/>
      <w:marBottom w:val="0"/>
      <w:divBdr>
        <w:top w:val="none" w:sz="0" w:space="0" w:color="auto"/>
        <w:left w:val="none" w:sz="0" w:space="0" w:color="auto"/>
        <w:bottom w:val="none" w:sz="0" w:space="0" w:color="auto"/>
        <w:right w:val="none" w:sz="0" w:space="0" w:color="auto"/>
      </w:divBdr>
    </w:div>
    <w:div w:id="563877940">
      <w:bodyDiv w:val="1"/>
      <w:marLeft w:val="0"/>
      <w:marRight w:val="0"/>
      <w:marTop w:val="0"/>
      <w:marBottom w:val="0"/>
      <w:divBdr>
        <w:top w:val="none" w:sz="0" w:space="0" w:color="auto"/>
        <w:left w:val="none" w:sz="0" w:space="0" w:color="auto"/>
        <w:bottom w:val="none" w:sz="0" w:space="0" w:color="auto"/>
        <w:right w:val="none" w:sz="0" w:space="0" w:color="auto"/>
      </w:divBdr>
    </w:div>
    <w:div w:id="565533254">
      <w:bodyDiv w:val="1"/>
      <w:marLeft w:val="0"/>
      <w:marRight w:val="0"/>
      <w:marTop w:val="0"/>
      <w:marBottom w:val="0"/>
      <w:divBdr>
        <w:top w:val="none" w:sz="0" w:space="0" w:color="auto"/>
        <w:left w:val="none" w:sz="0" w:space="0" w:color="auto"/>
        <w:bottom w:val="none" w:sz="0" w:space="0" w:color="auto"/>
        <w:right w:val="none" w:sz="0" w:space="0" w:color="auto"/>
      </w:divBdr>
    </w:div>
    <w:div w:id="573398248">
      <w:bodyDiv w:val="1"/>
      <w:marLeft w:val="0"/>
      <w:marRight w:val="0"/>
      <w:marTop w:val="0"/>
      <w:marBottom w:val="0"/>
      <w:divBdr>
        <w:top w:val="none" w:sz="0" w:space="0" w:color="auto"/>
        <w:left w:val="none" w:sz="0" w:space="0" w:color="auto"/>
        <w:bottom w:val="none" w:sz="0" w:space="0" w:color="auto"/>
        <w:right w:val="none" w:sz="0" w:space="0" w:color="auto"/>
      </w:divBdr>
    </w:div>
    <w:div w:id="573509412">
      <w:bodyDiv w:val="1"/>
      <w:marLeft w:val="0"/>
      <w:marRight w:val="0"/>
      <w:marTop w:val="0"/>
      <w:marBottom w:val="0"/>
      <w:divBdr>
        <w:top w:val="none" w:sz="0" w:space="0" w:color="auto"/>
        <w:left w:val="none" w:sz="0" w:space="0" w:color="auto"/>
        <w:bottom w:val="none" w:sz="0" w:space="0" w:color="auto"/>
        <w:right w:val="none" w:sz="0" w:space="0" w:color="auto"/>
      </w:divBdr>
    </w:div>
    <w:div w:id="574048054">
      <w:bodyDiv w:val="1"/>
      <w:marLeft w:val="0"/>
      <w:marRight w:val="0"/>
      <w:marTop w:val="0"/>
      <w:marBottom w:val="0"/>
      <w:divBdr>
        <w:top w:val="none" w:sz="0" w:space="0" w:color="auto"/>
        <w:left w:val="none" w:sz="0" w:space="0" w:color="auto"/>
        <w:bottom w:val="none" w:sz="0" w:space="0" w:color="auto"/>
        <w:right w:val="none" w:sz="0" w:space="0" w:color="auto"/>
      </w:divBdr>
    </w:div>
    <w:div w:id="581911254">
      <w:bodyDiv w:val="1"/>
      <w:marLeft w:val="0"/>
      <w:marRight w:val="0"/>
      <w:marTop w:val="0"/>
      <w:marBottom w:val="0"/>
      <w:divBdr>
        <w:top w:val="none" w:sz="0" w:space="0" w:color="auto"/>
        <w:left w:val="none" w:sz="0" w:space="0" w:color="auto"/>
        <w:bottom w:val="none" w:sz="0" w:space="0" w:color="auto"/>
        <w:right w:val="none" w:sz="0" w:space="0" w:color="auto"/>
      </w:divBdr>
    </w:div>
    <w:div w:id="606280582">
      <w:bodyDiv w:val="1"/>
      <w:marLeft w:val="0"/>
      <w:marRight w:val="0"/>
      <w:marTop w:val="0"/>
      <w:marBottom w:val="0"/>
      <w:divBdr>
        <w:top w:val="none" w:sz="0" w:space="0" w:color="auto"/>
        <w:left w:val="none" w:sz="0" w:space="0" w:color="auto"/>
        <w:bottom w:val="none" w:sz="0" w:space="0" w:color="auto"/>
        <w:right w:val="none" w:sz="0" w:space="0" w:color="auto"/>
      </w:divBdr>
    </w:div>
    <w:div w:id="647244808">
      <w:bodyDiv w:val="1"/>
      <w:marLeft w:val="0"/>
      <w:marRight w:val="0"/>
      <w:marTop w:val="0"/>
      <w:marBottom w:val="0"/>
      <w:divBdr>
        <w:top w:val="none" w:sz="0" w:space="0" w:color="auto"/>
        <w:left w:val="none" w:sz="0" w:space="0" w:color="auto"/>
        <w:bottom w:val="none" w:sz="0" w:space="0" w:color="auto"/>
        <w:right w:val="none" w:sz="0" w:space="0" w:color="auto"/>
      </w:divBdr>
    </w:div>
    <w:div w:id="687104027">
      <w:bodyDiv w:val="1"/>
      <w:marLeft w:val="0"/>
      <w:marRight w:val="0"/>
      <w:marTop w:val="0"/>
      <w:marBottom w:val="0"/>
      <w:divBdr>
        <w:top w:val="none" w:sz="0" w:space="0" w:color="auto"/>
        <w:left w:val="none" w:sz="0" w:space="0" w:color="auto"/>
        <w:bottom w:val="none" w:sz="0" w:space="0" w:color="auto"/>
        <w:right w:val="none" w:sz="0" w:space="0" w:color="auto"/>
      </w:divBdr>
      <w:divsChild>
        <w:div w:id="341903029">
          <w:marLeft w:val="0"/>
          <w:marRight w:val="0"/>
          <w:marTop w:val="0"/>
          <w:marBottom w:val="0"/>
          <w:divBdr>
            <w:top w:val="none" w:sz="0" w:space="0" w:color="auto"/>
            <w:left w:val="none" w:sz="0" w:space="0" w:color="auto"/>
            <w:bottom w:val="none" w:sz="0" w:space="0" w:color="auto"/>
            <w:right w:val="none" w:sz="0" w:space="0" w:color="auto"/>
          </w:divBdr>
        </w:div>
        <w:div w:id="345055542">
          <w:marLeft w:val="0"/>
          <w:marRight w:val="0"/>
          <w:marTop w:val="0"/>
          <w:marBottom w:val="0"/>
          <w:divBdr>
            <w:top w:val="none" w:sz="0" w:space="0" w:color="auto"/>
            <w:left w:val="none" w:sz="0" w:space="0" w:color="auto"/>
            <w:bottom w:val="none" w:sz="0" w:space="0" w:color="auto"/>
            <w:right w:val="none" w:sz="0" w:space="0" w:color="auto"/>
          </w:divBdr>
        </w:div>
        <w:div w:id="671638659">
          <w:marLeft w:val="0"/>
          <w:marRight w:val="0"/>
          <w:marTop w:val="0"/>
          <w:marBottom w:val="0"/>
          <w:divBdr>
            <w:top w:val="none" w:sz="0" w:space="0" w:color="auto"/>
            <w:left w:val="none" w:sz="0" w:space="0" w:color="auto"/>
            <w:bottom w:val="none" w:sz="0" w:space="0" w:color="auto"/>
            <w:right w:val="none" w:sz="0" w:space="0" w:color="auto"/>
          </w:divBdr>
        </w:div>
        <w:div w:id="1018656335">
          <w:marLeft w:val="0"/>
          <w:marRight w:val="0"/>
          <w:marTop w:val="0"/>
          <w:marBottom w:val="0"/>
          <w:divBdr>
            <w:top w:val="none" w:sz="0" w:space="0" w:color="auto"/>
            <w:left w:val="none" w:sz="0" w:space="0" w:color="auto"/>
            <w:bottom w:val="none" w:sz="0" w:space="0" w:color="auto"/>
            <w:right w:val="none" w:sz="0" w:space="0" w:color="auto"/>
          </w:divBdr>
        </w:div>
        <w:div w:id="1875341490">
          <w:marLeft w:val="0"/>
          <w:marRight w:val="0"/>
          <w:marTop w:val="0"/>
          <w:marBottom w:val="0"/>
          <w:divBdr>
            <w:top w:val="none" w:sz="0" w:space="0" w:color="auto"/>
            <w:left w:val="none" w:sz="0" w:space="0" w:color="auto"/>
            <w:bottom w:val="none" w:sz="0" w:space="0" w:color="auto"/>
            <w:right w:val="none" w:sz="0" w:space="0" w:color="auto"/>
          </w:divBdr>
        </w:div>
        <w:div w:id="1994867130">
          <w:marLeft w:val="0"/>
          <w:marRight w:val="0"/>
          <w:marTop w:val="0"/>
          <w:marBottom w:val="0"/>
          <w:divBdr>
            <w:top w:val="none" w:sz="0" w:space="0" w:color="auto"/>
            <w:left w:val="none" w:sz="0" w:space="0" w:color="auto"/>
            <w:bottom w:val="none" w:sz="0" w:space="0" w:color="auto"/>
            <w:right w:val="none" w:sz="0" w:space="0" w:color="auto"/>
          </w:divBdr>
        </w:div>
        <w:div w:id="1994986657">
          <w:marLeft w:val="0"/>
          <w:marRight w:val="0"/>
          <w:marTop w:val="0"/>
          <w:marBottom w:val="0"/>
          <w:divBdr>
            <w:top w:val="none" w:sz="0" w:space="0" w:color="auto"/>
            <w:left w:val="none" w:sz="0" w:space="0" w:color="auto"/>
            <w:bottom w:val="none" w:sz="0" w:space="0" w:color="auto"/>
            <w:right w:val="none" w:sz="0" w:space="0" w:color="auto"/>
          </w:divBdr>
        </w:div>
      </w:divsChild>
    </w:div>
    <w:div w:id="701129686">
      <w:bodyDiv w:val="1"/>
      <w:marLeft w:val="0"/>
      <w:marRight w:val="0"/>
      <w:marTop w:val="0"/>
      <w:marBottom w:val="0"/>
      <w:divBdr>
        <w:top w:val="none" w:sz="0" w:space="0" w:color="auto"/>
        <w:left w:val="none" w:sz="0" w:space="0" w:color="auto"/>
        <w:bottom w:val="none" w:sz="0" w:space="0" w:color="auto"/>
        <w:right w:val="none" w:sz="0" w:space="0" w:color="auto"/>
      </w:divBdr>
    </w:div>
    <w:div w:id="703792336">
      <w:bodyDiv w:val="1"/>
      <w:marLeft w:val="0"/>
      <w:marRight w:val="0"/>
      <w:marTop w:val="0"/>
      <w:marBottom w:val="0"/>
      <w:divBdr>
        <w:top w:val="none" w:sz="0" w:space="0" w:color="auto"/>
        <w:left w:val="none" w:sz="0" w:space="0" w:color="auto"/>
        <w:bottom w:val="none" w:sz="0" w:space="0" w:color="auto"/>
        <w:right w:val="none" w:sz="0" w:space="0" w:color="auto"/>
      </w:divBdr>
    </w:div>
    <w:div w:id="704411144">
      <w:bodyDiv w:val="1"/>
      <w:marLeft w:val="0"/>
      <w:marRight w:val="0"/>
      <w:marTop w:val="0"/>
      <w:marBottom w:val="0"/>
      <w:divBdr>
        <w:top w:val="none" w:sz="0" w:space="0" w:color="auto"/>
        <w:left w:val="none" w:sz="0" w:space="0" w:color="auto"/>
        <w:bottom w:val="none" w:sz="0" w:space="0" w:color="auto"/>
        <w:right w:val="none" w:sz="0" w:space="0" w:color="auto"/>
      </w:divBdr>
    </w:div>
    <w:div w:id="712340112">
      <w:bodyDiv w:val="1"/>
      <w:marLeft w:val="0"/>
      <w:marRight w:val="0"/>
      <w:marTop w:val="0"/>
      <w:marBottom w:val="0"/>
      <w:divBdr>
        <w:top w:val="none" w:sz="0" w:space="0" w:color="auto"/>
        <w:left w:val="none" w:sz="0" w:space="0" w:color="auto"/>
        <w:bottom w:val="none" w:sz="0" w:space="0" w:color="auto"/>
        <w:right w:val="none" w:sz="0" w:space="0" w:color="auto"/>
      </w:divBdr>
    </w:div>
    <w:div w:id="776173022">
      <w:bodyDiv w:val="1"/>
      <w:marLeft w:val="0"/>
      <w:marRight w:val="0"/>
      <w:marTop w:val="0"/>
      <w:marBottom w:val="0"/>
      <w:divBdr>
        <w:top w:val="none" w:sz="0" w:space="0" w:color="auto"/>
        <w:left w:val="none" w:sz="0" w:space="0" w:color="auto"/>
        <w:bottom w:val="none" w:sz="0" w:space="0" w:color="auto"/>
        <w:right w:val="none" w:sz="0" w:space="0" w:color="auto"/>
      </w:divBdr>
    </w:div>
    <w:div w:id="777483347">
      <w:bodyDiv w:val="1"/>
      <w:marLeft w:val="0"/>
      <w:marRight w:val="0"/>
      <w:marTop w:val="0"/>
      <w:marBottom w:val="0"/>
      <w:divBdr>
        <w:top w:val="none" w:sz="0" w:space="0" w:color="auto"/>
        <w:left w:val="none" w:sz="0" w:space="0" w:color="auto"/>
        <w:bottom w:val="none" w:sz="0" w:space="0" w:color="auto"/>
        <w:right w:val="none" w:sz="0" w:space="0" w:color="auto"/>
      </w:divBdr>
    </w:div>
    <w:div w:id="800998102">
      <w:bodyDiv w:val="1"/>
      <w:marLeft w:val="0"/>
      <w:marRight w:val="0"/>
      <w:marTop w:val="0"/>
      <w:marBottom w:val="0"/>
      <w:divBdr>
        <w:top w:val="none" w:sz="0" w:space="0" w:color="auto"/>
        <w:left w:val="none" w:sz="0" w:space="0" w:color="auto"/>
        <w:bottom w:val="none" w:sz="0" w:space="0" w:color="auto"/>
        <w:right w:val="none" w:sz="0" w:space="0" w:color="auto"/>
      </w:divBdr>
    </w:div>
    <w:div w:id="812868720">
      <w:bodyDiv w:val="1"/>
      <w:marLeft w:val="0"/>
      <w:marRight w:val="0"/>
      <w:marTop w:val="0"/>
      <w:marBottom w:val="0"/>
      <w:divBdr>
        <w:top w:val="none" w:sz="0" w:space="0" w:color="auto"/>
        <w:left w:val="none" w:sz="0" w:space="0" w:color="auto"/>
        <w:bottom w:val="none" w:sz="0" w:space="0" w:color="auto"/>
        <w:right w:val="none" w:sz="0" w:space="0" w:color="auto"/>
      </w:divBdr>
    </w:div>
    <w:div w:id="822161614">
      <w:bodyDiv w:val="1"/>
      <w:marLeft w:val="0"/>
      <w:marRight w:val="0"/>
      <w:marTop w:val="0"/>
      <w:marBottom w:val="0"/>
      <w:divBdr>
        <w:top w:val="none" w:sz="0" w:space="0" w:color="auto"/>
        <w:left w:val="none" w:sz="0" w:space="0" w:color="auto"/>
        <w:bottom w:val="none" w:sz="0" w:space="0" w:color="auto"/>
        <w:right w:val="none" w:sz="0" w:space="0" w:color="auto"/>
      </w:divBdr>
    </w:div>
    <w:div w:id="822627057">
      <w:bodyDiv w:val="1"/>
      <w:marLeft w:val="0"/>
      <w:marRight w:val="0"/>
      <w:marTop w:val="0"/>
      <w:marBottom w:val="0"/>
      <w:divBdr>
        <w:top w:val="none" w:sz="0" w:space="0" w:color="auto"/>
        <w:left w:val="none" w:sz="0" w:space="0" w:color="auto"/>
        <w:bottom w:val="none" w:sz="0" w:space="0" w:color="auto"/>
        <w:right w:val="none" w:sz="0" w:space="0" w:color="auto"/>
      </w:divBdr>
    </w:div>
    <w:div w:id="833842675">
      <w:bodyDiv w:val="1"/>
      <w:marLeft w:val="0"/>
      <w:marRight w:val="0"/>
      <w:marTop w:val="0"/>
      <w:marBottom w:val="0"/>
      <w:divBdr>
        <w:top w:val="none" w:sz="0" w:space="0" w:color="auto"/>
        <w:left w:val="none" w:sz="0" w:space="0" w:color="auto"/>
        <w:bottom w:val="none" w:sz="0" w:space="0" w:color="auto"/>
        <w:right w:val="none" w:sz="0" w:space="0" w:color="auto"/>
      </w:divBdr>
    </w:div>
    <w:div w:id="836309902">
      <w:bodyDiv w:val="1"/>
      <w:marLeft w:val="0"/>
      <w:marRight w:val="0"/>
      <w:marTop w:val="0"/>
      <w:marBottom w:val="0"/>
      <w:divBdr>
        <w:top w:val="none" w:sz="0" w:space="0" w:color="auto"/>
        <w:left w:val="none" w:sz="0" w:space="0" w:color="auto"/>
        <w:bottom w:val="none" w:sz="0" w:space="0" w:color="auto"/>
        <w:right w:val="none" w:sz="0" w:space="0" w:color="auto"/>
      </w:divBdr>
    </w:div>
    <w:div w:id="840200971">
      <w:bodyDiv w:val="1"/>
      <w:marLeft w:val="0"/>
      <w:marRight w:val="0"/>
      <w:marTop w:val="0"/>
      <w:marBottom w:val="0"/>
      <w:divBdr>
        <w:top w:val="none" w:sz="0" w:space="0" w:color="auto"/>
        <w:left w:val="none" w:sz="0" w:space="0" w:color="auto"/>
        <w:bottom w:val="none" w:sz="0" w:space="0" w:color="auto"/>
        <w:right w:val="none" w:sz="0" w:space="0" w:color="auto"/>
      </w:divBdr>
    </w:div>
    <w:div w:id="842626982">
      <w:bodyDiv w:val="1"/>
      <w:marLeft w:val="0"/>
      <w:marRight w:val="0"/>
      <w:marTop w:val="0"/>
      <w:marBottom w:val="0"/>
      <w:divBdr>
        <w:top w:val="none" w:sz="0" w:space="0" w:color="auto"/>
        <w:left w:val="none" w:sz="0" w:space="0" w:color="auto"/>
        <w:bottom w:val="none" w:sz="0" w:space="0" w:color="auto"/>
        <w:right w:val="none" w:sz="0" w:space="0" w:color="auto"/>
      </w:divBdr>
    </w:div>
    <w:div w:id="851529810">
      <w:bodyDiv w:val="1"/>
      <w:marLeft w:val="0"/>
      <w:marRight w:val="0"/>
      <w:marTop w:val="0"/>
      <w:marBottom w:val="0"/>
      <w:divBdr>
        <w:top w:val="none" w:sz="0" w:space="0" w:color="auto"/>
        <w:left w:val="none" w:sz="0" w:space="0" w:color="auto"/>
        <w:bottom w:val="none" w:sz="0" w:space="0" w:color="auto"/>
        <w:right w:val="none" w:sz="0" w:space="0" w:color="auto"/>
      </w:divBdr>
    </w:div>
    <w:div w:id="851650085">
      <w:bodyDiv w:val="1"/>
      <w:marLeft w:val="0"/>
      <w:marRight w:val="0"/>
      <w:marTop w:val="0"/>
      <w:marBottom w:val="0"/>
      <w:divBdr>
        <w:top w:val="none" w:sz="0" w:space="0" w:color="auto"/>
        <w:left w:val="none" w:sz="0" w:space="0" w:color="auto"/>
        <w:bottom w:val="none" w:sz="0" w:space="0" w:color="auto"/>
        <w:right w:val="none" w:sz="0" w:space="0" w:color="auto"/>
      </w:divBdr>
    </w:div>
    <w:div w:id="872694545">
      <w:bodyDiv w:val="1"/>
      <w:marLeft w:val="0"/>
      <w:marRight w:val="0"/>
      <w:marTop w:val="0"/>
      <w:marBottom w:val="0"/>
      <w:divBdr>
        <w:top w:val="none" w:sz="0" w:space="0" w:color="auto"/>
        <w:left w:val="none" w:sz="0" w:space="0" w:color="auto"/>
        <w:bottom w:val="none" w:sz="0" w:space="0" w:color="auto"/>
        <w:right w:val="none" w:sz="0" w:space="0" w:color="auto"/>
      </w:divBdr>
    </w:div>
    <w:div w:id="884566688">
      <w:bodyDiv w:val="1"/>
      <w:marLeft w:val="0"/>
      <w:marRight w:val="0"/>
      <w:marTop w:val="0"/>
      <w:marBottom w:val="0"/>
      <w:divBdr>
        <w:top w:val="none" w:sz="0" w:space="0" w:color="auto"/>
        <w:left w:val="none" w:sz="0" w:space="0" w:color="auto"/>
        <w:bottom w:val="none" w:sz="0" w:space="0" w:color="auto"/>
        <w:right w:val="none" w:sz="0" w:space="0" w:color="auto"/>
      </w:divBdr>
    </w:div>
    <w:div w:id="902907480">
      <w:bodyDiv w:val="1"/>
      <w:marLeft w:val="0"/>
      <w:marRight w:val="0"/>
      <w:marTop w:val="0"/>
      <w:marBottom w:val="0"/>
      <w:divBdr>
        <w:top w:val="none" w:sz="0" w:space="0" w:color="auto"/>
        <w:left w:val="none" w:sz="0" w:space="0" w:color="auto"/>
        <w:bottom w:val="none" w:sz="0" w:space="0" w:color="auto"/>
        <w:right w:val="none" w:sz="0" w:space="0" w:color="auto"/>
      </w:divBdr>
    </w:div>
    <w:div w:id="919562325">
      <w:bodyDiv w:val="1"/>
      <w:marLeft w:val="0"/>
      <w:marRight w:val="0"/>
      <w:marTop w:val="0"/>
      <w:marBottom w:val="0"/>
      <w:divBdr>
        <w:top w:val="none" w:sz="0" w:space="0" w:color="auto"/>
        <w:left w:val="none" w:sz="0" w:space="0" w:color="auto"/>
        <w:bottom w:val="none" w:sz="0" w:space="0" w:color="auto"/>
        <w:right w:val="none" w:sz="0" w:space="0" w:color="auto"/>
      </w:divBdr>
    </w:div>
    <w:div w:id="925111174">
      <w:bodyDiv w:val="1"/>
      <w:marLeft w:val="0"/>
      <w:marRight w:val="0"/>
      <w:marTop w:val="0"/>
      <w:marBottom w:val="0"/>
      <w:divBdr>
        <w:top w:val="none" w:sz="0" w:space="0" w:color="auto"/>
        <w:left w:val="none" w:sz="0" w:space="0" w:color="auto"/>
        <w:bottom w:val="none" w:sz="0" w:space="0" w:color="auto"/>
        <w:right w:val="none" w:sz="0" w:space="0" w:color="auto"/>
      </w:divBdr>
    </w:div>
    <w:div w:id="929385383">
      <w:bodyDiv w:val="1"/>
      <w:marLeft w:val="0"/>
      <w:marRight w:val="0"/>
      <w:marTop w:val="0"/>
      <w:marBottom w:val="0"/>
      <w:divBdr>
        <w:top w:val="none" w:sz="0" w:space="0" w:color="auto"/>
        <w:left w:val="none" w:sz="0" w:space="0" w:color="auto"/>
        <w:bottom w:val="none" w:sz="0" w:space="0" w:color="auto"/>
        <w:right w:val="none" w:sz="0" w:space="0" w:color="auto"/>
      </w:divBdr>
    </w:div>
    <w:div w:id="933198770">
      <w:bodyDiv w:val="1"/>
      <w:marLeft w:val="0"/>
      <w:marRight w:val="0"/>
      <w:marTop w:val="0"/>
      <w:marBottom w:val="0"/>
      <w:divBdr>
        <w:top w:val="none" w:sz="0" w:space="0" w:color="auto"/>
        <w:left w:val="none" w:sz="0" w:space="0" w:color="auto"/>
        <w:bottom w:val="none" w:sz="0" w:space="0" w:color="auto"/>
        <w:right w:val="none" w:sz="0" w:space="0" w:color="auto"/>
      </w:divBdr>
    </w:div>
    <w:div w:id="952440945">
      <w:bodyDiv w:val="1"/>
      <w:marLeft w:val="0"/>
      <w:marRight w:val="0"/>
      <w:marTop w:val="0"/>
      <w:marBottom w:val="0"/>
      <w:divBdr>
        <w:top w:val="none" w:sz="0" w:space="0" w:color="auto"/>
        <w:left w:val="none" w:sz="0" w:space="0" w:color="auto"/>
        <w:bottom w:val="none" w:sz="0" w:space="0" w:color="auto"/>
        <w:right w:val="none" w:sz="0" w:space="0" w:color="auto"/>
      </w:divBdr>
    </w:div>
    <w:div w:id="954753722">
      <w:bodyDiv w:val="1"/>
      <w:marLeft w:val="0"/>
      <w:marRight w:val="0"/>
      <w:marTop w:val="0"/>
      <w:marBottom w:val="0"/>
      <w:divBdr>
        <w:top w:val="none" w:sz="0" w:space="0" w:color="auto"/>
        <w:left w:val="none" w:sz="0" w:space="0" w:color="auto"/>
        <w:bottom w:val="none" w:sz="0" w:space="0" w:color="auto"/>
        <w:right w:val="none" w:sz="0" w:space="0" w:color="auto"/>
      </w:divBdr>
    </w:div>
    <w:div w:id="972829463">
      <w:bodyDiv w:val="1"/>
      <w:marLeft w:val="0"/>
      <w:marRight w:val="0"/>
      <w:marTop w:val="0"/>
      <w:marBottom w:val="0"/>
      <w:divBdr>
        <w:top w:val="none" w:sz="0" w:space="0" w:color="auto"/>
        <w:left w:val="none" w:sz="0" w:space="0" w:color="auto"/>
        <w:bottom w:val="none" w:sz="0" w:space="0" w:color="auto"/>
        <w:right w:val="none" w:sz="0" w:space="0" w:color="auto"/>
      </w:divBdr>
    </w:div>
    <w:div w:id="980813976">
      <w:bodyDiv w:val="1"/>
      <w:marLeft w:val="0"/>
      <w:marRight w:val="0"/>
      <w:marTop w:val="0"/>
      <w:marBottom w:val="0"/>
      <w:divBdr>
        <w:top w:val="none" w:sz="0" w:space="0" w:color="auto"/>
        <w:left w:val="none" w:sz="0" w:space="0" w:color="auto"/>
        <w:bottom w:val="none" w:sz="0" w:space="0" w:color="auto"/>
        <w:right w:val="none" w:sz="0" w:space="0" w:color="auto"/>
      </w:divBdr>
    </w:div>
    <w:div w:id="981302747">
      <w:bodyDiv w:val="1"/>
      <w:marLeft w:val="0"/>
      <w:marRight w:val="0"/>
      <w:marTop w:val="0"/>
      <w:marBottom w:val="0"/>
      <w:divBdr>
        <w:top w:val="none" w:sz="0" w:space="0" w:color="auto"/>
        <w:left w:val="none" w:sz="0" w:space="0" w:color="auto"/>
        <w:bottom w:val="none" w:sz="0" w:space="0" w:color="auto"/>
        <w:right w:val="none" w:sz="0" w:space="0" w:color="auto"/>
      </w:divBdr>
    </w:div>
    <w:div w:id="984554304">
      <w:bodyDiv w:val="1"/>
      <w:marLeft w:val="0"/>
      <w:marRight w:val="0"/>
      <w:marTop w:val="0"/>
      <w:marBottom w:val="0"/>
      <w:divBdr>
        <w:top w:val="none" w:sz="0" w:space="0" w:color="auto"/>
        <w:left w:val="none" w:sz="0" w:space="0" w:color="auto"/>
        <w:bottom w:val="none" w:sz="0" w:space="0" w:color="auto"/>
        <w:right w:val="none" w:sz="0" w:space="0" w:color="auto"/>
      </w:divBdr>
    </w:div>
    <w:div w:id="1017199849">
      <w:bodyDiv w:val="1"/>
      <w:marLeft w:val="0"/>
      <w:marRight w:val="0"/>
      <w:marTop w:val="0"/>
      <w:marBottom w:val="0"/>
      <w:divBdr>
        <w:top w:val="none" w:sz="0" w:space="0" w:color="auto"/>
        <w:left w:val="none" w:sz="0" w:space="0" w:color="auto"/>
        <w:bottom w:val="none" w:sz="0" w:space="0" w:color="auto"/>
        <w:right w:val="none" w:sz="0" w:space="0" w:color="auto"/>
      </w:divBdr>
    </w:div>
    <w:div w:id="1023895561">
      <w:bodyDiv w:val="1"/>
      <w:marLeft w:val="0"/>
      <w:marRight w:val="0"/>
      <w:marTop w:val="0"/>
      <w:marBottom w:val="0"/>
      <w:divBdr>
        <w:top w:val="none" w:sz="0" w:space="0" w:color="auto"/>
        <w:left w:val="none" w:sz="0" w:space="0" w:color="auto"/>
        <w:bottom w:val="none" w:sz="0" w:space="0" w:color="auto"/>
        <w:right w:val="none" w:sz="0" w:space="0" w:color="auto"/>
      </w:divBdr>
    </w:div>
    <w:div w:id="1028795363">
      <w:bodyDiv w:val="1"/>
      <w:marLeft w:val="0"/>
      <w:marRight w:val="0"/>
      <w:marTop w:val="0"/>
      <w:marBottom w:val="0"/>
      <w:divBdr>
        <w:top w:val="none" w:sz="0" w:space="0" w:color="auto"/>
        <w:left w:val="none" w:sz="0" w:space="0" w:color="auto"/>
        <w:bottom w:val="none" w:sz="0" w:space="0" w:color="auto"/>
        <w:right w:val="none" w:sz="0" w:space="0" w:color="auto"/>
      </w:divBdr>
    </w:div>
    <w:div w:id="1037002478">
      <w:bodyDiv w:val="1"/>
      <w:marLeft w:val="0"/>
      <w:marRight w:val="0"/>
      <w:marTop w:val="0"/>
      <w:marBottom w:val="0"/>
      <w:divBdr>
        <w:top w:val="none" w:sz="0" w:space="0" w:color="auto"/>
        <w:left w:val="none" w:sz="0" w:space="0" w:color="auto"/>
        <w:bottom w:val="none" w:sz="0" w:space="0" w:color="auto"/>
        <w:right w:val="none" w:sz="0" w:space="0" w:color="auto"/>
      </w:divBdr>
    </w:div>
    <w:div w:id="1067191181">
      <w:bodyDiv w:val="1"/>
      <w:marLeft w:val="0"/>
      <w:marRight w:val="0"/>
      <w:marTop w:val="0"/>
      <w:marBottom w:val="0"/>
      <w:divBdr>
        <w:top w:val="none" w:sz="0" w:space="0" w:color="auto"/>
        <w:left w:val="none" w:sz="0" w:space="0" w:color="auto"/>
        <w:bottom w:val="none" w:sz="0" w:space="0" w:color="auto"/>
        <w:right w:val="none" w:sz="0" w:space="0" w:color="auto"/>
      </w:divBdr>
    </w:div>
    <w:div w:id="1074280250">
      <w:bodyDiv w:val="1"/>
      <w:marLeft w:val="0"/>
      <w:marRight w:val="0"/>
      <w:marTop w:val="0"/>
      <w:marBottom w:val="0"/>
      <w:divBdr>
        <w:top w:val="none" w:sz="0" w:space="0" w:color="auto"/>
        <w:left w:val="none" w:sz="0" w:space="0" w:color="auto"/>
        <w:bottom w:val="none" w:sz="0" w:space="0" w:color="auto"/>
        <w:right w:val="none" w:sz="0" w:space="0" w:color="auto"/>
      </w:divBdr>
    </w:div>
    <w:div w:id="1074397281">
      <w:bodyDiv w:val="1"/>
      <w:marLeft w:val="0"/>
      <w:marRight w:val="0"/>
      <w:marTop w:val="0"/>
      <w:marBottom w:val="0"/>
      <w:divBdr>
        <w:top w:val="none" w:sz="0" w:space="0" w:color="auto"/>
        <w:left w:val="none" w:sz="0" w:space="0" w:color="auto"/>
        <w:bottom w:val="none" w:sz="0" w:space="0" w:color="auto"/>
        <w:right w:val="none" w:sz="0" w:space="0" w:color="auto"/>
      </w:divBdr>
    </w:div>
    <w:div w:id="1085952399">
      <w:bodyDiv w:val="1"/>
      <w:marLeft w:val="0"/>
      <w:marRight w:val="0"/>
      <w:marTop w:val="0"/>
      <w:marBottom w:val="0"/>
      <w:divBdr>
        <w:top w:val="none" w:sz="0" w:space="0" w:color="auto"/>
        <w:left w:val="none" w:sz="0" w:space="0" w:color="auto"/>
        <w:bottom w:val="none" w:sz="0" w:space="0" w:color="auto"/>
        <w:right w:val="none" w:sz="0" w:space="0" w:color="auto"/>
      </w:divBdr>
    </w:div>
    <w:div w:id="1089545822">
      <w:bodyDiv w:val="1"/>
      <w:marLeft w:val="0"/>
      <w:marRight w:val="0"/>
      <w:marTop w:val="0"/>
      <w:marBottom w:val="0"/>
      <w:divBdr>
        <w:top w:val="none" w:sz="0" w:space="0" w:color="auto"/>
        <w:left w:val="none" w:sz="0" w:space="0" w:color="auto"/>
        <w:bottom w:val="none" w:sz="0" w:space="0" w:color="auto"/>
        <w:right w:val="none" w:sz="0" w:space="0" w:color="auto"/>
      </w:divBdr>
    </w:div>
    <w:div w:id="1111895863">
      <w:bodyDiv w:val="1"/>
      <w:marLeft w:val="0"/>
      <w:marRight w:val="0"/>
      <w:marTop w:val="0"/>
      <w:marBottom w:val="0"/>
      <w:divBdr>
        <w:top w:val="none" w:sz="0" w:space="0" w:color="auto"/>
        <w:left w:val="none" w:sz="0" w:space="0" w:color="auto"/>
        <w:bottom w:val="none" w:sz="0" w:space="0" w:color="auto"/>
        <w:right w:val="none" w:sz="0" w:space="0" w:color="auto"/>
      </w:divBdr>
    </w:div>
    <w:div w:id="1147822166">
      <w:bodyDiv w:val="1"/>
      <w:marLeft w:val="0"/>
      <w:marRight w:val="0"/>
      <w:marTop w:val="0"/>
      <w:marBottom w:val="0"/>
      <w:divBdr>
        <w:top w:val="none" w:sz="0" w:space="0" w:color="auto"/>
        <w:left w:val="none" w:sz="0" w:space="0" w:color="auto"/>
        <w:bottom w:val="none" w:sz="0" w:space="0" w:color="auto"/>
        <w:right w:val="none" w:sz="0" w:space="0" w:color="auto"/>
      </w:divBdr>
    </w:div>
    <w:div w:id="1202325874">
      <w:bodyDiv w:val="1"/>
      <w:marLeft w:val="0"/>
      <w:marRight w:val="0"/>
      <w:marTop w:val="0"/>
      <w:marBottom w:val="0"/>
      <w:divBdr>
        <w:top w:val="none" w:sz="0" w:space="0" w:color="auto"/>
        <w:left w:val="none" w:sz="0" w:space="0" w:color="auto"/>
        <w:bottom w:val="none" w:sz="0" w:space="0" w:color="auto"/>
        <w:right w:val="none" w:sz="0" w:space="0" w:color="auto"/>
      </w:divBdr>
    </w:div>
    <w:div w:id="1216433794">
      <w:bodyDiv w:val="1"/>
      <w:marLeft w:val="0"/>
      <w:marRight w:val="0"/>
      <w:marTop w:val="0"/>
      <w:marBottom w:val="0"/>
      <w:divBdr>
        <w:top w:val="none" w:sz="0" w:space="0" w:color="auto"/>
        <w:left w:val="none" w:sz="0" w:space="0" w:color="auto"/>
        <w:bottom w:val="none" w:sz="0" w:space="0" w:color="auto"/>
        <w:right w:val="none" w:sz="0" w:space="0" w:color="auto"/>
      </w:divBdr>
    </w:div>
    <w:div w:id="1251892302">
      <w:bodyDiv w:val="1"/>
      <w:marLeft w:val="0"/>
      <w:marRight w:val="0"/>
      <w:marTop w:val="0"/>
      <w:marBottom w:val="0"/>
      <w:divBdr>
        <w:top w:val="none" w:sz="0" w:space="0" w:color="auto"/>
        <w:left w:val="none" w:sz="0" w:space="0" w:color="auto"/>
        <w:bottom w:val="none" w:sz="0" w:space="0" w:color="auto"/>
        <w:right w:val="none" w:sz="0" w:space="0" w:color="auto"/>
      </w:divBdr>
    </w:div>
    <w:div w:id="1252741771">
      <w:bodyDiv w:val="1"/>
      <w:marLeft w:val="0"/>
      <w:marRight w:val="0"/>
      <w:marTop w:val="0"/>
      <w:marBottom w:val="0"/>
      <w:divBdr>
        <w:top w:val="none" w:sz="0" w:space="0" w:color="auto"/>
        <w:left w:val="none" w:sz="0" w:space="0" w:color="auto"/>
        <w:bottom w:val="none" w:sz="0" w:space="0" w:color="auto"/>
        <w:right w:val="none" w:sz="0" w:space="0" w:color="auto"/>
      </w:divBdr>
    </w:div>
    <w:div w:id="1283414497">
      <w:bodyDiv w:val="1"/>
      <w:marLeft w:val="0"/>
      <w:marRight w:val="0"/>
      <w:marTop w:val="0"/>
      <w:marBottom w:val="0"/>
      <w:divBdr>
        <w:top w:val="none" w:sz="0" w:space="0" w:color="auto"/>
        <w:left w:val="none" w:sz="0" w:space="0" w:color="auto"/>
        <w:bottom w:val="none" w:sz="0" w:space="0" w:color="auto"/>
        <w:right w:val="none" w:sz="0" w:space="0" w:color="auto"/>
      </w:divBdr>
    </w:div>
    <w:div w:id="1294284953">
      <w:bodyDiv w:val="1"/>
      <w:marLeft w:val="0"/>
      <w:marRight w:val="0"/>
      <w:marTop w:val="0"/>
      <w:marBottom w:val="0"/>
      <w:divBdr>
        <w:top w:val="none" w:sz="0" w:space="0" w:color="auto"/>
        <w:left w:val="none" w:sz="0" w:space="0" w:color="auto"/>
        <w:bottom w:val="none" w:sz="0" w:space="0" w:color="auto"/>
        <w:right w:val="none" w:sz="0" w:space="0" w:color="auto"/>
      </w:divBdr>
    </w:div>
    <w:div w:id="1300066272">
      <w:bodyDiv w:val="1"/>
      <w:marLeft w:val="0"/>
      <w:marRight w:val="0"/>
      <w:marTop w:val="0"/>
      <w:marBottom w:val="0"/>
      <w:divBdr>
        <w:top w:val="none" w:sz="0" w:space="0" w:color="auto"/>
        <w:left w:val="none" w:sz="0" w:space="0" w:color="auto"/>
        <w:bottom w:val="none" w:sz="0" w:space="0" w:color="auto"/>
        <w:right w:val="none" w:sz="0" w:space="0" w:color="auto"/>
      </w:divBdr>
    </w:div>
    <w:div w:id="1320038066">
      <w:bodyDiv w:val="1"/>
      <w:marLeft w:val="0"/>
      <w:marRight w:val="0"/>
      <w:marTop w:val="0"/>
      <w:marBottom w:val="0"/>
      <w:divBdr>
        <w:top w:val="none" w:sz="0" w:space="0" w:color="auto"/>
        <w:left w:val="none" w:sz="0" w:space="0" w:color="auto"/>
        <w:bottom w:val="none" w:sz="0" w:space="0" w:color="auto"/>
        <w:right w:val="none" w:sz="0" w:space="0" w:color="auto"/>
      </w:divBdr>
    </w:div>
    <w:div w:id="1322155063">
      <w:bodyDiv w:val="1"/>
      <w:marLeft w:val="0"/>
      <w:marRight w:val="0"/>
      <w:marTop w:val="0"/>
      <w:marBottom w:val="0"/>
      <w:divBdr>
        <w:top w:val="none" w:sz="0" w:space="0" w:color="auto"/>
        <w:left w:val="none" w:sz="0" w:space="0" w:color="auto"/>
        <w:bottom w:val="none" w:sz="0" w:space="0" w:color="auto"/>
        <w:right w:val="none" w:sz="0" w:space="0" w:color="auto"/>
      </w:divBdr>
    </w:div>
    <w:div w:id="1327056700">
      <w:bodyDiv w:val="1"/>
      <w:marLeft w:val="0"/>
      <w:marRight w:val="0"/>
      <w:marTop w:val="0"/>
      <w:marBottom w:val="0"/>
      <w:divBdr>
        <w:top w:val="none" w:sz="0" w:space="0" w:color="auto"/>
        <w:left w:val="none" w:sz="0" w:space="0" w:color="auto"/>
        <w:bottom w:val="none" w:sz="0" w:space="0" w:color="auto"/>
        <w:right w:val="none" w:sz="0" w:space="0" w:color="auto"/>
      </w:divBdr>
    </w:div>
    <w:div w:id="1335451220">
      <w:bodyDiv w:val="1"/>
      <w:marLeft w:val="0"/>
      <w:marRight w:val="0"/>
      <w:marTop w:val="0"/>
      <w:marBottom w:val="0"/>
      <w:divBdr>
        <w:top w:val="none" w:sz="0" w:space="0" w:color="auto"/>
        <w:left w:val="none" w:sz="0" w:space="0" w:color="auto"/>
        <w:bottom w:val="none" w:sz="0" w:space="0" w:color="auto"/>
        <w:right w:val="none" w:sz="0" w:space="0" w:color="auto"/>
      </w:divBdr>
    </w:div>
    <w:div w:id="1358384305">
      <w:bodyDiv w:val="1"/>
      <w:marLeft w:val="0"/>
      <w:marRight w:val="0"/>
      <w:marTop w:val="0"/>
      <w:marBottom w:val="0"/>
      <w:divBdr>
        <w:top w:val="none" w:sz="0" w:space="0" w:color="auto"/>
        <w:left w:val="none" w:sz="0" w:space="0" w:color="auto"/>
        <w:bottom w:val="none" w:sz="0" w:space="0" w:color="auto"/>
        <w:right w:val="none" w:sz="0" w:space="0" w:color="auto"/>
      </w:divBdr>
    </w:div>
    <w:div w:id="1370882601">
      <w:bodyDiv w:val="1"/>
      <w:marLeft w:val="0"/>
      <w:marRight w:val="0"/>
      <w:marTop w:val="0"/>
      <w:marBottom w:val="0"/>
      <w:divBdr>
        <w:top w:val="none" w:sz="0" w:space="0" w:color="auto"/>
        <w:left w:val="none" w:sz="0" w:space="0" w:color="auto"/>
        <w:bottom w:val="none" w:sz="0" w:space="0" w:color="auto"/>
        <w:right w:val="none" w:sz="0" w:space="0" w:color="auto"/>
      </w:divBdr>
    </w:div>
    <w:div w:id="1371685233">
      <w:bodyDiv w:val="1"/>
      <w:marLeft w:val="0"/>
      <w:marRight w:val="0"/>
      <w:marTop w:val="0"/>
      <w:marBottom w:val="0"/>
      <w:divBdr>
        <w:top w:val="none" w:sz="0" w:space="0" w:color="auto"/>
        <w:left w:val="none" w:sz="0" w:space="0" w:color="auto"/>
        <w:bottom w:val="none" w:sz="0" w:space="0" w:color="auto"/>
        <w:right w:val="none" w:sz="0" w:space="0" w:color="auto"/>
      </w:divBdr>
    </w:div>
    <w:div w:id="1384913382">
      <w:bodyDiv w:val="1"/>
      <w:marLeft w:val="0"/>
      <w:marRight w:val="0"/>
      <w:marTop w:val="0"/>
      <w:marBottom w:val="0"/>
      <w:divBdr>
        <w:top w:val="none" w:sz="0" w:space="0" w:color="auto"/>
        <w:left w:val="none" w:sz="0" w:space="0" w:color="auto"/>
        <w:bottom w:val="none" w:sz="0" w:space="0" w:color="auto"/>
        <w:right w:val="none" w:sz="0" w:space="0" w:color="auto"/>
      </w:divBdr>
    </w:div>
    <w:div w:id="1389958090">
      <w:bodyDiv w:val="1"/>
      <w:marLeft w:val="0"/>
      <w:marRight w:val="0"/>
      <w:marTop w:val="0"/>
      <w:marBottom w:val="0"/>
      <w:divBdr>
        <w:top w:val="none" w:sz="0" w:space="0" w:color="auto"/>
        <w:left w:val="none" w:sz="0" w:space="0" w:color="auto"/>
        <w:bottom w:val="none" w:sz="0" w:space="0" w:color="auto"/>
        <w:right w:val="none" w:sz="0" w:space="0" w:color="auto"/>
      </w:divBdr>
    </w:div>
    <w:div w:id="1395154023">
      <w:bodyDiv w:val="1"/>
      <w:marLeft w:val="0"/>
      <w:marRight w:val="0"/>
      <w:marTop w:val="0"/>
      <w:marBottom w:val="0"/>
      <w:divBdr>
        <w:top w:val="none" w:sz="0" w:space="0" w:color="auto"/>
        <w:left w:val="none" w:sz="0" w:space="0" w:color="auto"/>
        <w:bottom w:val="none" w:sz="0" w:space="0" w:color="auto"/>
        <w:right w:val="none" w:sz="0" w:space="0" w:color="auto"/>
      </w:divBdr>
    </w:div>
    <w:div w:id="1398822586">
      <w:bodyDiv w:val="1"/>
      <w:marLeft w:val="0"/>
      <w:marRight w:val="0"/>
      <w:marTop w:val="0"/>
      <w:marBottom w:val="0"/>
      <w:divBdr>
        <w:top w:val="none" w:sz="0" w:space="0" w:color="auto"/>
        <w:left w:val="none" w:sz="0" w:space="0" w:color="auto"/>
        <w:bottom w:val="none" w:sz="0" w:space="0" w:color="auto"/>
        <w:right w:val="none" w:sz="0" w:space="0" w:color="auto"/>
      </w:divBdr>
    </w:div>
    <w:div w:id="1411078550">
      <w:bodyDiv w:val="1"/>
      <w:marLeft w:val="0"/>
      <w:marRight w:val="0"/>
      <w:marTop w:val="0"/>
      <w:marBottom w:val="0"/>
      <w:divBdr>
        <w:top w:val="none" w:sz="0" w:space="0" w:color="auto"/>
        <w:left w:val="none" w:sz="0" w:space="0" w:color="auto"/>
        <w:bottom w:val="none" w:sz="0" w:space="0" w:color="auto"/>
        <w:right w:val="none" w:sz="0" w:space="0" w:color="auto"/>
      </w:divBdr>
    </w:div>
    <w:div w:id="1415011998">
      <w:bodyDiv w:val="1"/>
      <w:marLeft w:val="0"/>
      <w:marRight w:val="0"/>
      <w:marTop w:val="0"/>
      <w:marBottom w:val="0"/>
      <w:divBdr>
        <w:top w:val="none" w:sz="0" w:space="0" w:color="auto"/>
        <w:left w:val="none" w:sz="0" w:space="0" w:color="auto"/>
        <w:bottom w:val="none" w:sz="0" w:space="0" w:color="auto"/>
        <w:right w:val="none" w:sz="0" w:space="0" w:color="auto"/>
      </w:divBdr>
    </w:div>
    <w:div w:id="1420830424">
      <w:bodyDiv w:val="1"/>
      <w:marLeft w:val="0"/>
      <w:marRight w:val="0"/>
      <w:marTop w:val="0"/>
      <w:marBottom w:val="0"/>
      <w:divBdr>
        <w:top w:val="none" w:sz="0" w:space="0" w:color="auto"/>
        <w:left w:val="none" w:sz="0" w:space="0" w:color="auto"/>
        <w:bottom w:val="none" w:sz="0" w:space="0" w:color="auto"/>
        <w:right w:val="none" w:sz="0" w:space="0" w:color="auto"/>
      </w:divBdr>
    </w:div>
    <w:div w:id="1426002487">
      <w:bodyDiv w:val="1"/>
      <w:marLeft w:val="0"/>
      <w:marRight w:val="0"/>
      <w:marTop w:val="0"/>
      <w:marBottom w:val="0"/>
      <w:divBdr>
        <w:top w:val="none" w:sz="0" w:space="0" w:color="auto"/>
        <w:left w:val="none" w:sz="0" w:space="0" w:color="auto"/>
        <w:bottom w:val="none" w:sz="0" w:space="0" w:color="auto"/>
        <w:right w:val="none" w:sz="0" w:space="0" w:color="auto"/>
      </w:divBdr>
    </w:div>
    <w:div w:id="1443694831">
      <w:bodyDiv w:val="1"/>
      <w:marLeft w:val="0"/>
      <w:marRight w:val="0"/>
      <w:marTop w:val="0"/>
      <w:marBottom w:val="0"/>
      <w:divBdr>
        <w:top w:val="none" w:sz="0" w:space="0" w:color="auto"/>
        <w:left w:val="none" w:sz="0" w:space="0" w:color="auto"/>
        <w:bottom w:val="none" w:sz="0" w:space="0" w:color="auto"/>
        <w:right w:val="none" w:sz="0" w:space="0" w:color="auto"/>
      </w:divBdr>
    </w:div>
    <w:div w:id="1443724070">
      <w:bodyDiv w:val="1"/>
      <w:marLeft w:val="0"/>
      <w:marRight w:val="0"/>
      <w:marTop w:val="0"/>
      <w:marBottom w:val="0"/>
      <w:divBdr>
        <w:top w:val="none" w:sz="0" w:space="0" w:color="auto"/>
        <w:left w:val="none" w:sz="0" w:space="0" w:color="auto"/>
        <w:bottom w:val="none" w:sz="0" w:space="0" w:color="auto"/>
        <w:right w:val="none" w:sz="0" w:space="0" w:color="auto"/>
      </w:divBdr>
    </w:div>
    <w:div w:id="1505706099">
      <w:bodyDiv w:val="1"/>
      <w:marLeft w:val="0"/>
      <w:marRight w:val="0"/>
      <w:marTop w:val="0"/>
      <w:marBottom w:val="0"/>
      <w:divBdr>
        <w:top w:val="none" w:sz="0" w:space="0" w:color="auto"/>
        <w:left w:val="none" w:sz="0" w:space="0" w:color="auto"/>
        <w:bottom w:val="none" w:sz="0" w:space="0" w:color="auto"/>
        <w:right w:val="none" w:sz="0" w:space="0" w:color="auto"/>
      </w:divBdr>
    </w:div>
    <w:div w:id="1542279807">
      <w:bodyDiv w:val="1"/>
      <w:marLeft w:val="0"/>
      <w:marRight w:val="0"/>
      <w:marTop w:val="0"/>
      <w:marBottom w:val="0"/>
      <w:divBdr>
        <w:top w:val="none" w:sz="0" w:space="0" w:color="auto"/>
        <w:left w:val="none" w:sz="0" w:space="0" w:color="auto"/>
        <w:bottom w:val="none" w:sz="0" w:space="0" w:color="auto"/>
        <w:right w:val="none" w:sz="0" w:space="0" w:color="auto"/>
      </w:divBdr>
    </w:div>
    <w:div w:id="1552570191">
      <w:bodyDiv w:val="1"/>
      <w:marLeft w:val="0"/>
      <w:marRight w:val="0"/>
      <w:marTop w:val="0"/>
      <w:marBottom w:val="0"/>
      <w:divBdr>
        <w:top w:val="none" w:sz="0" w:space="0" w:color="auto"/>
        <w:left w:val="none" w:sz="0" w:space="0" w:color="auto"/>
        <w:bottom w:val="none" w:sz="0" w:space="0" w:color="auto"/>
        <w:right w:val="none" w:sz="0" w:space="0" w:color="auto"/>
      </w:divBdr>
    </w:div>
    <w:div w:id="1560049567">
      <w:bodyDiv w:val="1"/>
      <w:marLeft w:val="0"/>
      <w:marRight w:val="0"/>
      <w:marTop w:val="0"/>
      <w:marBottom w:val="0"/>
      <w:divBdr>
        <w:top w:val="none" w:sz="0" w:space="0" w:color="auto"/>
        <w:left w:val="none" w:sz="0" w:space="0" w:color="auto"/>
        <w:bottom w:val="none" w:sz="0" w:space="0" w:color="auto"/>
        <w:right w:val="none" w:sz="0" w:space="0" w:color="auto"/>
      </w:divBdr>
    </w:div>
    <w:div w:id="1573084915">
      <w:bodyDiv w:val="1"/>
      <w:marLeft w:val="0"/>
      <w:marRight w:val="0"/>
      <w:marTop w:val="0"/>
      <w:marBottom w:val="0"/>
      <w:divBdr>
        <w:top w:val="none" w:sz="0" w:space="0" w:color="auto"/>
        <w:left w:val="none" w:sz="0" w:space="0" w:color="auto"/>
        <w:bottom w:val="none" w:sz="0" w:space="0" w:color="auto"/>
        <w:right w:val="none" w:sz="0" w:space="0" w:color="auto"/>
      </w:divBdr>
    </w:div>
    <w:div w:id="1581325064">
      <w:bodyDiv w:val="1"/>
      <w:marLeft w:val="0"/>
      <w:marRight w:val="0"/>
      <w:marTop w:val="0"/>
      <w:marBottom w:val="0"/>
      <w:divBdr>
        <w:top w:val="none" w:sz="0" w:space="0" w:color="auto"/>
        <w:left w:val="none" w:sz="0" w:space="0" w:color="auto"/>
        <w:bottom w:val="none" w:sz="0" w:space="0" w:color="auto"/>
        <w:right w:val="none" w:sz="0" w:space="0" w:color="auto"/>
      </w:divBdr>
      <w:divsChild>
        <w:div w:id="1682269851">
          <w:marLeft w:val="0"/>
          <w:marRight w:val="0"/>
          <w:marTop w:val="100"/>
          <w:marBottom w:val="100"/>
          <w:divBdr>
            <w:top w:val="none" w:sz="0" w:space="0" w:color="auto"/>
            <w:left w:val="none" w:sz="0" w:space="0" w:color="auto"/>
            <w:bottom w:val="none" w:sz="0" w:space="0" w:color="auto"/>
            <w:right w:val="none" w:sz="0" w:space="0" w:color="auto"/>
          </w:divBdr>
          <w:divsChild>
            <w:div w:id="19743658">
              <w:marLeft w:val="0"/>
              <w:marRight w:val="0"/>
              <w:marTop w:val="0"/>
              <w:marBottom w:val="0"/>
              <w:divBdr>
                <w:top w:val="none" w:sz="0" w:space="0" w:color="auto"/>
                <w:left w:val="none" w:sz="0" w:space="0" w:color="auto"/>
                <w:bottom w:val="none" w:sz="0" w:space="0" w:color="auto"/>
                <w:right w:val="none" w:sz="0" w:space="0" w:color="auto"/>
              </w:divBdr>
              <w:divsChild>
                <w:div w:id="1154831651">
                  <w:marLeft w:val="0"/>
                  <w:marRight w:val="0"/>
                  <w:marTop w:val="0"/>
                  <w:marBottom w:val="0"/>
                  <w:divBdr>
                    <w:top w:val="none" w:sz="0" w:space="0" w:color="auto"/>
                    <w:left w:val="none" w:sz="0" w:space="0" w:color="auto"/>
                    <w:bottom w:val="none" w:sz="0" w:space="0" w:color="auto"/>
                    <w:right w:val="none" w:sz="0" w:space="0" w:color="auto"/>
                  </w:divBdr>
                  <w:divsChild>
                    <w:div w:id="212352022">
                      <w:marLeft w:val="0"/>
                      <w:marRight w:val="0"/>
                      <w:marTop w:val="0"/>
                      <w:marBottom w:val="0"/>
                      <w:divBdr>
                        <w:top w:val="none" w:sz="0" w:space="0" w:color="auto"/>
                        <w:left w:val="none" w:sz="0" w:space="0" w:color="auto"/>
                        <w:bottom w:val="none" w:sz="0" w:space="0" w:color="auto"/>
                        <w:right w:val="none" w:sz="0" w:space="0" w:color="auto"/>
                      </w:divBdr>
                      <w:divsChild>
                        <w:div w:id="1175072351">
                          <w:marLeft w:val="0"/>
                          <w:marRight w:val="0"/>
                          <w:marTop w:val="0"/>
                          <w:marBottom w:val="0"/>
                          <w:divBdr>
                            <w:top w:val="none" w:sz="0" w:space="0" w:color="auto"/>
                            <w:left w:val="none" w:sz="0" w:space="0" w:color="auto"/>
                            <w:bottom w:val="none" w:sz="0" w:space="0" w:color="auto"/>
                            <w:right w:val="none" w:sz="0" w:space="0" w:color="auto"/>
                          </w:divBdr>
                          <w:divsChild>
                            <w:div w:id="297689724">
                              <w:marLeft w:val="0"/>
                              <w:marRight w:val="0"/>
                              <w:marTop w:val="0"/>
                              <w:marBottom w:val="0"/>
                              <w:divBdr>
                                <w:top w:val="none" w:sz="0" w:space="0" w:color="auto"/>
                                <w:left w:val="none" w:sz="0" w:space="0" w:color="auto"/>
                                <w:bottom w:val="none" w:sz="0" w:space="0" w:color="auto"/>
                                <w:right w:val="none" w:sz="0" w:space="0" w:color="auto"/>
                              </w:divBdr>
                              <w:divsChild>
                                <w:div w:id="566843122">
                                  <w:marLeft w:val="0"/>
                                  <w:marRight w:val="0"/>
                                  <w:marTop w:val="0"/>
                                  <w:marBottom w:val="0"/>
                                  <w:divBdr>
                                    <w:top w:val="none" w:sz="0" w:space="0" w:color="auto"/>
                                    <w:left w:val="none" w:sz="0" w:space="0" w:color="auto"/>
                                    <w:bottom w:val="none" w:sz="0" w:space="0" w:color="auto"/>
                                    <w:right w:val="none" w:sz="0" w:space="0" w:color="auto"/>
                                  </w:divBdr>
                                  <w:divsChild>
                                    <w:div w:id="65417543">
                                      <w:marLeft w:val="-15"/>
                                      <w:marRight w:val="-15"/>
                                      <w:marTop w:val="0"/>
                                      <w:marBottom w:val="0"/>
                                      <w:divBdr>
                                        <w:top w:val="none" w:sz="0" w:space="0" w:color="auto"/>
                                        <w:left w:val="none" w:sz="0" w:space="0" w:color="auto"/>
                                        <w:bottom w:val="none" w:sz="0" w:space="0" w:color="auto"/>
                                        <w:right w:val="none" w:sz="0" w:space="0" w:color="auto"/>
                                      </w:divBdr>
                                    </w:div>
                                    <w:div w:id="134493178">
                                      <w:marLeft w:val="0"/>
                                      <w:marRight w:val="0"/>
                                      <w:marTop w:val="0"/>
                                      <w:marBottom w:val="0"/>
                                      <w:divBdr>
                                        <w:top w:val="single" w:sz="6" w:space="0" w:color="E0E0E0"/>
                                        <w:left w:val="single" w:sz="6" w:space="0" w:color="E0E0E0"/>
                                        <w:bottom w:val="single" w:sz="6" w:space="0" w:color="E0E0E0"/>
                                        <w:right w:val="single" w:sz="6" w:space="0" w:color="E0E0E0"/>
                                      </w:divBdr>
                                      <w:divsChild>
                                        <w:div w:id="1999917532">
                                          <w:marLeft w:val="0"/>
                                          <w:marRight w:val="0"/>
                                          <w:marTop w:val="0"/>
                                          <w:marBottom w:val="0"/>
                                          <w:divBdr>
                                            <w:top w:val="none" w:sz="0" w:space="0" w:color="auto"/>
                                            <w:left w:val="none" w:sz="0" w:space="0" w:color="auto"/>
                                            <w:bottom w:val="none" w:sz="0" w:space="0" w:color="auto"/>
                                            <w:right w:val="none" w:sz="0" w:space="0" w:color="auto"/>
                                          </w:divBdr>
                                          <w:divsChild>
                                            <w:div w:id="248084915">
                                              <w:marLeft w:val="0"/>
                                              <w:marRight w:val="0"/>
                                              <w:marTop w:val="0"/>
                                              <w:marBottom w:val="0"/>
                                              <w:divBdr>
                                                <w:top w:val="none" w:sz="0" w:space="0" w:color="auto"/>
                                                <w:left w:val="none" w:sz="0" w:space="0" w:color="auto"/>
                                                <w:bottom w:val="none" w:sz="0" w:space="0" w:color="auto"/>
                                                <w:right w:val="none" w:sz="0" w:space="0" w:color="auto"/>
                                              </w:divBdr>
                                              <w:divsChild>
                                                <w:div w:id="1967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559838">
                                  <w:marLeft w:val="0"/>
                                  <w:marRight w:val="0"/>
                                  <w:marTop w:val="0"/>
                                  <w:marBottom w:val="0"/>
                                  <w:divBdr>
                                    <w:top w:val="none" w:sz="0" w:space="0" w:color="auto"/>
                                    <w:left w:val="none" w:sz="0" w:space="0" w:color="auto"/>
                                    <w:bottom w:val="none" w:sz="0" w:space="0" w:color="auto"/>
                                    <w:right w:val="none" w:sz="0" w:space="0" w:color="auto"/>
                                  </w:divBdr>
                                  <w:divsChild>
                                    <w:div w:id="956564648">
                                      <w:marLeft w:val="0"/>
                                      <w:marRight w:val="0"/>
                                      <w:marTop w:val="0"/>
                                      <w:marBottom w:val="0"/>
                                      <w:divBdr>
                                        <w:top w:val="single" w:sz="6" w:space="0" w:color="E0E0E0"/>
                                        <w:left w:val="single" w:sz="6" w:space="0" w:color="E0E0E0"/>
                                        <w:bottom w:val="single" w:sz="6" w:space="0" w:color="E0E0E0"/>
                                        <w:right w:val="single" w:sz="6" w:space="0" w:color="E0E0E0"/>
                                      </w:divBdr>
                                      <w:divsChild>
                                        <w:div w:id="1045059538">
                                          <w:marLeft w:val="0"/>
                                          <w:marRight w:val="0"/>
                                          <w:marTop w:val="0"/>
                                          <w:marBottom w:val="0"/>
                                          <w:divBdr>
                                            <w:top w:val="none" w:sz="0" w:space="0" w:color="auto"/>
                                            <w:left w:val="none" w:sz="0" w:space="0" w:color="auto"/>
                                            <w:bottom w:val="none" w:sz="0" w:space="0" w:color="auto"/>
                                            <w:right w:val="none" w:sz="0" w:space="0" w:color="auto"/>
                                          </w:divBdr>
                                          <w:divsChild>
                                            <w:div w:id="894050097">
                                              <w:marLeft w:val="0"/>
                                              <w:marRight w:val="0"/>
                                              <w:marTop w:val="0"/>
                                              <w:marBottom w:val="0"/>
                                              <w:divBdr>
                                                <w:top w:val="none" w:sz="0" w:space="0" w:color="auto"/>
                                                <w:left w:val="none" w:sz="0" w:space="0" w:color="auto"/>
                                                <w:bottom w:val="none" w:sz="0" w:space="0" w:color="auto"/>
                                                <w:right w:val="none" w:sz="0" w:space="0" w:color="auto"/>
                                              </w:divBdr>
                                              <w:divsChild>
                                                <w:div w:id="7414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2227">
                                      <w:marLeft w:val="0"/>
                                      <w:marRight w:val="0"/>
                                      <w:marTop w:val="0"/>
                                      <w:marBottom w:val="0"/>
                                      <w:divBdr>
                                        <w:top w:val="none" w:sz="0" w:space="0" w:color="auto"/>
                                        <w:left w:val="single" w:sz="6" w:space="0" w:color="E0E0E0"/>
                                        <w:bottom w:val="single" w:sz="6" w:space="0" w:color="E0E0E0"/>
                                        <w:right w:val="single" w:sz="6" w:space="0" w:color="E0E0E0"/>
                                      </w:divBdr>
                                      <w:divsChild>
                                        <w:div w:id="1740638685">
                                          <w:marLeft w:val="0"/>
                                          <w:marRight w:val="0"/>
                                          <w:marTop w:val="0"/>
                                          <w:marBottom w:val="0"/>
                                          <w:divBdr>
                                            <w:top w:val="none" w:sz="0" w:space="0" w:color="auto"/>
                                            <w:left w:val="none" w:sz="0" w:space="0" w:color="auto"/>
                                            <w:bottom w:val="none" w:sz="0" w:space="0" w:color="auto"/>
                                            <w:right w:val="none" w:sz="0" w:space="0" w:color="auto"/>
                                          </w:divBdr>
                                          <w:divsChild>
                                            <w:div w:id="522792676">
                                              <w:marLeft w:val="0"/>
                                              <w:marRight w:val="0"/>
                                              <w:marTop w:val="0"/>
                                              <w:marBottom w:val="0"/>
                                              <w:divBdr>
                                                <w:top w:val="none" w:sz="0" w:space="0" w:color="auto"/>
                                                <w:left w:val="none" w:sz="0" w:space="0" w:color="auto"/>
                                                <w:bottom w:val="none" w:sz="0" w:space="0" w:color="auto"/>
                                                <w:right w:val="none" w:sz="0" w:space="0" w:color="auto"/>
                                              </w:divBdr>
                                            </w:div>
                                            <w:div w:id="811605620">
                                              <w:marLeft w:val="0"/>
                                              <w:marRight w:val="0"/>
                                              <w:marTop w:val="0"/>
                                              <w:marBottom w:val="0"/>
                                              <w:divBdr>
                                                <w:top w:val="none" w:sz="0" w:space="0" w:color="auto"/>
                                                <w:left w:val="none" w:sz="0" w:space="0" w:color="auto"/>
                                                <w:bottom w:val="none" w:sz="0" w:space="0" w:color="auto"/>
                                                <w:right w:val="none" w:sz="0" w:space="0" w:color="auto"/>
                                              </w:divBdr>
                                              <w:divsChild>
                                                <w:div w:id="754934605">
                                                  <w:marLeft w:val="0"/>
                                                  <w:marRight w:val="0"/>
                                                  <w:marTop w:val="0"/>
                                                  <w:marBottom w:val="0"/>
                                                  <w:divBdr>
                                                    <w:top w:val="none" w:sz="0" w:space="0" w:color="auto"/>
                                                    <w:left w:val="none" w:sz="0" w:space="0" w:color="auto"/>
                                                    <w:bottom w:val="none" w:sz="0" w:space="0" w:color="auto"/>
                                                    <w:right w:val="none" w:sz="0" w:space="0" w:color="auto"/>
                                                  </w:divBdr>
                                                  <w:divsChild>
                                                    <w:div w:id="185633755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77449">
                                      <w:marLeft w:val="-15"/>
                                      <w:marRight w:val="-15"/>
                                      <w:marTop w:val="0"/>
                                      <w:marBottom w:val="0"/>
                                      <w:divBdr>
                                        <w:top w:val="none" w:sz="0" w:space="0" w:color="auto"/>
                                        <w:left w:val="none" w:sz="0" w:space="0" w:color="auto"/>
                                        <w:bottom w:val="none" w:sz="0" w:space="0" w:color="auto"/>
                                        <w:right w:val="none" w:sz="0" w:space="0" w:color="auto"/>
                                      </w:divBdr>
                                    </w:div>
                                  </w:divsChild>
                                </w:div>
                                <w:div w:id="1769737584">
                                  <w:marLeft w:val="0"/>
                                  <w:marRight w:val="0"/>
                                  <w:marTop w:val="0"/>
                                  <w:marBottom w:val="0"/>
                                  <w:divBdr>
                                    <w:top w:val="none" w:sz="0" w:space="0" w:color="auto"/>
                                    <w:left w:val="none" w:sz="0" w:space="0" w:color="auto"/>
                                    <w:bottom w:val="none" w:sz="0" w:space="0" w:color="auto"/>
                                    <w:right w:val="none" w:sz="0" w:space="0" w:color="auto"/>
                                  </w:divBdr>
                                  <w:divsChild>
                                    <w:div w:id="181017261">
                                      <w:marLeft w:val="-15"/>
                                      <w:marRight w:val="-15"/>
                                      <w:marTop w:val="0"/>
                                      <w:marBottom w:val="0"/>
                                      <w:divBdr>
                                        <w:top w:val="none" w:sz="0" w:space="0" w:color="auto"/>
                                        <w:left w:val="none" w:sz="0" w:space="0" w:color="auto"/>
                                        <w:bottom w:val="none" w:sz="0" w:space="0" w:color="auto"/>
                                        <w:right w:val="none" w:sz="0" w:space="0" w:color="auto"/>
                                      </w:divBdr>
                                    </w:div>
                                    <w:div w:id="225261858">
                                      <w:marLeft w:val="0"/>
                                      <w:marRight w:val="0"/>
                                      <w:marTop w:val="0"/>
                                      <w:marBottom w:val="0"/>
                                      <w:divBdr>
                                        <w:top w:val="single" w:sz="6" w:space="0" w:color="E0E0E0"/>
                                        <w:left w:val="single" w:sz="6" w:space="0" w:color="E0E0E0"/>
                                        <w:bottom w:val="single" w:sz="6" w:space="0" w:color="E0E0E0"/>
                                        <w:right w:val="single" w:sz="6" w:space="0" w:color="E0E0E0"/>
                                      </w:divBdr>
                                      <w:divsChild>
                                        <w:div w:id="613558599">
                                          <w:marLeft w:val="0"/>
                                          <w:marRight w:val="0"/>
                                          <w:marTop w:val="0"/>
                                          <w:marBottom w:val="0"/>
                                          <w:divBdr>
                                            <w:top w:val="none" w:sz="0" w:space="0" w:color="auto"/>
                                            <w:left w:val="none" w:sz="0" w:space="0" w:color="auto"/>
                                            <w:bottom w:val="none" w:sz="0" w:space="0" w:color="auto"/>
                                            <w:right w:val="none" w:sz="0" w:space="0" w:color="auto"/>
                                          </w:divBdr>
                                          <w:divsChild>
                                            <w:div w:id="1813867749">
                                              <w:marLeft w:val="0"/>
                                              <w:marRight w:val="0"/>
                                              <w:marTop w:val="0"/>
                                              <w:marBottom w:val="0"/>
                                              <w:divBdr>
                                                <w:top w:val="none" w:sz="0" w:space="0" w:color="auto"/>
                                                <w:left w:val="none" w:sz="0" w:space="0" w:color="auto"/>
                                                <w:bottom w:val="none" w:sz="0" w:space="0" w:color="auto"/>
                                                <w:right w:val="none" w:sz="0" w:space="0" w:color="auto"/>
                                              </w:divBdr>
                                              <w:divsChild>
                                                <w:div w:id="196982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821260">
                                  <w:marLeft w:val="0"/>
                                  <w:marRight w:val="0"/>
                                  <w:marTop w:val="0"/>
                                  <w:marBottom w:val="0"/>
                                  <w:divBdr>
                                    <w:top w:val="none" w:sz="0" w:space="0" w:color="auto"/>
                                    <w:left w:val="none" w:sz="0" w:space="0" w:color="auto"/>
                                    <w:bottom w:val="none" w:sz="0" w:space="0" w:color="auto"/>
                                    <w:right w:val="none" w:sz="0" w:space="0" w:color="auto"/>
                                  </w:divBdr>
                                  <w:divsChild>
                                    <w:div w:id="234979130">
                                      <w:marLeft w:val="-15"/>
                                      <w:marRight w:val="-15"/>
                                      <w:marTop w:val="0"/>
                                      <w:marBottom w:val="0"/>
                                      <w:divBdr>
                                        <w:top w:val="none" w:sz="0" w:space="0" w:color="auto"/>
                                        <w:left w:val="none" w:sz="0" w:space="0" w:color="auto"/>
                                        <w:bottom w:val="none" w:sz="0" w:space="0" w:color="auto"/>
                                        <w:right w:val="none" w:sz="0" w:space="0" w:color="auto"/>
                                      </w:divBdr>
                                    </w:div>
                                    <w:div w:id="1803380946">
                                      <w:marLeft w:val="0"/>
                                      <w:marRight w:val="0"/>
                                      <w:marTop w:val="0"/>
                                      <w:marBottom w:val="0"/>
                                      <w:divBdr>
                                        <w:top w:val="single" w:sz="6" w:space="0" w:color="E0E0E0"/>
                                        <w:left w:val="single" w:sz="6" w:space="0" w:color="E0E0E0"/>
                                        <w:bottom w:val="single" w:sz="6" w:space="0" w:color="E0E0E0"/>
                                        <w:right w:val="single" w:sz="6" w:space="0" w:color="E0E0E0"/>
                                      </w:divBdr>
                                      <w:divsChild>
                                        <w:div w:id="213542512">
                                          <w:marLeft w:val="0"/>
                                          <w:marRight w:val="0"/>
                                          <w:marTop w:val="0"/>
                                          <w:marBottom w:val="0"/>
                                          <w:divBdr>
                                            <w:top w:val="none" w:sz="0" w:space="0" w:color="auto"/>
                                            <w:left w:val="none" w:sz="0" w:space="0" w:color="auto"/>
                                            <w:bottom w:val="none" w:sz="0" w:space="0" w:color="auto"/>
                                            <w:right w:val="none" w:sz="0" w:space="0" w:color="auto"/>
                                          </w:divBdr>
                                          <w:divsChild>
                                            <w:div w:id="327055986">
                                              <w:marLeft w:val="0"/>
                                              <w:marRight w:val="0"/>
                                              <w:marTop w:val="0"/>
                                              <w:marBottom w:val="0"/>
                                              <w:divBdr>
                                                <w:top w:val="none" w:sz="0" w:space="0" w:color="auto"/>
                                                <w:left w:val="none" w:sz="0" w:space="0" w:color="auto"/>
                                                <w:bottom w:val="none" w:sz="0" w:space="0" w:color="auto"/>
                                                <w:right w:val="none" w:sz="0" w:space="0" w:color="auto"/>
                                              </w:divBdr>
                                              <w:divsChild>
                                                <w:div w:id="1632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89263">
                      <w:marLeft w:val="0"/>
                      <w:marRight w:val="0"/>
                      <w:marTop w:val="0"/>
                      <w:marBottom w:val="0"/>
                      <w:divBdr>
                        <w:top w:val="single" w:sz="6" w:space="0" w:color="E0E0E0"/>
                        <w:left w:val="single" w:sz="6" w:space="0" w:color="E0E0E0"/>
                        <w:bottom w:val="single" w:sz="6" w:space="0" w:color="E0E0E0"/>
                        <w:right w:val="single" w:sz="6" w:space="0" w:color="E0E0E0"/>
                      </w:divBdr>
                      <w:divsChild>
                        <w:div w:id="1154292807">
                          <w:marLeft w:val="0"/>
                          <w:marRight w:val="0"/>
                          <w:marTop w:val="0"/>
                          <w:marBottom w:val="0"/>
                          <w:divBdr>
                            <w:top w:val="single" w:sz="6" w:space="0" w:color="E0E0E0"/>
                            <w:left w:val="none" w:sz="0" w:space="0" w:color="auto"/>
                            <w:bottom w:val="none" w:sz="0" w:space="0" w:color="auto"/>
                            <w:right w:val="none" w:sz="0" w:space="0" w:color="auto"/>
                          </w:divBdr>
                          <w:divsChild>
                            <w:div w:id="1287127205">
                              <w:marLeft w:val="0"/>
                              <w:marRight w:val="0"/>
                              <w:marTop w:val="0"/>
                              <w:marBottom w:val="0"/>
                              <w:divBdr>
                                <w:top w:val="none" w:sz="0" w:space="0" w:color="auto"/>
                                <w:left w:val="none" w:sz="0" w:space="0" w:color="auto"/>
                                <w:bottom w:val="none" w:sz="0" w:space="0" w:color="auto"/>
                                <w:right w:val="none" w:sz="0" w:space="0" w:color="auto"/>
                              </w:divBdr>
                              <w:divsChild>
                                <w:div w:id="747848524">
                                  <w:marLeft w:val="15"/>
                                  <w:marRight w:val="15"/>
                                  <w:marTop w:val="0"/>
                                  <w:marBottom w:val="0"/>
                                  <w:divBdr>
                                    <w:top w:val="none" w:sz="0" w:space="0" w:color="auto"/>
                                    <w:left w:val="none" w:sz="0" w:space="0" w:color="auto"/>
                                    <w:bottom w:val="none" w:sz="0" w:space="0" w:color="auto"/>
                                    <w:right w:val="none" w:sz="0" w:space="0" w:color="auto"/>
                                  </w:divBdr>
                                </w:div>
                                <w:div w:id="1269660662">
                                  <w:marLeft w:val="15"/>
                                  <w:marRight w:val="15"/>
                                  <w:marTop w:val="0"/>
                                  <w:marBottom w:val="0"/>
                                  <w:divBdr>
                                    <w:top w:val="none" w:sz="0" w:space="0" w:color="auto"/>
                                    <w:left w:val="none" w:sz="0" w:space="0" w:color="auto"/>
                                    <w:bottom w:val="none" w:sz="0" w:space="0" w:color="auto"/>
                                    <w:right w:val="none" w:sz="0" w:space="0" w:color="auto"/>
                                  </w:divBdr>
                                  <w:divsChild>
                                    <w:div w:id="1242064395">
                                      <w:marLeft w:val="0"/>
                                      <w:marRight w:val="0"/>
                                      <w:marTop w:val="0"/>
                                      <w:marBottom w:val="0"/>
                                      <w:divBdr>
                                        <w:top w:val="none" w:sz="0" w:space="0" w:color="auto"/>
                                        <w:left w:val="none" w:sz="0" w:space="0" w:color="auto"/>
                                        <w:bottom w:val="none" w:sz="0" w:space="0" w:color="auto"/>
                                        <w:right w:val="none" w:sz="0" w:space="0" w:color="auto"/>
                                      </w:divBdr>
                                      <w:divsChild>
                                        <w:div w:id="3859513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02054">
                  <w:marLeft w:val="0"/>
                  <w:marRight w:val="0"/>
                  <w:marTop w:val="0"/>
                  <w:marBottom w:val="0"/>
                  <w:divBdr>
                    <w:top w:val="none" w:sz="0" w:space="0" w:color="auto"/>
                    <w:left w:val="none" w:sz="0" w:space="0" w:color="auto"/>
                    <w:bottom w:val="none" w:sz="0" w:space="0" w:color="auto"/>
                    <w:right w:val="none" w:sz="0" w:space="0" w:color="auto"/>
                  </w:divBdr>
                </w:div>
              </w:divsChild>
            </w:div>
            <w:div w:id="501821244">
              <w:marLeft w:val="0"/>
              <w:marRight w:val="0"/>
              <w:marTop w:val="0"/>
              <w:marBottom w:val="0"/>
              <w:divBdr>
                <w:top w:val="none" w:sz="0" w:space="0" w:color="auto"/>
                <w:left w:val="none" w:sz="0" w:space="0" w:color="auto"/>
                <w:bottom w:val="none" w:sz="0" w:space="0" w:color="auto"/>
                <w:right w:val="none" w:sz="0" w:space="0" w:color="auto"/>
              </w:divBdr>
              <w:divsChild>
                <w:div w:id="1784307399">
                  <w:marLeft w:val="0"/>
                  <w:marRight w:val="0"/>
                  <w:marTop w:val="0"/>
                  <w:marBottom w:val="0"/>
                  <w:divBdr>
                    <w:top w:val="none" w:sz="0" w:space="0" w:color="auto"/>
                    <w:left w:val="none" w:sz="0" w:space="0" w:color="auto"/>
                    <w:bottom w:val="none" w:sz="0" w:space="0" w:color="auto"/>
                    <w:right w:val="none" w:sz="0" w:space="0" w:color="auto"/>
                  </w:divBdr>
                  <w:divsChild>
                    <w:div w:id="1510371979">
                      <w:marLeft w:val="0"/>
                      <w:marRight w:val="0"/>
                      <w:marTop w:val="0"/>
                      <w:marBottom w:val="0"/>
                      <w:divBdr>
                        <w:top w:val="none" w:sz="0" w:space="0" w:color="auto"/>
                        <w:left w:val="none" w:sz="0" w:space="0" w:color="auto"/>
                        <w:bottom w:val="none" w:sz="0" w:space="0" w:color="auto"/>
                        <w:right w:val="none" w:sz="0" w:space="0" w:color="auto"/>
                      </w:divBdr>
                      <w:divsChild>
                        <w:div w:id="880169118">
                          <w:marLeft w:val="0"/>
                          <w:marRight w:val="0"/>
                          <w:marTop w:val="0"/>
                          <w:marBottom w:val="0"/>
                          <w:divBdr>
                            <w:top w:val="none" w:sz="0" w:space="0" w:color="auto"/>
                            <w:left w:val="none" w:sz="0" w:space="0" w:color="auto"/>
                            <w:bottom w:val="none" w:sz="0" w:space="0" w:color="auto"/>
                            <w:right w:val="none" w:sz="0" w:space="0" w:color="auto"/>
                          </w:divBdr>
                          <w:divsChild>
                            <w:div w:id="1191264113">
                              <w:marLeft w:val="0"/>
                              <w:marRight w:val="0"/>
                              <w:marTop w:val="0"/>
                              <w:marBottom w:val="0"/>
                              <w:divBdr>
                                <w:top w:val="none" w:sz="0" w:space="0" w:color="auto"/>
                                <w:left w:val="none" w:sz="0" w:space="0" w:color="auto"/>
                                <w:bottom w:val="none" w:sz="0" w:space="0" w:color="auto"/>
                                <w:right w:val="none" w:sz="0" w:space="0" w:color="auto"/>
                              </w:divBdr>
                            </w:div>
                            <w:div w:id="20506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796963">
      <w:bodyDiv w:val="1"/>
      <w:marLeft w:val="0"/>
      <w:marRight w:val="0"/>
      <w:marTop w:val="0"/>
      <w:marBottom w:val="0"/>
      <w:divBdr>
        <w:top w:val="none" w:sz="0" w:space="0" w:color="auto"/>
        <w:left w:val="none" w:sz="0" w:space="0" w:color="auto"/>
        <w:bottom w:val="none" w:sz="0" w:space="0" w:color="auto"/>
        <w:right w:val="none" w:sz="0" w:space="0" w:color="auto"/>
      </w:divBdr>
    </w:div>
    <w:div w:id="1608928432">
      <w:bodyDiv w:val="1"/>
      <w:marLeft w:val="0"/>
      <w:marRight w:val="0"/>
      <w:marTop w:val="0"/>
      <w:marBottom w:val="0"/>
      <w:divBdr>
        <w:top w:val="none" w:sz="0" w:space="0" w:color="auto"/>
        <w:left w:val="none" w:sz="0" w:space="0" w:color="auto"/>
        <w:bottom w:val="none" w:sz="0" w:space="0" w:color="auto"/>
        <w:right w:val="none" w:sz="0" w:space="0" w:color="auto"/>
      </w:divBdr>
    </w:div>
    <w:div w:id="1618872387">
      <w:bodyDiv w:val="1"/>
      <w:marLeft w:val="0"/>
      <w:marRight w:val="0"/>
      <w:marTop w:val="0"/>
      <w:marBottom w:val="0"/>
      <w:divBdr>
        <w:top w:val="none" w:sz="0" w:space="0" w:color="auto"/>
        <w:left w:val="none" w:sz="0" w:space="0" w:color="auto"/>
        <w:bottom w:val="none" w:sz="0" w:space="0" w:color="auto"/>
        <w:right w:val="none" w:sz="0" w:space="0" w:color="auto"/>
      </w:divBdr>
    </w:div>
    <w:div w:id="1627274212">
      <w:bodyDiv w:val="1"/>
      <w:marLeft w:val="0"/>
      <w:marRight w:val="0"/>
      <w:marTop w:val="0"/>
      <w:marBottom w:val="0"/>
      <w:divBdr>
        <w:top w:val="none" w:sz="0" w:space="0" w:color="auto"/>
        <w:left w:val="none" w:sz="0" w:space="0" w:color="auto"/>
        <w:bottom w:val="none" w:sz="0" w:space="0" w:color="auto"/>
        <w:right w:val="none" w:sz="0" w:space="0" w:color="auto"/>
      </w:divBdr>
    </w:div>
    <w:div w:id="1631401700">
      <w:bodyDiv w:val="1"/>
      <w:marLeft w:val="0"/>
      <w:marRight w:val="0"/>
      <w:marTop w:val="0"/>
      <w:marBottom w:val="0"/>
      <w:divBdr>
        <w:top w:val="none" w:sz="0" w:space="0" w:color="auto"/>
        <w:left w:val="none" w:sz="0" w:space="0" w:color="auto"/>
        <w:bottom w:val="none" w:sz="0" w:space="0" w:color="auto"/>
        <w:right w:val="none" w:sz="0" w:space="0" w:color="auto"/>
      </w:divBdr>
    </w:div>
    <w:div w:id="1635453289">
      <w:bodyDiv w:val="1"/>
      <w:marLeft w:val="0"/>
      <w:marRight w:val="0"/>
      <w:marTop w:val="0"/>
      <w:marBottom w:val="0"/>
      <w:divBdr>
        <w:top w:val="none" w:sz="0" w:space="0" w:color="auto"/>
        <w:left w:val="none" w:sz="0" w:space="0" w:color="auto"/>
        <w:bottom w:val="none" w:sz="0" w:space="0" w:color="auto"/>
        <w:right w:val="none" w:sz="0" w:space="0" w:color="auto"/>
      </w:divBdr>
    </w:div>
    <w:div w:id="1647927917">
      <w:bodyDiv w:val="1"/>
      <w:marLeft w:val="0"/>
      <w:marRight w:val="0"/>
      <w:marTop w:val="0"/>
      <w:marBottom w:val="0"/>
      <w:divBdr>
        <w:top w:val="none" w:sz="0" w:space="0" w:color="auto"/>
        <w:left w:val="none" w:sz="0" w:space="0" w:color="auto"/>
        <w:bottom w:val="none" w:sz="0" w:space="0" w:color="auto"/>
        <w:right w:val="none" w:sz="0" w:space="0" w:color="auto"/>
      </w:divBdr>
    </w:div>
    <w:div w:id="1662852489">
      <w:bodyDiv w:val="1"/>
      <w:marLeft w:val="0"/>
      <w:marRight w:val="0"/>
      <w:marTop w:val="0"/>
      <w:marBottom w:val="0"/>
      <w:divBdr>
        <w:top w:val="none" w:sz="0" w:space="0" w:color="auto"/>
        <w:left w:val="none" w:sz="0" w:space="0" w:color="auto"/>
        <w:bottom w:val="none" w:sz="0" w:space="0" w:color="auto"/>
        <w:right w:val="none" w:sz="0" w:space="0" w:color="auto"/>
      </w:divBdr>
    </w:div>
    <w:div w:id="1664504723">
      <w:bodyDiv w:val="1"/>
      <w:marLeft w:val="0"/>
      <w:marRight w:val="0"/>
      <w:marTop w:val="0"/>
      <w:marBottom w:val="0"/>
      <w:divBdr>
        <w:top w:val="none" w:sz="0" w:space="0" w:color="auto"/>
        <w:left w:val="none" w:sz="0" w:space="0" w:color="auto"/>
        <w:bottom w:val="none" w:sz="0" w:space="0" w:color="auto"/>
        <w:right w:val="none" w:sz="0" w:space="0" w:color="auto"/>
      </w:divBdr>
    </w:div>
    <w:div w:id="1692296763">
      <w:bodyDiv w:val="1"/>
      <w:marLeft w:val="0"/>
      <w:marRight w:val="0"/>
      <w:marTop w:val="0"/>
      <w:marBottom w:val="0"/>
      <w:divBdr>
        <w:top w:val="none" w:sz="0" w:space="0" w:color="auto"/>
        <w:left w:val="none" w:sz="0" w:space="0" w:color="auto"/>
        <w:bottom w:val="none" w:sz="0" w:space="0" w:color="auto"/>
        <w:right w:val="none" w:sz="0" w:space="0" w:color="auto"/>
      </w:divBdr>
    </w:div>
    <w:div w:id="1704671523">
      <w:bodyDiv w:val="1"/>
      <w:marLeft w:val="0"/>
      <w:marRight w:val="0"/>
      <w:marTop w:val="0"/>
      <w:marBottom w:val="0"/>
      <w:divBdr>
        <w:top w:val="none" w:sz="0" w:space="0" w:color="auto"/>
        <w:left w:val="none" w:sz="0" w:space="0" w:color="auto"/>
        <w:bottom w:val="none" w:sz="0" w:space="0" w:color="auto"/>
        <w:right w:val="none" w:sz="0" w:space="0" w:color="auto"/>
      </w:divBdr>
    </w:div>
    <w:div w:id="1729761527">
      <w:bodyDiv w:val="1"/>
      <w:marLeft w:val="0"/>
      <w:marRight w:val="0"/>
      <w:marTop w:val="0"/>
      <w:marBottom w:val="0"/>
      <w:divBdr>
        <w:top w:val="none" w:sz="0" w:space="0" w:color="auto"/>
        <w:left w:val="none" w:sz="0" w:space="0" w:color="auto"/>
        <w:bottom w:val="none" w:sz="0" w:space="0" w:color="auto"/>
        <w:right w:val="none" w:sz="0" w:space="0" w:color="auto"/>
      </w:divBdr>
    </w:div>
    <w:div w:id="1730038313">
      <w:bodyDiv w:val="1"/>
      <w:marLeft w:val="0"/>
      <w:marRight w:val="0"/>
      <w:marTop w:val="0"/>
      <w:marBottom w:val="0"/>
      <w:divBdr>
        <w:top w:val="none" w:sz="0" w:space="0" w:color="auto"/>
        <w:left w:val="none" w:sz="0" w:space="0" w:color="auto"/>
        <w:bottom w:val="none" w:sz="0" w:space="0" w:color="auto"/>
        <w:right w:val="none" w:sz="0" w:space="0" w:color="auto"/>
      </w:divBdr>
    </w:div>
    <w:div w:id="1737313392">
      <w:bodyDiv w:val="1"/>
      <w:marLeft w:val="0"/>
      <w:marRight w:val="0"/>
      <w:marTop w:val="0"/>
      <w:marBottom w:val="0"/>
      <w:divBdr>
        <w:top w:val="none" w:sz="0" w:space="0" w:color="auto"/>
        <w:left w:val="none" w:sz="0" w:space="0" w:color="auto"/>
        <w:bottom w:val="none" w:sz="0" w:space="0" w:color="auto"/>
        <w:right w:val="none" w:sz="0" w:space="0" w:color="auto"/>
      </w:divBdr>
    </w:div>
    <w:div w:id="1753698745">
      <w:bodyDiv w:val="1"/>
      <w:marLeft w:val="0"/>
      <w:marRight w:val="0"/>
      <w:marTop w:val="0"/>
      <w:marBottom w:val="0"/>
      <w:divBdr>
        <w:top w:val="none" w:sz="0" w:space="0" w:color="auto"/>
        <w:left w:val="none" w:sz="0" w:space="0" w:color="auto"/>
        <w:bottom w:val="none" w:sz="0" w:space="0" w:color="auto"/>
        <w:right w:val="none" w:sz="0" w:space="0" w:color="auto"/>
      </w:divBdr>
    </w:div>
    <w:div w:id="1776901881">
      <w:bodyDiv w:val="1"/>
      <w:marLeft w:val="0"/>
      <w:marRight w:val="0"/>
      <w:marTop w:val="0"/>
      <w:marBottom w:val="0"/>
      <w:divBdr>
        <w:top w:val="none" w:sz="0" w:space="0" w:color="auto"/>
        <w:left w:val="none" w:sz="0" w:space="0" w:color="auto"/>
        <w:bottom w:val="none" w:sz="0" w:space="0" w:color="auto"/>
        <w:right w:val="none" w:sz="0" w:space="0" w:color="auto"/>
      </w:divBdr>
    </w:div>
    <w:div w:id="1777552348">
      <w:bodyDiv w:val="1"/>
      <w:marLeft w:val="0"/>
      <w:marRight w:val="0"/>
      <w:marTop w:val="0"/>
      <w:marBottom w:val="0"/>
      <w:divBdr>
        <w:top w:val="none" w:sz="0" w:space="0" w:color="auto"/>
        <w:left w:val="none" w:sz="0" w:space="0" w:color="auto"/>
        <w:bottom w:val="none" w:sz="0" w:space="0" w:color="auto"/>
        <w:right w:val="none" w:sz="0" w:space="0" w:color="auto"/>
      </w:divBdr>
    </w:div>
    <w:div w:id="1793943285">
      <w:bodyDiv w:val="1"/>
      <w:marLeft w:val="0"/>
      <w:marRight w:val="0"/>
      <w:marTop w:val="0"/>
      <w:marBottom w:val="0"/>
      <w:divBdr>
        <w:top w:val="none" w:sz="0" w:space="0" w:color="auto"/>
        <w:left w:val="none" w:sz="0" w:space="0" w:color="auto"/>
        <w:bottom w:val="none" w:sz="0" w:space="0" w:color="auto"/>
        <w:right w:val="none" w:sz="0" w:space="0" w:color="auto"/>
      </w:divBdr>
    </w:div>
    <w:div w:id="1818456904">
      <w:bodyDiv w:val="1"/>
      <w:marLeft w:val="0"/>
      <w:marRight w:val="0"/>
      <w:marTop w:val="0"/>
      <w:marBottom w:val="0"/>
      <w:divBdr>
        <w:top w:val="none" w:sz="0" w:space="0" w:color="auto"/>
        <w:left w:val="none" w:sz="0" w:space="0" w:color="auto"/>
        <w:bottom w:val="none" w:sz="0" w:space="0" w:color="auto"/>
        <w:right w:val="none" w:sz="0" w:space="0" w:color="auto"/>
      </w:divBdr>
    </w:div>
    <w:div w:id="1829010923">
      <w:bodyDiv w:val="1"/>
      <w:marLeft w:val="0"/>
      <w:marRight w:val="0"/>
      <w:marTop w:val="0"/>
      <w:marBottom w:val="0"/>
      <w:divBdr>
        <w:top w:val="none" w:sz="0" w:space="0" w:color="auto"/>
        <w:left w:val="none" w:sz="0" w:space="0" w:color="auto"/>
        <w:bottom w:val="none" w:sz="0" w:space="0" w:color="auto"/>
        <w:right w:val="none" w:sz="0" w:space="0" w:color="auto"/>
      </w:divBdr>
    </w:div>
    <w:div w:id="1847209257">
      <w:bodyDiv w:val="1"/>
      <w:marLeft w:val="0"/>
      <w:marRight w:val="0"/>
      <w:marTop w:val="0"/>
      <w:marBottom w:val="0"/>
      <w:divBdr>
        <w:top w:val="none" w:sz="0" w:space="0" w:color="auto"/>
        <w:left w:val="none" w:sz="0" w:space="0" w:color="auto"/>
        <w:bottom w:val="none" w:sz="0" w:space="0" w:color="auto"/>
        <w:right w:val="none" w:sz="0" w:space="0" w:color="auto"/>
      </w:divBdr>
    </w:div>
    <w:div w:id="1847287440">
      <w:bodyDiv w:val="1"/>
      <w:marLeft w:val="0"/>
      <w:marRight w:val="0"/>
      <w:marTop w:val="0"/>
      <w:marBottom w:val="0"/>
      <w:divBdr>
        <w:top w:val="none" w:sz="0" w:space="0" w:color="auto"/>
        <w:left w:val="none" w:sz="0" w:space="0" w:color="auto"/>
        <w:bottom w:val="none" w:sz="0" w:space="0" w:color="auto"/>
        <w:right w:val="none" w:sz="0" w:space="0" w:color="auto"/>
      </w:divBdr>
    </w:div>
    <w:div w:id="1851409452">
      <w:bodyDiv w:val="1"/>
      <w:marLeft w:val="0"/>
      <w:marRight w:val="0"/>
      <w:marTop w:val="0"/>
      <w:marBottom w:val="0"/>
      <w:divBdr>
        <w:top w:val="none" w:sz="0" w:space="0" w:color="auto"/>
        <w:left w:val="none" w:sz="0" w:space="0" w:color="auto"/>
        <w:bottom w:val="none" w:sz="0" w:space="0" w:color="auto"/>
        <w:right w:val="none" w:sz="0" w:space="0" w:color="auto"/>
      </w:divBdr>
    </w:div>
    <w:div w:id="1856532038">
      <w:bodyDiv w:val="1"/>
      <w:marLeft w:val="0"/>
      <w:marRight w:val="0"/>
      <w:marTop w:val="0"/>
      <w:marBottom w:val="0"/>
      <w:divBdr>
        <w:top w:val="none" w:sz="0" w:space="0" w:color="auto"/>
        <w:left w:val="none" w:sz="0" w:space="0" w:color="auto"/>
        <w:bottom w:val="none" w:sz="0" w:space="0" w:color="auto"/>
        <w:right w:val="none" w:sz="0" w:space="0" w:color="auto"/>
      </w:divBdr>
    </w:div>
    <w:div w:id="1874490883">
      <w:bodyDiv w:val="1"/>
      <w:marLeft w:val="0"/>
      <w:marRight w:val="0"/>
      <w:marTop w:val="0"/>
      <w:marBottom w:val="0"/>
      <w:divBdr>
        <w:top w:val="none" w:sz="0" w:space="0" w:color="auto"/>
        <w:left w:val="none" w:sz="0" w:space="0" w:color="auto"/>
        <w:bottom w:val="none" w:sz="0" w:space="0" w:color="auto"/>
        <w:right w:val="none" w:sz="0" w:space="0" w:color="auto"/>
      </w:divBdr>
    </w:div>
    <w:div w:id="1877501742">
      <w:bodyDiv w:val="1"/>
      <w:marLeft w:val="0"/>
      <w:marRight w:val="0"/>
      <w:marTop w:val="0"/>
      <w:marBottom w:val="0"/>
      <w:divBdr>
        <w:top w:val="none" w:sz="0" w:space="0" w:color="auto"/>
        <w:left w:val="none" w:sz="0" w:space="0" w:color="auto"/>
        <w:bottom w:val="none" w:sz="0" w:space="0" w:color="auto"/>
        <w:right w:val="none" w:sz="0" w:space="0" w:color="auto"/>
      </w:divBdr>
    </w:div>
    <w:div w:id="1879077332">
      <w:bodyDiv w:val="1"/>
      <w:marLeft w:val="0"/>
      <w:marRight w:val="0"/>
      <w:marTop w:val="0"/>
      <w:marBottom w:val="0"/>
      <w:divBdr>
        <w:top w:val="none" w:sz="0" w:space="0" w:color="auto"/>
        <w:left w:val="none" w:sz="0" w:space="0" w:color="auto"/>
        <w:bottom w:val="none" w:sz="0" w:space="0" w:color="auto"/>
        <w:right w:val="none" w:sz="0" w:space="0" w:color="auto"/>
      </w:divBdr>
    </w:div>
    <w:div w:id="1890654345">
      <w:bodyDiv w:val="1"/>
      <w:marLeft w:val="0"/>
      <w:marRight w:val="0"/>
      <w:marTop w:val="0"/>
      <w:marBottom w:val="0"/>
      <w:divBdr>
        <w:top w:val="none" w:sz="0" w:space="0" w:color="auto"/>
        <w:left w:val="none" w:sz="0" w:space="0" w:color="auto"/>
        <w:bottom w:val="none" w:sz="0" w:space="0" w:color="auto"/>
        <w:right w:val="none" w:sz="0" w:space="0" w:color="auto"/>
      </w:divBdr>
    </w:div>
    <w:div w:id="1913196303">
      <w:bodyDiv w:val="1"/>
      <w:marLeft w:val="0"/>
      <w:marRight w:val="0"/>
      <w:marTop w:val="0"/>
      <w:marBottom w:val="0"/>
      <w:divBdr>
        <w:top w:val="none" w:sz="0" w:space="0" w:color="auto"/>
        <w:left w:val="none" w:sz="0" w:space="0" w:color="auto"/>
        <w:bottom w:val="none" w:sz="0" w:space="0" w:color="auto"/>
        <w:right w:val="none" w:sz="0" w:space="0" w:color="auto"/>
      </w:divBdr>
    </w:div>
    <w:div w:id="1948002396">
      <w:bodyDiv w:val="1"/>
      <w:marLeft w:val="0"/>
      <w:marRight w:val="0"/>
      <w:marTop w:val="0"/>
      <w:marBottom w:val="0"/>
      <w:divBdr>
        <w:top w:val="none" w:sz="0" w:space="0" w:color="auto"/>
        <w:left w:val="none" w:sz="0" w:space="0" w:color="auto"/>
        <w:bottom w:val="none" w:sz="0" w:space="0" w:color="auto"/>
        <w:right w:val="none" w:sz="0" w:space="0" w:color="auto"/>
      </w:divBdr>
    </w:div>
    <w:div w:id="1962759415">
      <w:bodyDiv w:val="1"/>
      <w:marLeft w:val="0"/>
      <w:marRight w:val="0"/>
      <w:marTop w:val="0"/>
      <w:marBottom w:val="0"/>
      <w:divBdr>
        <w:top w:val="none" w:sz="0" w:space="0" w:color="auto"/>
        <w:left w:val="none" w:sz="0" w:space="0" w:color="auto"/>
        <w:bottom w:val="none" w:sz="0" w:space="0" w:color="auto"/>
        <w:right w:val="none" w:sz="0" w:space="0" w:color="auto"/>
      </w:divBdr>
    </w:div>
    <w:div w:id="1964995918">
      <w:bodyDiv w:val="1"/>
      <w:marLeft w:val="0"/>
      <w:marRight w:val="0"/>
      <w:marTop w:val="0"/>
      <w:marBottom w:val="0"/>
      <w:divBdr>
        <w:top w:val="none" w:sz="0" w:space="0" w:color="auto"/>
        <w:left w:val="none" w:sz="0" w:space="0" w:color="auto"/>
        <w:bottom w:val="none" w:sz="0" w:space="0" w:color="auto"/>
        <w:right w:val="none" w:sz="0" w:space="0" w:color="auto"/>
      </w:divBdr>
    </w:div>
    <w:div w:id="1981377508">
      <w:bodyDiv w:val="1"/>
      <w:marLeft w:val="0"/>
      <w:marRight w:val="0"/>
      <w:marTop w:val="0"/>
      <w:marBottom w:val="0"/>
      <w:divBdr>
        <w:top w:val="none" w:sz="0" w:space="0" w:color="auto"/>
        <w:left w:val="none" w:sz="0" w:space="0" w:color="auto"/>
        <w:bottom w:val="none" w:sz="0" w:space="0" w:color="auto"/>
        <w:right w:val="none" w:sz="0" w:space="0" w:color="auto"/>
      </w:divBdr>
    </w:div>
    <w:div w:id="1987006042">
      <w:bodyDiv w:val="1"/>
      <w:marLeft w:val="0"/>
      <w:marRight w:val="0"/>
      <w:marTop w:val="0"/>
      <w:marBottom w:val="0"/>
      <w:divBdr>
        <w:top w:val="none" w:sz="0" w:space="0" w:color="auto"/>
        <w:left w:val="none" w:sz="0" w:space="0" w:color="auto"/>
        <w:bottom w:val="none" w:sz="0" w:space="0" w:color="auto"/>
        <w:right w:val="none" w:sz="0" w:space="0" w:color="auto"/>
      </w:divBdr>
    </w:div>
    <w:div w:id="1987974474">
      <w:bodyDiv w:val="1"/>
      <w:marLeft w:val="0"/>
      <w:marRight w:val="0"/>
      <w:marTop w:val="0"/>
      <w:marBottom w:val="0"/>
      <w:divBdr>
        <w:top w:val="none" w:sz="0" w:space="0" w:color="auto"/>
        <w:left w:val="none" w:sz="0" w:space="0" w:color="auto"/>
        <w:bottom w:val="none" w:sz="0" w:space="0" w:color="auto"/>
        <w:right w:val="none" w:sz="0" w:space="0" w:color="auto"/>
      </w:divBdr>
    </w:div>
    <w:div w:id="2035108736">
      <w:bodyDiv w:val="1"/>
      <w:marLeft w:val="0"/>
      <w:marRight w:val="0"/>
      <w:marTop w:val="0"/>
      <w:marBottom w:val="0"/>
      <w:divBdr>
        <w:top w:val="none" w:sz="0" w:space="0" w:color="auto"/>
        <w:left w:val="none" w:sz="0" w:space="0" w:color="auto"/>
        <w:bottom w:val="none" w:sz="0" w:space="0" w:color="auto"/>
        <w:right w:val="none" w:sz="0" w:space="0" w:color="auto"/>
      </w:divBdr>
    </w:div>
    <w:div w:id="2035576450">
      <w:bodyDiv w:val="1"/>
      <w:marLeft w:val="0"/>
      <w:marRight w:val="0"/>
      <w:marTop w:val="0"/>
      <w:marBottom w:val="0"/>
      <w:divBdr>
        <w:top w:val="none" w:sz="0" w:space="0" w:color="auto"/>
        <w:left w:val="none" w:sz="0" w:space="0" w:color="auto"/>
        <w:bottom w:val="none" w:sz="0" w:space="0" w:color="auto"/>
        <w:right w:val="none" w:sz="0" w:space="0" w:color="auto"/>
      </w:divBdr>
      <w:divsChild>
        <w:div w:id="461385083">
          <w:marLeft w:val="0"/>
          <w:marRight w:val="0"/>
          <w:marTop w:val="0"/>
          <w:marBottom w:val="0"/>
          <w:divBdr>
            <w:top w:val="none" w:sz="0" w:space="0" w:color="auto"/>
            <w:left w:val="none" w:sz="0" w:space="0" w:color="auto"/>
            <w:bottom w:val="none" w:sz="0" w:space="0" w:color="auto"/>
            <w:right w:val="none" w:sz="0" w:space="0" w:color="auto"/>
          </w:divBdr>
        </w:div>
        <w:div w:id="976450580">
          <w:marLeft w:val="0"/>
          <w:marRight w:val="0"/>
          <w:marTop w:val="0"/>
          <w:marBottom w:val="0"/>
          <w:divBdr>
            <w:top w:val="none" w:sz="0" w:space="0" w:color="auto"/>
            <w:left w:val="none" w:sz="0" w:space="0" w:color="auto"/>
            <w:bottom w:val="none" w:sz="0" w:space="0" w:color="auto"/>
            <w:right w:val="none" w:sz="0" w:space="0" w:color="auto"/>
          </w:divBdr>
        </w:div>
        <w:div w:id="1510409177">
          <w:marLeft w:val="0"/>
          <w:marRight w:val="0"/>
          <w:marTop w:val="0"/>
          <w:marBottom w:val="0"/>
          <w:divBdr>
            <w:top w:val="none" w:sz="0" w:space="0" w:color="auto"/>
            <w:left w:val="none" w:sz="0" w:space="0" w:color="auto"/>
            <w:bottom w:val="none" w:sz="0" w:space="0" w:color="auto"/>
            <w:right w:val="none" w:sz="0" w:space="0" w:color="auto"/>
          </w:divBdr>
        </w:div>
        <w:div w:id="1535464447">
          <w:marLeft w:val="0"/>
          <w:marRight w:val="0"/>
          <w:marTop w:val="0"/>
          <w:marBottom w:val="0"/>
          <w:divBdr>
            <w:top w:val="none" w:sz="0" w:space="0" w:color="auto"/>
            <w:left w:val="none" w:sz="0" w:space="0" w:color="auto"/>
            <w:bottom w:val="none" w:sz="0" w:space="0" w:color="auto"/>
            <w:right w:val="none" w:sz="0" w:space="0" w:color="auto"/>
          </w:divBdr>
        </w:div>
        <w:div w:id="1914773566">
          <w:marLeft w:val="0"/>
          <w:marRight w:val="0"/>
          <w:marTop w:val="0"/>
          <w:marBottom w:val="0"/>
          <w:divBdr>
            <w:top w:val="none" w:sz="0" w:space="0" w:color="auto"/>
            <w:left w:val="none" w:sz="0" w:space="0" w:color="auto"/>
            <w:bottom w:val="none" w:sz="0" w:space="0" w:color="auto"/>
            <w:right w:val="none" w:sz="0" w:space="0" w:color="auto"/>
          </w:divBdr>
        </w:div>
        <w:div w:id="1994678353">
          <w:marLeft w:val="0"/>
          <w:marRight w:val="0"/>
          <w:marTop w:val="0"/>
          <w:marBottom w:val="0"/>
          <w:divBdr>
            <w:top w:val="none" w:sz="0" w:space="0" w:color="auto"/>
            <w:left w:val="none" w:sz="0" w:space="0" w:color="auto"/>
            <w:bottom w:val="none" w:sz="0" w:space="0" w:color="auto"/>
            <w:right w:val="none" w:sz="0" w:space="0" w:color="auto"/>
          </w:divBdr>
        </w:div>
        <w:div w:id="2004432216">
          <w:marLeft w:val="0"/>
          <w:marRight w:val="0"/>
          <w:marTop w:val="0"/>
          <w:marBottom w:val="0"/>
          <w:divBdr>
            <w:top w:val="none" w:sz="0" w:space="0" w:color="auto"/>
            <w:left w:val="none" w:sz="0" w:space="0" w:color="auto"/>
            <w:bottom w:val="none" w:sz="0" w:space="0" w:color="auto"/>
            <w:right w:val="none" w:sz="0" w:space="0" w:color="auto"/>
          </w:divBdr>
        </w:div>
      </w:divsChild>
    </w:div>
    <w:div w:id="2072774950">
      <w:bodyDiv w:val="1"/>
      <w:marLeft w:val="0"/>
      <w:marRight w:val="0"/>
      <w:marTop w:val="0"/>
      <w:marBottom w:val="0"/>
      <w:divBdr>
        <w:top w:val="none" w:sz="0" w:space="0" w:color="auto"/>
        <w:left w:val="none" w:sz="0" w:space="0" w:color="auto"/>
        <w:bottom w:val="none" w:sz="0" w:space="0" w:color="auto"/>
        <w:right w:val="none" w:sz="0" w:space="0" w:color="auto"/>
      </w:divBdr>
    </w:div>
    <w:div w:id="2093040285">
      <w:bodyDiv w:val="1"/>
      <w:marLeft w:val="0"/>
      <w:marRight w:val="0"/>
      <w:marTop w:val="0"/>
      <w:marBottom w:val="0"/>
      <w:divBdr>
        <w:top w:val="none" w:sz="0" w:space="0" w:color="auto"/>
        <w:left w:val="none" w:sz="0" w:space="0" w:color="auto"/>
        <w:bottom w:val="none" w:sz="0" w:space="0" w:color="auto"/>
        <w:right w:val="none" w:sz="0" w:space="0" w:color="auto"/>
      </w:divBdr>
    </w:div>
    <w:div w:id="2094006403">
      <w:bodyDiv w:val="1"/>
      <w:marLeft w:val="0"/>
      <w:marRight w:val="0"/>
      <w:marTop w:val="0"/>
      <w:marBottom w:val="0"/>
      <w:divBdr>
        <w:top w:val="none" w:sz="0" w:space="0" w:color="auto"/>
        <w:left w:val="none" w:sz="0" w:space="0" w:color="auto"/>
        <w:bottom w:val="none" w:sz="0" w:space="0" w:color="auto"/>
        <w:right w:val="none" w:sz="0" w:space="0" w:color="auto"/>
      </w:divBdr>
    </w:div>
    <w:div w:id="2094475991">
      <w:bodyDiv w:val="1"/>
      <w:marLeft w:val="0"/>
      <w:marRight w:val="0"/>
      <w:marTop w:val="0"/>
      <w:marBottom w:val="0"/>
      <w:divBdr>
        <w:top w:val="none" w:sz="0" w:space="0" w:color="auto"/>
        <w:left w:val="none" w:sz="0" w:space="0" w:color="auto"/>
        <w:bottom w:val="none" w:sz="0" w:space="0" w:color="auto"/>
        <w:right w:val="none" w:sz="0" w:space="0" w:color="auto"/>
      </w:divBdr>
    </w:div>
    <w:div w:id="2109932893">
      <w:bodyDiv w:val="1"/>
      <w:marLeft w:val="0"/>
      <w:marRight w:val="0"/>
      <w:marTop w:val="0"/>
      <w:marBottom w:val="0"/>
      <w:divBdr>
        <w:top w:val="none" w:sz="0" w:space="0" w:color="auto"/>
        <w:left w:val="none" w:sz="0" w:space="0" w:color="auto"/>
        <w:bottom w:val="none" w:sz="0" w:space="0" w:color="auto"/>
        <w:right w:val="none" w:sz="0" w:space="0" w:color="auto"/>
      </w:divBdr>
    </w:div>
    <w:div w:id="2122188154">
      <w:bodyDiv w:val="1"/>
      <w:marLeft w:val="0"/>
      <w:marRight w:val="0"/>
      <w:marTop w:val="0"/>
      <w:marBottom w:val="0"/>
      <w:divBdr>
        <w:top w:val="none" w:sz="0" w:space="0" w:color="auto"/>
        <w:left w:val="none" w:sz="0" w:space="0" w:color="auto"/>
        <w:bottom w:val="none" w:sz="0" w:space="0" w:color="auto"/>
        <w:right w:val="none" w:sz="0" w:space="0" w:color="auto"/>
      </w:divBdr>
    </w:div>
    <w:div w:id="212712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14.sv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reativecommons.org/licenses/by/4.0/legalcode" TargetMode="External"/><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image" Target="media/image10.emf"/><Relationship Id="rId28" Type="http://schemas.openxmlformats.org/officeDocument/2006/relationships/image" Target="media/image16.svg"/><Relationship Id="rId36" Type="http://schemas.openxmlformats.org/officeDocument/2006/relationships/footer" Target="footer3.xm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8.svg"/><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13" Type="http://schemas.openxmlformats.org/officeDocument/2006/relationships/hyperlink" Target="https://www.nsss.edu.au/" TargetMode="External"/><Relationship Id="rId18" Type="http://schemas.openxmlformats.org/officeDocument/2006/relationships/hyperlink" Target="https://doi.org/10.1080/1360080X.2025.2462128" TargetMode="External"/><Relationship Id="rId26" Type="http://schemas.openxmlformats.org/officeDocument/2006/relationships/hyperlink" Target="https://doi.org/10.1080/1360080X.2025.2462128" TargetMode="External"/><Relationship Id="rId39" Type="http://schemas.openxmlformats.org/officeDocument/2006/relationships/hyperlink" Target="https://www.latrobe.edu.au/__data/assets/pdf_file/0003/1141833/Pride-in-Prevention-Evidence-Guide.pdf" TargetMode="External"/><Relationship Id="rId21" Type="http://schemas.openxmlformats.org/officeDocument/2006/relationships/hyperlink" Target="https://humanrights.gov.au/our-work/sex-discrimination/publications/change-course-national-report-sexual-assault-and" TargetMode="External"/><Relationship Id="rId34" Type="http://schemas.openxmlformats.org/officeDocument/2006/relationships/hyperlink" Target="https://www.dss.gov.au/system/files/resources/national-plan-end-violence-against-women-and-children-2022-2032.pdf" TargetMode="External"/><Relationship Id="rId42" Type="http://schemas.openxmlformats.org/officeDocument/2006/relationships/hyperlink" Target="https://www.dss.gov.au/system/files/resources/national-plan-end-violence-against-women-and-children-2022-2032.pdf" TargetMode="External"/><Relationship Id="rId47" Type="http://schemas.openxmlformats.org/officeDocument/2006/relationships/hyperlink" Target="https://humanrights.gov.au/our-work/sex-discrimination/publications/change-course-national-report-sexual-assault-and" TargetMode="External"/><Relationship Id="rId50" Type="http://schemas.openxmlformats.org/officeDocument/2006/relationships/hyperlink" Target="https://www.restorecentre.org.au/resources/practical-guide-international-students" TargetMode="External"/><Relationship Id="rId55" Type="http://schemas.openxmlformats.org/officeDocument/2006/relationships/hyperlink" Target="https://www.teqsa.gov.au/guides-resources/resources/sector-updates-and-alerts/report-minister-education-higher-education-sector-response-issue-sexual-assault-and-sexual-harassmen" TargetMode="External"/><Relationship Id="rId63" Type="http://schemas.openxmlformats.org/officeDocument/2006/relationships/hyperlink" Target="https://humanrights.gov.au/our-work/sex-discrimination/publications/respectwork-sexual-harassment-national-inquiry-report-2020" TargetMode="External"/><Relationship Id="rId68" Type="http://schemas.openxmlformats.org/officeDocument/2006/relationships/hyperlink" Target="https://www.gov.ie/en/department-of-education/publications/framework-for-consent-in-higher-education-institutions-safe-respectful-supportive-and-positive-ending-sexual-violence-and-harassment-in-irish-higher-education-institutions/" TargetMode="External"/><Relationship Id="rId7" Type="http://schemas.openxmlformats.org/officeDocument/2006/relationships/hyperlink" Target="https://humanrights.gov.au/our-work/sex-discrimination/publications/change-course-national-report-sexual-assault-and" TargetMode="External"/><Relationship Id="rId71" Type="http://schemas.openxmlformats.org/officeDocument/2006/relationships/hyperlink" Target="https://www.esafety.gov.au/research/attitudes-that-normalise-tech-based-coercive-control" TargetMode="External"/><Relationship Id="rId2" Type="http://schemas.openxmlformats.org/officeDocument/2006/relationships/hyperlink" Target="https://www.nsss.edu.au/" TargetMode="External"/><Relationship Id="rId16" Type="http://schemas.openxmlformats.org/officeDocument/2006/relationships/hyperlink" Target="https://www.nsss.edu.au/" TargetMode="External"/><Relationship Id="rId29" Type="http://schemas.openxmlformats.org/officeDocument/2006/relationships/hyperlink" Target="https://www.nteu.au/News_Articles/Media_Releases/Sexual_Harassment_Survey_Report.aspx" TargetMode="External"/><Relationship Id="rId11" Type="http://schemas.openxmlformats.org/officeDocument/2006/relationships/hyperlink" Target="https://www.education.gov.au/higher-education-statistics/staff-data/selected-higher-education-statistics-2023-staff-data" TargetMode="External"/><Relationship Id="rId24" Type="http://schemas.openxmlformats.org/officeDocument/2006/relationships/hyperlink" Target="https://doi.org/10.1186/s12651-018-0241-0" TargetMode="External"/><Relationship Id="rId32" Type="http://schemas.openxmlformats.org/officeDocument/2006/relationships/hyperlink" Target="https://www.nsss.edu.au/" TargetMode="External"/><Relationship Id="rId37" Type="http://schemas.openxmlformats.org/officeDocument/2006/relationships/hyperlink" Target="https://www.latrobe.edu.au/__data/assets/pdf_file/0003/1141833/Pride-in-Prevention-Evidence-Guide.pdf" TargetMode="External"/><Relationship Id="rId40" Type="http://schemas.openxmlformats.org/officeDocument/2006/relationships/hyperlink" Target="https://www.aihw.gov.au/family-domestic-and-sexual-violence/population-groups/lgbtiqa-people" TargetMode="External"/><Relationship Id="rId45" Type="http://schemas.openxmlformats.org/officeDocument/2006/relationships/hyperlink" Target="https://humanrights.gov.au/our-work/sex-discrimination/publications/respectwork-sexual-harassment-national-inquiry-report-2020" TargetMode="External"/><Relationship Id="rId53" Type="http://schemas.openxmlformats.org/officeDocument/2006/relationships/hyperlink" Target="https://doi.org/10.1007/s10896-022-00406-5" TargetMode="External"/><Relationship Id="rId58" Type="http://schemas.openxmlformats.org/officeDocument/2006/relationships/hyperlink" Target="https://universitiesaustralia.edu.au/policy-submissions/safety-wellbeing/universities-australia-charter-on-sexual-harm/" TargetMode="External"/><Relationship Id="rId66" Type="http://schemas.openxmlformats.org/officeDocument/2006/relationships/hyperlink" Target="https://content-v2.api.worksafe.vic.gov.au/sites/default/files/2022-11/ISBN-Work-related-gendered-violence-including-sexual-harassment-2022-11.pdf" TargetMode="External"/><Relationship Id="rId5" Type="http://schemas.openxmlformats.org/officeDocument/2006/relationships/hyperlink" Target="https://www.ourwatch.org.au/resource/change-the-story-framework/" TargetMode="External"/><Relationship Id="rId15" Type="http://schemas.openxmlformats.org/officeDocument/2006/relationships/hyperlink" Target="https://www.nsss.edu.au/" TargetMode="External"/><Relationship Id="rId23" Type="http://schemas.openxmlformats.org/officeDocument/2006/relationships/hyperlink" Target="https://www.education.gov.au/integrated-data-research/benefits-educational-attainment" TargetMode="External"/><Relationship Id="rId28" Type="http://schemas.openxmlformats.org/officeDocument/2006/relationships/hyperlink" Target="https://humanrights.gov.au/sites/default/files/2019-07/submission_325_-_national_tertiary_education_union.pdf" TargetMode="External"/><Relationship Id="rId36" Type="http://schemas.openxmlformats.org/officeDocument/2006/relationships/hyperlink" Target="https://www.nsss.edu.au/" TargetMode="External"/><Relationship Id="rId49" Type="http://schemas.openxmlformats.org/officeDocument/2006/relationships/hyperlink" Target="https://www.education.gov.au/international-education-data-and-research/international-student-monthly-summary-and-data-tables" TargetMode="External"/><Relationship Id="rId57" Type="http://schemas.openxmlformats.org/officeDocument/2006/relationships/hyperlink" Target="https://www.nsss.edu.au/" TargetMode="External"/><Relationship Id="rId61" Type="http://schemas.openxmlformats.org/officeDocument/2006/relationships/hyperlink" Target="https://humanrights.gov.au/our-work/sex-discrimination/publications/change-course-national-report-sexual-assault-and" TargetMode="External"/><Relationship Id="rId10" Type="http://schemas.openxmlformats.org/officeDocument/2006/relationships/hyperlink" Target="https://www.education.gov.au/higher-education-statistics/student-data/selected-higher-education-statistics-2023-student-data/key-findings-2023-student-data" TargetMode="External"/><Relationship Id="rId19" Type="http://schemas.openxmlformats.org/officeDocument/2006/relationships/hyperlink" Target="https://humanrights.gov.au/our-work/sex-discrimination/publications/respectwork-sexual-harassment-national-inquiry-report-2020" TargetMode="External"/><Relationship Id="rId31" Type="http://schemas.openxmlformats.org/officeDocument/2006/relationships/hyperlink" Target="https://humanrights.gov.au/our-work/sex-discrimination/publications/change-course-national-report-sexual-assault-and" TargetMode="External"/><Relationship Id="rId44" Type="http://schemas.openxmlformats.org/officeDocument/2006/relationships/hyperlink" Target="https://www.ourwatch.org.au/resource/change-the-story-framework/" TargetMode="External"/><Relationship Id="rId52" Type="http://schemas.openxmlformats.org/officeDocument/2006/relationships/hyperlink" Target="https://humanrights.gov.au/our-work/sex-discrimination/publications/change-course-national-report-sexual-assault-and" TargetMode="External"/><Relationship Id="rId60" Type="http://schemas.openxmlformats.org/officeDocument/2006/relationships/hyperlink" Target="https://www.nteu.au/News_Articles/Media_Releases/Sexual_Harassment_Survey_Report.aspx" TargetMode="External"/><Relationship Id="rId65" Type="http://schemas.openxmlformats.org/officeDocument/2006/relationships/hyperlink" Target="https://www.safework.nsw.gov.au/__data/assets/pdf_file/0010/1310131/National%20Code-of-Practice-Sexual-and-gender-based-harassment.pdf" TargetMode="External"/><Relationship Id="rId73" Type="http://schemas.openxmlformats.org/officeDocument/2006/relationships/hyperlink" Target="https://mbs.edu/news/why-chief-executive-women-is-calling-for-40-40-20-targets" TargetMode="External"/><Relationship Id="rId4" Type="http://schemas.openxmlformats.org/officeDocument/2006/relationships/hyperlink" Target="https://genderequality.gov.au/" TargetMode="External"/><Relationship Id="rId9" Type="http://schemas.openxmlformats.org/officeDocument/2006/relationships/hyperlink" Target="https://go8.edu.au/wp-content/uploads/2023/03/Go8-Policy-Brief_modern-Aus-uni-system.pdf" TargetMode="External"/><Relationship Id="rId14" Type="http://schemas.openxmlformats.org/officeDocument/2006/relationships/hyperlink" Target="https://humanrights.gov.au/our-work/sex-discrimination/publications/change-course-national-report-sexual-assault-and" TargetMode="External"/><Relationship Id="rId22" Type="http://schemas.openxmlformats.org/officeDocument/2006/relationships/hyperlink" Target="https://doi.org/10.71741/4pyxmbnjaq.28489736.v2" TargetMode="External"/><Relationship Id="rId27" Type="http://schemas.openxmlformats.org/officeDocument/2006/relationships/hyperlink" Target="https://www.nteu.au/News_Articles/Media_Releases/Sexual_Harassment_Survey_Report.aspx" TargetMode="External"/><Relationship Id="rId30" Type="http://schemas.openxmlformats.org/officeDocument/2006/relationships/hyperlink" Target="https://www.ourwatch.org.au/resource/change-the-story-framework/" TargetMode="External"/><Relationship Id="rId35" Type="http://schemas.openxmlformats.org/officeDocument/2006/relationships/hyperlink" Target="https://www.pc.gov.au/ongoing/closing-the-gap/data" TargetMode="External"/><Relationship Id="rId43" Type="http://schemas.openxmlformats.org/officeDocument/2006/relationships/hyperlink" Target="https://www.dss.gov.au/system/files/resources/national-plan-end-violence-against-women-and-children-2022-2032.pdf" TargetMode="External"/><Relationship Id="rId48" Type="http://schemas.openxmlformats.org/officeDocument/2006/relationships/hyperlink" Target="https://humanrights.gov.au/our-work/sex-discrimination/publications/change-course-national-report-sexual-assault-and" TargetMode="External"/><Relationship Id="rId56" Type="http://schemas.openxmlformats.org/officeDocument/2006/relationships/hyperlink" Target="https://www.teqsa.gov.au/guides-resources/resources/sector-updates-and-alerts/report-minister-education-higher-education-sector-response-issue-sexual-assault-and-sexual-harassmen" TargetMode="External"/><Relationship Id="rId64" Type="http://schemas.openxmlformats.org/officeDocument/2006/relationships/hyperlink" Target="https://www.education.gov.au/higher-education-loan-program" TargetMode="External"/><Relationship Id="rId69" Type="http://schemas.openxmlformats.org/officeDocument/2006/relationships/hyperlink" Target="https://www.officeforstudents.org.uk/media/d4ef58c0-db7c-4fc2-9fae-fcb94b38a7f3/ofs-statement-of-expectations-harassment-and-sexual-misconduct.pdf" TargetMode="External"/><Relationship Id="rId8" Type="http://schemas.openxmlformats.org/officeDocument/2006/relationships/hyperlink" Target="https://universitiesaustralia.edu.au/policy-submissions/teaching-learning-funding/" TargetMode="External"/><Relationship Id="rId51" Type="http://schemas.openxmlformats.org/officeDocument/2006/relationships/hyperlink" Target="https://www.nsss.edu.au/" TargetMode="External"/><Relationship Id="rId72" Type="http://schemas.openxmlformats.org/officeDocument/2006/relationships/hyperlink" Target="https://www.nsss.edu.au/" TargetMode="External"/><Relationship Id="rId3" Type="http://schemas.openxmlformats.org/officeDocument/2006/relationships/hyperlink" Target="https://www.nteu.au/News_Articles/Media_Releases/Sexual_Harassment_Survey_Report.aspx" TargetMode="External"/><Relationship Id="rId12" Type="http://schemas.openxmlformats.org/officeDocument/2006/relationships/hyperlink" Target="https://humanrights.gov.au/our-work/sex-discrimination/publications/change-course-national-report-sexual-assault-and" TargetMode="External"/><Relationship Id="rId17" Type="http://schemas.openxmlformats.org/officeDocument/2006/relationships/hyperlink" Target="https://www.nsss.edu.au/" TargetMode="External"/><Relationship Id="rId25" Type="http://schemas.openxmlformats.org/officeDocument/2006/relationships/hyperlink" Target="https://doi.org/10.71741/4pyxmbnjaq.28489736.v2" TargetMode="External"/><Relationship Id="rId33" Type="http://schemas.openxmlformats.org/officeDocument/2006/relationships/hyperlink" Target="https://humanrights.gov.au/our-work/sex-discrimination/publications/change-course-national-report-sexual-assault-and" TargetMode="External"/><Relationship Id="rId38" Type="http://schemas.openxmlformats.org/officeDocument/2006/relationships/hyperlink" Target="https://www.nsss.edu.au/" TargetMode="External"/><Relationship Id="rId46" Type="http://schemas.openxmlformats.org/officeDocument/2006/relationships/hyperlink" Target="https://www.nsss.edu.au/" TargetMode="External"/><Relationship Id="rId59" Type="http://schemas.openxmlformats.org/officeDocument/2006/relationships/hyperlink" Target="https://doi.org/10.1177/1037969X241284744" TargetMode="External"/><Relationship Id="rId67" Type="http://schemas.openxmlformats.org/officeDocument/2006/relationships/hyperlink" Target="https://www.worksafe.wa.gov.au/system/files/migrated/sites/default/files/atoms/files/241244_br_sexual_harassment_at_work.pdf" TargetMode="External"/><Relationship Id="rId20" Type="http://schemas.openxmlformats.org/officeDocument/2006/relationships/hyperlink" Target="https://www.nteu.au/News_Articles/Media_Releases/Sexual_Harassment_Survey_Report.aspx" TargetMode="External"/><Relationship Id="rId41" Type="http://schemas.openxmlformats.org/officeDocument/2006/relationships/hyperlink" Target="https://www.aihw.gov.au/reports/lgbtiq-plus-people/lgbtiq-australians-suicidal-thoughts-behaviours-self-harm" TargetMode="External"/><Relationship Id="rId54" Type="http://schemas.openxmlformats.org/officeDocument/2006/relationships/hyperlink" Target="https://humanrights.gov.au/our-work/sex-discrimination/publications/change-course-national-report-sexual-assault-and" TargetMode="External"/><Relationship Id="rId62" Type="http://schemas.openxmlformats.org/officeDocument/2006/relationships/hyperlink" Target="https://www.dss.gov.au/system/files/resources/national-plan-end-violence-against-women-and-children-2022-2032.pdf" TargetMode="External"/><Relationship Id="rId70" Type="http://schemas.openxmlformats.org/officeDocument/2006/relationships/hyperlink" Target="https://www.esafety.gov.au/research/adolescent-encounters-with-online-pornography" TargetMode="External"/><Relationship Id="rId1" Type="http://schemas.openxmlformats.org/officeDocument/2006/relationships/hyperlink" Target="https://humanrights.gov.au/our-work/sex-discrimination/publications/change-course-national-report-sexual-assault-and" TargetMode="External"/><Relationship Id="rId6" Type="http://schemas.openxmlformats.org/officeDocument/2006/relationships/hyperlink" Target="https://www.ourwatch.org.au/resource/change-the-story-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138</Pages>
  <Words>54031</Words>
  <Characters>307980</Characters>
  <Application>Microsoft Office Word</Application>
  <DocSecurity>0</DocSecurity>
  <Lines>2566</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2025-10-23T03:19:00Z</dcterms:created>
  <dcterms:modified xsi:type="dcterms:W3CDTF">2025-10-24T01:28:00Z</dcterms:modified>
</cp:coreProperties>
</file>